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9715" w:type="dxa"/>
        <w:tblLayout w:type="fixed"/>
        <w:tblCellMar>
          <w:left w:w="0" w:type="dxa"/>
          <w:right w:w="0" w:type="dxa"/>
        </w:tblCellMar>
        <w:tblLook w:val="0000" w:firstRow="0" w:lastRow="0" w:firstColumn="0" w:lastColumn="0" w:noHBand="0" w:noVBand="0"/>
      </w:tblPr>
      <w:tblGrid>
        <w:gridCol w:w="6804"/>
        <w:gridCol w:w="2911"/>
      </w:tblGrid>
      <w:tr w:rsidR="00714619" w:rsidRPr="00BA03C8" w:rsidTr="00714619">
        <w:trPr>
          <w:cantSplit/>
        </w:trPr>
        <w:tc>
          <w:tcPr>
            <w:tcW w:w="6804" w:type="dxa"/>
            <w:vAlign w:val="center"/>
          </w:tcPr>
          <w:p w:rsidR="00714619" w:rsidRPr="00BA03C8" w:rsidRDefault="00714619" w:rsidP="00714619">
            <w:pPr>
              <w:tabs>
                <w:tab w:val="clear" w:pos="1191"/>
                <w:tab w:val="clear" w:pos="1588"/>
                <w:tab w:val="clear" w:pos="1985"/>
                <w:tab w:val="right" w:pos="8732"/>
              </w:tabs>
              <w:spacing w:before="0"/>
              <w:rPr>
                <w:b/>
                <w:bCs/>
                <w:iCs/>
                <w:color w:val="FFFFFF"/>
                <w:sz w:val="28"/>
                <w:szCs w:val="28"/>
                <w:lang w:val="ru-RU"/>
              </w:rPr>
            </w:pPr>
            <w:r w:rsidRPr="00BA03C8">
              <w:rPr>
                <w:b/>
                <w:bCs/>
                <w:sz w:val="28"/>
                <w:szCs w:val="28"/>
                <w:lang w:val="ru-RU"/>
              </w:rPr>
              <w:t xml:space="preserve">Бюро стандартизации </w:t>
            </w:r>
            <w:r w:rsidRPr="00BA03C8">
              <w:rPr>
                <w:b/>
                <w:bCs/>
                <w:sz w:val="28"/>
                <w:szCs w:val="28"/>
                <w:lang w:val="ru-RU"/>
              </w:rPr>
              <w:br/>
              <w:t>электросвязи</w:t>
            </w:r>
          </w:p>
        </w:tc>
        <w:tc>
          <w:tcPr>
            <w:tcW w:w="2911" w:type="dxa"/>
            <w:vAlign w:val="center"/>
          </w:tcPr>
          <w:p w:rsidR="00714619" w:rsidRPr="00BA03C8" w:rsidRDefault="00714619" w:rsidP="00714619">
            <w:pPr>
              <w:tabs>
                <w:tab w:val="clear" w:pos="1191"/>
                <w:tab w:val="clear" w:pos="1588"/>
                <w:tab w:val="clear" w:pos="1985"/>
              </w:tabs>
              <w:spacing w:before="0"/>
              <w:jc w:val="right"/>
              <w:rPr>
                <w:color w:val="FFFFFF"/>
                <w:sz w:val="28"/>
                <w:szCs w:val="28"/>
                <w:lang w:val="ru-RU"/>
              </w:rPr>
            </w:pPr>
            <w:r w:rsidRPr="00BA03C8">
              <w:rPr>
                <w:noProof/>
                <w:sz w:val="28"/>
                <w:szCs w:val="28"/>
                <w:lang w:eastAsia="zh-CN"/>
              </w:rPr>
              <w:drawing>
                <wp:inline distT="0" distB="0" distL="0" distR="0" wp14:anchorId="4E691262" wp14:editId="2FF31A43">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714619" w:rsidRPr="00BA03C8" w:rsidTr="00714619">
        <w:trPr>
          <w:cantSplit/>
        </w:trPr>
        <w:tc>
          <w:tcPr>
            <w:tcW w:w="6804" w:type="dxa"/>
            <w:vAlign w:val="center"/>
          </w:tcPr>
          <w:p w:rsidR="00714619" w:rsidRPr="00BA03C8" w:rsidRDefault="00714619" w:rsidP="00714619">
            <w:pPr>
              <w:rPr>
                <w:sz w:val="28"/>
                <w:szCs w:val="28"/>
                <w:lang w:val="ru-RU"/>
              </w:rPr>
            </w:pPr>
          </w:p>
        </w:tc>
        <w:tc>
          <w:tcPr>
            <w:tcW w:w="2911" w:type="dxa"/>
            <w:vAlign w:val="center"/>
          </w:tcPr>
          <w:p w:rsidR="00714619" w:rsidRPr="00BA03C8" w:rsidRDefault="00714619" w:rsidP="00714619">
            <w:pPr>
              <w:rPr>
                <w:sz w:val="28"/>
                <w:szCs w:val="28"/>
                <w:lang w:val="ru-RU"/>
              </w:rPr>
            </w:pPr>
          </w:p>
        </w:tc>
      </w:tr>
    </w:tbl>
    <w:p w:rsidR="00BC33B4" w:rsidRPr="00BA03C8" w:rsidRDefault="00BC33B4" w:rsidP="000465CD">
      <w:pPr>
        <w:tabs>
          <w:tab w:val="clear" w:pos="794"/>
          <w:tab w:val="clear" w:pos="1191"/>
          <w:tab w:val="clear" w:pos="1588"/>
          <w:tab w:val="clear" w:pos="1985"/>
          <w:tab w:val="left" w:pos="5103"/>
        </w:tabs>
        <w:spacing w:before="480" w:after="480"/>
        <w:rPr>
          <w:lang w:val="ru-RU"/>
        </w:rPr>
      </w:pPr>
      <w:r w:rsidRPr="00BA03C8">
        <w:rPr>
          <w:lang w:val="ru-RU"/>
        </w:rPr>
        <w:tab/>
        <w:t>Женева,</w:t>
      </w:r>
      <w:r w:rsidR="00073ED4" w:rsidRPr="00BA03C8">
        <w:rPr>
          <w:lang w:val="ru-RU"/>
        </w:rPr>
        <w:t xml:space="preserve"> </w:t>
      </w:r>
      <w:r w:rsidR="00615C6F" w:rsidRPr="00BA03C8">
        <w:rPr>
          <w:lang w:val="ru-RU"/>
        </w:rPr>
        <w:t>1</w:t>
      </w:r>
      <w:r w:rsidR="000465CD" w:rsidRPr="00BA03C8">
        <w:rPr>
          <w:lang w:val="ru-RU"/>
        </w:rPr>
        <w:t>9</w:t>
      </w:r>
      <w:r w:rsidR="00615C6F" w:rsidRPr="00BA03C8">
        <w:rPr>
          <w:lang w:val="ru-RU"/>
        </w:rPr>
        <w:t xml:space="preserve"> декабря</w:t>
      </w:r>
      <w:r w:rsidR="001526C5" w:rsidRPr="00BA03C8">
        <w:rPr>
          <w:lang w:val="ru-RU"/>
        </w:rPr>
        <w:t xml:space="preserve"> 2014</w:t>
      </w:r>
      <w:r w:rsidR="00073ED4" w:rsidRPr="00BA03C8">
        <w:rPr>
          <w:lang w:val="ru-RU"/>
        </w:rPr>
        <w:t xml:space="preserve"> года</w:t>
      </w:r>
    </w:p>
    <w:tbl>
      <w:tblPr>
        <w:tblW w:w="9720" w:type="dxa"/>
        <w:tblInd w:w="8" w:type="dxa"/>
        <w:tblLayout w:type="fixed"/>
        <w:tblCellMar>
          <w:left w:w="0" w:type="dxa"/>
          <w:right w:w="0" w:type="dxa"/>
        </w:tblCellMar>
        <w:tblLook w:val="0000" w:firstRow="0" w:lastRow="0" w:firstColumn="0" w:lastColumn="0" w:noHBand="0" w:noVBand="0"/>
      </w:tblPr>
      <w:tblGrid>
        <w:gridCol w:w="1410"/>
        <w:gridCol w:w="3685"/>
        <w:gridCol w:w="4625"/>
      </w:tblGrid>
      <w:tr w:rsidR="00BC33B4" w:rsidRPr="009615FE" w:rsidTr="000465CD">
        <w:trPr>
          <w:cantSplit/>
          <w:trHeight w:val="1194"/>
        </w:trPr>
        <w:tc>
          <w:tcPr>
            <w:tcW w:w="1410" w:type="dxa"/>
          </w:tcPr>
          <w:p w:rsidR="00BC33B4" w:rsidRPr="00BA03C8" w:rsidRDefault="00BC33B4" w:rsidP="0011167E">
            <w:pPr>
              <w:spacing w:before="0"/>
              <w:rPr>
                <w:lang w:val="ru-RU"/>
              </w:rPr>
            </w:pPr>
            <w:r w:rsidRPr="00BA03C8">
              <w:rPr>
                <w:lang w:val="ru-RU"/>
              </w:rPr>
              <w:t>Осн.:</w:t>
            </w:r>
          </w:p>
          <w:p w:rsidR="00714619" w:rsidRPr="00BA03C8" w:rsidRDefault="00714619" w:rsidP="0011167E">
            <w:pPr>
              <w:spacing w:before="0"/>
              <w:rPr>
                <w:lang w:val="ru-RU"/>
              </w:rPr>
            </w:pPr>
          </w:p>
          <w:p w:rsidR="00714619" w:rsidRPr="00BA03C8" w:rsidRDefault="000465CD" w:rsidP="00714619">
            <w:pPr>
              <w:spacing w:before="0"/>
              <w:rPr>
                <w:lang w:val="ru-RU"/>
              </w:rPr>
            </w:pPr>
            <w:r w:rsidRPr="00BA03C8">
              <w:rPr>
                <w:lang w:val="ru-RU"/>
              </w:rPr>
              <w:br/>
            </w:r>
            <w:r w:rsidR="00714619" w:rsidRPr="00BA03C8">
              <w:rPr>
                <w:lang w:val="ru-RU"/>
              </w:rPr>
              <w:t>Тел.:</w:t>
            </w:r>
          </w:p>
          <w:p w:rsidR="00714619" w:rsidRPr="00BA03C8" w:rsidRDefault="00714619" w:rsidP="00714619">
            <w:pPr>
              <w:spacing w:before="0"/>
              <w:rPr>
                <w:lang w:val="ru-RU"/>
              </w:rPr>
            </w:pPr>
            <w:r w:rsidRPr="00BA03C8">
              <w:rPr>
                <w:lang w:val="ru-RU"/>
              </w:rPr>
              <w:t>Факс:</w:t>
            </w:r>
          </w:p>
          <w:p w:rsidR="00714619" w:rsidRPr="00BA03C8" w:rsidRDefault="00714619" w:rsidP="00714619">
            <w:pPr>
              <w:spacing w:before="0"/>
              <w:rPr>
                <w:lang w:val="ru-RU"/>
              </w:rPr>
            </w:pPr>
            <w:r w:rsidRPr="00BA03C8">
              <w:rPr>
                <w:lang w:val="ru-RU"/>
              </w:rPr>
              <w:t>Эл. почта:</w:t>
            </w:r>
          </w:p>
        </w:tc>
        <w:tc>
          <w:tcPr>
            <w:tcW w:w="3685" w:type="dxa"/>
          </w:tcPr>
          <w:p w:rsidR="00714619" w:rsidRPr="00BA03C8" w:rsidRDefault="00BC33B4" w:rsidP="00112116">
            <w:pPr>
              <w:tabs>
                <w:tab w:val="left" w:pos="4111"/>
              </w:tabs>
              <w:spacing w:before="0"/>
              <w:contextualSpacing/>
              <w:rPr>
                <w:b/>
                <w:bCs/>
                <w:lang w:val="ru-RU"/>
              </w:rPr>
            </w:pPr>
            <w:r w:rsidRPr="00BA03C8">
              <w:rPr>
                <w:b/>
                <w:bCs/>
                <w:lang w:val="ru-RU"/>
              </w:rPr>
              <w:t xml:space="preserve">Циркуляр </w:t>
            </w:r>
            <w:r w:rsidR="000465CD" w:rsidRPr="00BA03C8">
              <w:rPr>
                <w:b/>
                <w:bCs/>
                <w:lang w:val="ru-RU"/>
              </w:rPr>
              <w:t>13</w:t>
            </w:r>
            <w:r w:rsidR="00112116" w:rsidRPr="00BA03C8">
              <w:rPr>
                <w:b/>
                <w:bCs/>
                <w:lang w:val="ru-RU"/>
              </w:rPr>
              <w:t>5</w:t>
            </w:r>
            <w:r w:rsidRPr="00BA03C8">
              <w:rPr>
                <w:b/>
                <w:bCs/>
                <w:lang w:val="ru-RU"/>
              </w:rPr>
              <w:t xml:space="preserve"> БСЭ</w:t>
            </w:r>
          </w:p>
          <w:p w:rsidR="00714619" w:rsidRPr="00BA03C8" w:rsidRDefault="001526C5" w:rsidP="00714619">
            <w:pPr>
              <w:tabs>
                <w:tab w:val="left" w:pos="4111"/>
              </w:tabs>
              <w:spacing w:before="0"/>
              <w:contextualSpacing/>
              <w:rPr>
                <w:szCs w:val="22"/>
                <w:lang w:val="ru-RU"/>
              </w:rPr>
            </w:pPr>
            <w:r w:rsidRPr="00BA03C8">
              <w:rPr>
                <w:szCs w:val="22"/>
                <w:lang w:val="ru-RU"/>
              </w:rPr>
              <w:t xml:space="preserve">TSB </w:t>
            </w:r>
            <w:r w:rsidR="00112116" w:rsidRPr="00BA03C8">
              <w:rPr>
                <w:szCs w:val="22"/>
                <w:lang w:val="ru-RU"/>
              </w:rPr>
              <w:t>Interop/km</w:t>
            </w:r>
          </w:p>
          <w:p w:rsidR="00714619" w:rsidRPr="00BA03C8" w:rsidRDefault="00714619" w:rsidP="00714619">
            <w:pPr>
              <w:tabs>
                <w:tab w:val="left" w:pos="4111"/>
              </w:tabs>
              <w:spacing w:before="0"/>
              <w:contextualSpacing/>
              <w:rPr>
                <w:szCs w:val="22"/>
                <w:lang w:val="ru-RU"/>
              </w:rPr>
            </w:pPr>
          </w:p>
          <w:p w:rsidR="00714619" w:rsidRPr="00BA03C8" w:rsidRDefault="00714619" w:rsidP="000465CD">
            <w:pPr>
              <w:spacing w:before="0"/>
              <w:rPr>
                <w:szCs w:val="22"/>
                <w:lang w:val="ru-RU"/>
              </w:rPr>
            </w:pPr>
            <w:r w:rsidRPr="00BA03C8">
              <w:rPr>
                <w:szCs w:val="22"/>
                <w:lang w:val="ru-RU"/>
              </w:rPr>
              <w:t>+41 22 730 6</w:t>
            </w:r>
            <w:r w:rsidR="000465CD" w:rsidRPr="00BA03C8">
              <w:rPr>
                <w:szCs w:val="22"/>
                <w:lang w:val="ru-RU"/>
              </w:rPr>
              <w:t>226</w:t>
            </w:r>
          </w:p>
          <w:p w:rsidR="00714619" w:rsidRPr="00BA03C8" w:rsidRDefault="00714619" w:rsidP="00714619">
            <w:pPr>
              <w:spacing w:before="0"/>
              <w:rPr>
                <w:lang w:val="ru-RU"/>
              </w:rPr>
            </w:pPr>
            <w:r w:rsidRPr="00BA03C8">
              <w:rPr>
                <w:szCs w:val="22"/>
                <w:lang w:val="ru-RU"/>
              </w:rPr>
              <w:t>+41 22 730 5853</w:t>
            </w:r>
          </w:p>
          <w:p w:rsidR="00BC33B4" w:rsidRPr="00BA03C8" w:rsidRDefault="0092660E" w:rsidP="00152875">
            <w:pPr>
              <w:spacing w:before="0"/>
              <w:rPr>
                <w:lang w:val="ru-RU"/>
              </w:rPr>
            </w:pPr>
            <w:hyperlink r:id="rId9" w:history="1">
              <w:r w:rsidR="00152875" w:rsidRPr="00BA03C8">
                <w:rPr>
                  <w:rStyle w:val="Hyperlink"/>
                  <w:szCs w:val="22"/>
                  <w:lang w:val="ru-RU"/>
                </w:rPr>
                <w:t>interop@itu.int</w:t>
              </w:r>
            </w:hyperlink>
          </w:p>
        </w:tc>
        <w:tc>
          <w:tcPr>
            <w:tcW w:w="4625" w:type="dxa"/>
          </w:tcPr>
          <w:p w:rsidR="00BC33B4" w:rsidRPr="00BA03C8" w:rsidRDefault="00BC33B4" w:rsidP="0011167E">
            <w:pPr>
              <w:tabs>
                <w:tab w:val="clear" w:pos="794"/>
                <w:tab w:val="clear" w:pos="1191"/>
                <w:tab w:val="clear" w:pos="1588"/>
                <w:tab w:val="clear" w:pos="1985"/>
                <w:tab w:val="left" w:pos="284"/>
              </w:tabs>
              <w:spacing w:before="0"/>
              <w:ind w:left="284" w:hanging="284"/>
              <w:rPr>
                <w:lang w:val="ru-RU"/>
              </w:rPr>
            </w:pPr>
            <w:r w:rsidRPr="00BA03C8">
              <w:rPr>
                <w:lang w:val="ru-RU"/>
              </w:rPr>
              <w:t>–</w:t>
            </w:r>
            <w:r w:rsidRPr="00BA03C8">
              <w:rPr>
                <w:lang w:val="ru-RU"/>
              </w:rPr>
              <w:tab/>
              <w:t>Администрациям Государств – Членов Союза</w:t>
            </w:r>
          </w:p>
          <w:p w:rsidR="00BC33B4" w:rsidRPr="00BA03C8" w:rsidRDefault="00BC33B4" w:rsidP="0011167E">
            <w:pPr>
              <w:tabs>
                <w:tab w:val="clear" w:pos="794"/>
                <w:tab w:val="clear" w:pos="1191"/>
                <w:tab w:val="clear" w:pos="1588"/>
                <w:tab w:val="clear" w:pos="1985"/>
                <w:tab w:val="left" w:pos="284"/>
              </w:tabs>
              <w:spacing w:before="0"/>
              <w:ind w:left="284" w:hanging="284"/>
              <w:rPr>
                <w:lang w:val="ru-RU"/>
              </w:rPr>
            </w:pPr>
            <w:r w:rsidRPr="00BA03C8">
              <w:rPr>
                <w:lang w:val="ru-RU"/>
              </w:rPr>
              <w:t>–</w:t>
            </w:r>
            <w:r w:rsidRPr="00BA03C8">
              <w:rPr>
                <w:lang w:val="ru-RU"/>
              </w:rPr>
              <w:tab/>
              <w:t>Членам Сектора МСЭ-Т</w:t>
            </w:r>
          </w:p>
          <w:p w:rsidR="00BC33B4" w:rsidRPr="00BA03C8" w:rsidRDefault="00BC33B4" w:rsidP="0011167E">
            <w:pPr>
              <w:tabs>
                <w:tab w:val="clear" w:pos="794"/>
                <w:tab w:val="clear" w:pos="1191"/>
                <w:tab w:val="clear" w:pos="1588"/>
                <w:tab w:val="clear" w:pos="1985"/>
                <w:tab w:val="left" w:pos="284"/>
              </w:tabs>
              <w:spacing w:before="0"/>
              <w:ind w:left="284" w:hanging="284"/>
              <w:rPr>
                <w:lang w:val="ru-RU"/>
              </w:rPr>
            </w:pPr>
            <w:r w:rsidRPr="00BA03C8">
              <w:rPr>
                <w:lang w:val="ru-RU"/>
              </w:rPr>
              <w:t>–</w:t>
            </w:r>
            <w:r w:rsidRPr="00BA03C8">
              <w:rPr>
                <w:lang w:val="ru-RU"/>
              </w:rPr>
              <w:tab/>
              <w:t>Ассоциированным членам МСЭ-Т</w:t>
            </w:r>
          </w:p>
          <w:p w:rsidR="00F15118" w:rsidRPr="00BA03C8" w:rsidRDefault="00F15118" w:rsidP="006F5F55">
            <w:pPr>
              <w:tabs>
                <w:tab w:val="clear" w:pos="794"/>
                <w:tab w:val="clear" w:pos="1191"/>
                <w:tab w:val="clear" w:pos="1588"/>
                <w:tab w:val="clear" w:pos="1985"/>
                <w:tab w:val="left" w:pos="284"/>
              </w:tabs>
              <w:spacing w:before="0"/>
              <w:ind w:left="284" w:hanging="284"/>
              <w:rPr>
                <w:lang w:val="ru-RU"/>
              </w:rPr>
            </w:pPr>
            <w:r w:rsidRPr="00BA03C8">
              <w:rPr>
                <w:lang w:val="ru-RU"/>
              </w:rPr>
              <w:t>–</w:t>
            </w:r>
            <w:r w:rsidRPr="00BA03C8">
              <w:rPr>
                <w:lang w:val="ru-RU"/>
              </w:rPr>
              <w:tab/>
            </w:r>
            <w:r w:rsidR="006D7FBC" w:rsidRPr="00BA03C8">
              <w:rPr>
                <w:lang w:val="ru-RU"/>
              </w:rPr>
              <w:t>Академическим организациям − Членам МСЭ</w:t>
            </w:r>
            <w:r w:rsidR="006D7FBC" w:rsidRPr="00BA03C8">
              <w:rPr>
                <w:lang w:val="ru-RU"/>
              </w:rPr>
              <w:noBreakHyphen/>
              <w:t>Т</w:t>
            </w:r>
          </w:p>
        </w:tc>
      </w:tr>
      <w:tr w:rsidR="00BC33B4" w:rsidRPr="009615FE" w:rsidTr="000465CD">
        <w:trPr>
          <w:cantSplit/>
          <w:trHeight w:val="20"/>
        </w:trPr>
        <w:tc>
          <w:tcPr>
            <w:tcW w:w="1410" w:type="dxa"/>
          </w:tcPr>
          <w:p w:rsidR="00BC33B4" w:rsidRPr="00BA03C8" w:rsidRDefault="00BC33B4" w:rsidP="0011167E">
            <w:pPr>
              <w:spacing w:before="0"/>
              <w:rPr>
                <w:lang w:val="ru-RU"/>
              </w:rPr>
            </w:pPr>
          </w:p>
        </w:tc>
        <w:tc>
          <w:tcPr>
            <w:tcW w:w="3685" w:type="dxa"/>
          </w:tcPr>
          <w:p w:rsidR="00BC33B4" w:rsidRPr="00BA03C8" w:rsidRDefault="00BC33B4" w:rsidP="0011167E">
            <w:pPr>
              <w:spacing w:before="0"/>
              <w:rPr>
                <w:lang w:val="ru-RU"/>
              </w:rPr>
            </w:pPr>
          </w:p>
        </w:tc>
        <w:tc>
          <w:tcPr>
            <w:tcW w:w="4625" w:type="dxa"/>
          </w:tcPr>
          <w:p w:rsidR="00BC33B4" w:rsidRPr="00BA03C8" w:rsidRDefault="00BC33B4" w:rsidP="0011167E">
            <w:pPr>
              <w:tabs>
                <w:tab w:val="clear" w:pos="794"/>
                <w:tab w:val="clear" w:pos="1191"/>
                <w:tab w:val="clear" w:pos="1588"/>
                <w:tab w:val="clear" w:pos="1985"/>
                <w:tab w:val="left" w:pos="284"/>
              </w:tabs>
              <w:spacing w:before="0"/>
              <w:ind w:left="284" w:hanging="284"/>
              <w:rPr>
                <w:lang w:val="ru-RU"/>
              </w:rPr>
            </w:pPr>
            <w:r w:rsidRPr="00BA03C8">
              <w:rPr>
                <w:b/>
                <w:bCs/>
                <w:lang w:val="ru-RU"/>
              </w:rPr>
              <w:t>Копии</w:t>
            </w:r>
            <w:r w:rsidRPr="00BA03C8">
              <w:rPr>
                <w:lang w:val="ru-RU"/>
              </w:rPr>
              <w:t>:</w:t>
            </w:r>
          </w:p>
          <w:p w:rsidR="00BC33B4" w:rsidRPr="00BA03C8" w:rsidRDefault="00BC33B4" w:rsidP="002102F6">
            <w:pPr>
              <w:tabs>
                <w:tab w:val="clear" w:pos="794"/>
                <w:tab w:val="clear" w:pos="1191"/>
                <w:tab w:val="clear" w:pos="1588"/>
                <w:tab w:val="clear" w:pos="1985"/>
              </w:tabs>
              <w:spacing w:before="0"/>
              <w:ind w:left="284" w:hanging="284"/>
              <w:rPr>
                <w:rFonts w:cstheme="majorBidi"/>
                <w:szCs w:val="22"/>
                <w:lang w:val="ru-RU"/>
              </w:rPr>
            </w:pPr>
            <w:r w:rsidRPr="00BA03C8">
              <w:rPr>
                <w:lang w:val="ru-RU"/>
              </w:rPr>
              <w:t>–</w:t>
            </w:r>
            <w:r w:rsidRPr="00BA03C8">
              <w:rPr>
                <w:lang w:val="ru-RU"/>
              </w:rPr>
              <w:tab/>
            </w:r>
            <w:r w:rsidRPr="00BA03C8">
              <w:rPr>
                <w:rFonts w:cstheme="majorBidi"/>
                <w:szCs w:val="22"/>
                <w:lang w:val="ru-RU"/>
              </w:rPr>
              <w:t>Председател</w:t>
            </w:r>
            <w:r w:rsidR="00214A30" w:rsidRPr="00BA03C8">
              <w:rPr>
                <w:rFonts w:cstheme="majorBidi"/>
                <w:szCs w:val="22"/>
                <w:lang w:val="ru-RU"/>
              </w:rPr>
              <w:t>ям</w:t>
            </w:r>
            <w:r w:rsidRPr="00BA03C8">
              <w:rPr>
                <w:rFonts w:cstheme="majorBidi"/>
                <w:szCs w:val="22"/>
                <w:lang w:val="ru-RU"/>
              </w:rPr>
              <w:t xml:space="preserve"> и заместителям председател</w:t>
            </w:r>
            <w:r w:rsidR="00073ED4" w:rsidRPr="00BA03C8">
              <w:rPr>
                <w:rFonts w:cstheme="majorBidi"/>
                <w:szCs w:val="22"/>
                <w:lang w:val="ru-RU"/>
              </w:rPr>
              <w:t>ей</w:t>
            </w:r>
            <w:r w:rsidRPr="00BA03C8">
              <w:rPr>
                <w:rFonts w:cstheme="majorBidi"/>
                <w:szCs w:val="22"/>
                <w:lang w:val="ru-RU"/>
              </w:rPr>
              <w:t xml:space="preserve"> </w:t>
            </w:r>
            <w:r w:rsidR="00B52E06" w:rsidRPr="00BA03C8">
              <w:rPr>
                <w:rFonts w:cstheme="majorBidi"/>
                <w:szCs w:val="22"/>
                <w:lang w:val="ru-RU"/>
              </w:rPr>
              <w:t xml:space="preserve">исследовательских </w:t>
            </w:r>
            <w:r w:rsidRPr="00BA03C8">
              <w:rPr>
                <w:rFonts w:cstheme="majorBidi"/>
                <w:szCs w:val="22"/>
                <w:lang w:val="ru-RU"/>
              </w:rPr>
              <w:t>комисси</w:t>
            </w:r>
            <w:r w:rsidR="00073ED4" w:rsidRPr="00BA03C8">
              <w:rPr>
                <w:rFonts w:cstheme="majorBidi"/>
                <w:szCs w:val="22"/>
                <w:lang w:val="ru-RU"/>
              </w:rPr>
              <w:t>й</w:t>
            </w:r>
            <w:r w:rsidRPr="00BA03C8">
              <w:rPr>
                <w:rFonts w:cstheme="majorBidi"/>
                <w:szCs w:val="22"/>
                <w:lang w:val="ru-RU"/>
              </w:rPr>
              <w:t xml:space="preserve"> МСЭ-Т</w:t>
            </w:r>
          </w:p>
          <w:p w:rsidR="00BC33B4" w:rsidRPr="00BA03C8" w:rsidRDefault="00BC33B4" w:rsidP="002102F6">
            <w:pPr>
              <w:tabs>
                <w:tab w:val="clear" w:pos="794"/>
                <w:tab w:val="clear" w:pos="1191"/>
                <w:tab w:val="clear" w:pos="1588"/>
                <w:tab w:val="clear" w:pos="1985"/>
              </w:tabs>
              <w:spacing w:before="0"/>
              <w:ind w:left="284" w:hanging="284"/>
              <w:rPr>
                <w:rFonts w:cstheme="majorBidi"/>
                <w:szCs w:val="22"/>
                <w:lang w:val="ru-RU"/>
              </w:rPr>
            </w:pPr>
            <w:r w:rsidRPr="00BA03C8">
              <w:rPr>
                <w:rFonts w:cstheme="majorBidi"/>
                <w:szCs w:val="22"/>
                <w:lang w:val="ru-RU"/>
              </w:rPr>
              <w:t>–</w:t>
            </w:r>
            <w:r w:rsidRPr="00BA03C8">
              <w:rPr>
                <w:rFonts w:cstheme="majorBidi"/>
                <w:szCs w:val="22"/>
                <w:lang w:val="ru-RU"/>
              </w:rPr>
              <w:tab/>
              <w:t>Директору Бюро развития электросвязи</w:t>
            </w:r>
          </w:p>
          <w:p w:rsidR="00073ED4" w:rsidRPr="00BA03C8" w:rsidRDefault="00BC33B4" w:rsidP="000465CD">
            <w:pPr>
              <w:tabs>
                <w:tab w:val="clear" w:pos="794"/>
                <w:tab w:val="clear" w:pos="1191"/>
                <w:tab w:val="clear" w:pos="1588"/>
                <w:tab w:val="clear" w:pos="1985"/>
              </w:tabs>
              <w:spacing w:before="0"/>
              <w:ind w:left="284" w:hanging="284"/>
              <w:rPr>
                <w:rFonts w:cstheme="majorBidi"/>
                <w:szCs w:val="22"/>
                <w:lang w:val="ru-RU"/>
              </w:rPr>
            </w:pPr>
            <w:r w:rsidRPr="00BA03C8">
              <w:rPr>
                <w:rFonts w:cstheme="majorBidi"/>
                <w:szCs w:val="22"/>
                <w:lang w:val="ru-RU"/>
              </w:rPr>
              <w:t>–</w:t>
            </w:r>
            <w:r w:rsidRPr="00BA03C8">
              <w:rPr>
                <w:rFonts w:cstheme="majorBidi"/>
                <w:szCs w:val="22"/>
                <w:lang w:val="ru-RU"/>
              </w:rPr>
              <w:tab/>
              <w:t>Директору Бюро радиосвязи</w:t>
            </w:r>
          </w:p>
        </w:tc>
      </w:tr>
    </w:tbl>
    <w:p w:rsidR="00BC33B4" w:rsidRPr="00BA03C8" w:rsidRDefault="00BC33B4" w:rsidP="0011167E">
      <w:pPr>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410"/>
        <w:gridCol w:w="8302"/>
      </w:tblGrid>
      <w:tr w:rsidR="00BC33B4" w:rsidRPr="009615FE" w:rsidTr="000465CD">
        <w:trPr>
          <w:cantSplit/>
          <w:trHeight w:val="680"/>
        </w:trPr>
        <w:tc>
          <w:tcPr>
            <w:tcW w:w="1410" w:type="dxa"/>
          </w:tcPr>
          <w:p w:rsidR="00BC33B4" w:rsidRPr="00BA03C8" w:rsidRDefault="00BC33B4" w:rsidP="00714619">
            <w:pPr>
              <w:spacing w:before="0"/>
              <w:rPr>
                <w:lang w:val="ru-RU"/>
              </w:rPr>
            </w:pPr>
            <w:r w:rsidRPr="00BA03C8">
              <w:rPr>
                <w:lang w:val="ru-RU"/>
              </w:rPr>
              <w:t>Предмет:</w:t>
            </w:r>
          </w:p>
        </w:tc>
        <w:tc>
          <w:tcPr>
            <w:tcW w:w="8302" w:type="dxa"/>
          </w:tcPr>
          <w:p w:rsidR="00BC33B4" w:rsidRPr="00BA03C8" w:rsidRDefault="00112116" w:rsidP="002755DF">
            <w:pPr>
              <w:spacing w:before="0"/>
              <w:rPr>
                <w:b/>
                <w:bCs/>
                <w:lang w:val="ru-RU"/>
              </w:rPr>
            </w:pPr>
            <w:r w:rsidRPr="00BA03C8">
              <w:rPr>
                <w:b/>
                <w:bCs/>
                <w:szCs w:val="22"/>
                <w:lang w:val="ru-RU"/>
              </w:rPr>
              <w:t>Мероприятие, посвященное проверке и демонстрации в области электронного здравоохранения (Женева, Швейцария, 10−12 февраля 2015 г.)</w:t>
            </w:r>
          </w:p>
        </w:tc>
      </w:tr>
    </w:tbl>
    <w:p w:rsidR="00BC33B4" w:rsidRPr="00BA03C8" w:rsidRDefault="00BC33B4" w:rsidP="00714619">
      <w:pPr>
        <w:pStyle w:val="Normalaftertitle"/>
        <w:spacing w:before="480"/>
        <w:rPr>
          <w:lang w:val="ru-RU"/>
        </w:rPr>
      </w:pPr>
      <w:r w:rsidRPr="00BA03C8">
        <w:rPr>
          <w:lang w:val="ru-RU"/>
        </w:rPr>
        <w:t>Уважаемая госпожа,</w:t>
      </w:r>
      <w:r w:rsidRPr="00BA03C8">
        <w:rPr>
          <w:lang w:val="ru-RU"/>
        </w:rPr>
        <w:br/>
        <w:t>уважаемый господин,</w:t>
      </w:r>
    </w:p>
    <w:p w:rsidR="00112116" w:rsidRPr="00BA03C8" w:rsidRDefault="00112116" w:rsidP="00BA03C8">
      <w:pPr>
        <w:rPr>
          <w:lang w:val="ru-RU"/>
        </w:rPr>
      </w:pPr>
      <w:r w:rsidRPr="00BA03C8">
        <w:rPr>
          <w:lang w:val="ru-RU"/>
        </w:rPr>
        <w:t>1</w:t>
      </w:r>
      <w:r w:rsidRPr="00BA03C8">
        <w:rPr>
          <w:lang w:val="ru-RU"/>
        </w:rPr>
        <w:tab/>
        <w:t xml:space="preserve">Хотел бы сообщить вам, что в рамках </w:t>
      </w:r>
      <w:r w:rsidR="006D0F00">
        <w:fldChar w:fldCharType="begin"/>
      </w:r>
      <w:r w:rsidR="006D0F00" w:rsidRPr="006D0F00">
        <w:rPr>
          <w:lang w:val="ru-RU"/>
        </w:rPr>
        <w:instrText xml:space="preserve"> </w:instrText>
      </w:r>
      <w:r w:rsidR="006D0F00">
        <w:instrText>HYPERLINK</w:instrText>
      </w:r>
      <w:r w:rsidR="006D0F00" w:rsidRPr="006D0F00">
        <w:rPr>
          <w:lang w:val="ru-RU"/>
        </w:rPr>
        <w:instrText xml:space="preserve"> "</w:instrText>
      </w:r>
      <w:r w:rsidR="006D0F00">
        <w:instrText>http</w:instrText>
      </w:r>
      <w:r w:rsidR="006D0F00" w:rsidRPr="006D0F00">
        <w:rPr>
          <w:lang w:val="ru-RU"/>
        </w:rPr>
        <w:instrText>://</w:instrText>
      </w:r>
      <w:r w:rsidR="006D0F00">
        <w:instrText>www</w:instrText>
      </w:r>
      <w:r w:rsidR="006D0F00" w:rsidRPr="006D0F00">
        <w:rPr>
          <w:lang w:val="ru-RU"/>
        </w:rPr>
        <w:instrText>.</w:instrText>
      </w:r>
      <w:r w:rsidR="006D0F00">
        <w:instrText>itu</w:instrText>
      </w:r>
      <w:r w:rsidR="006D0F00" w:rsidRPr="006D0F00">
        <w:rPr>
          <w:lang w:val="ru-RU"/>
        </w:rPr>
        <w:instrText>.</w:instrText>
      </w:r>
      <w:r w:rsidR="006D0F00">
        <w:instrText>int</w:instrText>
      </w:r>
      <w:r w:rsidR="006D0F00" w:rsidRPr="006D0F00">
        <w:rPr>
          <w:lang w:val="ru-RU"/>
        </w:rPr>
        <w:instrText>/</w:instrText>
      </w:r>
      <w:r w:rsidR="006D0F00">
        <w:instrText>en</w:instrText>
      </w:r>
      <w:r w:rsidR="006D0F00" w:rsidRPr="006D0F00">
        <w:rPr>
          <w:lang w:val="ru-RU"/>
        </w:rPr>
        <w:instrText>/</w:instrText>
      </w:r>
      <w:r w:rsidR="006D0F00">
        <w:instrText>ITU</w:instrText>
      </w:r>
      <w:r w:rsidR="006D0F00" w:rsidRPr="006D0F00">
        <w:rPr>
          <w:lang w:val="ru-RU"/>
        </w:rPr>
        <w:instrText>-</w:instrText>
      </w:r>
      <w:r w:rsidR="006D0F00">
        <w:instrText>T</w:instrText>
      </w:r>
      <w:r w:rsidR="006D0F00" w:rsidRPr="006D0F00">
        <w:rPr>
          <w:lang w:val="ru-RU"/>
        </w:rPr>
        <w:instrText>/</w:instrText>
      </w:r>
      <w:r w:rsidR="006D0F00">
        <w:instrText>C</w:instrText>
      </w:r>
      <w:r w:rsidR="006D0F00" w:rsidRPr="006D0F00">
        <w:rPr>
          <w:lang w:val="ru-RU"/>
        </w:rPr>
        <w:instrText>-</w:instrText>
      </w:r>
      <w:r w:rsidR="006D0F00">
        <w:instrText>I</w:instrText>
      </w:r>
      <w:r w:rsidR="006D0F00" w:rsidRPr="006D0F00">
        <w:rPr>
          <w:lang w:val="ru-RU"/>
        </w:rPr>
        <w:instrText>/</w:instrText>
      </w:r>
      <w:r w:rsidR="006D0F00">
        <w:instrText>Pages</w:instrText>
      </w:r>
      <w:r w:rsidR="006D0F00" w:rsidRPr="006D0F00">
        <w:rPr>
          <w:lang w:val="ru-RU"/>
        </w:rPr>
        <w:instrText>/</w:instrText>
      </w:r>
      <w:r w:rsidR="006D0F00">
        <w:instrText>default</w:instrText>
      </w:r>
      <w:r w:rsidR="006D0F00" w:rsidRPr="006D0F00">
        <w:rPr>
          <w:lang w:val="ru-RU"/>
        </w:rPr>
        <w:instrText>.</w:instrText>
      </w:r>
      <w:r w:rsidR="006D0F00">
        <w:instrText>aspx</w:instrText>
      </w:r>
      <w:r w:rsidR="006D0F00" w:rsidRPr="006D0F00">
        <w:rPr>
          <w:lang w:val="ru-RU"/>
        </w:rPr>
        <w:instrText xml:space="preserve">" </w:instrText>
      </w:r>
      <w:r w:rsidR="006D0F00">
        <w:fldChar w:fldCharType="separate"/>
      </w:r>
      <w:r w:rsidRPr="00BA03C8">
        <w:rPr>
          <w:rStyle w:val="Hyperlink"/>
          <w:lang w:val="ru-RU"/>
        </w:rPr>
        <w:t>Программы МСЭ по проверке на соответствие и функциональную совместимость (C&amp;I)</w:t>
      </w:r>
      <w:r w:rsidR="006D0F00">
        <w:rPr>
          <w:rStyle w:val="Hyperlink"/>
          <w:lang w:val="ru-RU"/>
        </w:rPr>
        <w:fldChar w:fldCharType="end"/>
      </w:r>
      <w:r w:rsidRPr="00BA03C8">
        <w:rPr>
          <w:lang w:val="ru-RU"/>
        </w:rPr>
        <w:t xml:space="preserve"> МСЭ проведет мероприятие, посвященное функциональной совместимости в области электронного здравоохранения, организуемое компанией Continua, которое состоится в штаб-квартире МСЭ в Женеве с 10 по 12 февраля 2015 года включительно. </w:t>
      </w:r>
    </w:p>
    <w:p w:rsidR="00112116" w:rsidRPr="00BA03C8" w:rsidRDefault="00112116" w:rsidP="00152875">
      <w:pPr>
        <w:rPr>
          <w:lang w:val="ru-RU"/>
        </w:rPr>
      </w:pPr>
      <w:r w:rsidRPr="00BA03C8">
        <w:rPr>
          <w:lang w:val="ru-RU"/>
        </w:rPr>
        <w:t>Компонент мероприятия, касающийся проверки, будет проводиться 10−11 февраля 2015 года, а</w:t>
      </w:r>
      <w:r w:rsidR="00152875" w:rsidRPr="00BA03C8">
        <w:rPr>
          <w:lang w:val="ru-RU"/>
        </w:rPr>
        <w:t> </w:t>
      </w:r>
      <w:r w:rsidRPr="00BA03C8">
        <w:rPr>
          <w:lang w:val="ru-RU"/>
        </w:rPr>
        <w:t xml:space="preserve">затем 12 февраля 2015 года состоится демонстрация в области электронного здравоохранения. </w:t>
      </w:r>
    </w:p>
    <w:p w:rsidR="00112116" w:rsidRPr="00BA03C8" w:rsidRDefault="00112116" w:rsidP="00152875">
      <w:pPr>
        <w:rPr>
          <w:lang w:val="ru-RU"/>
        </w:rPr>
      </w:pPr>
      <w:r w:rsidRPr="00BA03C8">
        <w:rPr>
          <w:lang w:val="ru-RU"/>
        </w:rPr>
        <w:t>2</w:t>
      </w:r>
      <w:r w:rsidRPr="00BA03C8">
        <w:rPr>
          <w:lang w:val="ru-RU"/>
        </w:rPr>
        <w:tab/>
      </w:r>
      <w:r w:rsidRPr="00BA03C8">
        <w:rPr>
          <w:b/>
          <w:bCs/>
          <w:lang w:val="ru-RU"/>
        </w:rPr>
        <w:t>Проверка</w:t>
      </w:r>
      <w:r w:rsidRPr="00BA03C8">
        <w:rPr>
          <w:lang w:val="ru-RU"/>
        </w:rPr>
        <w:t xml:space="preserve"> будет включать проверку на функциональную совместимость и, факультативно, проверку на соответствие устройств, приложений и услуг электронного здравоохранения, а также технологических платформ в соответствии с </w:t>
      </w:r>
      <w:hyperlink r:id="rId10" w:history="1">
        <w:r w:rsidRPr="00BA03C8">
          <w:rPr>
            <w:rStyle w:val="Hyperlink"/>
            <w:lang w:val="ru-RU"/>
          </w:rPr>
          <w:t xml:space="preserve">Рекомендацией </w:t>
        </w:r>
        <w:r w:rsidRPr="00BA03C8">
          <w:rPr>
            <w:rStyle w:val="Hyperlink"/>
            <w:rFonts w:cstheme="majorBidi"/>
            <w:szCs w:val="22"/>
            <w:lang w:val="ru-RU"/>
          </w:rPr>
          <w:t>МСЭ-Т H.810 "Руководящие указания по планированию функциональной совместимости для систем персонального медицинского обслуживания"</w:t>
        </w:r>
      </w:hyperlink>
      <w:r w:rsidRPr="00BA03C8">
        <w:rPr>
          <w:rFonts w:cstheme="majorBidi"/>
          <w:szCs w:val="22"/>
          <w:lang w:val="ru-RU"/>
        </w:rPr>
        <w:t>.</w:t>
      </w:r>
    </w:p>
    <w:p w:rsidR="00112116" w:rsidRPr="00BA03C8" w:rsidRDefault="00112116" w:rsidP="00BA03C8">
      <w:pPr>
        <w:rPr>
          <w:lang w:val="ru-RU"/>
        </w:rPr>
      </w:pPr>
      <w:r w:rsidRPr="00BA03C8">
        <w:rPr>
          <w:b/>
          <w:bCs/>
          <w:lang w:val="ru-RU"/>
        </w:rPr>
        <w:t>Проверка на функциональную совместимость</w:t>
      </w:r>
      <w:r w:rsidRPr="00BA03C8">
        <w:rPr>
          <w:lang w:val="ru-RU"/>
        </w:rPr>
        <w:t xml:space="preserve"> направлена на повышение вероятности функциональной совместимости между продуктами различных производителей благодаря утверждению различных реализаций стандартов и предоставлению исследовательским комиссиям МСЭ-Т соответствующих замечаний и предложений для дальнейших исследований, направленных на поиск решений вопросов, которые связаны с функциональной совместимостью. Участники смогут обмениваться результатами проверки на функциональную совместимость на двусторонней основе, используя такие инструменты, как соглашения о неразглашении (NDA). </w:t>
      </w:r>
    </w:p>
    <w:p w:rsidR="00112116" w:rsidRPr="00BA03C8" w:rsidRDefault="00112116" w:rsidP="00BA03C8">
      <w:pPr>
        <w:rPr>
          <w:lang w:val="ru-RU"/>
        </w:rPr>
      </w:pPr>
      <w:r w:rsidRPr="00BA03C8">
        <w:rPr>
          <w:lang w:val="ru-RU"/>
        </w:rPr>
        <w:t xml:space="preserve">Факультативная </w:t>
      </w:r>
      <w:r w:rsidRPr="00BA03C8">
        <w:rPr>
          <w:b/>
          <w:bCs/>
          <w:lang w:val="ru-RU"/>
        </w:rPr>
        <w:t>проверка на соответствие</w:t>
      </w:r>
      <w:r w:rsidRPr="00BA03C8">
        <w:rPr>
          <w:lang w:val="ru-RU"/>
        </w:rPr>
        <w:t xml:space="preserve"> будет проводиться AT4 wireless − одной из лабораторий по тестированию компании Continua. В ходе этого мероприятия AT4 wireless проведет проверку "умных" агентов Bluetooth и отправителей сети медико-санитарной документации (HRN) на предмет соответствия Рекомендации МСЭ-Т H.810, используя комплект испытаний МСЭ-Т (Рекомендации </w:t>
      </w:r>
      <w:r w:rsidRPr="00BA03C8">
        <w:rPr>
          <w:lang w:val="ru-RU"/>
        </w:rPr>
        <w:lastRenderedPageBreak/>
        <w:t xml:space="preserve">МСЭ-Т H.821 и </w:t>
      </w:r>
      <w:r w:rsidR="006E20F5" w:rsidRPr="00BA03C8">
        <w:rPr>
          <w:lang w:val="ru-RU"/>
        </w:rPr>
        <w:t xml:space="preserve">МСЭ-Т </w:t>
      </w:r>
      <w:r w:rsidRPr="00BA03C8">
        <w:rPr>
          <w:lang w:val="ru-RU"/>
        </w:rPr>
        <w:t xml:space="preserve">H.847), а также тестовые инструменты компании Continua. Все прошедшие проверку продукты будут сертифицированы AT4 wireless согласно программе компании Continua по проверке и сертификации, а также будут перечислены во время проводимой Continua демонстрации продуктов и в базе данных МСЭ о соответствии продуктов. </w:t>
      </w:r>
    </w:p>
    <w:p w:rsidR="00112116" w:rsidRPr="00BA03C8" w:rsidRDefault="00112116" w:rsidP="00BA03C8">
      <w:pPr>
        <w:rPr>
          <w:lang w:val="ru-RU"/>
        </w:rPr>
      </w:pPr>
      <w:r w:rsidRPr="00BA03C8">
        <w:rPr>
          <w:lang w:val="ru-RU"/>
        </w:rPr>
        <w:t>3</w:t>
      </w:r>
      <w:r w:rsidRPr="00BA03C8">
        <w:rPr>
          <w:lang w:val="ru-RU"/>
        </w:rPr>
        <w:tab/>
        <w:t xml:space="preserve">Проводимая затем </w:t>
      </w:r>
      <w:r w:rsidRPr="00BA03C8">
        <w:rPr>
          <w:b/>
          <w:bCs/>
          <w:lang w:val="ru-RU"/>
        </w:rPr>
        <w:t xml:space="preserve">демонстрация </w:t>
      </w:r>
      <w:r w:rsidRPr="00BA03C8">
        <w:rPr>
          <w:lang w:val="ru-RU"/>
        </w:rPr>
        <w:t xml:space="preserve">открыта для публики, и здесь будут показаны новые продукты, освещаться передовые технологии электронного здравоохранения и ведущаяся в МСЭ-Т работа по стандартизации. В демонстрации также могут участвовать те организации, которые не участвуют в компоненте мероприятия, касающемся проверки. </w:t>
      </w:r>
    </w:p>
    <w:p w:rsidR="00112116" w:rsidRPr="00BA03C8" w:rsidRDefault="00112116" w:rsidP="00BA03C8">
      <w:pPr>
        <w:rPr>
          <w:lang w:val="ru-RU"/>
        </w:rPr>
      </w:pPr>
      <w:r w:rsidRPr="00BA03C8">
        <w:rPr>
          <w:lang w:val="ru-RU"/>
        </w:rPr>
        <w:t>4</w:t>
      </w:r>
      <w:r w:rsidRPr="00BA03C8">
        <w:rPr>
          <w:lang w:val="ru-RU"/>
        </w:rPr>
        <w:tab/>
        <w:t xml:space="preserve">Мероприятие открыто для членов как МСЭ, так и Continua, хотя для факультативной проверки на соответствие необходимо быть членом Continua. </w:t>
      </w:r>
      <w:r w:rsidRPr="00BA03C8">
        <w:rPr>
          <w:b/>
          <w:bCs/>
          <w:lang w:val="ru-RU"/>
        </w:rPr>
        <w:t>Плата</w:t>
      </w:r>
      <w:r w:rsidRPr="00BA03C8">
        <w:rPr>
          <w:lang w:val="ru-RU"/>
        </w:rPr>
        <w:t xml:space="preserve"> за участие в компоненте мероприятия, касающемся проверки на функциональную совместимость, составит 500 долл. США за одну платформу для каждой организации (от одной организации могут участвовать не более четырех (4) человек). Плата за участие в факультативной проверке на соответствие составит еще 500 долл. США за одну платформу для каждой организации. Демонстрация будет бесплатной как для экспонентов, так и для посетителей. Подробная информация о мероприятии представлена на</w:t>
      </w:r>
      <w:r w:rsidR="00C632A4">
        <w:rPr>
          <w:color w:val="000000"/>
          <w:lang w:val="ru-RU"/>
        </w:rPr>
        <w:t xml:space="preserve"> веб</w:t>
      </w:r>
      <w:r w:rsidR="00C632A4">
        <w:rPr>
          <w:color w:val="000000"/>
          <w:lang w:val="ru-RU"/>
        </w:rPr>
        <w:noBreakHyphen/>
      </w:r>
      <w:r w:rsidRPr="00BA03C8">
        <w:rPr>
          <w:color w:val="000000"/>
          <w:lang w:val="ru-RU"/>
        </w:rPr>
        <w:t xml:space="preserve">сайте МСЭ, посвященном функциональной совместимости, по адресу: </w:t>
      </w:r>
      <w:r w:rsidR="006D0F00">
        <w:fldChar w:fldCharType="begin"/>
      </w:r>
      <w:r w:rsidR="006D0F00" w:rsidRPr="006D0F00">
        <w:rPr>
          <w:lang w:val="ru-RU"/>
        </w:rPr>
        <w:instrText xml:space="preserve"> </w:instrText>
      </w:r>
      <w:r w:rsidR="006D0F00">
        <w:instrText>HYPERLINK</w:instrText>
      </w:r>
      <w:r w:rsidR="006D0F00" w:rsidRPr="006D0F00">
        <w:rPr>
          <w:lang w:val="ru-RU"/>
        </w:rPr>
        <w:instrText xml:space="preserve"> "</w:instrText>
      </w:r>
      <w:r w:rsidR="006D0F00">
        <w:instrText>http</w:instrText>
      </w:r>
      <w:r w:rsidR="006D0F00" w:rsidRPr="006D0F00">
        <w:rPr>
          <w:lang w:val="ru-RU"/>
        </w:rPr>
        <w:instrText>://</w:instrText>
      </w:r>
      <w:r w:rsidR="006D0F00">
        <w:instrText>www</w:instrText>
      </w:r>
      <w:r w:rsidR="006D0F00" w:rsidRPr="006D0F00">
        <w:rPr>
          <w:lang w:val="ru-RU"/>
        </w:rPr>
        <w:instrText>.</w:instrText>
      </w:r>
      <w:r w:rsidR="006D0F00">
        <w:instrText>itu</w:instrText>
      </w:r>
      <w:r w:rsidR="006D0F00" w:rsidRPr="006D0F00">
        <w:rPr>
          <w:lang w:val="ru-RU"/>
        </w:rPr>
        <w:instrText>.</w:instrText>
      </w:r>
      <w:r w:rsidR="006D0F00">
        <w:instrText>int</w:instrText>
      </w:r>
      <w:r w:rsidR="006D0F00" w:rsidRPr="006D0F00">
        <w:rPr>
          <w:lang w:val="ru-RU"/>
        </w:rPr>
        <w:instrText>/</w:instrText>
      </w:r>
      <w:r w:rsidR="006D0F00">
        <w:instrText>interop</w:instrText>
      </w:r>
      <w:r w:rsidR="006D0F00" w:rsidRPr="006D0F00">
        <w:rPr>
          <w:lang w:val="ru-RU"/>
        </w:rPr>
        <w:instrText xml:space="preserve">" </w:instrText>
      </w:r>
      <w:r w:rsidR="006D0F00">
        <w:fldChar w:fldCharType="separate"/>
      </w:r>
      <w:r w:rsidRPr="00BA03C8">
        <w:rPr>
          <w:rStyle w:val="Hyperlink"/>
          <w:rFonts w:cstheme="majorBidi"/>
          <w:szCs w:val="22"/>
          <w:lang w:val="ru-RU"/>
        </w:rPr>
        <w:t>www.itu.int/interop</w:t>
      </w:r>
      <w:r w:rsidR="006D0F00">
        <w:rPr>
          <w:rStyle w:val="Hyperlink"/>
          <w:rFonts w:cstheme="majorBidi"/>
          <w:szCs w:val="22"/>
          <w:lang w:val="ru-RU"/>
        </w:rPr>
        <w:fldChar w:fldCharType="end"/>
      </w:r>
      <w:r w:rsidRPr="00BA03C8">
        <w:rPr>
          <w:lang w:val="ru-RU"/>
        </w:rPr>
        <w:t>.</w:t>
      </w:r>
    </w:p>
    <w:p w:rsidR="00112116" w:rsidRPr="00BA03C8" w:rsidRDefault="00112116" w:rsidP="00425551">
      <w:pPr>
        <w:rPr>
          <w:lang w:val="ru-RU"/>
        </w:rPr>
      </w:pPr>
      <w:r w:rsidRPr="00BA03C8">
        <w:rPr>
          <w:lang w:val="ru-RU"/>
        </w:rPr>
        <w:t>5</w:t>
      </w:r>
      <w:r w:rsidRPr="00BA03C8">
        <w:rPr>
          <w:lang w:val="ru-RU"/>
        </w:rPr>
        <w:tab/>
      </w:r>
      <w:r w:rsidRPr="00BA03C8">
        <w:rPr>
          <w:b/>
          <w:bCs/>
          <w:lang w:val="ru-RU"/>
        </w:rPr>
        <w:t>Регистрация</w:t>
      </w:r>
      <w:r w:rsidRPr="00BA03C8">
        <w:rPr>
          <w:lang w:val="ru-RU"/>
        </w:rPr>
        <w:t xml:space="preserve">: с тем чтобы мы могли принять необходимые меры по организации этого мероприятия, был бы признателен, если бы вы зарегистрировались по адресу </w:t>
      </w:r>
      <w:r w:rsidR="006D0F00">
        <w:fldChar w:fldCharType="begin"/>
      </w:r>
      <w:r w:rsidR="006D0F00" w:rsidRPr="006D0F00">
        <w:rPr>
          <w:lang w:val="ru-RU"/>
        </w:rPr>
        <w:instrText xml:space="preserve"> </w:instrText>
      </w:r>
      <w:r w:rsidR="006D0F00">
        <w:instrText>HYPERLINK</w:instrText>
      </w:r>
      <w:r w:rsidR="006D0F00" w:rsidRPr="006D0F00">
        <w:rPr>
          <w:lang w:val="ru-RU"/>
        </w:rPr>
        <w:instrText xml:space="preserve"> "</w:instrText>
      </w:r>
      <w:r w:rsidR="006D0F00">
        <w:instrText>http</w:instrText>
      </w:r>
      <w:r w:rsidR="006D0F00" w:rsidRPr="006D0F00">
        <w:rPr>
          <w:lang w:val="ru-RU"/>
        </w:rPr>
        <w:instrText>://</w:instrText>
      </w:r>
      <w:r w:rsidR="006D0F00">
        <w:instrText>www</w:instrText>
      </w:r>
      <w:r w:rsidR="006D0F00" w:rsidRPr="006D0F00">
        <w:rPr>
          <w:lang w:val="ru-RU"/>
        </w:rPr>
        <w:instrText>.</w:instrText>
      </w:r>
      <w:r w:rsidR="006D0F00">
        <w:instrText>itu</w:instrText>
      </w:r>
      <w:r w:rsidR="006D0F00" w:rsidRPr="006D0F00">
        <w:rPr>
          <w:lang w:val="ru-RU"/>
        </w:rPr>
        <w:instrText>.</w:instrText>
      </w:r>
      <w:r w:rsidR="006D0F00">
        <w:instrText>int</w:instrText>
      </w:r>
      <w:r w:rsidR="006D0F00" w:rsidRPr="006D0F00">
        <w:rPr>
          <w:lang w:val="ru-RU"/>
        </w:rPr>
        <w:instrText>/</w:instrText>
      </w:r>
      <w:r w:rsidR="006D0F00">
        <w:instrText>interop</w:instrText>
      </w:r>
      <w:r w:rsidR="006D0F00" w:rsidRPr="006D0F00">
        <w:rPr>
          <w:lang w:val="ru-RU"/>
        </w:rPr>
        <w:instrText xml:space="preserve">" </w:instrText>
      </w:r>
      <w:r w:rsidR="006D0F00">
        <w:fldChar w:fldCharType="separate"/>
      </w:r>
      <w:r w:rsidRPr="00BA03C8">
        <w:rPr>
          <w:rStyle w:val="Hyperlink"/>
          <w:rFonts w:cstheme="majorBidi"/>
          <w:szCs w:val="22"/>
          <w:lang w:val="ru-RU"/>
        </w:rPr>
        <w:t>www.itu.int/interop</w:t>
      </w:r>
      <w:r w:rsidR="006D0F00">
        <w:rPr>
          <w:rStyle w:val="Hyperlink"/>
          <w:rFonts w:cstheme="majorBidi"/>
          <w:szCs w:val="22"/>
          <w:lang w:val="ru-RU"/>
        </w:rPr>
        <w:fldChar w:fldCharType="end"/>
      </w:r>
      <w:r w:rsidRPr="00BA03C8">
        <w:rPr>
          <w:lang w:val="ru-RU"/>
        </w:rPr>
        <w:t xml:space="preserve"> как можно скорее и </w:t>
      </w:r>
      <w:r w:rsidRPr="00BA03C8">
        <w:rPr>
          <w:b/>
          <w:bCs/>
          <w:lang w:val="ru-RU"/>
        </w:rPr>
        <w:t>не позднее 26 января 2015 года</w:t>
      </w:r>
      <w:r w:rsidRPr="00BA03C8">
        <w:rPr>
          <w:lang w:val="ru-RU"/>
        </w:rPr>
        <w:t xml:space="preserve"> для участия в проверке и/или демонстрации в качестве экспонентов, а посетителям демонстрации предлагаем связаться с нами по адресу </w:t>
      </w:r>
      <w:r w:rsidR="006D0F00">
        <w:fldChar w:fldCharType="begin"/>
      </w:r>
      <w:r w:rsidR="006D0F00" w:rsidRPr="006D0F00">
        <w:rPr>
          <w:lang w:val="ru-RU"/>
        </w:rPr>
        <w:instrText xml:space="preserve"> </w:instrText>
      </w:r>
      <w:r w:rsidR="006D0F00">
        <w:instrText>HYPERLINK</w:instrText>
      </w:r>
      <w:r w:rsidR="006D0F00" w:rsidRPr="006D0F00">
        <w:rPr>
          <w:lang w:val="ru-RU"/>
        </w:rPr>
        <w:instrText xml:space="preserve"> "</w:instrText>
      </w:r>
      <w:r w:rsidR="006D0F00">
        <w:instrText>mailto</w:instrText>
      </w:r>
      <w:r w:rsidR="006D0F00" w:rsidRPr="006D0F00">
        <w:rPr>
          <w:lang w:val="ru-RU"/>
        </w:rPr>
        <w:instrText>:</w:instrText>
      </w:r>
      <w:r w:rsidR="006D0F00">
        <w:instrText>interop</w:instrText>
      </w:r>
      <w:r w:rsidR="006D0F00" w:rsidRPr="006D0F00">
        <w:rPr>
          <w:lang w:val="ru-RU"/>
        </w:rPr>
        <w:instrText>@</w:instrText>
      </w:r>
      <w:r w:rsidR="006D0F00">
        <w:instrText>itu</w:instrText>
      </w:r>
      <w:r w:rsidR="006D0F00" w:rsidRPr="006D0F00">
        <w:rPr>
          <w:lang w:val="ru-RU"/>
        </w:rPr>
        <w:instrText>.</w:instrText>
      </w:r>
      <w:r w:rsidR="006D0F00">
        <w:instrText>int</w:instrText>
      </w:r>
      <w:r w:rsidR="006D0F00" w:rsidRPr="006D0F00">
        <w:rPr>
          <w:lang w:val="ru-RU"/>
        </w:rPr>
        <w:instrText xml:space="preserve">" </w:instrText>
      </w:r>
      <w:r w:rsidR="006D0F00">
        <w:fldChar w:fldCharType="separate"/>
      </w:r>
      <w:r w:rsidR="00425551" w:rsidRPr="00BA03C8">
        <w:rPr>
          <w:rStyle w:val="Hyperlink"/>
          <w:szCs w:val="22"/>
          <w:lang w:val="ru-RU"/>
        </w:rPr>
        <w:t>interop@itu.int</w:t>
      </w:r>
      <w:r w:rsidR="006D0F00">
        <w:rPr>
          <w:rStyle w:val="Hyperlink"/>
          <w:szCs w:val="22"/>
          <w:lang w:val="ru-RU"/>
        </w:rPr>
        <w:fldChar w:fldCharType="end"/>
      </w:r>
      <w:r w:rsidRPr="00BA03C8">
        <w:rPr>
          <w:lang w:val="ru-RU"/>
        </w:rPr>
        <w:t xml:space="preserve"> до 3 февраля 2015 года.</w:t>
      </w:r>
    </w:p>
    <w:p w:rsidR="00112116" w:rsidRPr="00BA03C8" w:rsidRDefault="00112116" w:rsidP="00BA03C8">
      <w:pPr>
        <w:rPr>
          <w:lang w:val="ru-RU"/>
        </w:rPr>
      </w:pPr>
      <w:r w:rsidRPr="00BA03C8">
        <w:rPr>
          <w:lang w:val="ru-RU"/>
        </w:rPr>
        <w:t>6</w:t>
      </w:r>
      <w:r w:rsidRPr="00BA03C8">
        <w:rPr>
          <w:lang w:val="ru-RU"/>
        </w:rPr>
        <w:tab/>
        <w:t xml:space="preserve">Для вашего удобства в </w:t>
      </w:r>
      <w:r w:rsidRPr="00BA03C8">
        <w:rPr>
          <w:b/>
          <w:bCs/>
          <w:lang w:val="ru-RU"/>
        </w:rPr>
        <w:t>Приложении 1</w:t>
      </w:r>
      <w:r w:rsidRPr="00BA03C8">
        <w:rPr>
          <w:lang w:val="ru-RU"/>
        </w:rPr>
        <w:t xml:space="preserve"> содержится форма для бронирования номеров в гостиницах (список гостиниц см.</w:t>
      </w:r>
      <w:r w:rsidR="00BA03C8" w:rsidRPr="00BA03C8">
        <w:rPr>
          <w:lang w:val="ru-RU"/>
        </w:rPr>
        <w:t xml:space="preserve"> по адресу:</w:t>
      </w:r>
      <w:r w:rsidRPr="00BA03C8">
        <w:rPr>
          <w:lang w:val="ru-RU"/>
        </w:rPr>
        <w:t xml:space="preserve"> </w:t>
      </w:r>
      <w:hyperlink r:id="rId11" w:history="1">
        <w:hyperlink r:id="rId12" w:history="1">
          <w:r w:rsidRPr="00BA03C8">
            <w:rPr>
              <w:rStyle w:val="Hyperlink"/>
              <w:rFonts w:cstheme="majorBidi"/>
              <w:szCs w:val="22"/>
              <w:lang w:val="ru-RU"/>
            </w:rPr>
            <w:t>http://www.itu.int/travel/</w:t>
          </w:r>
        </w:hyperlink>
      </w:hyperlink>
      <w:r w:rsidRPr="00BA03C8">
        <w:rPr>
          <w:lang w:val="ru-RU"/>
        </w:rPr>
        <w:t>).</w:t>
      </w:r>
    </w:p>
    <w:p w:rsidR="00112116" w:rsidRPr="00BA03C8" w:rsidRDefault="00112116" w:rsidP="00BA03C8">
      <w:pPr>
        <w:rPr>
          <w:lang w:val="ru-RU"/>
        </w:rPr>
      </w:pPr>
      <w:r w:rsidRPr="00BA03C8">
        <w:rPr>
          <w:lang w:val="ru-RU"/>
        </w:rPr>
        <w:t>7</w:t>
      </w:r>
      <w:r w:rsidRPr="00BA03C8">
        <w:rPr>
          <w:lang w:val="ru-RU"/>
        </w:rPr>
        <w:tab/>
        <w:t xml:space="preserve">Хотел бы напомнить вам о том, что для въезда в Швейцарию и пребывания там в течение любого срока гражданам некоторых стран необходимо получить визу. </w:t>
      </w:r>
      <w:r w:rsidRPr="00BA03C8">
        <w:rPr>
          <w:b/>
          <w:bCs/>
          <w:lang w:val="ru-RU"/>
        </w:rPr>
        <w:t>Визу следует запрашивать не менее чем за четыре (4) недели до даты начала мероприятия</w:t>
      </w:r>
      <w:r w:rsidRPr="00BA03C8">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 в ближайшем к стране выезда</w:t>
      </w:r>
      <w:r w:rsidR="00BA03C8" w:rsidRPr="00BA03C8">
        <w:rPr>
          <w:lang w:val="ru-RU"/>
        </w:rPr>
        <w:t>.</w:t>
      </w:r>
    </w:p>
    <w:p w:rsidR="000465CD" w:rsidRPr="00BA03C8" w:rsidRDefault="00112116" w:rsidP="00BA03C8">
      <w:pPr>
        <w:rPr>
          <w:lang w:val="ru-RU"/>
        </w:rPr>
      </w:pPr>
      <w:r w:rsidRPr="00BA03C8">
        <w:rPr>
          <w:lang w:val="ru-RU"/>
        </w:rPr>
        <w:t>В случае возникновения трудностей для</w:t>
      </w:r>
      <w:r w:rsidRPr="00BA03C8">
        <w:rPr>
          <w:b/>
          <w:bCs/>
          <w:lang w:val="ru-RU"/>
        </w:rPr>
        <w:t xml:space="preserve"> Государств – Членов МСЭ, Членов Сектора, Ассоциированных членов или Академических организаций</w:t>
      </w:r>
      <w:r w:rsidRPr="00BA03C8">
        <w:rPr>
          <w:lang w:val="ru-RU"/>
        </w:rPr>
        <w:t xml:space="preserve"> 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в течение указанного </w:t>
      </w:r>
      <w:r w:rsidRPr="00025283">
        <w:rPr>
          <w:b/>
          <w:bCs/>
          <w:lang w:val="ru-RU"/>
        </w:rPr>
        <w:t>четырехнедельного</w:t>
      </w:r>
      <w:r w:rsidRPr="00BA03C8">
        <w:rPr>
          <w:lang w:val="ru-RU"/>
        </w:rPr>
        <w:t xml:space="preserve"> периода. Любой такой запрос следует осуществлять посредством направления официального письма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мероприятия МСЭ, и направить в БСЭ с пометкой "</w:t>
      </w:r>
      <w:r w:rsidRPr="00BA03C8">
        <w:rPr>
          <w:b/>
          <w:bCs/>
          <w:lang w:val="ru-RU"/>
        </w:rPr>
        <w:t>запрос о содействии в получении визы</w:t>
      </w:r>
      <w:r w:rsidRPr="00BA03C8">
        <w:rPr>
          <w:lang w:val="ru-RU"/>
        </w:rPr>
        <w:t>" ("</w:t>
      </w:r>
      <w:r w:rsidRPr="00BA03C8">
        <w:rPr>
          <w:b/>
          <w:bCs/>
          <w:lang w:val="ru-RU"/>
        </w:rPr>
        <w:t>visa request</w:t>
      </w:r>
      <w:r w:rsidRPr="00BA03C8">
        <w:rPr>
          <w:lang w:val="ru-RU"/>
        </w:rPr>
        <w:t>") по факсу (+41 22 730 5853) либо по электронной почте (</w:t>
      </w:r>
      <w:r w:rsidR="006D0F00">
        <w:fldChar w:fldCharType="begin"/>
      </w:r>
      <w:r w:rsidR="006D0F00" w:rsidRPr="006D0F00">
        <w:rPr>
          <w:lang w:val="ru-RU"/>
        </w:rPr>
        <w:instrText xml:space="preserve"> </w:instrText>
      </w:r>
      <w:r w:rsidR="006D0F00">
        <w:instrText>HYPERLINK</w:instrText>
      </w:r>
      <w:r w:rsidR="006D0F00" w:rsidRPr="006D0F00">
        <w:rPr>
          <w:lang w:val="ru-RU"/>
        </w:rPr>
        <w:instrText xml:space="preserve"> "</w:instrText>
      </w:r>
      <w:r w:rsidR="006D0F00">
        <w:instrText>mailto</w:instrText>
      </w:r>
      <w:r w:rsidR="006D0F00" w:rsidRPr="006D0F00">
        <w:rPr>
          <w:lang w:val="ru-RU"/>
        </w:rPr>
        <w:instrText>:</w:instrText>
      </w:r>
      <w:r w:rsidR="006D0F00">
        <w:instrText>tsbreg</w:instrText>
      </w:r>
      <w:r w:rsidR="006D0F00" w:rsidRPr="006D0F00">
        <w:rPr>
          <w:lang w:val="ru-RU"/>
        </w:rPr>
        <w:instrText>@</w:instrText>
      </w:r>
      <w:r w:rsidR="006D0F00">
        <w:instrText>itu</w:instrText>
      </w:r>
      <w:r w:rsidR="006D0F00" w:rsidRPr="006D0F00">
        <w:rPr>
          <w:lang w:val="ru-RU"/>
        </w:rPr>
        <w:instrText>.</w:instrText>
      </w:r>
      <w:r w:rsidR="006D0F00">
        <w:instrText>int</w:instrText>
      </w:r>
      <w:r w:rsidR="006D0F00" w:rsidRPr="006D0F00">
        <w:rPr>
          <w:lang w:val="ru-RU"/>
        </w:rPr>
        <w:instrText xml:space="preserve">" </w:instrText>
      </w:r>
      <w:r w:rsidR="006D0F00">
        <w:fldChar w:fldCharType="separate"/>
      </w:r>
      <w:r w:rsidRPr="00BA03C8">
        <w:rPr>
          <w:rStyle w:val="Hyperlink"/>
          <w:rFonts w:cstheme="majorBidi"/>
          <w:szCs w:val="22"/>
          <w:lang w:val="ru-RU"/>
        </w:rPr>
        <w:t>tsbreg@itu.int</w:t>
      </w:r>
      <w:r w:rsidR="006D0F00">
        <w:rPr>
          <w:rStyle w:val="Hyperlink"/>
          <w:rFonts w:cstheme="majorBidi"/>
          <w:szCs w:val="22"/>
          <w:lang w:val="ru-RU"/>
        </w:rPr>
        <w:fldChar w:fldCharType="end"/>
      </w:r>
      <w:r w:rsidRPr="00BA03C8">
        <w:rPr>
          <w:lang w:val="ru-RU"/>
        </w:rPr>
        <w:t xml:space="preserve">). </w:t>
      </w:r>
      <w:r w:rsidRPr="00BA03C8">
        <w:rPr>
          <w:b/>
          <w:bCs/>
          <w:u w:val="single"/>
          <w:lang w:val="ru-RU"/>
        </w:rPr>
        <w:t>Также обращаем ваше внимание на то, что МСЭ может оказывать содействие только представителям Государств – Членов МСЭ, Членов Секторов МСЭ, Ассоциированных членов МСЭ или Академических организаций − Членов МСЭ</w:t>
      </w:r>
      <w:r w:rsidRPr="006E20F5">
        <w:rPr>
          <w:lang w:val="ru-RU"/>
        </w:rPr>
        <w:t>.</w:t>
      </w:r>
    </w:p>
    <w:p w:rsidR="00BC33B4" w:rsidRPr="00BA03C8" w:rsidRDefault="00BC33B4" w:rsidP="00352D81">
      <w:pPr>
        <w:pStyle w:val="Normalaftertitle"/>
        <w:spacing w:before="240"/>
        <w:rPr>
          <w:lang w:val="ru-RU"/>
        </w:rPr>
      </w:pPr>
      <w:bookmarkStart w:id="0" w:name="_GoBack"/>
      <w:bookmarkEnd w:id="0"/>
      <w:r w:rsidRPr="00BA03C8">
        <w:rPr>
          <w:lang w:val="ru-RU"/>
        </w:rPr>
        <w:t>С уважением,</w:t>
      </w:r>
    </w:p>
    <w:p w:rsidR="00BC33B4" w:rsidRPr="00BA03C8" w:rsidRDefault="00BC33B4" w:rsidP="009615FE">
      <w:pPr>
        <w:spacing w:before="840"/>
        <w:rPr>
          <w:lang w:val="ru-RU"/>
        </w:rPr>
      </w:pPr>
      <w:r w:rsidRPr="00BA03C8">
        <w:rPr>
          <w:lang w:val="ru-RU"/>
        </w:rPr>
        <w:t>Малколм Джонсон</w:t>
      </w:r>
      <w:r w:rsidRPr="00BA03C8">
        <w:rPr>
          <w:lang w:val="ru-RU"/>
        </w:rPr>
        <w:br/>
        <w:t>Директор Бюро</w:t>
      </w:r>
      <w:r w:rsidRPr="00BA03C8">
        <w:rPr>
          <w:lang w:val="ru-RU"/>
        </w:rPr>
        <w:br/>
        <w:t>стандартизации электросвязи</w:t>
      </w:r>
    </w:p>
    <w:p w:rsidR="000465CD" w:rsidRPr="006E20F5" w:rsidRDefault="00CB3C5F" w:rsidP="00BA03C8">
      <w:pPr>
        <w:spacing w:before="360"/>
      </w:pPr>
      <w:r w:rsidRPr="00BA03C8">
        <w:rPr>
          <w:b/>
          <w:bCs/>
          <w:lang w:val="ru-RU"/>
        </w:rPr>
        <w:t>Приложение</w:t>
      </w:r>
      <w:r w:rsidRPr="006E20F5">
        <w:t>: 1</w:t>
      </w:r>
      <w:r w:rsidR="000465CD" w:rsidRPr="006E20F5">
        <w:br w:type="page"/>
      </w:r>
    </w:p>
    <w:p w:rsidR="00025283" w:rsidRPr="006E20F5" w:rsidRDefault="00025283" w:rsidP="006E20F5">
      <w:pPr>
        <w:pStyle w:val="LetterStart"/>
        <w:tabs>
          <w:tab w:val="clear" w:pos="1361"/>
          <w:tab w:val="clear" w:pos="1758"/>
          <w:tab w:val="clear" w:pos="2155"/>
          <w:tab w:val="clear" w:pos="2552"/>
          <w:tab w:val="center" w:pos="4962"/>
        </w:tabs>
        <w:spacing w:before="120" w:line="240" w:lineRule="atLeast"/>
        <w:ind w:left="0"/>
        <w:jc w:val="center"/>
        <w:rPr>
          <w:sz w:val="24"/>
          <w:szCs w:val="24"/>
        </w:rPr>
      </w:pPr>
      <w:r w:rsidRPr="006E20F5">
        <w:rPr>
          <w:sz w:val="24"/>
          <w:szCs w:val="24"/>
          <w:lang w:val="en-US"/>
        </w:rPr>
        <w:lastRenderedPageBreak/>
        <w:t>ANNEX 1</w:t>
      </w:r>
      <w:r w:rsidRPr="006E20F5">
        <w:rPr>
          <w:sz w:val="24"/>
          <w:szCs w:val="24"/>
          <w:lang w:val="en-US"/>
        </w:rPr>
        <w:br/>
      </w:r>
      <w:r w:rsidRPr="006E20F5">
        <w:rPr>
          <w:sz w:val="24"/>
          <w:szCs w:val="24"/>
        </w:rPr>
        <w:t>(to TSB Circular 135)</w:t>
      </w:r>
    </w:p>
    <w:p w:rsidR="00025283" w:rsidRPr="006E20F5" w:rsidRDefault="00025283" w:rsidP="006E20F5">
      <w:pPr>
        <w:spacing w:before="0" w:line="240" w:lineRule="atLeast"/>
        <w:jc w:val="center"/>
        <w:rPr>
          <w:sz w:val="24"/>
        </w:rPr>
      </w:pPr>
    </w:p>
    <w:tbl>
      <w:tblPr>
        <w:tblW w:w="0" w:type="auto"/>
        <w:jc w:val="center"/>
        <w:tblLayout w:type="fixed"/>
        <w:tblLook w:val="0000" w:firstRow="0" w:lastRow="0" w:firstColumn="0" w:lastColumn="0" w:noHBand="0" w:noVBand="0"/>
      </w:tblPr>
      <w:tblGrid>
        <w:gridCol w:w="9781"/>
      </w:tblGrid>
      <w:tr w:rsidR="00025283" w:rsidRPr="006E20F5" w:rsidTr="00B328D7">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025283" w:rsidRPr="006E20F5" w:rsidRDefault="00025283" w:rsidP="006E20F5">
            <w:pPr>
              <w:tabs>
                <w:tab w:val="left" w:pos="1440"/>
                <w:tab w:val="left" w:pos="8647"/>
              </w:tabs>
              <w:spacing w:before="0" w:line="288" w:lineRule="atLeast"/>
              <w:jc w:val="center"/>
              <w:rPr>
                <w:sz w:val="24"/>
              </w:rPr>
            </w:pPr>
            <w:r w:rsidRPr="006E20F5">
              <w:rPr>
                <w:i/>
                <w:sz w:val="24"/>
              </w:rPr>
              <w:t xml:space="preserve">This confirmation form </w:t>
            </w:r>
            <w:r w:rsidRPr="006E20F5">
              <w:rPr>
                <w:bCs/>
                <w:i/>
                <w:sz w:val="24"/>
              </w:rPr>
              <w:t xml:space="preserve">should </w:t>
            </w:r>
            <w:r w:rsidRPr="006E20F5">
              <w:rPr>
                <w:b/>
                <w:i/>
                <w:sz w:val="24"/>
              </w:rPr>
              <w:t xml:space="preserve">be sent direct to the hotel </w:t>
            </w:r>
            <w:r w:rsidRPr="006E20F5">
              <w:rPr>
                <w:i/>
                <w:sz w:val="24"/>
              </w:rPr>
              <w:t>of your choice</w:t>
            </w:r>
          </w:p>
        </w:tc>
      </w:tr>
    </w:tbl>
    <w:p w:rsidR="00025283" w:rsidRPr="006E20F5" w:rsidRDefault="00025283" w:rsidP="006E20F5">
      <w:pPr>
        <w:tabs>
          <w:tab w:val="center" w:pos="9639"/>
        </w:tabs>
        <w:spacing w:line="240" w:lineRule="atLeast"/>
        <w:rPr>
          <w:sz w:val="24"/>
        </w:rPr>
      </w:pPr>
    </w:p>
    <w:tbl>
      <w:tblPr>
        <w:tblW w:w="9781" w:type="dxa"/>
        <w:jc w:val="center"/>
        <w:tblLayout w:type="fixed"/>
        <w:tblLook w:val="0000" w:firstRow="0" w:lastRow="0" w:firstColumn="0" w:lastColumn="0" w:noHBand="0" w:noVBand="0"/>
      </w:tblPr>
      <w:tblGrid>
        <w:gridCol w:w="1271"/>
        <w:gridCol w:w="7132"/>
        <w:gridCol w:w="1378"/>
      </w:tblGrid>
      <w:tr w:rsidR="00025283" w:rsidTr="00B328D7">
        <w:trPr>
          <w:cantSplit/>
          <w:jc w:val="center"/>
        </w:trPr>
        <w:tc>
          <w:tcPr>
            <w:tcW w:w="1291" w:type="dxa"/>
            <w:vAlign w:val="center"/>
          </w:tcPr>
          <w:p w:rsidR="00025283" w:rsidRDefault="00025283" w:rsidP="00B328D7">
            <w:pPr>
              <w:tabs>
                <w:tab w:val="center" w:pos="9639"/>
              </w:tabs>
              <w:spacing w:before="57" w:line="240" w:lineRule="atLeast"/>
              <w:ind w:right="-176"/>
              <w:jc w:val="center"/>
              <w:rPr>
                <w:sz w:val="28"/>
              </w:rPr>
            </w:pPr>
            <w:r>
              <w:rPr>
                <w:noProof/>
                <w:sz w:val="28"/>
                <w:lang w:eastAsia="zh-CN"/>
              </w:rPr>
              <w:drawing>
                <wp:inline distT="0" distB="0" distL="0" distR="0" wp14:anchorId="2853F36C" wp14:editId="37AE4E0D">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025283" w:rsidRPr="001F5A0A" w:rsidRDefault="00025283" w:rsidP="00B328D7">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025283" w:rsidRDefault="00025283" w:rsidP="00B328D7">
            <w:pPr>
              <w:tabs>
                <w:tab w:val="center" w:pos="9639"/>
              </w:tabs>
              <w:spacing w:before="57" w:line="240" w:lineRule="atLeast"/>
              <w:ind w:left="-142" w:right="-74"/>
              <w:jc w:val="center"/>
              <w:rPr>
                <w:sz w:val="28"/>
              </w:rPr>
            </w:pPr>
            <w:r>
              <w:rPr>
                <w:noProof/>
                <w:sz w:val="28"/>
                <w:lang w:eastAsia="zh-CN"/>
              </w:rPr>
              <w:drawing>
                <wp:inline distT="0" distB="0" distL="0" distR="0" wp14:anchorId="34F51E11" wp14:editId="3A8F47BF">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025283" w:rsidRPr="006E20F5" w:rsidRDefault="00025283" w:rsidP="006E20F5">
      <w:pPr>
        <w:tabs>
          <w:tab w:val="center" w:pos="4678"/>
        </w:tabs>
        <w:spacing w:before="240" w:after="240" w:line="240" w:lineRule="atLeast"/>
        <w:jc w:val="center"/>
        <w:rPr>
          <w:b/>
          <w:bCs/>
          <w:sz w:val="24"/>
        </w:rPr>
      </w:pPr>
      <w:r w:rsidRPr="006E20F5">
        <w:rPr>
          <w:b/>
          <w:bCs/>
          <w:sz w:val="24"/>
        </w:rPr>
        <w:t>TELECOMMUNICATION STANDARDIZATION SECTOR</w:t>
      </w:r>
    </w:p>
    <w:p w:rsidR="00025283" w:rsidRPr="006E20F5" w:rsidRDefault="00025283" w:rsidP="006E20F5">
      <w:pPr>
        <w:tabs>
          <w:tab w:val="center" w:pos="4678"/>
        </w:tabs>
        <w:spacing w:before="0" w:after="240" w:line="240" w:lineRule="atLeast"/>
        <w:jc w:val="center"/>
        <w:rPr>
          <w:rStyle w:val="LineNumber"/>
          <w:b/>
          <w:bCs/>
          <w:sz w:val="24"/>
        </w:rPr>
      </w:pPr>
      <w:r w:rsidRPr="006E20F5">
        <w:rPr>
          <w:b/>
          <w:bCs/>
          <w:sz w:val="24"/>
        </w:rPr>
        <w:t>E-health testing and showcasing event</w:t>
      </w:r>
      <w:r w:rsidRPr="006E20F5" w:rsidDel="00345AE9">
        <w:rPr>
          <w:rStyle w:val="LineNumber"/>
          <w:b/>
          <w:bCs/>
          <w:sz w:val="24"/>
        </w:rPr>
        <w:t xml:space="preserve"> </w:t>
      </w:r>
      <w:r w:rsidRPr="006E20F5">
        <w:rPr>
          <w:rStyle w:val="LineNumber"/>
          <w:b/>
          <w:bCs/>
          <w:sz w:val="24"/>
        </w:rPr>
        <w:t>from 10 to 12 February 2015 in Geneva</w:t>
      </w:r>
    </w:p>
    <w:p w:rsidR="00025283" w:rsidRPr="006E20F5" w:rsidRDefault="00025283" w:rsidP="006E20F5">
      <w:pPr>
        <w:jc w:val="both"/>
        <w:rPr>
          <w:rStyle w:val="LineNumber"/>
          <w:sz w:val="24"/>
        </w:rPr>
      </w:pPr>
      <w:r w:rsidRPr="006E20F5">
        <w:rPr>
          <w:rStyle w:val="LineNumber"/>
          <w:sz w:val="24"/>
        </w:rPr>
        <w:t>Confirmation of the reservation made on (date) ____________ with (hotel) ___________________</w:t>
      </w:r>
    </w:p>
    <w:p w:rsidR="00025283" w:rsidRPr="006E20F5" w:rsidRDefault="00025283" w:rsidP="00025283">
      <w:pPr>
        <w:spacing w:before="360" w:after="240"/>
        <w:jc w:val="both"/>
        <w:rPr>
          <w:rStyle w:val="LineNumber"/>
          <w:b/>
          <w:bCs/>
          <w:sz w:val="24"/>
          <w:u w:val="single"/>
        </w:rPr>
      </w:pPr>
      <w:proofErr w:type="gramStart"/>
      <w:r w:rsidRPr="006E20F5">
        <w:rPr>
          <w:rStyle w:val="LineNumber"/>
          <w:b/>
          <w:bCs/>
          <w:sz w:val="24"/>
          <w:u w:val="single"/>
        </w:rPr>
        <w:t>at</w:t>
      </w:r>
      <w:proofErr w:type="gramEnd"/>
      <w:r w:rsidRPr="006E20F5">
        <w:rPr>
          <w:rStyle w:val="LineNumber"/>
          <w:b/>
          <w:bCs/>
          <w:sz w:val="24"/>
          <w:u w:val="single"/>
        </w:rPr>
        <w:t xml:space="preserve"> the ITU preferential tariff</w:t>
      </w:r>
    </w:p>
    <w:p w:rsidR="00025283" w:rsidRPr="006E20F5" w:rsidRDefault="00025283" w:rsidP="00025283">
      <w:pPr>
        <w:spacing w:before="360" w:after="240"/>
        <w:jc w:val="both"/>
        <w:rPr>
          <w:rStyle w:val="LineNumber"/>
          <w:sz w:val="24"/>
        </w:rPr>
      </w:pPr>
      <w:r w:rsidRPr="006E20F5">
        <w:rPr>
          <w:rStyle w:val="LineNumber"/>
          <w:sz w:val="24"/>
        </w:rPr>
        <w:t>____________ single/double room(s)</w:t>
      </w:r>
    </w:p>
    <w:p w:rsidR="00025283" w:rsidRPr="006E20F5" w:rsidRDefault="00025283" w:rsidP="00025283">
      <w:pPr>
        <w:jc w:val="both"/>
        <w:rPr>
          <w:rStyle w:val="LineNumber"/>
          <w:sz w:val="24"/>
        </w:rPr>
      </w:pPr>
      <w:proofErr w:type="gramStart"/>
      <w:r w:rsidRPr="006E20F5">
        <w:rPr>
          <w:rStyle w:val="LineNumber"/>
          <w:sz w:val="24"/>
        </w:rPr>
        <w:t>arriving</w:t>
      </w:r>
      <w:proofErr w:type="gramEnd"/>
      <w:r w:rsidRPr="006E20F5">
        <w:rPr>
          <w:rStyle w:val="LineNumber"/>
          <w:sz w:val="24"/>
        </w:rPr>
        <w:t xml:space="preserve"> on (date) ____________ at (time) ____________ departing on (date) ____________</w:t>
      </w:r>
    </w:p>
    <w:p w:rsidR="00025283" w:rsidRPr="006E20F5" w:rsidRDefault="00025283" w:rsidP="00025283">
      <w:pPr>
        <w:spacing w:before="360"/>
        <w:jc w:val="both"/>
        <w:rPr>
          <w:rStyle w:val="LineNumber"/>
          <w:rFonts w:eastAsia="SimSun"/>
          <w:sz w:val="24"/>
        </w:rPr>
      </w:pPr>
      <w:r w:rsidRPr="006E20F5">
        <w:rPr>
          <w:rStyle w:val="LineNumber"/>
          <w:rFonts w:eastAsia="SimSun"/>
          <w:b/>
          <w:bCs/>
          <w:sz w:val="24"/>
        </w:rPr>
        <w:t>GENEVA TRANSPORT CARD</w:t>
      </w:r>
      <w:r w:rsidRPr="006E20F5">
        <w:rPr>
          <w:rStyle w:val="LineNumber"/>
          <w:rFonts w:eastAsia="SimSun"/>
          <w:sz w:val="24"/>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6E20F5">
        <w:rPr>
          <w:rStyle w:val="LineNumber"/>
          <w:rFonts w:eastAsia="SimSun"/>
          <w:sz w:val="24"/>
        </w:rPr>
        <w:t>Versoix</w:t>
      </w:r>
      <w:proofErr w:type="spellEnd"/>
      <w:r w:rsidRPr="006E20F5">
        <w:rPr>
          <w:rStyle w:val="LineNumber"/>
          <w:rFonts w:eastAsia="SimSun"/>
          <w:sz w:val="24"/>
        </w:rPr>
        <w:t xml:space="preserve"> and the airport. </w:t>
      </w:r>
    </w:p>
    <w:p w:rsidR="00025283" w:rsidRPr="006E20F5" w:rsidRDefault="00025283" w:rsidP="00025283">
      <w:pPr>
        <w:spacing w:before="360"/>
        <w:jc w:val="both"/>
        <w:rPr>
          <w:rStyle w:val="LineNumber"/>
          <w:sz w:val="24"/>
        </w:rPr>
      </w:pPr>
      <w:r w:rsidRPr="006E20F5">
        <w:rPr>
          <w:rStyle w:val="LineNumber"/>
          <w:sz w:val="24"/>
        </w:rPr>
        <w:t>Family name:</w:t>
      </w:r>
      <w:r w:rsidRPr="006E20F5">
        <w:rPr>
          <w:rStyle w:val="LineNumber"/>
          <w:sz w:val="24"/>
        </w:rPr>
        <w:tab/>
        <w:t>_________________________________</w:t>
      </w:r>
    </w:p>
    <w:p w:rsidR="00025283" w:rsidRPr="006E20F5" w:rsidRDefault="00025283" w:rsidP="00025283">
      <w:pPr>
        <w:spacing w:after="240"/>
        <w:jc w:val="both"/>
        <w:rPr>
          <w:rStyle w:val="LineNumber"/>
          <w:sz w:val="24"/>
        </w:rPr>
      </w:pPr>
      <w:r w:rsidRPr="006E20F5">
        <w:rPr>
          <w:rStyle w:val="LineNumber"/>
          <w:sz w:val="24"/>
        </w:rPr>
        <w:t>First name:</w:t>
      </w:r>
      <w:r w:rsidRPr="006E20F5">
        <w:rPr>
          <w:rStyle w:val="LineNumber"/>
          <w:sz w:val="24"/>
        </w:rPr>
        <w:tab/>
      </w:r>
      <w:r w:rsidRPr="006E20F5">
        <w:rPr>
          <w:rStyle w:val="LineNumber"/>
          <w:sz w:val="24"/>
        </w:rPr>
        <w:tab/>
        <w:t>_________________________________</w:t>
      </w:r>
    </w:p>
    <w:p w:rsidR="00025283" w:rsidRPr="006E20F5" w:rsidRDefault="00025283" w:rsidP="00025283">
      <w:pPr>
        <w:jc w:val="both"/>
        <w:rPr>
          <w:rStyle w:val="LineNumber"/>
          <w:sz w:val="24"/>
        </w:rPr>
      </w:pPr>
      <w:r w:rsidRPr="006E20F5">
        <w:rPr>
          <w:rStyle w:val="LineNumber"/>
          <w:sz w:val="24"/>
        </w:rPr>
        <w:t>Address:</w:t>
      </w:r>
      <w:r w:rsidRPr="006E20F5">
        <w:rPr>
          <w:rStyle w:val="LineNumber"/>
          <w:sz w:val="24"/>
        </w:rPr>
        <w:tab/>
        <w:t>________________________________</w:t>
      </w:r>
      <w:r w:rsidRPr="006E20F5">
        <w:rPr>
          <w:rStyle w:val="LineNumber"/>
          <w:sz w:val="24"/>
        </w:rPr>
        <w:tab/>
        <w:t>Tel:</w:t>
      </w:r>
      <w:r w:rsidRPr="006E20F5">
        <w:rPr>
          <w:rStyle w:val="LineNumber"/>
          <w:sz w:val="24"/>
        </w:rPr>
        <w:tab/>
        <w:t>________________________________</w:t>
      </w:r>
    </w:p>
    <w:p w:rsidR="00025283" w:rsidRPr="006E20F5" w:rsidRDefault="00025283" w:rsidP="00025283">
      <w:pPr>
        <w:jc w:val="both"/>
        <w:rPr>
          <w:rStyle w:val="LineNumber"/>
          <w:sz w:val="24"/>
        </w:rPr>
      </w:pPr>
      <w:r w:rsidRPr="006E20F5">
        <w:rPr>
          <w:rStyle w:val="LineNumber"/>
          <w:sz w:val="24"/>
        </w:rPr>
        <w:t>_________________________________________</w:t>
      </w:r>
      <w:r w:rsidRPr="006E20F5">
        <w:rPr>
          <w:rStyle w:val="LineNumber"/>
          <w:sz w:val="24"/>
        </w:rPr>
        <w:tab/>
        <w:t>Fax:</w:t>
      </w:r>
      <w:r w:rsidRPr="006E20F5">
        <w:rPr>
          <w:rStyle w:val="LineNumber"/>
          <w:sz w:val="24"/>
        </w:rPr>
        <w:tab/>
        <w:t>________________________________</w:t>
      </w:r>
    </w:p>
    <w:p w:rsidR="00025283" w:rsidRPr="006E20F5" w:rsidRDefault="00025283" w:rsidP="00025283">
      <w:pPr>
        <w:jc w:val="both"/>
        <w:rPr>
          <w:rStyle w:val="LineNumber"/>
          <w:sz w:val="24"/>
        </w:rPr>
      </w:pPr>
      <w:r w:rsidRPr="006E20F5">
        <w:rPr>
          <w:rStyle w:val="LineNumber"/>
          <w:sz w:val="24"/>
        </w:rPr>
        <w:t>_________________________________________</w:t>
      </w:r>
      <w:r w:rsidRPr="006E20F5">
        <w:rPr>
          <w:rStyle w:val="LineNumber"/>
          <w:sz w:val="24"/>
        </w:rPr>
        <w:tab/>
      </w:r>
      <w:proofErr w:type="spellStart"/>
      <w:r w:rsidRPr="006E20F5">
        <w:rPr>
          <w:rStyle w:val="LineNumber"/>
          <w:sz w:val="24"/>
        </w:rPr>
        <w:t>E_mail</w:t>
      </w:r>
      <w:proofErr w:type="spellEnd"/>
      <w:r w:rsidRPr="006E20F5">
        <w:rPr>
          <w:rStyle w:val="LineNumber"/>
          <w:sz w:val="24"/>
        </w:rPr>
        <w:t>:</w:t>
      </w:r>
      <w:r w:rsidRPr="006E20F5">
        <w:rPr>
          <w:rStyle w:val="LineNumber"/>
          <w:sz w:val="24"/>
        </w:rPr>
        <w:tab/>
        <w:t>________________________________</w:t>
      </w:r>
    </w:p>
    <w:p w:rsidR="00025283" w:rsidRPr="006E20F5" w:rsidRDefault="00025283" w:rsidP="00025283">
      <w:pPr>
        <w:spacing w:before="480" w:after="240"/>
        <w:jc w:val="both"/>
        <w:rPr>
          <w:rStyle w:val="LineNumber"/>
          <w:sz w:val="24"/>
        </w:rPr>
      </w:pPr>
      <w:r w:rsidRPr="006E20F5">
        <w:rPr>
          <w:rStyle w:val="LineNumber"/>
          <w:sz w:val="24"/>
        </w:rPr>
        <w:t>Credit card to guarantee this reservation: AX/VISA/DINERS/</w:t>
      </w:r>
      <w:proofErr w:type="gramStart"/>
      <w:r w:rsidRPr="006E20F5">
        <w:rPr>
          <w:rStyle w:val="LineNumber"/>
          <w:sz w:val="24"/>
        </w:rPr>
        <w:t>EC  (</w:t>
      </w:r>
      <w:proofErr w:type="gramEnd"/>
      <w:r w:rsidRPr="006E20F5">
        <w:rPr>
          <w:rStyle w:val="LineNumber"/>
          <w:sz w:val="24"/>
        </w:rPr>
        <w:t>or other) _____________________</w:t>
      </w:r>
    </w:p>
    <w:p w:rsidR="00025283" w:rsidRPr="006E20F5" w:rsidRDefault="00025283" w:rsidP="006D0F00">
      <w:pPr>
        <w:spacing w:after="120"/>
        <w:jc w:val="both"/>
        <w:rPr>
          <w:rStyle w:val="LineNumber"/>
          <w:sz w:val="24"/>
        </w:rPr>
      </w:pPr>
      <w:r w:rsidRPr="006E20F5">
        <w:rPr>
          <w:rStyle w:val="LineNumber"/>
          <w:sz w:val="24"/>
        </w:rPr>
        <w:t>No.: _____________________________________ valid until:______________________________</w:t>
      </w:r>
    </w:p>
    <w:p w:rsidR="000465CD" w:rsidRDefault="00025283" w:rsidP="00025283">
      <w:pPr>
        <w:spacing w:before="360"/>
        <w:jc w:val="both"/>
        <w:rPr>
          <w:rStyle w:val="LineNumber"/>
          <w:sz w:val="24"/>
        </w:rPr>
      </w:pPr>
      <w:r w:rsidRPr="006E20F5">
        <w:rPr>
          <w:rStyle w:val="LineNumber"/>
          <w:sz w:val="24"/>
        </w:rPr>
        <w:t>Date: ____________________________________</w:t>
      </w:r>
      <w:r w:rsidRPr="006E20F5">
        <w:rPr>
          <w:rStyle w:val="LineNumber"/>
          <w:sz w:val="24"/>
        </w:rPr>
        <w:tab/>
        <w:t>Signature:</w:t>
      </w:r>
    </w:p>
    <w:p w:rsidR="006E20F5" w:rsidRDefault="006E20F5" w:rsidP="006E20F5">
      <w:pPr>
        <w:spacing w:before="720"/>
        <w:jc w:val="center"/>
      </w:pPr>
      <w:r>
        <w:t>______________</w:t>
      </w:r>
    </w:p>
    <w:sectPr w:rsidR="006E20F5" w:rsidSect="00A343B2">
      <w:headerReference w:type="default" r:id="rId14"/>
      <w:footerReference w:type="default" r:id="rId15"/>
      <w:footerReference w:type="first" r:id="rId16"/>
      <w:type w:val="oddPage"/>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392" w:rsidRDefault="00C96392">
      <w:r>
        <w:separator/>
      </w:r>
    </w:p>
  </w:endnote>
  <w:endnote w:type="continuationSeparator" w:id="0">
    <w:p w:rsidR="00C96392" w:rsidRDefault="00C9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392" w:rsidRPr="002755DF" w:rsidRDefault="00425551" w:rsidP="00BA03C8">
    <w:pPr>
      <w:pStyle w:val="Footer"/>
      <w:tabs>
        <w:tab w:val="clear" w:pos="4703"/>
        <w:tab w:val="center" w:pos="5954"/>
      </w:tabs>
      <w:rPr>
        <w:lang w:val="fr-CH"/>
      </w:rPr>
    </w:pPr>
    <w:r w:rsidRPr="00425551">
      <w:rPr>
        <w:lang w:val="fr-CH"/>
      </w:rPr>
      <w:t>ITU-T\BUREAU\CIRC\100\135R.DOC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392" w:rsidRPr="002755DF" w:rsidRDefault="002755DF" w:rsidP="002755DF">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w:t>
    </w:r>
    <w:r>
      <w:rPr>
        <w:sz w:val="18"/>
        <w:szCs w:val="18"/>
        <w:lang w:val="fr-CH"/>
      </w:rPr>
      <w:t>CH</w:t>
    </w:r>
    <w:r>
      <w:rPr>
        <w:sz w:val="18"/>
        <w:szCs w:val="18"/>
        <w:lang w:val="fr-CH"/>
      </w:rPr>
      <w:noBreakHyphen/>
      <w:t>1211 Geneva 20 • Switzerland</w:t>
    </w:r>
    <w:r w:rsidRPr="00026CF8">
      <w:rPr>
        <w:sz w:val="18"/>
        <w:szCs w:val="18"/>
        <w:lang w:val="fr-CH"/>
      </w:rPr>
      <w:br/>
    </w:r>
    <w:r>
      <w:rPr>
        <w:sz w:val="18"/>
        <w:szCs w:val="18"/>
        <w:lang w:val="ru-RU"/>
      </w:rPr>
      <w:t>Тел</w:t>
    </w:r>
    <w:r w:rsidRPr="00026CF8">
      <w:rPr>
        <w:sz w:val="18"/>
        <w:szCs w:val="18"/>
        <w:lang w:val="fr-CH"/>
      </w:rPr>
      <w:t xml:space="preserve">: +41 22 730 5111 • </w:t>
    </w:r>
    <w:r>
      <w:rPr>
        <w:sz w:val="18"/>
        <w:szCs w:val="18"/>
        <w:lang w:val="ru-RU"/>
      </w:rPr>
      <w:t>Факс</w:t>
    </w:r>
    <w:r w:rsidRPr="00026CF8">
      <w:rPr>
        <w:sz w:val="18"/>
        <w:szCs w:val="18"/>
        <w:lang w:val="fr-CH"/>
      </w:rPr>
      <w:t xml:space="preserve">: +41 22 733 7256 • </w:t>
    </w:r>
    <w:r w:rsidRPr="00BD5A4C">
      <w:rPr>
        <w:rFonts w:asciiTheme="minorHAnsi" w:hAnsiTheme="minorHAnsi" w:cs="Calibri"/>
        <w:sz w:val="18"/>
        <w:szCs w:val="18"/>
        <w:lang w:val="ru-RU"/>
      </w:rPr>
      <w:t>Эл</w:t>
    </w:r>
    <w:r w:rsidRPr="00BD5A4C">
      <w:rPr>
        <w:rFonts w:asciiTheme="minorHAnsi" w:hAnsiTheme="minorHAnsi" w:cs="Calibri"/>
        <w:sz w:val="18"/>
        <w:szCs w:val="18"/>
      </w:rPr>
      <w:t xml:space="preserve">. </w:t>
    </w:r>
    <w:r w:rsidRPr="00BD5A4C">
      <w:rPr>
        <w:rFonts w:asciiTheme="minorHAnsi" w:hAnsiTheme="minorHAnsi" w:cs="Calibri"/>
        <w:sz w:val="18"/>
        <w:szCs w:val="18"/>
        <w:lang w:val="ru-RU"/>
      </w:rPr>
      <w:t>почта</w:t>
    </w:r>
    <w:r w:rsidRPr="00026CF8">
      <w:rPr>
        <w:sz w:val="18"/>
        <w:szCs w:val="18"/>
        <w:lang w:val="fr-CH"/>
      </w:rPr>
      <w:t xml:space="preserve">: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392" w:rsidRDefault="00C96392">
      <w:r>
        <w:separator/>
      </w:r>
    </w:p>
  </w:footnote>
  <w:footnote w:type="continuationSeparator" w:id="0">
    <w:p w:rsidR="00C96392" w:rsidRDefault="00C96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392" w:rsidRDefault="00C96392">
    <w:pPr>
      <w:pStyle w:val="Header"/>
    </w:pPr>
    <w:r>
      <w:t xml:space="preserve">- </w:t>
    </w:r>
    <w:sdt>
      <w:sdtPr>
        <w:id w:val="-6630792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2660E">
          <w:rPr>
            <w:noProof/>
          </w:rPr>
          <w:t>3</w:t>
        </w:r>
        <w:r>
          <w:rPr>
            <w:noProof/>
          </w:rPr>
          <w:fldChar w:fldCharType="end"/>
        </w:r>
        <w:r>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FF021C0"/>
    <w:lvl w:ilvl="0">
      <w:start w:val="1"/>
      <w:numFmt w:val="decimal"/>
      <w:lvlText w:val="%1."/>
      <w:lvlJc w:val="left"/>
      <w:pPr>
        <w:tabs>
          <w:tab w:val="num" w:pos="1492"/>
        </w:tabs>
        <w:ind w:left="1492" w:hanging="360"/>
      </w:pPr>
    </w:lvl>
  </w:abstractNum>
  <w:abstractNum w:abstractNumId="1">
    <w:nsid w:val="FFFFFF7D"/>
    <w:multiLevelType w:val="singleLevel"/>
    <w:tmpl w:val="9BC8D6F6"/>
    <w:lvl w:ilvl="0">
      <w:start w:val="1"/>
      <w:numFmt w:val="decimal"/>
      <w:lvlText w:val="%1."/>
      <w:lvlJc w:val="left"/>
      <w:pPr>
        <w:tabs>
          <w:tab w:val="num" w:pos="1209"/>
        </w:tabs>
        <w:ind w:left="1209" w:hanging="360"/>
      </w:pPr>
    </w:lvl>
  </w:abstractNum>
  <w:abstractNum w:abstractNumId="2">
    <w:nsid w:val="FFFFFF7E"/>
    <w:multiLevelType w:val="singleLevel"/>
    <w:tmpl w:val="6688D8CC"/>
    <w:lvl w:ilvl="0">
      <w:start w:val="1"/>
      <w:numFmt w:val="decimal"/>
      <w:lvlText w:val="%1."/>
      <w:lvlJc w:val="left"/>
      <w:pPr>
        <w:tabs>
          <w:tab w:val="num" w:pos="926"/>
        </w:tabs>
        <w:ind w:left="926" w:hanging="360"/>
      </w:pPr>
    </w:lvl>
  </w:abstractNum>
  <w:abstractNum w:abstractNumId="3">
    <w:nsid w:val="FFFFFF7F"/>
    <w:multiLevelType w:val="singleLevel"/>
    <w:tmpl w:val="F3EE9C52"/>
    <w:lvl w:ilvl="0">
      <w:start w:val="1"/>
      <w:numFmt w:val="decimal"/>
      <w:lvlText w:val="%1."/>
      <w:lvlJc w:val="left"/>
      <w:pPr>
        <w:tabs>
          <w:tab w:val="num" w:pos="643"/>
        </w:tabs>
        <w:ind w:left="643" w:hanging="360"/>
      </w:pPr>
    </w:lvl>
  </w:abstractNum>
  <w:abstractNum w:abstractNumId="4">
    <w:nsid w:val="FFFFFF80"/>
    <w:multiLevelType w:val="singleLevel"/>
    <w:tmpl w:val="42B6B9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0EB4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F616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926A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1289C6"/>
    <w:lvl w:ilvl="0">
      <w:start w:val="1"/>
      <w:numFmt w:val="decimal"/>
      <w:lvlText w:val="%1."/>
      <w:lvlJc w:val="left"/>
      <w:pPr>
        <w:tabs>
          <w:tab w:val="num" w:pos="360"/>
        </w:tabs>
        <w:ind w:left="360" w:hanging="360"/>
      </w:pPr>
    </w:lvl>
  </w:abstractNum>
  <w:abstractNum w:abstractNumId="9">
    <w:nsid w:val="FFFFFF89"/>
    <w:multiLevelType w:val="singleLevel"/>
    <w:tmpl w:val="861EC9C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26"/>
  </w:num>
  <w:num w:numId="4">
    <w:abstractNumId w:val="12"/>
  </w:num>
  <w:num w:numId="5">
    <w:abstractNumId w:val="21"/>
  </w:num>
  <w:num w:numId="6">
    <w:abstractNumId w:val="11"/>
  </w:num>
  <w:num w:numId="7">
    <w:abstractNumId w:val="23"/>
  </w:num>
  <w:num w:numId="8">
    <w:abstractNumId w:val="18"/>
  </w:num>
  <w:num w:numId="9">
    <w:abstractNumId w:val="19"/>
  </w:num>
  <w:num w:numId="10">
    <w:abstractNumId w:val="14"/>
  </w:num>
  <w:num w:numId="11">
    <w:abstractNumId w:val="2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fr-CH"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24565"/>
    <w:rsid w:val="00025283"/>
    <w:rsid w:val="0003235D"/>
    <w:rsid w:val="000465CD"/>
    <w:rsid w:val="00073ED4"/>
    <w:rsid w:val="00082B7B"/>
    <w:rsid w:val="00085202"/>
    <w:rsid w:val="0008659B"/>
    <w:rsid w:val="00095EA0"/>
    <w:rsid w:val="000C2147"/>
    <w:rsid w:val="000C7D98"/>
    <w:rsid w:val="000D4B6B"/>
    <w:rsid w:val="00103310"/>
    <w:rsid w:val="0011167E"/>
    <w:rsid w:val="00112116"/>
    <w:rsid w:val="00115B49"/>
    <w:rsid w:val="0012014A"/>
    <w:rsid w:val="00122BD5"/>
    <w:rsid w:val="001526C5"/>
    <w:rsid w:val="00152875"/>
    <w:rsid w:val="001629DC"/>
    <w:rsid w:val="0017673F"/>
    <w:rsid w:val="001B4A74"/>
    <w:rsid w:val="001D261C"/>
    <w:rsid w:val="001D553D"/>
    <w:rsid w:val="001E5BC6"/>
    <w:rsid w:val="002036AA"/>
    <w:rsid w:val="00207341"/>
    <w:rsid w:val="002102F6"/>
    <w:rsid w:val="00212A44"/>
    <w:rsid w:val="00214A30"/>
    <w:rsid w:val="0025701E"/>
    <w:rsid w:val="0026232A"/>
    <w:rsid w:val="002755DF"/>
    <w:rsid w:val="0029565D"/>
    <w:rsid w:val="002B37F9"/>
    <w:rsid w:val="002C2EF1"/>
    <w:rsid w:val="002D26FD"/>
    <w:rsid w:val="002E4C41"/>
    <w:rsid w:val="003036D9"/>
    <w:rsid w:val="0031057A"/>
    <w:rsid w:val="0033434F"/>
    <w:rsid w:val="00340304"/>
    <w:rsid w:val="00345CCF"/>
    <w:rsid w:val="00352D81"/>
    <w:rsid w:val="003D2F6F"/>
    <w:rsid w:val="003F5B77"/>
    <w:rsid w:val="00401207"/>
    <w:rsid w:val="004167E6"/>
    <w:rsid w:val="0041688E"/>
    <w:rsid w:val="00425551"/>
    <w:rsid w:val="00431861"/>
    <w:rsid w:val="00435DCC"/>
    <w:rsid w:val="00444B73"/>
    <w:rsid w:val="00455EFA"/>
    <w:rsid w:val="00475A27"/>
    <w:rsid w:val="00495F13"/>
    <w:rsid w:val="004A0D07"/>
    <w:rsid w:val="004C5268"/>
    <w:rsid w:val="004E01AE"/>
    <w:rsid w:val="004F48F0"/>
    <w:rsid w:val="00514426"/>
    <w:rsid w:val="00570E17"/>
    <w:rsid w:val="005C66E8"/>
    <w:rsid w:val="005D044D"/>
    <w:rsid w:val="005E616E"/>
    <w:rsid w:val="006139B2"/>
    <w:rsid w:val="00615C6F"/>
    <w:rsid w:val="00625BAF"/>
    <w:rsid w:val="006318C5"/>
    <w:rsid w:val="00636D90"/>
    <w:rsid w:val="006738AA"/>
    <w:rsid w:val="006777D5"/>
    <w:rsid w:val="006D0F00"/>
    <w:rsid w:val="006D7FBC"/>
    <w:rsid w:val="006E20F5"/>
    <w:rsid w:val="006F1984"/>
    <w:rsid w:val="006F5F55"/>
    <w:rsid w:val="00701561"/>
    <w:rsid w:val="0071361F"/>
    <w:rsid w:val="00714619"/>
    <w:rsid w:val="00717255"/>
    <w:rsid w:val="0072182E"/>
    <w:rsid w:val="00741C5B"/>
    <w:rsid w:val="0074299E"/>
    <w:rsid w:val="00753F18"/>
    <w:rsid w:val="00763FF3"/>
    <w:rsid w:val="007838EF"/>
    <w:rsid w:val="0079397B"/>
    <w:rsid w:val="007D0BFA"/>
    <w:rsid w:val="0080221B"/>
    <w:rsid w:val="00826CB4"/>
    <w:rsid w:val="00831FDC"/>
    <w:rsid w:val="00832A5A"/>
    <w:rsid w:val="00842889"/>
    <w:rsid w:val="008456D1"/>
    <w:rsid w:val="00860A13"/>
    <w:rsid w:val="008614DE"/>
    <w:rsid w:val="00871131"/>
    <w:rsid w:val="008728FD"/>
    <w:rsid w:val="008C389C"/>
    <w:rsid w:val="008C5C0E"/>
    <w:rsid w:val="008C7044"/>
    <w:rsid w:val="008E0925"/>
    <w:rsid w:val="0092660E"/>
    <w:rsid w:val="009469D2"/>
    <w:rsid w:val="009615FE"/>
    <w:rsid w:val="009979B5"/>
    <w:rsid w:val="009A2C9B"/>
    <w:rsid w:val="009B6144"/>
    <w:rsid w:val="009F7983"/>
    <w:rsid w:val="00A116C3"/>
    <w:rsid w:val="00A21DD2"/>
    <w:rsid w:val="00A23312"/>
    <w:rsid w:val="00A3021F"/>
    <w:rsid w:val="00A33930"/>
    <w:rsid w:val="00A343B2"/>
    <w:rsid w:val="00A563C7"/>
    <w:rsid w:val="00A57977"/>
    <w:rsid w:val="00A57AE4"/>
    <w:rsid w:val="00A654CA"/>
    <w:rsid w:val="00A66C90"/>
    <w:rsid w:val="00A8170F"/>
    <w:rsid w:val="00A82B4B"/>
    <w:rsid w:val="00A91EB5"/>
    <w:rsid w:val="00AD3D11"/>
    <w:rsid w:val="00AF2B53"/>
    <w:rsid w:val="00B34D84"/>
    <w:rsid w:val="00B52E06"/>
    <w:rsid w:val="00B8707E"/>
    <w:rsid w:val="00BA03C8"/>
    <w:rsid w:val="00BC33B4"/>
    <w:rsid w:val="00C044D2"/>
    <w:rsid w:val="00C07C06"/>
    <w:rsid w:val="00C22D6C"/>
    <w:rsid w:val="00C5494F"/>
    <w:rsid w:val="00C60E38"/>
    <w:rsid w:val="00C623F1"/>
    <w:rsid w:val="00C632A4"/>
    <w:rsid w:val="00C83A49"/>
    <w:rsid w:val="00C95EB8"/>
    <w:rsid w:val="00C96392"/>
    <w:rsid w:val="00CB3C5F"/>
    <w:rsid w:val="00D1778F"/>
    <w:rsid w:val="00D275D2"/>
    <w:rsid w:val="00D3506F"/>
    <w:rsid w:val="00D47122"/>
    <w:rsid w:val="00D83022"/>
    <w:rsid w:val="00D911F5"/>
    <w:rsid w:val="00DA09D7"/>
    <w:rsid w:val="00DA1127"/>
    <w:rsid w:val="00DA36A1"/>
    <w:rsid w:val="00DB1A37"/>
    <w:rsid w:val="00DC6716"/>
    <w:rsid w:val="00DD2CE8"/>
    <w:rsid w:val="00DF012B"/>
    <w:rsid w:val="00DF109B"/>
    <w:rsid w:val="00E07386"/>
    <w:rsid w:val="00E14A1A"/>
    <w:rsid w:val="00E17F1A"/>
    <w:rsid w:val="00E42B52"/>
    <w:rsid w:val="00E45C46"/>
    <w:rsid w:val="00E477F8"/>
    <w:rsid w:val="00E56FD7"/>
    <w:rsid w:val="00E645B4"/>
    <w:rsid w:val="00ED0932"/>
    <w:rsid w:val="00EF1FF9"/>
    <w:rsid w:val="00EF273F"/>
    <w:rsid w:val="00F14153"/>
    <w:rsid w:val="00F14C63"/>
    <w:rsid w:val="00F15118"/>
    <w:rsid w:val="00F205F5"/>
    <w:rsid w:val="00F2526F"/>
    <w:rsid w:val="00F76457"/>
    <w:rsid w:val="00F830DA"/>
    <w:rsid w:val="00FC019B"/>
    <w:rsid w:val="00FC4A2B"/>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AF4C8BC7-6502-428C-B438-7191D118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3B2"/>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08659B"/>
    <w:pPr>
      <w:spacing w:before="0"/>
    </w:pPr>
    <w:rPr>
      <w:rFonts w:ascii="Tahoma" w:hAnsi="Tahoma" w:cs="Tahoma"/>
      <w:sz w:val="16"/>
      <w:szCs w:val="16"/>
    </w:rPr>
  </w:style>
  <w:style w:type="character" w:customStyle="1" w:styleId="BalloonTextChar">
    <w:name w:val="Balloon Text Char"/>
    <w:basedOn w:val="DefaultParagraphFont"/>
    <w:link w:val="BalloonText"/>
    <w:rsid w:val="0008659B"/>
    <w:rPr>
      <w:rFonts w:ascii="Tahoma" w:hAnsi="Tahoma" w:cs="Tahoma"/>
      <w:sz w:val="16"/>
      <w:szCs w:val="16"/>
      <w:lang w:eastAsia="en-US"/>
    </w:rPr>
  </w:style>
  <w:style w:type="character" w:styleId="FollowedHyperlink">
    <w:name w:val="FollowedHyperlink"/>
    <w:basedOn w:val="DefaultParagraphFont"/>
    <w:rsid w:val="0008659B"/>
    <w:rPr>
      <w:color w:val="800080" w:themeColor="followedHyperlink"/>
      <w:u w:val="single"/>
    </w:rPr>
  </w:style>
  <w:style w:type="character" w:styleId="Strong">
    <w:name w:val="Strong"/>
    <w:basedOn w:val="DefaultParagraphFont"/>
    <w:uiPriority w:val="22"/>
    <w:qFormat/>
    <w:rsid w:val="003036D9"/>
    <w:rPr>
      <w:b/>
      <w:bCs/>
    </w:rPr>
  </w:style>
  <w:style w:type="paragraph" w:customStyle="1" w:styleId="FirstFooter">
    <w:name w:val="FirstFooter"/>
    <w:basedOn w:val="Footer"/>
    <w:rsid w:val="002755DF"/>
    <w:pPr>
      <w:tabs>
        <w:tab w:val="clear" w:pos="794"/>
        <w:tab w:val="clear" w:pos="1191"/>
        <w:tab w:val="clear" w:pos="1588"/>
        <w:tab w:val="clear" w:pos="1985"/>
        <w:tab w:val="clear" w:pos="4703"/>
        <w:tab w:val="clear" w:pos="9406"/>
      </w:tabs>
      <w:spacing w:before="40"/>
    </w:pPr>
    <w:rPr>
      <w:rFonts w:eastAsia="Times New Roman"/>
      <w:szCs w:val="20"/>
      <w:lang w:val="en-GB"/>
    </w:rPr>
  </w:style>
  <w:style w:type="paragraph" w:customStyle="1" w:styleId="enumlev1">
    <w:name w:val="enumlev1"/>
    <w:basedOn w:val="Normal"/>
    <w:link w:val="enumlev1Char"/>
    <w:rsid w:val="002755DF"/>
    <w:pPr>
      <w:overflowPunct w:val="0"/>
      <w:autoSpaceDE w:val="0"/>
      <w:autoSpaceDN w:val="0"/>
      <w:adjustRightInd w:val="0"/>
      <w:snapToGrid w:val="0"/>
      <w:spacing w:before="80"/>
      <w:ind w:left="794" w:hanging="794"/>
      <w:textAlignment w:val="baseline"/>
    </w:pPr>
    <w:rPr>
      <w:rFonts w:eastAsia="Times New Roman"/>
      <w:szCs w:val="20"/>
      <w:lang w:val="en-GB"/>
    </w:rPr>
  </w:style>
  <w:style w:type="character" w:customStyle="1" w:styleId="enumlev1Char">
    <w:name w:val="enumlev1 Char"/>
    <w:basedOn w:val="DefaultParagraphFont"/>
    <w:link w:val="enumlev1"/>
    <w:locked/>
    <w:rsid w:val="002755DF"/>
    <w:rPr>
      <w:rFonts w:ascii="Calibri" w:eastAsia="Times New Roman" w:hAnsi="Calibri"/>
      <w:sz w:val="22"/>
      <w:lang w:val="en-GB" w:eastAsia="en-US"/>
    </w:rPr>
  </w:style>
  <w:style w:type="character" w:styleId="LineNumber">
    <w:name w:val="line number"/>
    <w:basedOn w:val="DefaultParagraphFont"/>
    <w:rsid w:val="00112116"/>
  </w:style>
  <w:style w:type="paragraph" w:customStyle="1" w:styleId="Reasons">
    <w:name w:val="Reasons"/>
    <w:basedOn w:val="Normal"/>
    <w:qFormat/>
    <w:rsid w:val="006E20F5"/>
    <w:pPr>
      <w:tabs>
        <w:tab w:val="clear" w:pos="794"/>
        <w:tab w:val="clear" w:pos="1191"/>
        <w:tab w:val="clear" w:pos="1588"/>
        <w:tab w:val="clear" w:pos="1985"/>
      </w:tabs>
      <w:spacing w:before="0"/>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816066237">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trave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ITU-T/recommendations/rec.aspx?rec=12067" TargetMode="External"/><Relationship Id="rId4" Type="http://schemas.openxmlformats.org/officeDocument/2006/relationships/settings" Target="settings.xml"/><Relationship Id="rId9" Type="http://schemas.openxmlformats.org/officeDocument/2006/relationships/hyperlink" Target="mailto:interop@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3F59E-6869-4C1A-BE2B-D0457AC9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6981</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7889</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3</cp:revision>
  <cp:lastPrinted>2015-01-15T13:05:00Z</cp:lastPrinted>
  <dcterms:created xsi:type="dcterms:W3CDTF">2015-01-15T13:05:00Z</dcterms:created>
  <dcterms:modified xsi:type="dcterms:W3CDTF">2015-01-15T13:05:00Z</dcterms:modified>
</cp:coreProperties>
</file>