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395501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395501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395501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547A47">
        <w:trPr>
          <w:cantSplit/>
          <w:trHeight w:val="931"/>
        </w:trPr>
        <w:tc>
          <w:tcPr>
            <w:tcW w:w="1533" w:type="dxa"/>
          </w:tcPr>
          <w:p w:rsidR="00F86668" w:rsidRPr="00116E12" w:rsidRDefault="00F86668" w:rsidP="00A81181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1" w:name="dmeeting" w:colFirst="0" w:colLast="0"/>
          </w:p>
        </w:tc>
        <w:tc>
          <w:tcPr>
            <w:tcW w:w="3340" w:type="dxa"/>
          </w:tcPr>
          <w:p w:rsidR="00F86668" w:rsidRPr="00116E12" w:rsidRDefault="00F86668" w:rsidP="00A81181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Pr="00116E12" w:rsidRDefault="009F7312" w:rsidP="00856981">
            <w:pPr>
              <w:tabs>
                <w:tab w:val="left" w:pos="4111"/>
              </w:tabs>
              <w:spacing w:before="360" w:after="120" w:line="300" w:lineRule="exact"/>
              <w:ind w:left="57"/>
            </w:pPr>
            <w:r w:rsidRPr="009F7312">
              <w:rPr>
                <w:rFonts w:hint="cs"/>
                <w:rtl/>
              </w:rPr>
              <w:t>جنيف،</w:t>
            </w:r>
            <w:r w:rsidRPr="009F7312">
              <w:rPr>
                <w:rFonts w:hint="cs"/>
                <w:rtl/>
                <w:lang w:bidi="ar-EG"/>
              </w:rPr>
              <w:t xml:space="preserve"> </w:t>
            </w:r>
            <w:r w:rsidR="00A81181">
              <w:t>1</w:t>
            </w:r>
            <w:r w:rsidR="00856981">
              <w:t>7</w:t>
            </w:r>
            <w:r w:rsidRPr="009F7312">
              <w:rPr>
                <w:rFonts w:hint="cs"/>
                <w:rtl/>
                <w:lang w:bidi="ar-EG"/>
              </w:rPr>
              <w:t xml:space="preserve"> </w:t>
            </w:r>
            <w:r w:rsidR="00A81181">
              <w:rPr>
                <w:rFonts w:hint="cs"/>
                <w:rtl/>
                <w:lang w:bidi="ar-EG"/>
              </w:rPr>
              <w:t>ديسمبر</w:t>
            </w:r>
            <w:r w:rsidRPr="009F7312">
              <w:rPr>
                <w:rFonts w:hint="cs"/>
                <w:rtl/>
                <w:lang w:bidi="ar-EG"/>
              </w:rPr>
              <w:t xml:space="preserve"> </w:t>
            </w:r>
            <w:r w:rsidRPr="009F7312">
              <w:t>2014</w:t>
            </w:r>
          </w:p>
        </w:tc>
      </w:tr>
      <w:tr w:rsidR="00A94C64" w:rsidRPr="00116E12" w:rsidTr="00A81181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A81181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4C64" w:rsidRPr="008C106E" w:rsidRDefault="00A94C64" w:rsidP="00A8118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116E12">
              <w:rPr>
                <w:b/>
              </w:rPr>
              <w:t>TSB </w:t>
            </w:r>
            <w:r w:rsidRPr="00F8452F">
              <w:rPr>
                <w:b/>
                <w:bCs/>
              </w:rPr>
              <w:t xml:space="preserve">Circular </w:t>
            </w:r>
            <w:r w:rsidR="00A81181">
              <w:rPr>
                <w:b/>
                <w:bCs/>
              </w:rPr>
              <w:t>133</w:t>
            </w:r>
            <w:r w:rsidRPr="00116E12">
              <w:rPr>
                <w:b/>
                <w:rtl/>
                <w:lang w:bidi="ar-EG"/>
              </w:rPr>
              <w:br/>
            </w:r>
            <w:r w:rsidR="009F7312" w:rsidRPr="009F7312">
              <w:rPr>
                <w:bCs/>
              </w:rPr>
              <w:t xml:space="preserve">COM </w:t>
            </w:r>
            <w:r w:rsidR="00A81181">
              <w:rPr>
                <w:bCs/>
              </w:rPr>
              <w:t>15</w:t>
            </w:r>
            <w:r w:rsidR="009F7312" w:rsidRPr="009F7312">
              <w:rPr>
                <w:bCs/>
              </w:rPr>
              <w:t>/</w:t>
            </w:r>
            <w:r w:rsidR="00A81181">
              <w:rPr>
                <w:bCs/>
              </w:rPr>
              <w:t>GJ</w:t>
            </w:r>
          </w:p>
        </w:tc>
        <w:tc>
          <w:tcPr>
            <w:tcW w:w="4760" w:type="dxa"/>
            <w:vMerge w:val="restart"/>
          </w:tcPr>
          <w:p w:rsidR="009F7312" w:rsidRPr="009F7312" w:rsidRDefault="009F7312" w:rsidP="009F731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>إلى إدارات الدول الأعضاء في الاتحاد؛</w:t>
            </w:r>
          </w:p>
          <w:p w:rsidR="009F7312" w:rsidRPr="009F7312" w:rsidRDefault="009F7312" w:rsidP="009F731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>إلى أعضاء قطاع تقييس الاتصالات؛</w:t>
            </w:r>
          </w:p>
          <w:p w:rsidR="009F7312" w:rsidRPr="009F7312" w:rsidRDefault="009F7312" w:rsidP="00547A47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rtl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>إلى المنتسبين إلى قطاع تقييس الاتصالات</w:t>
            </w:r>
            <w:r w:rsidR="000D23CD">
              <w:rPr>
                <w:rFonts w:hint="cs"/>
                <w:rtl/>
              </w:rPr>
              <w:t xml:space="preserve"> المشاركين في</w:t>
            </w:r>
            <w:r w:rsidR="00547A47">
              <w:rPr>
                <w:rFonts w:hint="eastAsia"/>
                <w:rtl/>
              </w:rPr>
              <w:t> </w:t>
            </w:r>
            <w:r w:rsidR="000D23CD">
              <w:rPr>
                <w:rFonts w:hint="cs"/>
                <w:rtl/>
              </w:rPr>
              <w:t xml:space="preserve">عمل لجنة الدراسات </w:t>
            </w:r>
            <w:r w:rsidR="000D23CD">
              <w:t>15</w:t>
            </w:r>
            <w:r w:rsidRPr="009F7312">
              <w:rPr>
                <w:rFonts w:hint="cs"/>
                <w:rtl/>
              </w:rPr>
              <w:t>؛</w:t>
            </w:r>
          </w:p>
          <w:p w:rsidR="00A94C64" w:rsidRPr="00116E12" w:rsidRDefault="009F7312" w:rsidP="009F731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>إلى الهيئات الأكاديمية المنضمة إلى قطاع تقييس الاتصالات</w:t>
            </w:r>
          </w:p>
        </w:tc>
      </w:tr>
      <w:tr w:rsidR="00A94C64" w:rsidRPr="00116E12" w:rsidTr="00A81181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A81181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A94C64" w:rsidRPr="00116E12" w:rsidRDefault="00A94C64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760" w:type="dxa"/>
            <w:vMerge/>
          </w:tcPr>
          <w:p w:rsidR="00A94C64" w:rsidRPr="00116E12" w:rsidRDefault="00A94C64" w:rsidP="00A8118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A81181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A81181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A94C64" w:rsidRPr="00116E12" w:rsidRDefault="00904373" w:rsidP="00A8118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904373">
              <w:t xml:space="preserve">+41 22 730 </w:t>
            </w:r>
            <w:r w:rsidR="00A81181">
              <w:t>5515</w:t>
            </w:r>
          </w:p>
        </w:tc>
        <w:tc>
          <w:tcPr>
            <w:tcW w:w="4760" w:type="dxa"/>
            <w:vMerge/>
          </w:tcPr>
          <w:p w:rsidR="00A94C64" w:rsidRPr="00116E12" w:rsidRDefault="00A94C64" w:rsidP="00A8118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A81181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A81181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A94C64" w:rsidRPr="00116E12" w:rsidRDefault="00904373" w:rsidP="0090437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904373">
              <w:t>+41 22 730 5853</w:t>
            </w:r>
          </w:p>
        </w:tc>
        <w:tc>
          <w:tcPr>
            <w:tcW w:w="4760" w:type="dxa"/>
            <w:vMerge/>
          </w:tcPr>
          <w:p w:rsidR="00A94C64" w:rsidRPr="00116E12" w:rsidRDefault="00A94C64" w:rsidP="00A8118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A81181">
        <w:trPr>
          <w:cantSplit/>
        </w:trPr>
        <w:tc>
          <w:tcPr>
            <w:tcW w:w="1533" w:type="dxa"/>
          </w:tcPr>
          <w:p w:rsidR="00F86668" w:rsidRPr="00116E12" w:rsidRDefault="00F86668" w:rsidP="00A81181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E2EF8" w:rsidRPr="00116E12" w:rsidRDefault="0021472A" w:rsidP="00A8118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A81181" w:rsidRPr="008B7EB4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F86668" w:rsidRPr="00116E12" w:rsidRDefault="00F86668" w:rsidP="00A8118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9F7312" w:rsidRPr="009F7312" w:rsidRDefault="009F7312" w:rsidP="00A81181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 xml:space="preserve">رئيس لجنة الدراسات </w:t>
            </w:r>
            <w:r w:rsidR="00A81181">
              <w:rPr>
                <w:lang w:bidi="ar-EG"/>
              </w:rPr>
              <w:t>15</w:t>
            </w:r>
            <w:r w:rsidRPr="009F7312">
              <w:rPr>
                <w:rFonts w:hint="cs"/>
                <w:rtl/>
                <w:lang w:bidi="ar-EG"/>
              </w:rPr>
              <w:t xml:space="preserve"> ونوابه؛</w:t>
            </w:r>
          </w:p>
          <w:p w:rsidR="009F7312" w:rsidRPr="009F7312" w:rsidRDefault="009F7312" w:rsidP="009F731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  <w:t>مدير مكتب تنمية الاتصالات</w:t>
            </w:r>
            <w:r w:rsidRPr="009F7312">
              <w:rPr>
                <w:rFonts w:hint="cs"/>
                <w:rtl/>
              </w:rPr>
              <w:t>؛</w:t>
            </w:r>
          </w:p>
          <w:p w:rsidR="00F8452F" w:rsidRPr="00116E12" w:rsidRDefault="009F7312" w:rsidP="009F731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  <w:t>مدير مكتب الاتصالات الراديوية</w:t>
            </w:r>
          </w:p>
        </w:tc>
      </w:tr>
      <w:tr w:rsidR="00F86668" w:rsidRPr="00116E12" w:rsidTr="00A81181">
        <w:trPr>
          <w:cantSplit/>
        </w:trPr>
        <w:tc>
          <w:tcPr>
            <w:tcW w:w="1533" w:type="dxa"/>
          </w:tcPr>
          <w:p w:rsidR="00F86668" w:rsidRPr="00116E12" w:rsidRDefault="00F86668" w:rsidP="00A81181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A81181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A8118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A81181">
        <w:trPr>
          <w:cantSplit/>
        </w:trPr>
        <w:tc>
          <w:tcPr>
            <w:tcW w:w="1533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0D23CD" w:rsidRDefault="009F7312" w:rsidP="00D5397A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hanging="6"/>
              <w:jc w:val="left"/>
              <w:rPr>
                <w:b/>
                <w:bCs/>
                <w:rtl/>
                <w:lang w:val="ru-RU" w:bidi="ar-EG"/>
              </w:rPr>
            </w:pPr>
            <w:r w:rsidRPr="009F7312">
              <w:rPr>
                <w:rFonts w:hint="cs"/>
                <w:b/>
                <w:bCs/>
                <w:rtl/>
              </w:rPr>
              <w:t>الموافقة على</w:t>
            </w:r>
            <w:r w:rsidRPr="009F73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D23CD">
              <w:rPr>
                <w:rFonts w:hint="cs"/>
                <w:b/>
                <w:bCs/>
                <w:rtl/>
                <w:lang w:bidi="ar-EG"/>
              </w:rPr>
              <w:t>مشاريع</w:t>
            </w:r>
            <w:r w:rsidRPr="009F73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D23CD">
              <w:rPr>
                <w:rFonts w:hint="cs"/>
                <w:b/>
                <w:bCs/>
                <w:rtl/>
                <w:lang w:bidi="ar-EG"/>
              </w:rPr>
              <w:t>التوصيات الجديدة</w:t>
            </w:r>
            <w:r w:rsidRPr="009F73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D23CD">
              <w:rPr>
                <w:b/>
                <w:bCs/>
              </w:rPr>
              <w:t>ITU-T G.989.2</w:t>
            </w:r>
            <w:r w:rsidR="000D23CD">
              <w:rPr>
                <w:rFonts w:hint="cs"/>
                <w:b/>
                <w:bCs/>
                <w:rtl/>
                <w:lang w:val="ru-RU" w:bidi="ar-EG"/>
              </w:rPr>
              <w:t xml:space="preserve"> و</w:t>
            </w:r>
            <w:r w:rsidR="000D23CD">
              <w:rPr>
                <w:b/>
                <w:bCs/>
                <w:lang w:bidi="ar-EG"/>
              </w:rPr>
              <w:t>ITU-T G.9701</w:t>
            </w:r>
            <w:r w:rsidR="000D23CD">
              <w:rPr>
                <w:rFonts w:hint="cs"/>
                <w:b/>
                <w:bCs/>
                <w:rtl/>
                <w:lang w:val="ru-RU" w:bidi="ar-EG"/>
              </w:rPr>
              <w:t xml:space="preserve"> و</w:t>
            </w:r>
            <w:r w:rsidR="000D23CD">
              <w:rPr>
                <w:b/>
                <w:bCs/>
                <w:lang w:bidi="ar-EG"/>
              </w:rPr>
              <w:t>ITU-T G.9979</w:t>
            </w:r>
            <w:r w:rsidR="000D23CD">
              <w:rPr>
                <w:rFonts w:hint="cs"/>
                <w:b/>
                <w:bCs/>
                <w:rtl/>
                <w:lang w:val="ru-RU" w:bidi="ar-EG"/>
              </w:rPr>
              <w:t xml:space="preserve"> ومشروع التعديل </w:t>
            </w:r>
            <w:r w:rsidR="000D23CD">
              <w:rPr>
                <w:b/>
                <w:bCs/>
                <w:lang w:bidi="ar-EG"/>
              </w:rPr>
              <w:t>4</w:t>
            </w:r>
            <w:r w:rsidR="000D0205">
              <w:rPr>
                <w:rFonts w:hint="cs"/>
                <w:b/>
                <w:bCs/>
                <w:rtl/>
                <w:lang w:val="ru-RU" w:bidi="ar-EG"/>
              </w:rPr>
              <w:t xml:space="preserve"> ل</w:t>
            </w:r>
            <w:r w:rsidR="000D23CD">
              <w:rPr>
                <w:rFonts w:hint="cs"/>
                <w:b/>
                <w:bCs/>
                <w:rtl/>
                <w:lang w:val="ru-RU" w:bidi="ar-EG"/>
              </w:rPr>
              <w:t xml:space="preserve">لتوصية </w:t>
            </w:r>
            <w:r w:rsidR="000D23CD">
              <w:rPr>
                <w:b/>
                <w:bCs/>
                <w:lang w:bidi="ar-EG"/>
              </w:rPr>
              <w:t>ITU-T G.994.1</w:t>
            </w:r>
            <w:r w:rsidR="000D23CD">
              <w:rPr>
                <w:rFonts w:hint="cs"/>
                <w:b/>
                <w:bCs/>
                <w:rtl/>
                <w:lang w:val="ru-RU" w:bidi="ar-EG"/>
              </w:rPr>
              <w:t xml:space="preserve"> </w:t>
            </w:r>
            <w:r w:rsidR="00D5397A">
              <w:rPr>
                <w:b/>
                <w:bCs/>
                <w:lang w:bidi="ar-EG"/>
              </w:rPr>
              <w:t>(</w:t>
            </w:r>
            <w:r w:rsidR="000D23CD">
              <w:rPr>
                <w:b/>
                <w:bCs/>
                <w:lang w:bidi="ar-EG"/>
              </w:rPr>
              <w:t>2012</w:t>
            </w:r>
            <w:r w:rsidR="00D5397A">
              <w:rPr>
                <w:b/>
                <w:bCs/>
                <w:lang w:bidi="ar-EG"/>
              </w:rPr>
              <w:t>)</w:t>
            </w:r>
          </w:p>
        </w:tc>
      </w:tr>
    </w:tbl>
    <w:bookmarkEnd w:id="1"/>
    <w:p w:rsidR="00A94C64" w:rsidRPr="001401E7" w:rsidRDefault="00A94C64" w:rsidP="007052B6">
      <w:pPr>
        <w:spacing w:before="960" w:line="187" w:lineRule="auto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A94C64" w:rsidRPr="001401E7" w:rsidRDefault="00A94C64" w:rsidP="00A94C64">
      <w:pPr>
        <w:spacing w:line="187" w:lineRule="auto"/>
        <w:rPr>
          <w:rtl/>
        </w:rPr>
      </w:pPr>
      <w:r w:rsidRPr="001401E7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9F7312" w:rsidRPr="009F7312" w:rsidRDefault="00083255" w:rsidP="00D5397A">
      <w:pPr>
        <w:rPr>
          <w:rFonts w:ascii="Calibri" w:hAnsi="Calibri"/>
          <w:rtl/>
          <w:lang w:bidi="ar-EG"/>
        </w:rPr>
      </w:pPr>
      <w:r w:rsidRPr="00D5397A">
        <w:t>1</w:t>
      </w:r>
      <w:r w:rsidRPr="00D5397A">
        <w:tab/>
      </w:r>
      <w:r w:rsidR="009F7312" w:rsidRPr="00D5397A">
        <w:rPr>
          <w:rFonts w:hint="cs"/>
          <w:rtl/>
        </w:rPr>
        <w:t>إلحاقاً بالإعلان</w:t>
      </w:r>
      <w:r w:rsidR="000D23CD" w:rsidRPr="00D5397A">
        <w:rPr>
          <w:rFonts w:hint="cs"/>
          <w:rtl/>
        </w:rPr>
        <w:t>ين</w:t>
      </w:r>
      <w:r w:rsidR="009F7312" w:rsidRPr="00D5397A">
        <w:rPr>
          <w:rFonts w:hint="cs"/>
          <w:rtl/>
        </w:rPr>
        <w:t xml:space="preserve"> </w:t>
      </w:r>
      <w:r w:rsidR="009F7312" w:rsidRPr="00D5397A">
        <w:t>AAP-</w:t>
      </w:r>
      <w:r w:rsidR="000D23CD" w:rsidRPr="00D5397A">
        <w:t>44</w:t>
      </w:r>
      <w:r w:rsidR="000D23CD" w:rsidRPr="00D5397A">
        <w:rPr>
          <w:rFonts w:hint="cs"/>
          <w:rtl/>
        </w:rPr>
        <w:t xml:space="preserve"> و</w:t>
      </w:r>
      <w:r w:rsidR="000D23CD" w:rsidRPr="00D5397A">
        <w:t>AAP-45</w:t>
      </w:r>
      <w:r w:rsidR="009F7312" w:rsidRPr="00D5397A">
        <w:rPr>
          <w:rFonts w:hint="cs"/>
          <w:rtl/>
        </w:rPr>
        <w:t xml:space="preserve"> </w:t>
      </w:r>
      <w:r w:rsidR="000D23CD" w:rsidRPr="00D5397A">
        <w:rPr>
          <w:rFonts w:hint="cs"/>
          <w:rtl/>
        </w:rPr>
        <w:t>ل</w:t>
      </w:r>
      <w:r w:rsidR="000D23CD" w:rsidRPr="00D5397A">
        <w:rPr>
          <w:rFonts w:hint="eastAsia"/>
          <w:rtl/>
        </w:rPr>
        <w:t>مكتب</w:t>
      </w:r>
      <w:r w:rsidR="000D23CD" w:rsidRPr="00D5397A">
        <w:rPr>
          <w:rtl/>
        </w:rPr>
        <w:t xml:space="preserve"> </w:t>
      </w:r>
      <w:r w:rsidR="000D23CD" w:rsidRPr="00D5397A">
        <w:rPr>
          <w:rFonts w:hint="eastAsia"/>
          <w:rtl/>
        </w:rPr>
        <w:t>تقييس</w:t>
      </w:r>
      <w:r w:rsidR="000D23CD" w:rsidRPr="00D5397A">
        <w:rPr>
          <w:rtl/>
        </w:rPr>
        <w:t xml:space="preserve"> </w:t>
      </w:r>
      <w:r w:rsidR="000D23CD" w:rsidRPr="00D5397A">
        <w:rPr>
          <w:rFonts w:hint="eastAsia"/>
          <w:rtl/>
        </w:rPr>
        <w:t>الاتصالات</w:t>
      </w:r>
      <w:r w:rsidR="000D23CD" w:rsidRPr="00D5397A">
        <w:rPr>
          <w:rFonts w:hint="cs"/>
          <w:rtl/>
        </w:rPr>
        <w:t xml:space="preserve"> ا</w:t>
      </w:r>
      <w:r w:rsidR="009F7312" w:rsidRPr="00D5397A">
        <w:rPr>
          <w:rFonts w:hint="cs"/>
          <w:rtl/>
        </w:rPr>
        <w:t>لمؤرخ</w:t>
      </w:r>
      <w:r w:rsidR="000D23CD" w:rsidRPr="00D5397A">
        <w:rPr>
          <w:rFonts w:hint="cs"/>
          <w:rtl/>
        </w:rPr>
        <w:t>ين</w:t>
      </w:r>
      <w:r w:rsidR="009F7312" w:rsidRPr="00D5397A">
        <w:rPr>
          <w:rFonts w:hint="cs"/>
          <w:rtl/>
        </w:rPr>
        <w:t xml:space="preserve"> </w:t>
      </w:r>
      <w:r w:rsidR="009F7312" w:rsidRPr="00D5397A">
        <w:t>1</w:t>
      </w:r>
      <w:r w:rsidR="000D23CD" w:rsidRPr="00D5397A">
        <w:t>6</w:t>
      </w:r>
      <w:r w:rsidR="009F7312" w:rsidRPr="00D5397A">
        <w:rPr>
          <w:rFonts w:hint="cs"/>
          <w:rtl/>
        </w:rPr>
        <w:t xml:space="preserve"> </w:t>
      </w:r>
      <w:r w:rsidR="000D23CD" w:rsidRPr="00D5397A">
        <w:rPr>
          <w:rFonts w:hint="cs"/>
          <w:rtl/>
        </w:rPr>
        <w:t>أكتوبر و</w:t>
      </w:r>
      <w:r w:rsidR="000D23CD" w:rsidRPr="00D5397A">
        <w:t>1</w:t>
      </w:r>
      <w:r w:rsidR="000D23CD" w:rsidRPr="00D5397A">
        <w:rPr>
          <w:rFonts w:hint="cs"/>
          <w:rtl/>
        </w:rPr>
        <w:t xml:space="preserve"> نوفمبر</w:t>
      </w:r>
      <w:r w:rsidR="009F7312" w:rsidRPr="00D5397A">
        <w:rPr>
          <w:rFonts w:hint="cs"/>
          <w:rtl/>
        </w:rPr>
        <w:t xml:space="preserve"> </w:t>
      </w:r>
      <w:r w:rsidR="009F7312" w:rsidRPr="00D5397A">
        <w:t>2014</w:t>
      </w:r>
      <w:r w:rsidR="009F7312" w:rsidRPr="00D5397A">
        <w:rPr>
          <w:rFonts w:hint="cs"/>
          <w:rtl/>
        </w:rPr>
        <w:t xml:space="preserve"> </w:t>
      </w:r>
      <w:r w:rsidR="000D23CD" w:rsidRPr="00D5397A">
        <w:rPr>
          <w:rFonts w:hint="cs"/>
          <w:rtl/>
        </w:rPr>
        <w:t xml:space="preserve">على التوالي، </w:t>
      </w:r>
      <w:r w:rsidR="009F7312" w:rsidRPr="00D5397A">
        <w:rPr>
          <w:rFonts w:hint="cs"/>
          <w:rtl/>
        </w:rPr>
        <w:t xml:space="preserve">وعملاً بالفقرة </w:t>
      </w:r>
      <w:r w:rsidR="009F7312" w:rsidRPr="00D5397A">
        <w:t>2.6</w:t>
      </w:r>
      <w:r w:rsidR="009F7312" w:rsidRPr="00D5397A">
        <w:rPr>
          <w:rFonts w:hint="cs"/>
          <w:rtl/>
        </w:rPr>
        <w:t xml:space="preserve"> من التوصية</w:t>
      </w:r>
      <w:r w:rsidR="009F7312" w:rsidRPr="00D5397A">
        <w:rPr>
          <w:rFonts w:hint="eastAsia"/>
          <w:rtl/>
        </w:rPr>
        <w:t> </w:t>
      </w:r>
      <w:r w:rsidR="009F7312" w:rsidRPr="00D5397A">
        <w:t>A.8</w:t>
      </w:r>
      <w:r w:rsidR="009F7312" w:rsidRPr="00D5397A">
        <w:rPr>
          <w:rFonts w:hint="cs"/>
          <w:rtl/>
        </w:rPr>
        <w:t xml:space="preserve"> (جوهانسبرغ، </w:t>
      </w:r>
      <w:r w:rsidR="009F7312" w:rsidRPr="00D5397A">
        <w:t>2008</w:t>
      </w:r>
      <w:r w:rsidR="009F7312" w:rsidRPr="00D5397A">
        <w:rPr>
          <w:rFonts w:hint="cs"/>
          <w:rtl/>
        </w:rPr>
        <w:t xml:space="preserve">)، أود إبلاغكم بأن لجنة الدراسات </w:t>
      </w:r>
      <w:r w:rsidR="000D23CD" w:rsidRPr="00D5397A">
        <w:t>15</w:t>
      </w:r>
      <w:r w:rsidR="009F7312" w:rsidRPr="00D5397A">
        <w:rPr>
          <w:rFonts w:hint="cs"/>
          <w:rtl/>
        </w:rPr>
        <w:t xml:space="preserve"> </w:t>
      </w:r>
      <w:r w:rsidR="009F7312" w:rsidRPr="00D5397A">
        <w:rPr>
          <w:rFonts w:hint="cs"/>
          <w:b/>
          <w:bCs/>
          <w:rtl/>
        </w:rPr>
        <w:t>وافقت</w:t>
      </w:r>
      <w:r w:rsidR="009F7312" w:rsidRPr="00D5397A">
        <w:rPr>
          <w:rFonts w:hint="cs"/>
          <w:rtl/>
        </w:rPr>
        <w:t xml:space="preserve"> على ن</w:t>
      </w:r>
      <w:r w:rsidR="000D23CD" w:rsidRPr="00D5397A">
        <w:rPr>
          <w:rFonts w:hint="cs"/>
          <w:rtl/>
        </w:rPr>
        <w:t xml:space="preserve">ص كل من مشاريع التوصيات </w:t>
      </w:r>
      <w:r w:rsidR="00D5397A" w:rsidRPr="00D5397A">
        <w:rPr>
          <w:rFonts w:hint="cs"/>
          <w:rtl/>
        </w:rPr>
        <w:t xml:space="preserve">الجديدة </w:t>
      </w:r>
      <w:r w:rsidR="00D5397A" w:rsidRPr="00D5397A">
        <w:t>ITU-T G.989.2</w:t>
      </w:r>
      <w:r w:rsidR="00D5397A" w:rsidRPr="00D5397A">
        <w:rPr>
          <w:rFonts w:hint="cs"/>
          <w:rtl/>
        </w:rPr>
        <w:t xml:space="preserve"> و</w:t>
      </w:r>
      <w:r w:rsidR="00D5397A" w:rsidRPr="00D5397A">
        <w:t>ITU-T G.9701</w:t>
      </w:r>
      <w:r w:rsidR="00D5397A" w:rsidRPr="00D5397A">
        <w:rPr>
          <w:rFonts w:hint="cs"/>
          <w:rtl/>
        </w:rPr>
        <w:t xml:space="preserve"> و</w:t>
      </w:r>
      <w:r w:rsidR="00D5397A" w:rsidRPr="00D5397A">
        <w:t>ITU-T G.9979</w:t>
      </w:r>
      <w:r w:rsidR="00D5397A" w:rsidRPr="00D5397A">
        <w:rPr>
          <w:rFonts w:hint="cs"/>
          <w:rtl/>
        </w:rPr>
        <w:t xml:space="preserve"> ومشروع التعديل </w:t>
      </w:r>
      <w:r w:rsidR="00D5397A" w:rsidRPr="00D5397A">
        <w:t>4</w:t>
      </w:r>
      <w:r w:rsidR="00D5397A" w:rsidRPr="00D5397A">
        <w:rPr>
          <w:rFonts w:hint="cs"/>
          <w:rtl/>
        </w:rPr>
        <w:t xml:space="preserve"> للتوصية </w:t>
      </w:r>
      <w:r w:rsidR="00D5397A" w:rsidRPr="00D5397A">
        <w:t>ITU</w:t>
      </w:r>
      <w:r w:rsidR="00D5397A">
        <w:noBreakHyphen/>
      </w:r>
      <w:r w:rsidR="00D5397A" w:rsidRPr="00D5397A">
        <w:t>T</w:t>
      </w:r>
      <w:r w:rsidR="00D5397A">
        <w:t> </w:t>
      </w:r>
      <w:r w:rsidR="00D5397A" w:rsidRPr="00D5397A">
        <w:t>G.994.1</w:t>
      </w:r>
      <w:r w:rsidR="00D5397A" w:rsidRPr="00D5397A">
        <w:rPr>
          <w:rFonts w:hint="cs"/>
          <w:rtl/>
        </w:rPr>
        <w:t xml:space="preserve"> </w:t>
      </w:r>
      <w:r w:rsidR="00D5397A" w:rsidRPr="00D5397A">
        <w:t>(2012)</w:t>
      </w:r>
      <w:r w:rsidR="00D70811">
        <w:rPr>
          <w:rFonts w:ascii="Calibri" w:hAnsi="Calibri" w:hint="cs"/>
          <w:rtl/>
          <w:lang w:val="ru-RU" w:bidi="ar-EG"/>
        </w:rPr>
        <w:t xml:space="preserve"> </w:t>
      </w:r>
      <w:r w:rsidR="009F7312" w:rsidRPr="009F7312">
        <w:rPr>
          <w:rFonts w:ascii="Calibri" w:hAnsi="Calibri" w:hint="cs"/>
          <w:rtl/>
          <w:lang w:bidi="ar-EG"/>
        </w:rPr>
        <w:t xml:space="preserve">في جلستها العامة المعقودة في </w:t>
      </w:r>
      <w:r w:rsidR="00D70811">
        <w:rPr>
          <w:rFonts w:ascii="Calibri" w:hAnsi="Calibri"/>
        </w:rPr>
        <w:t>5</w:t>
      </w:r>
      <w:r w:rsidR="009F7312" w:rsidRPr="009F7312">
        <w:rPr>
          <w:rFonts w:ascii="Calibri" w:hAnsi="Calibri" w:hint="cs"/>
          <w:rtl/>
          <w:lang w:bidi="ar-EG"/>
        </w:rPr>
        <w:t xml:space="preserve"> </w:t>
      </w:r>
      <w:r w:rsidR="00D5397A">
        <w:rPr>
          <w:rFonts w:ascii="Calibri" w:hAnsi="Calibri" w:hint="cs"/>
          <w:rtl/>
          <w:lang w:bidi="ar-EG"/>
        </w:rPr>
        <w:t>ديسمبر</w:t>
      </w:r>
      <w:r w:rsidR="009F7312" w:rsidRPr="009F7312">
        <w:rPr>
          <w:rFonts w:ascii="Calibri" w:hAnsi="Calibri" w:hint="cs"/>
          <w:rtl/>
          <w:lang w:bidi="ar-EG"/>
        </w:rPr>
        <w:t xml:space="preserve"> </w:t>
      </w:r>
      <w:r w:rsidR="009F7312" w:rsidRPr="009F7312">
        <w:rPr>
          <w:rFonts w:ascii="Calibri" w:hAnsi="Calibri"/>
        </w:rPr>
        <w:t>2014</w:t>
      </w:r>
      <w:r w:rsidR="009F7312" w:rsidRPr="009F7312">
        <w:rPr>
          <w:rFonts w:ascii="Calibri" w:hAnsi="Calibri" w:hint="cs"/>
          <w:rtl/>
          <w:lang w:bidi="ar-EG"/>
        </w:rPr>
        <w:t>.</w:t>
      </w:r>
    </w:p>
    <w:p w:rsidR="009F7312" w:rsidRPr="009F7312" w:rsidRDefault="009F7312" w:rsidP="00D5397A">
      <w:pPr>
        <w:rPr>
          <w:rtl/>
          <w:lang w:bidi="ar-EG"/>
        </w:rPr>
      </w:pPr>
      <w:r w:rsidRPr="009F7312">
        <w:t>2</w:t>
      </w:r>
      <w:r w:rsidRPr="009F7312">
        <w:rPr>
          <w:rFonts w:hint="cs"/>
          <w:rtl/>
          <w:lang w:bidi="ar-EG"/>
        </w:rPr>
        <w:tab/>
        <w:t xml:space="preserve">ويرد فيما يلي عنوان كل من </w:t>
      </w:r>
      <w:r w:rsidR="00D70811">
        <w:rPr>
          <w:rFonts w:hint="cs"/>
          <w:rtl/>
          <w:lang w:bidi="ar-EG"/>
        </w:rPr>
        <w:t>التوصيات الموافَق عليه</w:t>
      </w:r>
      <w:r w:rsidRPr="009F7312">
        <w:rPr>
          <w:rFonts w:hint="cs"/>
          <w:rtl/>
          <w:lang w:bidi="ar-EG"/>
        </w:rPr>
        <w:t>ا:</w:t>
      </w:r>
    </w:p>
    <w:p w:rsidR="00D70811" w:rsidRPr="00D5397A" w:rsidRDefault="00D70811" w:rsidP="00D5397A">
      <w:pPr>
        <w:pStyle w:val="enumlev1"/>
        <w:rPr>
          <w:spacing w:val="-2"/>
          <w:rtl/>
        </w:rPr>
      </w:pPr>
      <w:r w:rsidRPr="00D5397A">
        <w:rPr>
          <w:rFonts w:hint="cs"/>
          <w:spacing w:val="-2"/>
          <w:rtl/>
          <w:lang w:bidi="ar-SY"/>
        </w:rPr>
        <w:t>-</w:t>
      </w:r>
      <w:r w:rsidR="00D5397A" w:rsidRPr="00D5397A">
        <w:rPr>
          <w:spacing w:val="-2"/>
          <w:rtl/>
          <w:lang w:bidi="ar-SY"/>
        </w:rPr>
        <w:tab/>
      </w:r>
      <w:r w:rsidRPr="00D5397A">
        <w:rPr>
          <w:spacing w:val="-2"/>
          <w:rtl/>
          <w:lang w:bidi="ar-SY"/>
        </w:rPr>
        <w:t xml:space="preserve">التوصية </w:t>
      </w:r>
      <w:r w:rsidRPr="00D5397A">
        <w:rPr>
          <w:spacing w:val="-2"/>
        </w:rPr>
        <w:t>ITU-T G.989.2</w:t>
      </w:r>
      <w:r w:rsidRPr="00D5397A">
        <w:rPr>
          <w:spacing w:val="-2"/>
          <w:rtl/>
          <w:lang w:bidi="ar-SY"/>
        </w:rPr>
        <w:t xml:space="preserve"> (جديدة)، </w:t>
      </w:r>
      <w:r w:rsidRPr="00D5397A">
        <w:rPr>
          <w:i/>
          <w:iCs/>
          <w:spacing w:val="-2"/>
          <w:rtl/>
          <w:lang w:bidi="ar-SY"/>
        </w:rPr>
        <w:t xml:space="preserve">الشبكات البصرية المنفعلة القادرة على العمل ب‍معدل </w:t>
      </w:r>
      <w:r w:rsidRPr="00D5397A">
        <w:rPr>
          <w:i/>
          <w:iCs/>
          <w:spacing w:val="-2"/>
        </w:rPr>
        <w:t>40</w:t>
      </w:r>
      <w:r w:rsidRPr="00D5397A">
        <w:rPr>
          <w:i/>
          <w:iCs/>
          <w:spacing w:val="-2"/>
          <w:rtl/>
          <w:lang w:bidi="ar-SY"/>
        </w:rPr>
        <w:t> جيغابتة </w:t>
      </w:r>
      <w:r w:rsidRPr="00D5397A">
        <w:rPr>
          <w:i/>
          <w:iCs/>
          <w:spacing w:val="-2"/>
        </w:rPr>
        <w:t>(NG</w:t>
      </w:r>
      <w:r w:rsidRPr="00D5397A">
        <w:rPr>
          <w:i/>
          <w:iCs/>
          <w:spacing w:val="-2"/>
        </w:rPr>
        <w:noBreakHyphen/>
        <w:t>PON2)</w:t>
      </w:r>
      <w:r w:rsidRPr="00D5397A">
        <w:rPr>
          <w:i/>
          <w:iCs/>
          <w:spacing w:val="-2"/>
          <w:rtl/>
        </w:rPr>
        <w:t>:</w:t>
      </w:r>
      <w:r w:rsidR="00D5397A" w:rsidRPr="00D5397A">
        <w:rPr>
          <w:rFonts w:hint="cs"/>
          <w:i/>
          <w:iCs/>
          <w:spacing w:val="-2"/>
          <w:rtl/>
        </w:rPr>
        <w:t xml:space="preserve"> </w:t>
      </w:r>
      <w:r w:rsidRPr="00D5397A">
        <w:rPr>
          <w:i/>
          <w:iCs/>
          <w:spacing w:val="-2"/>
          <w:rtl/>
          <w:lang w:bidi="ar-SY"/>
        </w:rPr>
        <w:t>مواصف</w:t>
      </w:r>
      <w:r w:rsidR="00D5397A" w:rsidRPr="00D5397A">
        <w:rPr>
          <w:rFonts w:hint="cs"/>
          <w:i/>
          <w:iCs/>
          <w:spacing w:val="-2"/>
          <w:rtl/>
          <w:lang w:bidi="ar-SY"/>
        </w:rPr>
        <w:t>ات</w:t>
      </w:r>
      <w:r w:rsidRPr="00D5397A">
        <w:rPr>
          <w:i/>
          <w:iCs/>
          <w:spacing w:val="-2"/>
          <w:rtl/>
          <w:lang w:bidi="ar-SY"/>
        </w:rPr>
        <w:t xml:space="preserve"> الطبقة المعتمدة على الوسائط المادية</w:t>
      </w:r>
      <w:r w:rsidRPr="00D5397A">
        <w:rPr>
          <w:i/>
          <w:iCs/>
          <w:spacing w:val="-2"/>
          <w:rtl/>
          <w:lang w:bidi="ar-EG"/>
        </w:rPr>
        <w:t xml:space="preserve"> </w:t>
      </w:r>
      <w:r w:rsidRPr="00D5397A">
        <w:rPr>
          <w:i/>
          <w:iCs/>
          <w:spacing w:val="-2"/>
        </w:rPr>
        <w:t>(PMD)</w:t>
      </w:r>
      <w:r w:rsidRPr="00D5397A">
        <w:rPr>
          <w:rFonts w:hint="cs"/>
          <w:i/>
          <w:iCs/>
          <w:spacing w:val="-2"/>
          <w:rtl/>
        </w:rPr>
        <w:t>.</w:t>
      </w:r>
    </w:p>
    <w:p w:rsidR="00D70811" w:rsidRPr="00D5397A" w:rsidRDefault="00D70811" w:rsidP="00D5397A">
      <w:pPr>
        <w:pStyle w:val="enumlev1"/>
        <w:rPr>
          <w:i/>
          <w:iCs/>
          <w:rtl/>
        </w:rPr>
      </w:pPr>
      <w:r>
        <w:rPr>
          <w:rFonts w:hint="cs"/>
          <w:rtl/>
        </w:rPr>
        <w:t>-</w:t>
      </w:r>
      <w:r w:rsidR="00D5397A">
        <w:rPr>
          <w:rtl/>
        </w:rPr>
        <w:tab/>
      </w:r>
      <w:r w:rsidRPr="00D70811">
        <w:rPr>
          <w:rtl/>
          <w:lang w:bidi="ar-SY"/>
        </w:rPr>
        <w:t xml:space="preserve">التعديل </w:t>
      </w:r>
      <w:r w:rsidRPr="00D70811">
        <w:t>4</w:t>
      </w:r>
      <w:r w:rsidRPr="00D70811">
        <w:rPr>
          <w:rtl/>
        </w:rPr>
        <w:t xml:space="preserve"> </w:t>
      </w:r>
      <w:r w:rsidRPr="00D70811">
        <w:rPr>
          <w:rtl/>
          <w:lang w:bidi="ar-SY"/>
        </w:rPr>
        <w:t xml:space="preserve">للتوصية </w:t>
      </w:r>
      <w:r w:rsidRPr="00D70811">
        <w:t>ITU-T G.994.1</w:t>
      </w:r>
      <w:r w:rsidRPr="00D70811">
        <w:rPr>
          <w:rtl/>
          <w:lang w:bidi="ar-EG"/>
        </w:rPr>
        <w:t xml:space="preserve"> </w:t>
      </w:r>
      <w:r w:rsidRPr="00D70811">
        <w:t>(2012)</w:t>
      </w:r>
      <w:r w:rsidRPr="00D70811">
        <w:rPr>
          <w:rtl/>
          <w:lang w:bidi="ar-SY"/>
        </w:rPr>
        <w:t>،</w:t>
      </w:r>
      <w:r w:rsidRPr="00065186">
        <w:rPr>
          <w:rtl/>
          <w:lang w:bidi="ar-SY"/>
        </w:rPr>
        <w:t xml:space="preserve"> </w:t>
      </w:r>
      <w:r w:rsidRPr="00D5397A">
        <w:rPr>
          <w:i/>
          <w:iCs/>
          <w:rtl/>
        </w:rPr>
        <w:t xml:space="preserve">إجراءات </w:t>
      </w:r>
      <w:r w:rsidR="00D5397A">
        <w:rPr>
          <w:rFonts w:hint="cs"/>
          <w:i/>
          <w:iCs/>
          <w:rtl/>
        </w:rPr>
        <w:t>التواصل</w:t>
      </w:r>
      <w:r w:rsidRPr="00D5397A">
        <w:rPr>
          <w:i/>
          <w:iCs/>
          <w:rtl/>
        </w:rPr>
        <w:t xml:space="preserve"> للمرسلات-المستقبلات في خدمة الخط الرقمي للمشترك</w:t>
      </w:r>
      <w:r w:rsidRPr="00D5397A">
        <w:rPr>
          <w:i/>
          <w:iCs/>
          <w:rtl/>
          <w:lang w:bidi="ar-SY"/>
        </w:rPr>
        <w:t>: التعديل </w:t>
      </w:r>
      <w:r w:rsidRPr="00D5397A">
        <w:rPr>
          <w:i/>
          <w:iCs/>
        </w:rPr>
        <w:t>4</w:t>
      </w:r>
      <w:r w:rsidRPr="00D5397A">
        <w:rPr>
          <w:i/>
          <w:iCs/>
          <w:rtl/>
        </w:rPr>
        <w:t xml:space="preserve"> - نقاط شفرات إضافية لدعم المعيار </w:t>
      </w:r>
      <w:r w:rsidRPr="00D5397A">
        <w:rPr>
          <w:i/>
          <w:iCs/>
        </w:rPr>
        <w:t>G.fast</w:t>
      </w:r>
      <w:r w:rsidRPr="00D5397A">
        <w:rPr>
          <w:rFonts w:hint="cs"/>
          <w:i/>
          <w:iCs/>
          <w:rtl/>
        </w:rPr>
        <w:t>.</w:t>
      </w:r>
    </w:p>
    <w:p w:rsidR="00D70811" w:rsidRPr="00D5397A" w:rsidRDefault="00D70811" w:rsidP="00856981">
      <w:pPr>
        <w:pStyle w:val="enumlev1"/>
        <w:rPr>
          <w:i/>
          <w:iCs/>
          <w:rtl/>
          <w:lang w:bidi="ar-EG"/>
        </w:rPr>
      </w:pPr>
      <w:r>
        <w:rPr>
          <w:rFonts w:hint="cs"/>
          <w:rtl/>
        </w:rPr>
        <w:t>-</w:t>
      </w:r>
      <w:r w:rsidR="00D5397A">
        <w:rPr>
          <w:rtl/>
        </w:rPr>
        <w:tab/>
      </w:r>
      <w:r w:rsidRPr="00D70811">
        <w:rPr>
          <w:rtl/>
          <w:lang w:bidi="ar-SY"/>
        </w:rPr>
        <w:t xml:space="preserve">التوصية </w:t>
      </w:r>
      <w:r w:rsidRPr="00D70811">
        <w:t>ITU-T G.9701</w:t>
      </w:r>
      <w:r w:rsidRPr="00D70811">
        <w:rPr>
          <w:rtl/>
          <w:lang w:bidi="ar-SY"/>
        </w:rPr>
        <w:t xml:space="preserve"> </w:t>
      </w:r>
      <w:r w:rsidRPr="00D70811">
        <w:rPr>
          <w:rtl/>
          <w:lang w:bidi="ar-EG"/>
        </w:rPr>
        <w:t>(جديدة)</w:t>
      </w:r>
      <w:r w:rsidRPr="00D70811">
        <w:rPr>
          <w:rtl/>
          <w:lang w:bidi="ar-SY"/>
        </w:rPr>
        <w:t>،</w:t>
      </w:r>
      <w:r w:rsidRPr="00065186">
        <w:rPr>
          <w:rtl/>
          <w:lang w:bidi="ar-SY"/>
        </w:rPr>
        <w:t xml:space="preserve"> </w:t>
      </w:r>
      <w:r w:rsidRPr="00D5397A">
        <w:rPr>
          <w:i/>
          <w:iCs/>
          <w:rtl/>
          <w:lang w:bidi="ar-EG"/>
        </w:rPr>
        <w:t xml:space="preserve">النفاذ السريع إلى مطاريف ال‍مشتركين </w:t>
      </w:r>
      <w:r w:rsidRPr="00D5397A">
        <w:rPr>
          <w:i/>
          <w:iCs/>
        </w:rPr>
        <w:t>(G.fast)</w:t>
      </w:r>
      <w:r w:rsidRPr="00D5397A">
        <w:rPr>
          <w:i/>
          <w:iCs/>
          <w:rtl/>
        </w:rPr>
        <w:t xml:space="preserve"> </w:t>
      </w:r>
      <w:r w:rsidR="00483AA2">
        <w:rPr>
          <w:rFonts w:hint="cs"/>
          <w:i/>
          <w:iCs/>
          <w:rtl/>
        </w:rPr>
        <w:t>-</w:t>
      </w:r>
      <w:r w:rsidR="00483AA2">
        <w:rPr>
          <w:rFonts w:hint="eastAsia"/>
          <w:i/>
          <w:iCs/>
          <w:rtl/>
        </w:rPr>
        <w:t> مواصفات</w:t>
      </w:r>
      <w:r w:rsidRPr="00D5397A">
        <w:rPr>
          <w:i/>
          <w:iCs/>
          <w:rtl/>
          <w:lang w:bidi="ar-EG"/>
        </w:rPr>
        <w:t xml:space="preserve"> الطبقة</w:t>
      </w:r>
      <w:r w:rsidR="00856981">
        <w:rPr>
          <w:rFonts w:hint="cs"/>
          <w:i/>
          <w:iCs/>
          <w:rtl/>
          <w:lang w:bidi="ar-EG"/>
        </w:rPr>
        <w:t> </w:t>
      </w:r>
      <w:r w:rsidRPr="00D5397A">
        <w:rPr>
          <w:i/>
          <w:iCs/>
          <w:rtl/>
          <w:lang w:bidi="ar-EG"/>
        </w:rPr>
        <w:t>ال‍مادية</w:t>
      </w:r>
      <w:r w:rsidRPr="00D5397A">
        <w:rPr>
          <w:rFonts w:hint="cs"/>
          <w:i/>
          <w:iCs/>
          <w:rtl/>
          <w:lang w:bidi="ar-EG"/>
        </w:rPr>
        <w:t>.</w:t>
      </w:r>
    </w:p>
    <w:p w:rsidR="007C6DD0" w:rsidRPr="00D5397A" w:rsidRDefault="00A13372" w:rsidP="00D5397A">
      <w:pPr>
        <w:pStyle w:val="enumlev1"/>
        <w:rPr>
          <w:i/>
          <w:iCs/>
          <w:rtl/>
          <w:lang w:bidi="ar-EG"/>
        </w:rPr>
      </w:pPr>
      <w:r>
        <w:rPr>
          <w:rFonts w:hint="cs"/>
          <w:rtl/>
          <w:lang w:bidi="ar-EG"/>
        </w:rPr>
        <w:t>-</w:t>
      </w:r>
      <w:r w:rsidR="00D5397A">
        <w:rPr>
          <w:rtl/>
          <w:lang w:bidi="ar-EG"/>
        </w:rPr>
        <w:tab/>
      </w:r>
      <w:r w:rsidR="007C6DD0">
        <w:rPr>
          <w:rtl/>
          <w:lang w:bidi="ar-EG"/>
        </w:rPr>
        <w:t>ا</w:t>
      </w:r>
      <w:r w:rsidR="007C6DD0" w:rsidRPr="00D70811">
        <w:rPr>
          <w:rtl/>
          <w:lang w:bidi="ar-SY"/>
        </w:rPr>
        <w:t xml:space="preserve">لتوصية </w:t>
      </w:r>
      <w:r w:rsidR="007C6DD0" w:rsidRPr="00D70811">
        <w:t>ITU-T G.9979</w:t>
      </w:r>
      <w:r w:rsidR="007C6DD0" w:rsidRPr="00D70811">
        <w:rPr>
          <w:rtl/>
          <w:lang w:bidi="ar-SY"/>
        </w:rPr>
        <w:t xml:space="preserve"> (</w:t>
      </w:r>
      <w:r w:rsidR="007C6DD0" w:rsidRPr="00D70811">
        <w:rPr>
          <w:rtl/>
        </w:rPr>
        <w:t>جديدة</w:t>
      </w:r>
      <w:r w:rsidR="007C6DD0" w:rsidRPr="00D70811">
        <w:rPr>
          <w:rtl/>
          <w:lang w:bidi="ar-SY"/>
        </w:rPr>
        <w:t>)،</w:t>
      </w:r>
      <w:r w:rsidR="007C6DD0" w:rsidRPr="00065186">
        <w:rPr>
          <w:rtl/>
        </w:rPr>
        <w:t xml:space="preserve"> </w:t>
      </w:r>
      <w:r w:rsidR="007C6DD0" w:rsidRPr="00D5397A">
        <w:rPr>
          <w:i/>
          <w:iCs/>
          <w:rtl/>
        </w:rPr>
        <w:t>ت</w:t>
      </w:r>
      <w:r w:rsidR="007C6DD0" w:rsidRPr="00D5397A">
        <w:rPr>
          <w:i/>
          <w:iCs/>
          <w:rtl/>
          <w:lang w:bidi="ar-EG"/>
        </w:rPr>
        <w:t>‍</w:t>
      </w:r>
      <w:r w:rsidR="007C6DD0" w:rsidRPr="00D5397A">
        <w:rPr>
          <w:rFonts w:hint="cs"/>
          <w:i/>
          <w:iCs/>
          <w:rtl/>
          <w:lang w:bidi="ar-EG"/>
        </w:rPr>
        <w:t xml:space="preserve">نفيذ </w:t>
      </w:r>
      <w:r w:rsidR="007C6DD0" w:rsidRPr="00D5397A">
        <w:rPr>
          <w:rFonts w:hint="cs"/>
          <w:i/>
          <w:iCs/>
          <w:rtl/>
        </w:rPr>
        <w:t>الآلية العامة في ا</w:t>
      </w:r>
      <w:r w:rsidR="007C6DD0" w:rsidRPr="00D5397A">
        <w:rPr>
          <w:i/>
          <w:iCs/>
          <w:rtl/>
        </w:rPr>
        <w:t>ل‍معيار </w:t>
      </w:r>
      <w:r w:rsidR="007C6DD0" w:rsidRPr="00D5397A">
        <w:rPr>
          <w:i/>
          <w:iCs/>
        </w:rPr>
        <w:t>IEEE 1905.1</w:t>
      </w:r>
      <w:r w:rsidR="000C5DB9">
        <w:rPr>
          <w:i/>
          <w:iCs/>
        </w:rPr>
        <w:t>a</w:t>
      </w:r>
      <w:r w:rsidR="007C6DD0" w:rsidRPr="00D5397A">
        <w:rPr>
          <w:i/>
          <w:iCs/>
          <w:rtl/>
          <w:lang w:bidi="ar-EG"/>
        </w:rPr>
        <w:t xml:space="preserve"> </w:t>
      </w:r>
      <w:r w:rsidR="007C6DD0" w:rsidRPr="00D5397A">
        <w:rPr>
          <w:i/>
          <w:iCs/>
        </w:rPr>
        <w:t>(2014)</w:t>
      </w:r>
      <w:r w:rsidR="007C6DD0" w:rsidRPr="00D5397A">
        <w:rPr>
          <w:rFonts w:hint="cs"/>
          <w:i/>
          <w:iCs/>
          <w:rtl/>
        </w:rPr>
        <w:t xml:space="preserve"> لتشمل توصيات قطاع تقييس الاتصالات </w:t>
      </w:r>
      <w:r w:rsidR="00D5397A">
        <w:rPr>
          <w:rFonts w:hint="cs"/>
          <w:i/>
          <w:iCs/>
          <w:rtl/>
        </w:rPr>
        <w:t>المنطبقة</w:t>
      </w:r>
      <w:r w:rsidR="007C6DD0" w:rsidRPr="00D5397A">
        <w:rPr>
          <w:i/>
          <w:iCs/>
          <w:rtl/>
          <w:lang w:bidi="ar-EG"/>
        </w:rPr>
        <w:t>.</w:t>
      </w:r>
    </w:p>
    <w:p w:rsidR="009F7312" w:rsidRPr="009F7312" w:rsidRDefault="009F7312" w:rsidP="007052B6">
      <w:pPr>
        <w:keepNext/>
        <w:rPr>
          <w:rtl/>
          <w:lang w:bidi="ar-EG"/>
        </w:rPr>
      </w:pPr>
      <w:r w:rsidRPr="009F7312">
        <w:lastRenderedPageBreak/>
        <w:t>3</w:t>
      </w:r>
      <w:r w:rsidRPr="009F7312">
        <w:rPr>
          <w:rFonts w:hint="cs"/>
          <w:rtl/>
          <w:lang w:bidi="ar-EG"/>
        </w:rPr>
        <w:tab/>
        <w:t>ويمكن الاطلاع على معلومات براءات الاختراع</w:t>
      </w:r>
      <w:r w:rsidR="00D5397A">
        <w:rPr>
          <w:rFonts w:hint="cs"/>
          <w:rtl/>
          <w:lang w:bidi="ar-EG"/>
        </w:rPr>
        <w:t xml:space="preserve"> المتاحة</w:t>
      </w:r>
      <w:r w:rsidRPr="009F7312">
        <w:rPr>
          <w:rFonts w:hint="cs"/>
          <w:rtl/>
          <w:lang w:bidi="ar-EG"/>
        </w:rPr>
        <w:t xml:space="preserve"> في الموقع الإلكتروني لقطاع تقييس الاتصالات.</w:t>
      </w:r>
    </w:p>
    <w:p w:rsidR="009F7312" w:rsidRPr="009F7312" w:rsidRDefault="009F7312" w:rsidP="007052B6">
      <w:pPr>
        <w:keepNext/>
        <w:rPr>
          <w:rtl/>
          <w:lang w:bidi="ar-EG"/>
        </w:rPr>
      </w:pPr>
      <w:r w:rsidRPr="009F7312">
        <w:t>4</w:t>
      </w:r>
      <w:r w:rsidR="00D5397A">
        <w:rPr>
          <w:rFonts w:hint="cs"/>
          <w:rtl/>
          <w:lang w:bidi="ar-EG"/>
        </w:rPr>
        <w:tab/>
        <w:t>وست</w:t>
      </w:r>
      <w:r w:rsidRPr="009F7312">
        <w:rPr>
          <w:rFonts w:hint="cs"/>
          <w:rtl/>
          <w:lang w:bidi="ar-EG"/>
        </w:rPr>
        <w:t xml:space="preserve">تاح قريباً </w:t>
      </w:r>
      <w:r w:rsidR="00D5397A">
        <w:rPr>
          <w:rFonts w:hint="cs"/>
          <w:rtl/>
          <w:lang w:bidi="ar-EG"/>
        </w:rPr>
        <w:t>نصوص التوصيات</w:t>
      </w:r>
      <w:r w:rsidRPr="009F7312">
        <w:rPr>
          <w:rFonts w:hint="cs"/>
          <w:rtl/>
          <w:lang w:bidi="ar-EG"/>
        </w:rPr>
        <w:t xml:space="preserve"> بالصيغة السابقة للنشر في الموقع الإلكتروني لقطاع تقييس الاتصالات.</w:t>
      </w:r>
    </w:p>
    <w:p w:rsidR="00A94C64" w:rsidRPr="00F8452F" w:rsidRDefault="009F7312" w:rsidP="00D5397A">
      <w:pPr>
        <w:keepNext/>
      </w:pPr>
      <w:r w:rsidRPr="009F7312">
        <w:t>5</w:t>
      </w:r>
      <w:r w:rsidRPr="009F7312">
        <w:rPr>
          <w:rFonts w:hint="cs"/>
          <w:rtl/>
          <w:lang w:bidi="ar-EG"/>
        </w:rPr>
        <w:tab/>
        <w:t xml:space="preserve">وسينشر </w:t>
      </w:r>
      <w:r w:rsidR="00D5397A">
        <w:rPr>
          <w:rFonts w:hint="cs"/>
          <w:rtl/>
          <w:lang w:bidi="ar-EG"/>
        </w:rPr>
        <w:t xml:space="preserve">الاتحاد نصوص هذه التوصيات </w:t>
      </w:r>
      <w:r w:rsidRPr="009F7312">
        <w:rPr>
          <w:rFonts w:hint="cs"/>
          <w:rtl/>
          <w:lang w:bidi="ar-EG"/>
        </w:rPr>
        <w:t>بأسرع ما يمكن.</w:t>
      </w:r>
    </w:p>
    <w:p w:rsidR="00A94C64" w:rsidRPr="001401E7" w:rsidRDefault="00A94C64" w:rsidP="00904373">
      <w:pPr>
        <w:spacing w:before="240" w:line="187" w:lineRule="auto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AA10D1" w:rsidRPr="00012185" w:rsidRDefault="00A94C64" w:rsidP="00D5397A">
      <w:pPr>
        <w:spacing w:before="1440"/>
        <w:jc w:val="left"/>
        <w:rPr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r w:rsidR="00BE5A1C">
        <w:rPr>
          <w:rtl/>
        </w:rPr>
        <w:br/>
      </w:r>
      <w:r w:rsidRPr="001401E7">
        <w:rPr>
          <w:rFonts w:hint="cs"/>
          <w:rtl/>
          <w:lang w:bidi="ar-EG"/>
        </w:rPr>
        <w:t>مدير</w:t>
      </w:r>
      <w:r>
        <w:rPr>
          <w:rFonts w:hint="cs"/>
          <w:rtl/>
          <w:lang w:bidi="ar-EG"/>
        </w:rPr>
        <w:t xml:space="preserve"> مكتب تقييس الاتصالات</w:t>
      </w:r>
    </w:p>
    <w:sectPr w:rsidR="00AA10D1" w:rsidRPr="00012185" w:rsidSect="00F8452F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AA" w:rsidRDefault="002F71AA" w:rsidP="002919E1">
      <w:r>
        <w:separator/>
      </w:r>
    </w:p>
    <w:p w:rsidR="002F71AA" w:rsidRDefault="002F71AA" w:rsidP="002919E1"/>
    <w:p w:rsidR="002F71AA" w:rsidRDefault="002F71AA" w:rsidP="002919E1"/>
    <w:p w:rsidR="002F71AA" w:rsidRDefault="002F71AA"/>
  </w:endnote>
  <w:endnote w:type="continuationSeparator" w:id="0">
    <w:p w:rsidR="002F71AA" w:rsidRDefault="002F71AA" w:rsidP="002919E1">
      <w:r>
        <w:continuationSeparator/>
      </w:r>
    </w:p>
    <w:p w:rsidR="002F71AA" w:rsidRDefault="002F71AA" w:rsidP="002919E1"/>
    <w:p w:rsidR="002F71AA" w:rsidRDefault="002F71AA" w:rsidP="002919E1"/>
    <w:p w:rsidR="002F71AA" w:rsidRDefault="002F7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81" w:rsidRPr="00395501" w:rsidRDefault="00395501" w:rsidP="00395501">
    <w:pPr>
      <w:pStyle w:val="Footer"/>
      <w:rPr>
        <w:lang w:val="fr-CH"/>
      </w:rPr>
    </w:pPr>
    <w:r w:rsidRPr="00395501">
      <w:rPr>
        <w:lang w:val="fr-CH"/>
      </w:rPr>
      <w:t>ITU-T\BUREAU\CIRC\133</w:t>
    </w:r>
    <w:r>
      <w:rPr>
        <w:lang w:val="fr-CH"/>
      </w:rPr>
      <w:t>A</w:t>
    </w:r>
    <w:r w:rsidRPr="00395501">
      <w:rPr>
        <w:lang w:val="fr-CH"/>
      </w:rPr>
      <w:t>.DOC</w:t>
    </w:r>
    <w:r w:rsidRPr="00395501">
      <w:rPr>
        <w:lang w:val="fr-CH"/>
      </w:rPr>
      <w:tab/>
    </w:r>
    <w:r w:rsidRPr="00395501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81" w:rsidRPr="004E3CF9" w:rsidRDefault="00A81181" w:rsidP="00F8452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Telecommunication Union • Place des Nations • </w:t>
    </w:r>
    <w:r>
      <w:rPr>
        <w:sz w:val="18"/>
        <w:szCs w:val="18"/>
        <w:lang w:val="fr-CH"/>
      </w:rPr>
      <w:t>CH</w:t>
    </w:r>
    <w:r>
      <w:rPr>
        <w:sz w:val="18"/>
        <w:szCs w:val="18"/>
        <w:lang w:val="fr-CH"/>
      </w:rPr>
      <w:noBreakHyphen/>
      <w:t>1211 Geneva 20 • Switzerland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AA" w:rsidRDefault="002F71AA" w:rsidP="002919E1">
      <w:r>
        <w:t>___________________</w:t>
      </w:r>
    </w:p>
  </w:footnote>
  <w:footnote w:type="continuationSeparator" w:id="0">
    <w:p w:rsidR="002F71AA" w:rsidRDefault="002F71AA" w:rsidP="002919E1">
      <w:r>
        <w:continuationSeparator/>
      </w:r>
    </w:p>
    <w:p w:rsidR="002F71AA" w:rsidRDefault="002F71AA" w:rsidP="002919E1"/>
    <w:p w:rsidR="002F71AA" w:rsidRDefault="002F71AA" w:rsidP="002919E1"/>
    <w:p w:rsidR="002F71AA" w:rsidRDefault="002F71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81" w:rsidRPr="0088384B" w:rsidRDefault="00A81181" w:rsidP="00F8452F">
    <w:pPr>
      <w:bidi w:val="0"/>
      <w:spacing w:after="120" w:line="240" w:lineRule="auto"/>
      <w:jc w:val="center"/>
      <w:rPr>
        <w:rStyle w:val="PageNumber"/>
      </w:rPr>
    </w:pPr>
    <w:r>
      <w:rPr>
        <w:rStyle w:val="PageNumber"/>
      </w:rPr>
      <w:t xml:space="preserve">- </w:t>
    </w: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1472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12185"/>
    <w:rsid w:val="00040C94"/>
    <w:rsid w:val="000425FC"/>
    <w:rsid w:val="00044D43"/>
    <w:rsid w:val="00051907"/>
    <w:rsid w:val="00055542"/>
    <w:rsid w:val="00072A32"/>
    <w:rsid w:val="00075A3F"/>
    <w:rsid w:val="00083255"/>
    <w:rsid w:val="00093384"/>
    <w:rsid w:val="000A1B16"/>
    <w:rsid w:val="000B089F"/>
    <w:rsid w:val="000B324F"/>
    <w:rsid w:val="000B5404"/>
    <w:rsid w:val="000C5DB9"/>
    <w:rsid w:val="000D0205"/>
    <w:rsid w:val="000D1708"/>
    <w:rsid w:val="000D23CD"/>
    <w:rsid w:val="000E2AFC"/>
    <w:rsid w:val="000E6D30"/>
    <w:rsid w:val="000F05F5"/>
    <w:rsid w:val="000F518F"/>
    <w:rsid w:val="0010081C"/>
    <w:rsid w:val="001013E3"/>
    <w:rsid w:val="00132709"/>
    <w:rsid w:val="00140B00"/>
    <w:rsid w:val="00142E51"/>
    <w:rsid w:val="001464F2"/>
    <w:rsid w:val="00167364"/>
    <w:rsid w:val="00176EEF"/>
    <w:rsid w:val="001903B2"/>
    <w:rsid w:val="001E190C"/>
    <w:rsid w:val="001E54F6"/>
    <w:rsid w:val="001E5A8C"/>
    <w:rsid w:val="00201A0A"/>
    <w:rsid w:val="002075D4"/>
    <w:rsid w:val="00211B2A"/>
    <w:rsid w:val="002141A0"/>
    <w:rsid w:val="002147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267"/>
    <w:rsid w:val="002C3A6A"/>
    <w:rsid w:val="002D0D6E"/>
    <w:rsid w:val="002D28A9"/>
    <w:rsid w:val="002D5F64"/>
    <w:rsid w:val="002D6FBF"/>
    <w:rsid w:val="002E48BF"/>
    <w:rsid w:val="002E61C2"/>
    <w:rsid w:val="002E7554"/>
    <w:rsid w:val="002F71AA"/>
    <w:rsid w:val="00336C1A"/>
    <w:rsid w:val="003569E1"/>
    <w:rsid w:val="003815E2"/>
    <w:rsid w:val="00381FAD"/>
    <w:rsid w:val="003923B1"/>
    <w:rsid w:val="0039550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83AA2"/>
    <w:rsid w:val="004909DD"/>
    <w:rsid w:val="004A05E6"/>
    <w:rsid w:val="004A34A8"/>
    <w:rsid w:val="004A6C66"/>
    <w:rsid w:val="004A7AA0"/>
    <w:rsid w:val="004B0571"/>
    <w:rsid w:val="004C11BC"/>
    <w:rsid w:val="004C2CB9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47A47"/>
    <w:rsid w:val="00553411"/>
    <w:rsid w:val="00564746"/>
    <w:rsid w:val="005648B0"/>
    <w:rsid w:val="0056512C"/>
    <w:rsid w:val="0056655B"/>
    <w:rsid w:val="00566BCB"/>
    <w:rsid w:val="00576D0A"/>
    <w:rsid w:val="00583690"/>
    <w:rsid w:val="00584333"/>
    <w:rsid w:val="005953EC"/>
    <w:rsid w:val="00597562"/>
    <w:rsid w:val="005B00A1"/>
    <w:rsid w:val="005C29C8"/>
    <w:rsid w:val="005C5D25"/>
    <w:rsid w:val="005D372D"/>
    <w:rsid w:val="005D622F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B4B90"/>
    <w:rsid w:val="006B658C"/>
    <w:rsid w:val="006B74C9"/>
    <w:rsid w:val="006C5BDA"/>
    <w:rsid w:val="006D2674"/>
    <w:rsid w:val="006E2EF8"/>
    <w:rsid w:val="006E38D0"/>
    <w:rsid w:val="006E465B"/>
    <w:rsid w:val="006F70BF"/>
    <w:rsid w:val="007052B6"/>
    <w:rsid w:val="0070777C"/>
    <w:rsid w:val="00716B1D"/>
    <w:rsid w:val="007248EC"/>
    <w:rsid w:val="00731150"/>
    <w:rsid w:val="00736DCC"/>
    <w:rsid w:val="00741855"/>
    <w:rsid w:val="00742B73"/>
    <w:rsid w:val="00751251"/>
    <w:rsid w:val="00757727"/>
    <w:rsid w:val="007610E7"/>
    <w:rsid w:val="0076191A"/>
    <w:rsid w:val="00771F7E"/>
    <w:rsid w:val="00773570"/>
    <w:rsid w:val="00773E9C"/>
    <w:rsid w:val="00776F6B"/>
    <w:rsid w:val="00777694"/>
    <w:rsid w:val="00786A7E"/>
    <w:rsid w:val="007A0802"/>
    <w:rsid w:val="007B1FCA"/>
    <w:rsid w:val="007C2C12"/>
    <w:rsid w:val="007C3CFA"/>
    <w:rsid w:val="007C6DD0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6981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6ACC"/>
    <w:rsid w:val="008D7AF0"/>
    <w:rsid w:val="008E32DD"/>
    <w:rsid w:val="008E757A"/>
    <w:rsid w:val="008F4626"/>
    <w:rsid w:val="009004DF"/>
    <w:rsid w:val="00904373"/>
    <w:rsid w:val="00904AA5"/>
    <w:rsid w:val="009146BA"/>
    <w:rsid w:val="00951718"/>
    <w:rsid w:val="00960962"/>
    <w:rsid w:val="00972CE0"/>
    <w:rsid w:val="00976F64"/>
    <w:rsid w:val="009919E5"/>
    <w:rsid w:val="009A3D30"/>
    <w:rsid w:val="009D3683"/>
    <w:rsid w:val="009D6348"/>
    <w:rsid w:val="009E613F"/>
    <w:rsid w:val="009F042B"/>
    <w:rsid w:val="009F7312"/>
    <w:rsid w:val="00A03FD6"/>
    <w:rsid w:val="00A06F6F"/>
    <w:rsid w:val="00A07132"/>
    <w:rsid w:val="00A10369"/>
    <w:rsid w:val="00A116A8"/>
    <w:rsid w:val="00A13372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1181"/>
    <w:rsid w:val="00A83807"/>
    <w:rsid w:val="00A870AD"/>
    <w:rsid w:val="00A94C64"/>
    <w:rsid w:val="00A9645C"/>
    <w:rsid w:val="00AA10D1"/>
    <w:rsid w:val="00AB2A33"/>
    <w:rsid w:val="00AC1275"/>
    <w:rsid w:val="00AC7395"/>
    <w:rsid w:val="00AD690F"/>
    <w:rsid w:val="00AD69DD"/>
    <w:rsid w:val="00AE40DC"/>
    <w:rsid w:val="00AE7C3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73960"/>
    <w:rsid w:val="00B81CB5"/>
    <w:rsid w:val="00B8351F"/>
    <w:rsid w:val="00B86C44"/>
    <w:rsid w:val="00BA7234"/>
    <w:rsid w:val="00BA7D44"/>
    <w:rsid w:val="00BD15E6"/>
    <w:rsid w:val="00BD6B1B"/>
    <w:rsid w:val="00BD6EF3"/>
    <w:rsid w:val="00BE5A1C"/>
    <w:rsid w:val="00BE69C3"/>
    <w:rsid w:val="00C1165E"/>
    <w:rsid w:val="00C22074"/>
    <w:rsid w:val="00C2377B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C030E"/>
    <w:rsid w:val="00CC6408"/>
    <w:rsid w:val="00CC68C4"/>
    <w:rsid w:val="00CC79A4"/>
    <w:rsid w:val="00CD0FDE"/>
    <w:rsid w:val="00CE0E68"/>
    <w:rsid w:val="00CE5BA4"/>
    <w:rsid w:val="00D055E4"/>
    <w:rsid w:val="00D07AE9"/>
    <w:rsid w:val="00D1262E"/>
    <w:rsid w:val="00D25120"/>
    <w:rsid w:val="00D30B67"/>
    <w:rsid w:val="00D419CB"/>
    <w:rsid w:val="00D44E3F"/>
    <w:rsid w:val="00D47A82"/>
    <w:rsid w:val="00D525F5"/>
    <w:rsid w:val="00D535D0"/>
    <w:rsid w:val="00D5397A"/>
    <w:rsid w:val="00D70811"/>
    <w:rsid w:val="00D81703"/>
    <w:rsid w:val="00D82929"/>
    <w:rsid w:val="00D84214"/>
    <w:rsid w:val="00D943E5"/>
    <w:rsid w:val="00D97DF9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93524"/>
    <w:rsid w:val="00EA1B76"/>
    <w:rsid w:val="00EA753B"/>
    <w:rsid w:val="00EA77D7"/>
    <w:rsid w:val="00EB5FFA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1670"/>
    <w:rsid w:val="00F71773"/>
    <w:rsid w:val="00F73320"/>
    <w:rsid w:val="00F8452F"/>
    <w:rsid w:val="00F8654D"/>
    <w:rsid w:val="00F86668"/>
    <w:rsid w:val="00F900C9"/>
    <w:rsid w:val="00F92C96"/>
    <w:rsid w:val="00FA0D4E"/>
    <w:rsid w:val="00FB0753"/>
    <w:rsid w:val="00FB5CC8"/>
    <w:rsid w:val="00FC2CD0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EA24273-365A-45F9-86AD-269E669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4F28-97B0-4EA5-AE97-B3A161D3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Al-Midani, Mohammad Haitham</dc:creator>
  <cp:keywords/>
  <dc:description>133A.DOCX  For: _x000d_Document date: _x000d_Saved by ITU51010110 at 13:58:56 on 07/01/15</dc:description>
  <cp:lastModifiedBy>Aveline, Marion</cp:lastModifiedBy>
  <cp:revision>2</cp:revision>
  <cp:lastPrinted>2014-08-22T14:35:00Z</cp:lastPrinted>
  <dcterms:created xsi:type="dcterms:W3CDTF">2015-01-08T09:42:00Z</dcterms:created>
  <dcterms:modified xsi:type="dcterms:W3CDTF">2015-01-08T09:42:00Z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133A.DOCX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