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1" w:rightFromText="181" w:vertAnchor="page" w:horzAnchor="margin" w:tblpXSpec="center" w:tblpY="664"/>
        <w:tblW w:w="9781" w:type="dxa"/>
        <w:tblLayout w:type="fixed"/>
        <w:tblCellMar>
          <w:left w:w="0" w:type="dxa"/>
          <w:right w:w="0" w:type="dxa"/>
        </w:tblCellMar>
        <w:tblLook w:val="0000" w:firstRow="0" w:lastRow="0" w:firstColumn="0" w:lastColumn="0" w:noHBand="0" w:noVBand="0"/>
      </w:tblPr>
      <w:tblGrid>
        <w:gridCol w:w="1134"/>
        <w:gridCol w:w="4253"/>
        <w:gridCol w:w="4394"/>
      </w:tblGrid>
      <w:tr w:rsidR="00951309" w:rsidTr="00453356">
        <w:trPr>
          <w:cantSplit/>
          <w:trHeight w:val="15"/>
        </w:trPr>
        <w:tc>
          <w:tcPr>
            <w:tcW w:w="5387" w:type="dxa"/>
            <w:gridSpan w:val="2"/>
            <w:vAlign w:val="center"/>
          </w:tcPr>
          <w:p w:rsidR="00951309" w:rsidRPr="009A54D9" w:rsidRDefault="00951309" w:rsidP="002F6530">
            <w:pPr>
              <w:pStyle w:val="Tabletext"/>
            </w:pPr>
            <w:r w:rsidRPr="00453356">
              <w:rPr>
                <w:b/>
                <w:bCs/>
                <w:iCs/>
                <w:sz w:val="32"/>
                <w:szCs w:val="32"/>
              </w:rPr>
              <w:t>Telecommunication Standardization</w:t>
            </w:r>
            <w:r w:rsidRPr="00453356">
              <w:rPr>
                <w:b/>
                <w:bCs/>
                <w:iCs/>
                <w:sz w:val="32"/>
                <w:szCs w:val="32"/>
              </w:rPr>
              <w:br/>
              <w:t>Bureau</w:t>
            </w:r>
          </w:p>
        </w:tc>
        <w:tc>
          <w:tcPr>
            <w:tcW w:w="4394" w:type="dxa"/>
            <w:vAlign w:val="center"/>
          </w:tcPr>
          <w:p w:rsidR="00951309" w:rsidRPr="00F50108" w:rsidRDefault="00951309" w:rsidP="002F6530">
            <w:pPr>
              <w:spacing w:before="0"/>
              <w:jc w:val="right"/>
              <w:rPr>
                <w:rFonts w:ascii="Verdana" w:hAnsi="Verdana"/>
                <w:color w:val="FFFFFF"/>
                <w:sz w:val="26"/>
                <w:szCs w:val="26"/>
              </w:rPr>
            </w:pPr>
            <w:bookmarkStart w:id="0" w:name="ditulogo"/>
            <w:r>
              <w:rPr>
                <w:rFonts w:ascii="Verdana" w:hAnsi="Verdana"/>
                <w:noProof/>
                <w:color w:val="FFFFFF"/>
                <w:sz w:val="26"/>
                <w:szCs w:val="26"/>
                <w:lang w:val="en-US" w:eastAsia="zh-CN"/>
              </w:rPr>
              <w:drawing>
                <wp:inline distT="0" distB="0" distL="0" distR="0" wp14:anchorId="5B34EE5C" wp14:editId="18A921F5">
                  <wp:extent cx="1762125" cy="742950"/>
                  <wp:effectExtent l="0" t="0" r="0" b="0"/>
                  <wp:docPr id="1" name="Picture 1" descr="ITU logo"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bookmarkEnd w:id="0"/>
          </w:p>
        </w:tc>
      </w:tr>
      <w:tr w:rsidR="000305E1" w:rsidTr="00453356">
        <w:trPr>
          <w:cantSplit/>
          <w:trHeight w:val="80"/>
        </w:trPr>
        <w:tc>
          <w:tcPr>
            <w:tcW w:w="5387" w:type="dxa"/>
            <w:gridSpan w:val="2"/>
            <w:vAlign w:val="center"/>
          </w:tcPr>
          <w:p w:rsidR="000305E1" w:rsidRDefault="000305E1" w:rsidP="002F6530">
            <w:pPr>
              <w:pStyle w:val="Tabletext"/>
              <w:jc w:val="right"/>
            </w:pPr>
          </w:p>
        </w:tc>
        <w:tc>
          <w:tcPr>
            <w:tcW w:w="4394" w:type="dxa"/>
            <w:vAlign w:val="center"/>
          </w:tcPr>
          <w:p w:rsidR="000305E1" w:rsidRDefault="000305E1" w:rsidP="00D41CBB">
            <w:pPr>
              <w:pStyle w:val="Tabletext"/>
              <w:spacing w:before="480" w:after="120"/>
            </w:pPr>
            <w:r>
              <w:t xml:space="preserve">Geneva, </w:t>
            </w:r>
            <w:r w:rsidR="000B49D7">
              <w:t>1</w:t>
            </w:r>
            <w:r w:rsidR="00D41CBB">
              <w:t>8</w:t>
            </w:r>
            <w:r w:rsidR="000B49D7">
              <w:t xml:space="preserve"> July 2014</w:t>
            </w:r>
          </w:p>
        </w:tc>
      </w:tr>
      <w:tr w:rsidR="00951309" w:rsidTr="00453356">
        <w:trPr>
          <w:cantSplit/>
          <w:trHeight w:val="123"/>
        </w:trPr>
        <w:tc>
          <w:tcPr>
            <w:tcW w:w="1134" w:type="dxa"/>
          </w:tcPr>
          <w:p w:rsidR="00951309" w:rsidRPr="00F36AC4" w:rsidRDefault="00951309" w:rsidP="002F6530">
            <w:pPr>
              <w:pStyle w:val="Tabletext"/>
              <w:rPr>
                <w:rFonts w:ascii="Futura Lt BT" w:hAnsi="Futura Lt BT"/>
              </w:rPr>
            </w:pPr>
            <w:bookmarkStart w:id="1" w:name="Adress_E" w:colFirst="2" w:colLast="2"/>
            <w:r w:rsidRPr="00F36AC4">
              <w:t>Ref:</w:t>
            </w:r>
          </w:p>
        </w:tc>
        <w:tc>
          <w:tcPr>
            <w:tcW w:w="4253" w:type="dxa"/>
          </w:tcPr>
          <w:p w:rsidR="00951309" w:rsidRPr="000305E1" w:rsidRDefault="00951309" w:rsidP="00436C3D">
            <w:pPr>
              <w:pStyle w:val="Tabletext"/>
              <w:rPr>
                <w:b/>
                <w:bCs/>
              </w:rPr>
            </w:pPr>
            <w:r w:rsidRPr="000305E1">
              <w:rPr>
                <w:b/>
                <w:bCs/>
              </w:rPr>
              <w:t xml:space="preserve">TSB Circular </w:t>
            </w:r>
            <w:r w:rsidR="00436C3D">
              <w:rPr>
                <w:b/>
                <w:bCs/>
              </w:rPr>
              <w:t>107</w:t>
            </w:r>
          </w:p>
          <w:p w:rsidR="00951309" w:rsidRPr="00F36AC4" w:rsidRDefault="00951309" w:rsidP="00436C3D">
            <w:pPr>
              <w:pStyle w:val="Tabletext"/>
            </w:pPr>
            <w:r w:rsidRPr="000305E1">
              <w:t xml:space="preserve">COM </w:t>
            </w:r>
            <w:r w:rsidR="000B49D7">
              <w:t>16</w:t>
            </w:r>
            <w:r w:rsidRPr="000305E1">
              <w:t>/</w:t>
            </w:r>
            <w:r w:rsidR="00436C3D">
              <w:t>SCN</w:t>
            </w:r>
          </w:p>
        </w:tc>
        <w:tc>
          <w:tcPr>
            <w:tcW w:w="4394" w:type="dxa"/>
            <w:vMerge w:val="restart"/>
          </w:tcPr>
          <w:p w:rsidR="00951309" w:rsidRDefault="00951309" w:rsidP="000B49D7">
            <w:pPr>
              <w:pStyle w:val="Tabletext"/>
              <w:tabs>
                <w:tab w:val="clear" w:pos="284"/>
              </w:tabs>
              <w:ind w:left="284" w:hanging="284"/>
            </w:pPr>
            <w:r>
              <w:t>-</w:t>
            </w:r>
            <w:r>
              <w:tab/>
              <w:t>To Administrations of Member States of the Union</w:t>
            </w:r>
          </w:p>
        </w:tc>
      </w:tr>
      <w:bookmarkEnd w:id="1"/>
      <w:tr w:rsidR="00951309" w:rsidTr="00453356">
        <w:trPr>
          <w:cantSplit/>
          <w:trHeight w:val="281"/>
        </w:trPr>
        <w:tc>
          <w:tcPr>
            <w:tcW w:w="1134" w:type="dxa"/>
          </w:tcPr>
          <w:p w:rsidR="00951309" w:rsidRPr="00F36AC4" w:rsidRDefault="00951309" w:rsidP="002F6530">
            <w:pPr>
              <w:pStyle w:val="Tabletext"/>
            </w:pPr>
          </w:p>
        </w:tc>
        <w:tc>
          <w:tcPr>
            <w:tcW w:w="4253" w:type="dxa"/>
          </w:tcPr>
          <w:p w:rsidR="00951309" w:rsidRPr="000305E1" w:rsidRDefault="00951309" w:rsidP="002F6530">
            <w:pPr>
              <w:pStyle w:val="Tabletext"/>
              <w:rPr>
                <w:bCs/>
              </w:rPr>
            </w:pPr>
          </w:p>
        </w:tc>
        <w:tc>
          <w:tcPr>
            <w:tcW w:w="4394" w:type="dxa"/>
            <w:vMerge/>
          </w:tcPr>
          <w:p w:rsidR="00951309" w:rsidRDefault="00951309" w:rsidP="002F6530">
            <w:pPr>
              <w:pStyle w:val="Tabletext"/>
              <w:ind w:left="142" w:hanging="142"/>
            </w:pPr>
          </w:p>
        </w:tc>
      </w:tr>
      <w:tr w:rsidR="00951309" w:rsidTr="00453356">
        <w:trPr>
          <w:cantSplit/>
          <w:trHeight w:val="221"/>
        </w:trPr>
        <w:tc>
          <w:tcPr>
            <w:tcW w:w="1134" w:type="dxa"/>
          </w:tcPr>
          <w:p w:rsidR="00951309" w:rsidRPr="00F36AC4" w:rsidRDefault="00951309" w:rsidP="002F6530">
            <w:pPr>
              <w:pStyle w:val="Tabletext"/>
            </w:pPr>
            <w:r w:rsidRPr="00F36AC4">
              <w:t>Tel:</w:t>
            </w:r>
          </w:p>
        </w:tc>
        <w:tc>
          <w:tcPr>
            <w:tcW w:w="4253" w:type="dxa"/>
          </w:tcPr>
          <w:p w:rsidR="00951309" w:rsidRPr="00F36AC4" w:rsidRDefault="00951309" w:rsidP="000B49D7">
            <w:pPr>
              <w:pStyle w:val="Tabletext"/>
              <w:rPr>
                <w:b/>
              </w:rPr>
            </w:pPr>
            <w:r w:rsidRPr="00F36AC4">
              <w:t>+41 22 730</w:t>
            </w:r>
            <w:r w:rsidR="00AF10F1">
              <w:t xml:space="preserve"> </w:t>
            </w:r>
            <w:r w:rsidR="000B49D7">
              <w:t>6805</w:t>
            </w:r>
          </w:p>
        </w:tc>
        <w:tc>
          <w:tcPr>
            <w:tcW w:w="4394" w:type="dxa"/>
            <w:vMerge/>
          </w:tcPr>
          <w:p w:rsidR="00951309" w:rsidRDefault="00951309" w:rsidP="002F6530">
            <w:pPr>
              <w:pStyle w:val="Tabletext"/>
              <w:ind w:left="142" w:hanging="142"/>
            </w:pPr>
          </w:p>
        </w:tc>
      </w:tr>
      <w:tr w:rsidR="00951309" w:rsidTr="00453356">
        <w:trPr>
          <w:cantSplit/>
          <w:trHeight w:val="282"/>
        </w:trPr>
        <w:tc>
          <w:tcPr>
            <w:tcW w:w="1134" w:type="dxa"/>
          </w:tcPr>
          <w:p w:rsidR="00951309" w:rsidRPr="00F36AC4" w:rsidRDefault="00951309" w:rsidP="002F6530">
            <w:pPr>
              <w:pStyle w:val="Tabletext"/>
            </w:pPr>
            <w:r w:rsidRPr="00F36AC4">
              <w:t>Fax:</w:t>
            </w:r>
          </w:p>
        </w:tc>
        <w:tc>
          <w:tcPr>
            <w:tcW w:w="4253" w:type="dxa"/>
          </w:tcPr>
          <w:p w:rsidR="00951309" w:rsidRPr="00F36AC4" w:rsidRDefault="00951309" w:rsidP="002F6530">
            <w:pPr>
              <w:pStyle w:val="Tabletext"/>
              <w:rPr>
                <w:b/>
              </w:rPr>
            </w:pPr>
            <w:r w:rsidRPr="00F36AC4">
              <w:t>+41 22 730 5853</w:t>
            </w:r>
          </w:p>
        </w:tc>
        <w:tc>
          <w:tcPr>
            <w:tcW w:w="4394" w:type="dxa"/>
            <w:vMerge/>
          </w:tcPr>
          <w:p w:rsidR="00951309" w:rsidRDefault="00951309" w:rsidP="002F6530">
            <w:pPr>
              <w:pStyle w:val="Tabletext"/>
              <w:ind w:left="142" w:hanging="142"/>
            </w:pPr>
          </w:p>
        </w:tc>
      </w:tr>
      <w:tr w:rsidR="00951309" w:rsidTr="00453356">
        <w:trPr>
          <w:cantSplit/>
          <w:trHeight w:val="2640"/>
        </w:trPr>
        <w:tc>
          <w:tcPr>
            <w:tcW w:w="1134" w:type="dxa"/>
          </w:tcPr>
          <w:p w:rsidR="00951309" w:rsidRPr="00F36AC4" w:rsidRDefault="00951309" w:rsidP="002F6530">
            <w:pPr>
              <w:pStyle w:val="Tabletext"/>
            </w:pPr>
            <w:r w:rsidRPr="00F36AC4">
              <w:t>E-mail:</w:t>
            </w:r>
          </w:p>
        </w:tc>
        <w:tc>
          <w:tcPr>
            <w:tcW w:w="4253" w:type="dxa"/>
          </w:tcPr>
          <w:p w:rsidR="00951309" w:rsidRPr="00F36AC4" w:rsidRDefault="00221687" w:rsidP="002F6530">
            <w:pPr>
              <w:pStyle w:val="Tabletext"/>
            </w:pPr>
            <w:hyperlink r:id="rId10" w:history="1">
              <w:r w:rsidR="00436C3D">
                <w:rPr>
                  <w:rStyle w:val="Hyperlink"/>
                  <w:szCs w:val="22"/>
                </w:rPr>
                <w:t>tsbsg16@itu.int</w:t>
              </w:r>
            </w:hyperlink>
            <w:r w:rsidR="00951309" w:rsidRPr="00F36AC4">
              <w:t xml:space="preserve"> </w:t>
            </w:r>
          </w:p>
        </w:tc>
        <w:tc>
          <w:tcPr>
            <w:tcW w:w="4394" w:type="dxa"/>
          </w:tcPr>
          <w:p w:rsidR="00951309" w:rsidRDefault="00951309" w:rsidP="002F6530">
            <w:pPr>
              <w:pStyle w:val="Tabletext"/>
              <w:rPr>
                <w:b/>
              </w:rPr>
            </w:pPr>
            <w:r>
              <w:rPr>
                <w:b/>
              </w:rPr>
              <w:t>Copy:</w:t>
            </w:r>
          </w:p>
          <w:p w:rsidR="00951309" w:rsidRDefault="00951309" w:rsidP="004B6F55">
            <w:pPr>
              <w:pStyle w:val="Tabletext"/>
              <w:ind w:left="283" w:hanging="283"/>
            </w:pPr>
            <w:r>
              <w:t>-</w:t>
            </w:r>
            <w:r>
              <w:tab/>
              <w:t>To ITU-T Sector Members;</w:t>
            </w:r>
          </w:p>
          <w:p w:rsidR="00951309" w:rsidRDefault="00951309" w:rsidP="004B6F55">
            <w:pPr>
              <w:pStyle w:val="Tabletext"/>
              <w:ind w:left="283" w:hanging="283"/>
            </w:pPr>
            <w:r>
              <w:t>-</w:t>
            </w:r>
            <w:r w:rsidR="00E17CCC">
              <w:tab/>
            </w:r>
            <w:r>
              <w:t>To ITU-T Associates;</w:t>
            </w:r>
          </w:p>
          <w:p w:rsidR="00951309" w:rsidRDefault="00951309" w:rsidP="004B6F55">
            <w:pPr>
              <w:pStyle w:val="Tabletext"/>
              <w:ind w:left="283" w:hanging="283"/>
            </w:pPr>
            <w:r>
              <w:t>-</w:t>
            </w:r>
            <w:r>
              <w:tab/>
              <w:t>To ITU-T Academia;</w:t>
            </w:r>
          </w:p>
          <w:p w:rsidR="00951309" w:rsidRDefault="00951309" w:rsidP="00436C3D">
            <w:pPr>
              <w:pStyle w:val="Tabletext"/>
              <w:ind w:left="283" w:hanging="283"/>
            </w:pPr>
            <w:r>
              <w:t>-</w:t>
            </w:r>
            <w:r>
              <w:tab/>
              <w:t xml:space="preserve">To the Chairman and Vice-Chairmen of Study Group </w:t>
            </w:r>
            <w:r w:rsidR="00436C3D">
              <w:t>16</w:t>
            </w:r>
            <w:r>
              <w:t>;</w:t>
            </w:r>
          </w:p>
          <w:p w:rsidR="00951309" w:rsidRDefault="00951309" w:rsidP="004B6F55">
            <w:pPr>
              <w:pStyle w:val="Tabletext"/>
              <w:ind w:left="283" w:hanging="283"/>
            </w:pPr>
            <w:r>
              <w:t>-</w:t>
            </w:r>
            <w:r>
              <w:tab/>
              <w:t>To the Director of the Telecommunication Development Bureau;</w:t>
            </w:r>
          </w:p>
          <w:p w:rsidR="00951309" w:rsidRDefault="00951309" w:rsidP="004B6F55">
            <w:pPr>
              <w:pStyle w:val="Tabletext"/>
              <w:ind w:left="283" w:hanging="283"/>
            </w:pPr>
            <w:r>
              <w:t>-</w:t>
            </w:r>
            <w:r>
              <w:tab/>
              <w:t>To the Director of the Radiocommunication Bureau</w:t>
            </w:r>
          </w:p>
        </w:tc>
      </w:tr>
      <w:tr w:rsidR="00951309" w:rsidRPr="009B6449" w:rsidTr="00453356">
        <w:trPr>
          <w:cantSplit/>
          <w:trHeight w:val="80"/>
        </w:trPr>
        <w:tc>
          <w:tcPr>
            <w:tcW w:w="1134" w:type="dxa"/>
          </w:tcPr>
          <w:p w:rsidR="00951309" w:rsidRPr="009B6449" w:rsidRDefault="00951309" w:rsidP="002F6530">
            <w:pPr>
              <w:pStyle w:val="Tabletext"/>
            </w:pPr>
            <w:r w:rsidRPr="009B6449">
              <w:t>Subject:</w:t>
            </w:r>
          </w:p>
        </w:tc>
        <w:tc>
          <w:tcPr>
            <w:tcW w:w="8647" w:type="dxa"/>
            <w:gridSpan w:val="2"/>
          </w:tcPr>
          <w:p w:rsidR="00951309" w:rsidRPr="009B6449" w:rsidRDefault="00A9652E" w:rsidP="000B49D7">
            <w:pPr>
              <w:pStyle w:val="Tabletext"/>
            </w:pPr>
            <w:r>
              <w:rPr>
                <w:b/>
              </w:rPr>
              <w:t xml:space="preserve">Approval of </w:t>
            </w:r>
            <w:r w:rsidR="000B49D7">
              <w:rPr>
                <w:b/>
              </w:rPr>
              <w:t>merging Questions 16/16 and 18/16</w:t>
            </w:r>
            <w:r w:rsidR="00915015">
              <w:rPr>
                <w:b/>
              </w:rPr>
              <w:t xml:space="preserve"> into</w:t>
            </w:r>
            <w:r w:rsidR="00915015">
              <w:rPr>
                <w:b/>
              </w:rPr>
              <w:br/>
            </w:r>
            <w:r w:rsidR="000B49D7">
              <w:rPr>
                <w:b/>
              </w:rPr>
              <w:t xml:space="preserve">revised </w:t>
            </w:r>
            <w:r>
              <w:rPr>
                <w:b/>
              </w:rPr>
              <w:t>Question</w:t>
            </w:r>
            <w:r w:rsidR="000B49D7">
              <w:rPr>
                <w:b/>
              </w:rPr>
              <w:t xml:space="preserve"> 18/16</w:t>
            </w:r>
          </w:p>
        </w:tc>
      </w:tr>
    </w:tbl>
    <w:p w:rsidR="000B46FB" w:rsidRDefault="000B46FB" w:rsidP="000B49D7">
      <w:pPr>
        <w:spacing w:before="360"/>
      </w:pPr>
      <w:bookmarkStart w:id="2" w:name="StartTyping_E"/>
      <w:bookmarkEnd w:id="2"/>
      <w:r>
        <w:t>Dear Sir/Madam,</w:t>
      </w:r>
      <w:r w:rsidR="00584AFA">
        <w:tab/>
      </w:r>
    </w:p>
    <w:p w:rsidR="000B46FB" w:rsidRDefault="000B46FB" w:rsidP="00915015">
      <w:r>
        <w:t>1</w:t>
      </w:r>
      <w:r>
        <w:tab/>
        <w:t xml:space="preserve">At the request of the Chairman of Study Group </w:t>
      </w:r>
      <w:r w:rsidR="000B49D7">
        <w:t>16 (</w:t>
      </w:r>
      <w:r w:rsidR="000B49D7">
        <w:rPr>
          <w:i/>
          <w:iCs/>
        </w:rPr>
        <w:t>Multimedia coding, systems and applications</w:t>
      </w:r>
      <w:r w:rsidR="000B49D7">
        <w:t>),</w:t>
      </w:r>
      <w:r>
        <w:t xml:space="preserve"> I have the honour to inform you that, in accordance with the procedure described in Resolution 1, Section 7, § 7.2.2, of  WTSA (Dubai, 2012), Member States and Sector Members present at the last meeting of Study Group</w:t>
      </w:r>
      <w:r w:rsidR="00436C3D">
        <w:t xml:space="preserve"> 16,</w:t>
      </w:r>
      <w:r>
        <w:t xml:space="preserve"> which was held in </w:t>
      </w:r>
      <w:r w:rsidR="000B49D7">
        <w:t>Sapporo, Japan,</w:t>
      </w:r>
      <w:r>
        <w:t xml:space="preserve"> from</w:t>
      </w:r>
      <w:r w:rsidR="000B49D7">
        <w:t xml:space="preserve"> 30 June to 11 July 2014</w:t>
      </w:r>
      <w:r w:rsidR="00436C3D">
        <w:t xml:space="preserve"> inclusive</w:t>
      </w:r>
      <w:r>
        <w:t xml:space="preserve">, agreed by reaching consensus to </w:t>
      </w:r>
      <w:r w:rsidR="000B49D7">
        <w:t xml:space="preserve">merge Questions 16/16 and 18/16 </w:t>
      </w:r>
      <w:r w:rsidR="00915015">
        <w:t>into</w:t>
      </w:r>
      <w:r>
        <w:t xml:space="preserve"> the following revised</w:t>
      </w:r>
      <w:r w:rsidR="000B49D7">
        <w:t xml:space="preserve"> </w:t>
      </w:r>
      <w:r>
        <w:t>Question:</w:t>
      </w:r>
    </w:p>
    <w:p w:rsidR="000B46FB" w:rsidRDefault="000B46FB" w:rsidP="00436C3D">
      <w:pPr>
        <w:numPr>
          <w:ilvl w:val="12"/>
          <w:numId w:val="0"/>
        </w:numPr>
      </w:pPr>
      <w:r>
        <w:rPr>
          <w:i/>
        </w:rPr>
        <w:t>Q</w:t>
      </w:r>
      <w:r w:rsidR="00436C3D">
        <w:rPr>
          <w:i/>
        </w:rPr>
        <w:t xml:space="preserve">uestion 18/16 - </w:t>
      </w:r>
      <w:r w:rsidR="000B49D7">
        <w:rPr>
          <w:i/>
        </w:rPr>
        <w:t>Signal processing network functions and equipment (</w:t>
      </w:r>
      <w:r>
        <w:t>see Annex 1)</w:t>
      </w:r>
    </w:p>
    <w:p w:rsidR="000B46FB" w:rsidRPr="00C51CBC" w:rsidRDefault="000B46FB" w:rsidP="000B49D7">
      <w:pPr>
        <w:rPr>
          <w:b/>
          <w:bCs/>
        </w:rPr>
      </w:pPr>
      <w:r>
        <w:t>2</w:t>
      </w:r>
      <w:r>
        <w:tab/>
      </w:r>
      <w:r w:rsidRPr="00C51CBC">
        <w:rPr>
          <w:b/>
          <w:bCs/>
        </w:rPr>
        <w:t>Question</w:t>
      </w:r>
      <w:r w:rsidR="000B49D7">
        <w:rPr>
          <w:b/>
          <w:bCs/>
        </w:rPr>
        <w:t xml:space="preserve"> 18/16 </w:t>
      </w:r>
      <w:r w:rsidRPr="00C51CBC">
        <w:rPr>
          <w:b/>
          <w:bCs/>
        </w:rPr>
        <w:t>is therefore approved.</w:t>
      </w:r>
    </w:p>
    <w:p w:rsidR="000B46FB" w:rsidRDefault="000B46FB" w:rsidP="00F8777C">
      <w:r>
        <w:t>3</w:t>
      </w:r>
      <w:r>
        <w:tab/>
        <w:t xml:space="preserve">The resulting Recommendations are assumed </w:t>
      </w:r>
      <w:r w:rsidR="000B49D7">
        <w:t xml:space="preserve">to fall under the </w:t>
      </w:r>
      <w:r w:rsidR="00F8777C">
        <w:t>a</w:t>
      </w:r>
      <w:r>
        <w:t>lternative approval process</w:t>
      </w:r>
      <w:r w:rsidR="00F8777C">
        <w:t> </w:t>
      </w:r>
      <w:r>
        <w:t>(AAP).</w:t>
      </w:r>
    </w:p>
    <w:p w:rsidR="000B46FB" w:rsidRDefault="000B46FB" w:rsidP="00F8777C">
      <w:pPr>
        <w:spacing w:before="320"/>
      </w:pPr>
      <w:r>
        <w:t>Yours faithfully,</w:t>
      </w:r>
    </w:p>
    <w:p w:rsidR="000B46FB" w:rsidRDefault="000B46FB" w:rsidP="00436C3D">
      <w:pPr>
        <w:spacing w:before="960"/>
      </w:pPr>
      <w:r w:rsidRPr="00A47ABB">
        <w:rPr>
          <w:szCs w:val="24"/>
        </w:rPr>
        <w:t>Malcolm Johnson</w:t>
      </w:r>
      <w:r>
        <w:br/>
        <w:t>Director of the Telecommunication</w:t>
      </w:r>
      <w:r>
        <w:br/>
        <w:t>Standardization Bureau</w:t>
      </w:r>
    </w:p>
    <w:p w:rsidR="000B49D7" w:rsidRDefault="000B46FB" w:rsidP="00436C3D">
      <w:pPr>
        <w:spacing w:before="280"/>
        <w:rPr>
          <w:b/>
          <w:bCs/>
        </w:rPr>
      </w:pPr>
      <w:r w:rsidRPr="00FB1614">
        <w:rPr>
          <w:b/>
          <w:bCs/>
        </w:rPr>
        <w:t>Annex: 1</w:t>
      </w:r>
      <w:r w:rsidR="000B49D7">
        <w:rPr>
          <w:b/>
          <w:bCs/>
        </w:rPr>
        <w:br w:type="page"/>
      </w:r>
    </w:p>
    <w:p w:rsidR="000B49D7" w:rsidRPr="00436C3D" w:rsidRDefault="000B49D7" w:rsidP="00E44C57">
      <w:pPr>
        <w:pStyle w:val="AnnexNotitle"/>
        <w:rPr>
          <w:rFonts w:asciiTheme="minorHAnsi" w:hAnsiTheme="minorHAnsi"/>
          <w:sz w:val="24"/>
          <w:szCs w:val="24"/>
        </w:rPr>
      </w:pPr>
      <w:r w:rsidRPr="00436C3D">
        <w:rPr>
          <w:rFonts w:asciiTheme="minorHAnsi" w:hAnsiTheme="minorHAnsi"/>
          <w:sz w:val="24"/>
          <w:szCs w:val="24"/>
        </w:rPr>
        <w:lastRenderedPageBreak/>
        <w:t>ANNEX 1</w:t>
      </w:r>
      <w:r w:rsidRPr="00436C3D">
        <w:rPr>
          <w:rFonts w:asciiTheme="minorHAnsi" w:hAnsiTheme="minorHAnsi"/>
          <w:sz w:val="24"/>
          <w:szCs w:val="24"/>
        </w:rPr>
        <w:br/>
        <w:t xml:space="preserve">(to TSB Circular </w:t>
      </w:r>
      <w:r w:rsidR="00E44C57">
        <w:rPr>
          <w:rFonts w:asciiTheme="minorHAnsi" w:hAnsiTheme="minorHAnsi"/>
          <w:sz w:val="24"/>
          <w:szCs w:val="24"/>
        </w:rPr>
        <w:t>107</w:t>
      </w:r>
      <w:r w:rsidRPr="00436C3D">
        <w:rPr>
          <w:rFonts w:asciiTheme="minorHAnsi" w:hAnsiTheme="minorHAnsi"/>
          <w:sz w:val="24"/>
          <w:szCs w:val="24"/>
        </w:rPr>
        <w:t>)</w:t>
      </w:r>
    </w:p>
    <w:p w:rsidR="000B49D7" w:rsidRDefault="000B49D7" w:rsidP="00D41CBB">
      <w:pPr>
        <w:pStyle w:val="AnnexNotitle"/>
        <w:spacing w:before="360"/>
        <w:rPr>
          <w:rFonts w:asciiTheme="minorHAnsi" w:hAnsiTheme="minorHAnsi"/>
          <w:sz w:val="24"/>
          <w:szCs w:val="24"/>
        </w:rPr>
      </w:pPr>
      <w:r w:rsidRPr="00436C3D">
        <w:rPr>
          <w:rFonts w:asciiTheme="minorHAnsi" w:hAnsiTheme="minorHAnsi"/>
          <w:sz w:val="24"/>
          <w:szCs w:val="24"/>
        </w:rPr>
        <w:t>Text of revised Question 18/16</w:t>
      </w:r>
    </w:p>
    <w:p w:rsidR="00436C3D" w:rsidRPr="00436C3D" w:rsidRDefault="00436C3D" w:rsidP="00436C3D"/>
    <w:p w:rsidR="000B49D7" w:rsidRPr="00436C3D" w:rsidRDefault="00F8777C" w:rsidP="00F8777C">
      <w:pPr>
        <w:tabs>
          <w:tab w:val="clear" w:pos="794"/>
          <w:tab w:val="left" w:pos="426"/>
        </w:tabs>
        <w:spacing w:before="0"/>
        <w:rPr>
          <w:b/>
          <w:bCs/>
          <w:lang w:eastAsia="zh-CN"/>
        </w:rPr>
      </w:pPr>
      <w:r>
        <w:rPr>
          <w:b/>
          <w:bCs/>
          <w:lang w:eastAsia="zh-CN"/>
        </w:rPr>
        <w:t>1.</w:t>
      </w:r>
      <w:r>
        <w:rPr>
          <w:b/>
          <w:bCs/>
          <w:lang w:eastAsia="zh-CN"/>
        </w:rPr>
        <w:tab/>
      </w:r>
      <w:r w:rsidR="000B49D7" w:rsidRPr="00436C3D">
        <w:rPr>
          <w:b/>
          <w:bCs/>
          <w:lang w:eastAsia="zh-CN"/>
        </w:rPr>
        <w:t>Question 18/16 – Signal processing network functions and equipment</w:t>
      </w:r>
    </w:p>
    <w:p w:rsidR="000B49D7" w:rsidRPr="00436C3D" w:rsidRDefault="000B49D7" w:rsidP="000B49D7">
      <w:pPr>
        <w:spacing w:before="0"/>
        <w:rPr>
          <w:b/>
          <w:bCs/>
          <w:lang w:eastAsia="zh-CN"/>
        </w:rPr>
      </w:pPr>
    </w:p>
    <w:p w:rsidR="000B49D7" w:rsidRPr="00436C3D" w:rsidRDefault="00F8777C" w:rsidP="000B49D7">
      <w:pPr>
        <w:spacing w:before="0"/>
        <w:rPr>
          <w:szCs w:val="24"/>
          <w:lang w:eastAsia="zh-CN"/>
        </w:rPr>
      </w:pPr>
      <w:r>
        <w:rPr>
          <w:szCs w:val="24"/>
          <w:lang w:eastAsia="zh-CN"/>
        </w:rPr>
        <w:t>(</w:t>
      </w:r>
      <w:r w:rsidR="000B49D7" w:rsidRPr="00436C3D">
        <w:rPr>
          <w:szCs w:val="24"/>
          <w:lang w:eastAsia="zh-CN"/>
        </w:rPr>
        <w:t>Merged Q16/16 and Q18/16)</w:t>
      </w:r>
    </w:p>
    <w:p w:rsidR="000B49D7" w:rsidRPr="00436C3D" w:rsidRDefault="000B49D7" w:rsidP="000B49D7">
      <w:pPr>
        <w:pStyle w:val="NormalWeb"/>
        <w:shd w:val="clear" w:color="auto" w:fill="FFFFFF"/>
        <w:rPr>
          <w:rFonts w:asciiTheme="minorHAnsi" w:hAnsiTheme="minorHAnsi" w:cs="Segoe UI"/>
          <w:color w:val="000000"/>
          <w:sz w:val="24"/>
          <w:szCs w:val="24"/>
        </w:rPr>
      </w:pPr>
      <w:r w:rsidRPr="00436C3D">
        <w:rPr>
          <w:rStyle w:val="Strong"/>
          <w:rFonts w:asciiTheme="minorHAnsi" w:hAnsiTheme="minorHAnsi" w:cs="Segoe UI"/>
          <w:color w:val="000000"/>
          <w:sz w:val="24"/>
          <w:szCs w:val="24"/>
        </w:rPr>
        <w:t>Motivation</w:t>
      </w:r>
    </w:p>
    <w:p w:rsidR="000B49D7" w:rsidRPr="00436C3D" w:rsidRDefault="000B49D7" w:rsidP="000B49D7">
      <w:pPr>
        <w:pStyle w:val="NormalWeb"/>
        <w:shd w:val="clear" w:color="auto" w:fill="FFFFFF"/>
        <w:rPr>
          <w:rFonts w:asciiTheme="minorHAnsi" w:hAnsiTheme="minorHAnsi" w:cs="Segoe UI"/>
          <w:color w:val="000000"/>
          <w:sz w:val="24"/>
          <w:szCs w:val="24"/>
        </w:rPr>
      </w:pPr>
      <w:r w:rsidRPr="00436C3D">
        <w:rPr>
          <w:rFonts w:asciiTheme="minorHAnsi" w:hAnsiTheme="minorHAnsi" w:cs="Segoe UI"/>
          <w:color w:val="000000"/>
          <w:sz w:val="24"/>
          <w:szCs w:val="24"/>
        </w:rPr>
        <w:t>This Question deals with Signal Processing Network Equipment (SPNE) including network-based speech enhancement devices such as electrical network echo control, acoustic network echo control, automatic level control devices, and voice  enhancement devices  It also deals with the implementation and interaction aspects of signal processing network equipment/terminals for transporting voice and voiceband traffic in networks.</w:t>
      </w:r>
    </w:p>
    <w:p w:rsidR="000B49D7" w:rsidRPr="00436C3D" w:rsidRDefault="000B49D7" w:rsidP="000B49D7">
      <w:pPr>
        <w:pStyle w:val="NormalWeb"/>
        <w:shd w:val="clear" w:color="auto" w:fill="FFFFFF"/>
        <w:rPr>
          <w:rFonts w:asciiTheme="minorHAnsi" w:hAnsiTheme="minorHAnsi" w:cs="Segoe UI"/>
          <w:color w:val="000000"/>
          <w:sz w:val="24"/>
          <w:szCs w:val="24"/>
        </w:rPr>
      </w:pPr>
      <w:r w:rsidRPr="00436C3D">
        <w:rPr>
          <w:rFonts w:asciiTheme="minorHAnsi" w:hAnsiTheme="minorHAnsi" w:cs="Segoe UI"/>
          <w:color w:val="000000"/>
          <w:sz w:val="24"/>
          <w:szCs w:val="24"/>
        </w:rPr>
        <w:t>With the increased popularity of packet-based networks using Internet Protocol (IP), more and more speech traffic is expected to be carried over these transport networks. Therefore, it will also be observed a significant amount of voice and voiceband data traffic going through signal processing network equipment , such as gateways,  circuit multiplication equipment and standalone network speech enhancement devices that interconnect the GSTN and packet networks as well as interconnect different packet networks. For this reason, there is a need to ensure a high quality of service for voice and voiceband data carried in part or wholly via IP networks.</w:t>
      </w:r>
    </w:p>
    <w:p w:rsidR="000B49D7" w:rsidRPr="00436C3D" w:rsidRDefault="000B49D7" w:rsidP="00D41CBB">
      <w:pPr>
        <w:shd w:val="clear" w:color="auto" w:fill="FFFFFF"/>
        <w:spacing w:before="0"/>
        <w:rPr>
          <w:rFonts w:cs="Segoe UI"/>
          <w:color w:val="000000"/>
          <w:szCs w:val="24"/>
        </w:rPr>
      </w:pPr>
      <w:r w:rsidRPr="00436C3D">
        <w:rPr>
          <w:rFonts w:cs="Segoe UI"/>
          <w:color w:val="000000"/>
          <w:szCs w:val="24"/>
        </w:rPr>
        <w:br/>
        <w:t xml:space="preserve">The purpose of this Question is to: </w:t>
      </w:r>
    </w:p>
    <w:p w:rsidR="000B49D7" w:rsidRPr="00436C3D" w:rsidRDefault="000B49D7" w:rsidP="000B49D7">
      <w:pPr>
        <w:numPr>
          <w:ilvl w:val="0"/>
          <w:numId w:val="18"/>
        </w:numPr>
        <w:shd w:val="clear" w:color="auto" w:fill="FFFFFF"/>
        <w:tabs>
          <w:tab w:val="clear" w:pos="794"/>
          <w:tab w:val="clear" w:pos="1191"/>
          <w:tab w:val="clear" w:pos="1588"/>
          <w:tab w:val="clear" w:pos="1985"/>
        </w:tabs>
        <w:overflowPunct/>
        <w:autoSpaceDE/>
        <w:autoSpaceDN/>
        <w:adjustRightInd/>
        <w:spacing w:before="60" w:after="100" w:afterAutospacing="1"/>
        <w:ind w:left="714" w:hanging="357"/>
        <w:textAlignment w:val="auto"/>
        <w:rPr>
          <w:rFonts w:cs="Segoe UI"/>
          <w:color w:val="000000"/>
          <w:szCs w:val="24"/>
        </w:rPr>
      </w:pPr>
      <w:r w:rsidRPr="00436C3D">
        <w:rPr>
          <w:rFonts w:cs="Segoe UI"/>
          <w:color w:val="000000"/>
          <w:szCs w:val="24"/>
        </w:rPr>
        <w:t>enhance existing Recommendations (e.g. G.160, G.168, and G.169) to ensure that adequate performance with emerging packet-based networks is maintained. As echo cancellers are increasingly embedded into gateways it will be necessary to review the applicability of G.168 to these devices and to develop either a separate Recommendation or Annex to G.168 to ensure that any specific requirements for these embedded echo cancellers are taken into account;</w:t>
      </w:r>
    </w:p>
    <w:p w:rsidR="000B49D7" w:rsidRPr="00436C3D" w:rsidRDefault="000B49D7" w:rsidP="000B49D7">
      <w:pPr>
        <w:numPr>
          <w:ilvl w:val="0"/>
          <w:numId w:val="18"/>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textAlignment w:val="auto"/>
        <w:rPr>
          <w:rFonts w:cs="Segoe UI"/>
          <w:color w:val="000000"/>
          <w:szCs w:val="24"/>
        </w:rPr>
      </w:pPr>
      <w:r w:rsidRPr="00436C3D">
        <w:rPr>
          <w:rFonts w:cs="Segoe UI"/>
          <w:color w:val="000000"/>
          <w:szCs w:val="24"/>
        </w:rPr>
        <w:t>enhance signal compression and processing (including channel multiplexing) techniques in a new generation of voice gateway functions to accommodate new types of signals and services;</w:t>
      </w:r>
    </w:p>
    <w:p w:rsidR="000B49D7" w:rsidRPr="00436C3D" w:rsidRDefault="000B49D7" w:rsidP="000B49D7">
      <w:pPr>
        <w:numPr>
          <w:ilvl w:val="0"/>
          <w:numId w:val="18"/>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textAlignment w:val="auto"/>
        <w:rPr>
          <w:rFonts w:cs="Segoe UI"/>
          <w:color w:val="000000"/>
          <w:szCs w:val="24"/>
        </w:rPr>
      </w:pPr>
      <w:r w:rsidRPr="00436C3D">
        <w:rPr>
          <w:rFonts w:cs="Segoe UI"/>
          <w:color w:val="000000"/>
          <w:szCs w:val="24"/>
        </w:rPr>
        <w:t>enhance system controls to maintain end-to-end signal qualities as high as possible</w:t>
      </w:r>
      <w:r w:rsidR="00F8777C">
        <w:rPr>
          <w:rFonts w:cs="Segoe UI"/>
          <w:color w:val="000000"/>
          <w:szCs w:val="24"/>
        </w:rPr>
        <w:t>;</w:t>
      </w:r>
    </w:p>
    <w:p w:rsidR="000B49D7" w:rsidRPr="00436C3D" w:rsidRDefault="000B49D7" w:rsidP="00F8777C">
      <w:pPr>
        <w:numPr>
          <w:ilvl w:val="0"/>
          <w:numId w:val="18"/>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textAlignment w:val="auto"/>
        <w:rPr>
          <w:rFonts w:cs="Segoe UI"/>
          <w:color w:val="000000"/>
          <w:szCs w:val="24"/>
        </w:rPr>
      </w:pPr>
      <w:r w:rsidRPr="00436C3D">
        <w:rPr>
          <w:rFonts w:cs="Segoe UI"/>
          <w:color w:val="000000"/>
          <w:szCs w:val="24"/>
        </w:rPr>
        <w:t>develop Recommendations that include performance requirements and test methodologies that will help ensure that the correct and appropriate functionality is present in the equipment. It is not intended to define new protocols, but eventually new requirements for these protocols</w:t>
      </w:r>
      <w:r w:rsidR="00F8777C">
        <w:rPr>
          <w:rFonts w:cs="Segoe UI"/>
          <w:color w:val="000000"/>
          <w:szCs w:val="24"/>
        </w:rPr>
        <w:t>;</w:t>
      </w:r>
    </w:p>
    <w:p w:rsidR="000B49D7" w:rsidRPr="00436C3D" w:rsidRDefault="000B49D7" w:rsidP="000B49D7">
      <w:pPr>
        <w:numPr>
          <w:ilvl w:val="0"/>
          <w:numId w:val="18"/>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textAlignment w:val="auto"/>
        <w:rPr>
          <w:rFonts w:cs="Segoe UI"/>
          <w:color w:val="000000"/>
          <w:szCs w:val="24"/>
        </w:rPr>
      </w:pPr>
      <w:r w:rsidRPr="00436C3D">
        <w:rPr>
          <w:rFonts w:cs="Segoe UI"/>
          <w:color w:val="000000"/>
          <w:szCs w:val="24"/>
        </w:rPr>
        <w:t>develop the logic and protocol requirements needed for the control and coordination of signal processing functionalities in the networks and terminals;</w:t>
      </w:r>
    </w:p>
    <w:p w:rsidR="000B49D7" w:rsidRPr="00436C3D" w:rsidRDefault="000B49D7" w:rsidP="000B49D7">
      <w:pPr>
        <w:numPr>
          <w:ilvl w:val="0"/>
          <w:numId w:val="18"/>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textAlignment w:val="auto"/>
        <w:rPr>
          <w:rFonts w:cs="Segoe UI"/>
          <w:color w:val="000000"/>
          <w:szCs w:val="24"/>
        </w:rPr>
      </w:pPr>
      <w:r w:rsidRPr="00436C3D">
        <w:rPr>
          <w:rFonts w:cs="Segoe UI"/>
          <w:color w:val="000000"/>
          <w:szCs w:val="24"/>
        </w:rPr>
        <w:t>study the interaction of SPNE, between different SPNE/terminals, between SPNE and terminals, and between SPNE/terminals and transmission systems;</w:t>
      </w:r>
    </w:p>
    <w:p w:rsidR="000B49D7" w:rsidRPr="00436C3D" w:rsidRDefault="000B49D7" w:rsidP="000B49D7">
      <w:pPr>
        <w:numPr>
          <w:ilvl w:val="0"/>
          <w:numId w:val="18"/>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textAlignment w:val="auto"/>
        <w:rPr>
          <w:rFonts w:cs="Segoe UI"/>
          <w:color w:val="000000"/>
          <w:szCs w:val="24"/>
        </w:rPr>
      </w:pPr>
      <w:r w:rsidRPr="00436C3D">
        <w:rPr>
          <w:rFonts w:cs="Segoe UI"/>
          <w:color w:val="000000"/>
          <w:szCs w:val="24"/>
        </w:rPr>
        <w:t>ensure the consistency of Recommendations in the area of SPNE.</w:t>
      </w:r>
    </w:p>
    <w:p w:rsidR="000B49D7" w:rsidRPr="00436C3D" w:rsidRDefault="00F8777C" w:rsidP="00D41CBB">
      <w:pPr>
        <w:shd w:val="clear" w:color="auto" w:fill="FFFFFF"/>
        <w:tabs>
          <w:tab w:val="clear" w:pos="794"/>
          <w:tab w:val="left" w:pos="426"/>
        </w:tabs>
        <w:snapToGrid w:val="0"/>
        <w:spacing w:before="0"/>
        <w:rPr>
          <w:rFonts w:cs="Segoe UI"/>
          <w:color w:val="000000"/>
          <w:szCs w:val="24"/>
        </w:rPr>
      </w:pPr>
      <w:r>
        <w:rPr>
          <w:rStyle w:val="Strong"/>
          <w:rFonts w:cs="Segoe UI"/>
          <w:color w:val="000000"/>
          <w:szCs w:val="24"/>
        </w:rPr>
        <w:t>2.</w:t>
      </w:r>
      <w:r>
        <w:rPr>
          <w:rStyle w:val="Strong"/>
          <w:rFonts w:cs="Segoe UI"/>
          <w:color w:val="000000"/>
          <w:szCs w:val="24"/>
        </w:rPr>
        <w:tab/>
      </w:r>
      <w:r w:rsidR="000B49D7" w:rsidRPr="00436C3D">
        <w:rPr>
          <w:rStyle w:val="Strong"/>
          <w:rFonts w:cs="Segoe UI"/>
          <w:color w:val="000000"/>
          <w:szCs w:val="24"/>
        </w:rPr>
        <w:t>Study items</w:t>
      </w:r>
      <w:r w:rsidR="000B49D7" w:rsidRPr="00436C3D">
        <w:rPr>
          <w:rFonts w:cs="Segoe UI"/>
          <w:color w:val="000000"/>
          <w:szCs w:val="24"/>
        </w:rPr>
        <w:br/>
      </w:r>
      <w:r w:rsidR="000B49D7" w:rsidRPr="00436C3D">
        <w:rPr>
          <w:rFonts w:cs="Segoe UI"/>
          <w:color w:val="000000"/>
          <w:szCs w:val="24"/>
        </w:rPr>
        <w:br/>
        <w:t xml:space="preserve">Study items to be considered include, but are not limited to: </w:t>
      </w:r>
    </w:p>
    <w:p w:rsidR="000B49D7" w:rsidRPr="00436C3D" w:rsidRDefault="000B49D7" w:rsidP="000B49D7">
      <w:pPr>
        <w:numPr>
          <w:ilvl w:val="0"/>
          <w:numId w:val="19"/>
        </w:numPr>
        <w:shd w:val="clear" w:color="auto" w:fill="FFFFFF"/>
        <w:tabs>
          <w:tab w:val="clear" w:pos="794"/>
          <w:tab w:val="clear" w:pos="1191"/>
          <w:tab w:val="clear" w:pos="1588"/>
          <w:tab w:val="clear" w:pos="1985"/>
        </w:tabs>
        <w:overflowPunct/>
        <w:autoSpaceDE/>
        <w:autoSpaceDN/>
        <w:adjustRightInd/>
        <w:spacing w:before="60" w:after="100" w:afterAutospacing="1"/>
        <w:ind w:left="714" w:hanging="357"/>
        <w:textAlignment w:val="auto"/>
        <w:rPr>
          <w:rFonts w:cs="Segoe UI"/>
          <w:color w:val="000000"/>
          <w:szCs w:val="24"/>
        </w:rPr>
      </w:pPr>
      <w:r w:rsidRPr="00436C3D">
        <w:rPr>
          <w:rFonts w:cs="Segoe UI"/>
          <w:color w:val="000000"/>
          <w:szCs w:val="24"/>
        </w:rPr>
        <w:t>impact of speech processing issues (e.g. speech coding, voice enhancement) related to SPNE on overall network performance;</w:t>
      </w:r>
    </w:p>
    <w:p w:rsidR="000B49D7" w:rsidRPr="00436C3D" w:rsidRDefault="000B49D7" w:rsidP="000B49D7">
      <w:pPr>
        <w:numPr>
          <w:ilvl w:val="0"/>
          <w:numId w:val="19"/>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textAlignment w:val="auto"/>
        <w:rPr>
          <w:rFonts w:cs="Segoe UI"/>
          <w:color w:val="000000"/>
          <w:szCs w:val="24"/>
        </w:rPr>
      </w:pPr>
      <w:r w:rsidRPr="00436C3D">
        <w:rPr>
          <w:rFonts w:cs="Segoe UI"/>
          <w:color w:val="000000"/>
          <w:szCs w:val="24"/>
        </w:rPr>
        <w:lastRenderedPageBreak/>
        <w:t>specification and Recommendation of functionality, interfaces, performance requirements and functional tests to provide good network performance for transport network equipment for interconnecting various type of networks;</w:t>
      </w:r>
    </w:p>
    <w:p w:rsidR="000B49D7" w:rsidRPr="00436C3D" w:rsidRDefault="000B49D7" w:rsidP="000B49D7">
      <w:pPr>
        <w:numPr>
          <w:ilvl w:val="0"/>
          <w:numId w:val="19"/>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textAlignment w:val="auto"/>
        <w:rPr>
          <w:rFonts w:cs="Segoe UI"/>
          <w:color w:val="000000"/>
          <w:szCs w:val="24"/>
        </w:rPr>
      </w:pPr>
      <w:r w:rsidRPr="00436C3D">
        <w:rPr>
          <w:rFonts w:cs="Segoe UI"/>
          <w:color w:val="000000"/>
          <w:szCs w:val="24"/>
        </w:rPr>
        <w:t>identify protocols and Internet interworking functions needed to be supported;</w:t>
      </w:r>
    </w:p>
    <w:p w:rsidR="000B49D7" w:rsidRPr="00436C3D" w:rsidRDefault="000B49D7" w:rsidP="000B49D7">
      <w:pPr>
        <w:numPr>
          <w:ilvl w:val="0"/>
          <w:numId w:val="19"/>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textAlignment w:val="auto"/>
        <w:rPr>
          <w:rFonts w:cs="Segoe UI"/>
          <w:color w:val="000000"/>
          <w:szCs w:val="24"/>
        </w:rPr>
      </w:pPr>
      <w:r w:rsidRPr="00436C3D">
        <w:rPr>
          <w:rFonts w:cs="Segoe UI"/>
          <w:color w:val="000000"/>
          <w:szCs w:val="24"/>
        </w:rPr>
        <w:t>support of functionality needed to ensure minimal end-to-end delay;</w:t>
      </w:r>
    </w:p>
    <w:p w:rsidR="000B49D7" w:rsidRPr="00436C3D" w:rsidRDefault="000B49D7" w:rsidP="000B49D7">
      <w:pPr>
        <w:numPr>
          <w:ilvl w:val="0"/>
          <w:numId w:val="19"/>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textAlignment w:val="auto"/>
        <w:rPr>
          <w:rFonts w:cs="Segoe UI"/>
          <w:color w:val="000000"/>
          <w:szCs w:val="24"/>
        </w:rPr>
      </w:pPr>
      <w:r w:rsidRPr="00436C3D">
        <w:rPr>
          <w:rFonts w:cs="Segoe UI"/>
          <w:color w:val="000000"/>
          <w:szCs w:val="24"/>
        </w:rPr>
        <w:t>impact of evolving terminal equipment (such as text telephones, modems, facsimile and wireless terminals) on voice quality for terminal equipment and multimedia terminals including home gateways;</w:t>
      </w:r>
    </w:p>
    <w:p w:rsidR="000B49D7" w:rsidRPr="00436C3D" w:rsidRDefault="000B49D7" w:rsidP="000B49D7">
      <w:pPr>
        <w:numPr>
          <w:ilvl w:val="0"/>
          <w:numId w:val="19"/>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textAlignment w:val="auto"/>
        <w:rPr>
          <w:rFonts w:cs="Segoe UI"/>
          <w:color w:val="000000"/>
          <w:szCs w:val="24"/>
        </w:rPr>
      </w:pPr>
      <w:r w:rsidRPr="00436C3D">
        <w:rPr>
          <w:rFonts w:cs="Segoe UI"/>
          <w:color w:val="000000"/>
          <w:szCs w:val="24"/>
        </w:rPr>
        <w:t>optimization of voice gateway functionality for transporting voice and voiceband data traffic;</w:t>
      </w:r>
    </w:p>
    <w:p w:rsidR="000B49D7" w:rsidRPr="00436C3D" w:rsidRDefault="000B49D7" w:rsidP="000B49D7">
      <w:pPr>
        <w:numPr>
          <w:ilvl w:val="0"/>
          <w:numId w:val="19"/>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textAlignment w:val="auto"/>
        <w:rPr>
          <w:rFonts w:cs="Segoe UI"/>
          <w:color w:val="000000"/>
          <w:szCs w:val="24"/>
        </w:rPr>
      </w:pPr>
      <w:r w:rsidRPr="00436C3D">
        <w:rPr>
          <w:rFonts w:cs="Segoe UI"/>
          <w:color w:val="000000"/>
          <w:szCs w:val="24"/>
        </w:rPr>
        <w:t xml:space="preserve">interactions between: similar and different SPNE/terminals, voiceband signals and SPNE </w:t>
      </w:r>
    </w:p>
    <w:p w:rsidR="000B49D7" w:rsidRPr="00436C3D" w:rsidRDefault="000B49D7" w:rsidP="000B49D7">
      <w:pPr>
        <w:numPr>
          <w:ilvl w:val="0"/>
          <w:numId w:val="19"/>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textAlignment w:val="auto"/>
        <w:rPr>
          <w:rFonts w:cs="Segoe UI"/>
          <w:color w:val="000000"/>
          <w:szCs w:val="24"/>
        </w:rPr>
      </w:pPr>
      <w:r w:rsidRPr="00436C3D">
        <w:rPr>
          <w:rFonts w:cs="Segoe UI"/>
          <w:color w:val="000000"/>
          <w:szCs w:val="24"/>
        </w:rPr>
        <w:t>SPNE and end-terminal equipment, and SPNE and transmission systems;</w:t>
      </w:r>
    </w:p>
    <w:p w:rsidR="000B49D7" w:rsidRPr="00436C3D" w:rsidRDefault="000B49D7" w:rsidP="000B49D7">
      <w:pPr>
        <w:numPr>
          <w:ilvl w:val="0"/>
          <w:numId w:val="19"/>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textAlignment w:val="auto"/>
        <w:rPr>
          <w:rFonts w:cs="Segoe UI"/>
          <w:color w:val="000000"/>
          <w:szCs w:val="24"/>
        </w:rPr>
      </w:pPr>
      <w:r w:rsidRPr="00436C3D">
        <w:rPr>
          <w:rFonts w:cs="Segoe UI"/>
          <w:color w:val="000000"/>
          <w:szCs w:val="24"/>
        </w:rPr>
        <w:t>techniques to ensure high-quality SPNE and terminals Recommendations;</w:t>
      </w:r>
    </w:p>
    <w:p w:rsidR="000B49D7" w:rsidRPr="00436C3D" w:rsidRDefault="000B49D7" w:rsidP="000B49D7">
      <w:pPr>
        <w:numPr>
          <w:ilvl w:val="0"/>
          <w:numId w:val="19"/>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textAlignment w:val="auto"/>
        <w:rPr>
          <w:rFonts w:cs="Segoe UI"/>
          <w:color w:val="000000"/>
          <w:szCs w:val="24"/>
        </w:rPr>
      </w:pPr>
      <w:r w:rsidRPr="00436C3D">
        <w:rPr>
          <w:rFonts w:cs="Segoe UI"/>
          <w:color w:val="000000"/>
          <w:szCs w:val="24"/>
        </w:rPr>
        <w:t>enhancement of existing or development of new Recommendations to ensure that these interactions do not impair service;</w:t>
      </w:r>
    </w:p>
    <w:p w:rsidR="000B49D7" w:rsidRPr="00436C3D" w:rsidRDefault="000B49D7" w:rsidP="000B49D7">
      <w:pPr>
        <w:numPr>
          <w:ilvl w:val="0"/>
          <w:numId w:val="19"/>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textAlignment w:val="auto"/>
        <w:rPr>
          <w:rFonts w:cs="Segoe UI"/>
          <w:color w:val="000000"/>
          <w:szCs w:val="24"/>
        </w:rPr>
      </w:pPr>
      <w:r w:rsidRPr="00436C3D">
        <w:rPr>
          <w:rFonts w:cs="Segoe UI"/>
          <w:color w:val="000000"/>
          <w:szCs w:val="24"/>
        </w:rPr>
        <w:t>logic and protocol requirements needed for control and coordination of signal processing functionalities in the networks and terminals. Such logic may be used to get the optimal arrangements of signal processing functionalities in the networks and terminals in a connection, or to configure their parameters for optimum performance;</w:t>
      </w:r>
    </w:p>
    <w:p w:rsidR="000B49D7" w:rsidRPr="00436C3D" w:rsidRDefault="000B49D7" w:rsidP="000B49D7">
      <w:pPr>
        <w:numPr>
          <w:ilvl w:val="0"/>
          <w:numId w:val="19"/>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textAlignment w:val="auto"/>
        <w:rPr>
          <w:rFonts w:cs="Segoe UI"/>
          <w:color w:val="000000"/>
          <w:szCs w:val="24"/>
        </w:rPr>
      </w:pPr>
      <w:r w:rsidRPr="00436C3D">
        <w:rPr>
          <w:rFonts w:cs="Segoe UI"/>
          <w:color w:val="000000"/>
          <w:szCs w:val="24"/>
        </w:rPr>
        <w:t>the availability of general evaluation procedures;</w:t>
      </w:r>
    </w:p>
    <w:p w:rsidR="000B49D7" w:rsidRPr="00436C3D" w:rsidRDefault="000B49D7" w:rsidP="000B49D7">
      <w:pPr>
        <w:numPr>
          <w:ilvl w:val="0"/>
          <w:numId w:val="19"/>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textAlignment w:val="auto"/>
        <w:rPr>
          <w:rFonts w:cs="Segoe UI"/>
          <w:color w:val="000000"/>
          <w:szCs w:val="24"/>
        </w:rPr>
      </w:pPr>
      <w:r w:rsidRPr="00436C3D">
        <w:rPr>
          <w:rFonts w:cs="Segoe UI"/>
          <w:color w:val="000000"/>
          <w:szCs w:val="24"/>
        </w:rPr>
        <w:t>interaction between: similar and different SPNE/terminals, SPNE and other voiceband traffic technologies including text telephony, SPNE/terminals and transport systems, and SPNE/terminals in networks that include satellite links;</w:t>
      </w:r>
    </w:p>
    <w:p w:rsidR="000B49D7" w:rsidRPr="00436C3D" w:rsidRDefault="000B49D7" w:rsidP="000B49D7">
      <w:pPr>
        <w:numPr>
          <w:ilvl w:val="0"/>
          <w:numId w:val="19"/>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textAlignment w:val="auto"/>
        <w:rPr>
          <w:rFonts w:cs="Segoe UI"/>
          <w:color w:val="000000"/>
          <w:szCs w:val="24"/>
        </w:rPr>
      </w:pPr>
      <w:r w:rsidRPr="00436C3D">
        <w:rPr>
          <w:rFonts w:cs="Segoe UI"/>
          <w:color w:val="000000"/>
          <w:szCs w:val="24"/>
        </w:rPr>
        <w:t>the interaction of acoustic echo control devices with SPNE/terminals;</w:t>
      </w:r>
    </w:p>
    <w:p w:rsidR="000B49D7" w:rsidRPr="00436C3D" w:rsidRDefault="000B49D7" w:rsidP="000B49D7">
      <w:pPr>
        <w:numPr>
          <w:ilvl w:val="0"/>
          <w:numId w:val="19"/>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textAlignment w:val="auto"/>
        <w:rPr>
          <w:rFonts w:cs="Segoe UI"/>
          <w:color w:val="000000"/>
          <w:szCs w:val="24"/>
        </w:rPr>
      </w:pPr>
      <w:r w:rsidRPr="00436C3D">
        <w:rPr>
          <w:rFonts w:cs="Segoe UI"/>
          <w:color w:val="000000"/>
          <w:szCs w:val="24"/>
        </w:rPr>
        <w:t>the effect of tandem signal processing avoidance and methods of minimizing the impact of these effects (e.g. codec bypass or tandem-free operation) on in-path SPNE/terminals;</w:t>
      </w:r>
    </w:p>
    <w:p w:rsidR="000B49D7" w:rsidRPr="00436C3D" w:rsidRDefault="000B49D7" w:rsidP="000B49D7">
      <w:pPr>
        <w:numPr>
          <w:ilvl w:val="0"/>
          <w:numId w:val="19"/>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textAlignment w:val="auto"/>
        <w:rPr>
          <w:rFonts w:cs="Segoe UI"/>
          <w:color w:val="000000"/>
          <w:szCs w:val="24"/>
        </w:rPr>
      </w:pPr>
      <w:r w:rsidRPr="00436C3D">
        <w:rPr>
          <w:rFonts w:cs="Segoe UI"/>
          <w:color w:val="000000"/>
          <w:szCs w:val="24"/>
        </w:rPr>
        <w:t>the methodology and technique to minimize the undesirable interactions among SPNEs and SPNEs with terminals to achieve better voice quality (e.g. dynamic coordination of signal processing functions);</w:t>
      </w:r>
    </w:p>
    <w:p w:rsidR="000B49D7" w:rsidRPr="00436C3D" w:rsidRDefault="000B49D7" w:rsidP="000B49D7">
      <w:pPr>
        <w:numPr>
          <w:ilvl w:val="0"/>
          <w:numId w:val="19"/>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textAlignment w:val="auto"/>
        <w:rPr>
          <w:rFonts w:cs="Segoe UI"/>
          <w:color w:val="000000"/>
          <w:szCs w:val="24"/>
        </w:rPr>
      </w:pPr>
      <w:r w:rsidRPr="00436C3D">
        <w:rPr>
          <w:rFonts w:cs="Segoe UI"/>
          <w:color w:val="000000"/>
          <w:szCs w:val="24"/>
        </w:rPr>
        <w:t>study for SPNE/terminals used in next generation networks (SPNE/terminals interworking between GSTN and packet/IP networks);</w:t>
      </w:r>
    </w:p>
    <w:p w:rsidR="000B49D7" w:rsidRPr="00436C3D" w:rsidRDefault="000B49D7" w:rsidP="000B49D7">
      <w:pPr>
        <w:numPr>
          <w:ilvl w:val="0"/>
          <w:numId w:val="19"/>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textAlignment w:val="auto"/>
        <w:rPr>
          <w:rFonts w:cs="Segoe UI"/>
          <w:color w:val="000000"/>
          <w:szCs w:val="24"/>
        </w:rPr>
      </w:pPr>
      <w:r w:rsidRPr="00436C3D">
        <w:rPr>
          <w:rFonts w:cs="Segoe UI"/>
          <w:color w:val="000000"/>
          <w:szCs w:val="24"/>
        </w:rPr>
        <w:t>evaluation of the corresponding ITU</w:t>
      </w:r>
      <w:r w:rsidRPr="00436C3D">
        <w:rPr>
          <w:rFonts w:cs="Segoe UI"/>
          <w:color w:val="000000"/>
          <w:szCs w:val="24"/>
        </w:rPr>
        <w:noBreakHyphen/>
        <w:t>T Recommendations;</w:t>
      </w:r>
    </w:p>
    <w:p w:rsidR="000B49D7" w:rsidRPr="00436C3D" w:rsidRDefault="000B49D7" w:rsidP="000B49D7">
      <w:pPr>
        <w:numPr>
          <w:ilvl w:val="0"/>
          <w:numId w:val="19"/>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textAlignment w:val="auto"/>
        <w:rPr>
          <w:rFonts w:cs="Segoe UI"/>
          <w:color w:val="000000"/>
          <w:szCs w:val="24"/>
        </w:rPr>
      </w:pPr>
      <w:r w:rsidRPr="00436C3D">
        <w:rPr>
          <w:rFonts w:cs="Segoe UI"/>
          <w:color w:val="000000"/>
          <w:szCs w:val="24"/>
        </w:rPr>
        <w:t>to ensure the interoperability between SPNE, e.g. dynamic coordination, data relay</w:t>
      </w:r>
    </w:p>
    <w:p w:rsidR="000B49D7" w:rsidRPr="00436C3D" w:rsidRDefault="000B49D7" w:rsidP="00F8777C">
      <w:pPr>
        <w:numPr>
          <w:ilvl w:val="0"/>
          <w:numId w:val="19"/>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textAlignment w:val="auto"/>
        <w:rPr>
          <w:rFonts w:cs="Segoe UI"/>
          <w:color w:val="000000"/>
          <w:szCs w:val="24"/>
        </w:rPr>
      </w:pPr>
      <w:r w:rsidRPr="00436C3D">
        <w:rPr>
          <w:rFonts w:cs="Segoe UI"/>
          <w:color w:val="000000"/>
          <w:szCs w:val="24"/>
        </w:rPr>
        <w:t>to consider any additions to Recommendations that may help to measure and reduce the impact of climate change. Examples include reduced power consumption of hardware and hardware tools, and reduced complexity of algorithms</w:t>
      </w:r>
      <w:r w:rsidR="00F8777C">
        <w:rPr>
          <w:rFonts w:cs="Segoe UI"/>
          <w:color w:val="000000"/>
          <w:szCs w:val="24"/>
        </w:rPr>
        <w:t>;</w:t>
      </w:r>
    </w:p>
    <w:p w:rsidR="000B49D7" w:rsidRPr="00436C3D" w:rsidRDefault="000B49D7" w:rsidP="000B49D7">
      <w:pPr>
        <w:numPr>
          <w:ilvl w:val="0"/>
          <w:numId w:val="19"/>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textAlignment w:val="auto"/>
        <w:rPr>
          <w:rFonts w:cs="Segoe UI"/>
          <w:color w:val="000000"/>
          <w:szCs w:val="24"/>
        </w:rPr>
      </w:pPr>
      <w:r w:rsidRPr="00436C3D">
        <w:rPr>
          <w:rFonts w:cs="Segoe UI"/>
          <w:color w:val="000000"/>
          <w:szCs w:val="24"/>
        </w:rPr>
        <w:t>functional characteristics and requirements that are necessary for network-based speech enhancement devices (e.g. network and acoustic echo cancellers, automatic level control, automatic listener enhancement, noise reduction) to provide good performance in existing GSTN and emerging ATM/IP and cellular networks;</w:t>
      </w:r>
    </w:p>
    <w:p w:rsidR="000B49D7" w:rsidRPr="00436C3D" w:rsidRDefault="000B49D7" w:rsidP="000B49D7">
      <w:pPr>
        <w:numPr>
          <w:ilvl w:val="0"/>
          <w:numId w:val="19"/>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textAlignment w:val="auto"/>
        <w:rPr>
          <w:rFonts w:cs="Segoe UI"/>
          <w:color w:val="000000"/>
          <w:szCs w:val="24"/>
        </w:rPr>
      </w:pPr>
      <w:r w:rsidRPr="00436C3D">
        <w:rPr>
          <w:rFonts w:cs="Segoe UI"/>
          <w:color w:val="000000"/>
          <w:szCs w:val="24"/>
        </w:rPr>
        <w:t>conformance tests and requirements that are necessary to ensure good performance of speech enhancement devices and how can they be enhanced to better correlate with subjective test results;</w:t>
      </w:r>
    </w:p>
    <w:p w:rsidR="000B49D7" w:rsidRPr="00436C3D" w:rsidRDefault="000B49D7" w:rsidP="000B49D7">
      <w:pPr>
        <w:numPr>
          <w:ilvl w:val="0"/>
          <w:numId w:val="19"/>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textAlignment w:val="auto"/>
        <w:rPr>
          <w:rFonts w:cs="Segoe UI"/>
          <w:color w:val="000000"/>
          <w:szCs w:val="24"/>
        </w:rPr>
      </w:pPr>
      <w:r w:rsidRPr="00436C3D">
        <w:rPr>
          <w:rFonts w:cs="Segoe UI"/>
          <w:color w:val="000000"/>
          <w:szCs w:val="24"/>
        </w:rPr>
        <w:t>performance of speech enhancement devices in GSTN, ATM/IP, cellular and other wireless environments with speech, facsimile and voiceband data signals, text telephones, signalling tones, call-processing tones, etc.;</w:t>
      </w:r>
    </w:p>
    <w:p w:rsidR="000B49D7" w:rsidRPr="00436C3D" w:rsidRDefault="000B49D7" w:rsidP="000B49D7">
      <w:pPr>
        <w:numPr>
          <w:ilvl w:val="0"/>
          <w:numId w:val="19"/>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textAlignment w:val="auto"/>
        <w:rPr>
          <w:rFonts w:cs="Segoe UI"/>
          <w:color w:val="000000"/>
          <w:szCs w:val="24"/>
        </w:rPr>
      </w:pPr>
      <w:r w:rsidRPr="00436C3D">
        <w:rPr>
          <w:rFonts w:cs="Segoe UI"/>
          <w:color w:val="000000"/>
          <w:szCs w:val="24"/>
        </w:rPr>
        <w:t>hardware and software tools that are necessary to support the testing of speech enhancement devices;</w:t>
      </w:r>
    </w:p>
    <w:p w:rsidR="000B49D7" w:rsidRPr="00436C3D" w:rsidRDefault="000B49D7" w:rsidP="000B49D7">
      <w:pPr>
        <w:numPr>
          <w:ilvl w:val="0"/>
          <w:numId w:val="19"/>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textAlignment w:val="auto"/>
        <w:rPr>
          <w:rFonts w:cs="Segoe UI"/>
          <w:color w:val="000000"/>
          <w:szCs w:val="24"/>
        </w:rPr>
      </w:pPr>
      <w:r w:rsidRPr="00436C3D">
        <w:rPr>
          <w:rFonts w:cs="Segoe UI"/>
          <w:color w:val="000000"/>
          <w:szCs w:val="24"/>
        </w:rPr>
        <w:t>realistic echo paths and test signals that are required for testing speech enhancement devices;</w:t>
      </w:r>
    </w:p>
    <w:p w:rsidR="000B49D7" w:rsidRPr="00436C3D" w:rsidRDefault="000B49D7" w:rsidP="000B49D7">
      <w:pPr>
        <w:numPr>
          <w:ilvl w:val="0"/>
          <w:numId w:val="19"/>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textAlignment w:val="auto"/>
        <w:rPr>
          <w:rFonts w:cs="Segoe UI"/>
          <w:color w:val="000000"/>
          <w:szCs w:val="24"/>
        </w:rPr>
      </w:pPr>
      <w:r w:rsidRPr="00436C3D">
        <w:rPr>
          <w:rFonts w:cs="Segoe UI"/>
          <w:color w:val="000000"/>
          <w:szCs w:val="24"/>
        </w:rPr>
        <w:lastRenderedPageBreak/>
        <w:t>design of in-path speech enhancement equipment so as not to interfere with tandem codec avoidance mechanisms (e.g. codec bypass or tandem-free operation);</w:t>
      </w:r>
    </w:p>
    <w:p w:rsidR="000B49D7" w:rsidRPr="00436C3D" w:rsidRDefault="000B49D7" w:rsidP="000B49D7">
      <w:pPr>
        <w:numPr>
          <w:ilvl w:val="0"/>
          <w:numId w:val="19"/>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textAlignment w:val="auto"/>
        <w:rPr>
          <w:rFonts w:cs="Segoe UI"/>
          <w:color w:val="000000"/>
          <w:szCs w:val="24"/>
        </w:rPr>
      </w:pPr>
      <w:r w:rsidRPr="00436C3D">
        <w:rPr>
          <w:rFonts w:cs="Segoe UI"/>
          <w:color w:val="000000"/>
          <w:szCs w:val="24"/>
        </w:rPr>
        <w:t>requirements of speech enhancement devices to minimise any degradations in performance due to tandeming;</w:t>
      </w:r>
    </w:p>
    <w:p w:rsidR="000B49D7" w:rsidRPr="00436C3D" w:rsidRDefault="000B49D7" w:rsidP="000B49D7">
      <w:pPr>
        <w:numPr>
          <w:ilvl w:val="0"/>
          <w:numId w:val="19"/>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textAlignment w:val="auto"/>
        <w:rPr>
          <w:rFonts w:cs="Segoe UI"/>
          <w:color w:val="000000"/>
          <w:szCs w:val="24"/>
        </w:rPr>
      </w:pPr>
      <w:r w:rsidRPr="00436C3D">
        <w:rPr>
          <w:rFonts w:cs="Segoe UI"/>
          <w:color w:val="000000"/>
          <w:szCs w:val="24"/>
        </w:rPr>
        <w:t>requirements for speech enhancement devices to operate with wideband signals;</w:t>
      </w:r>
    </w:p>
    <w:p w:rsidR="000B49D7" w:rsidRPr="00436C3D" w:rsidRDefault="000B49D7" w:rsidP="000B49D7">
      <w:pPr>
        <w:numPr>
          <w:ilvl w:val="0"/>
          <w:numId w:val="19"/>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textAlignment w:val="auto"/>
        <w:rPr>
          <w:rFonts w:cs="Segoe UI"/>
          <w:color w:val="000000"/>
          <w:szCs w:val="24"/>
        </w:rPr>
      </w:pPr>
      <w:r w:rsidRPr="00436C3D">
        <w:rPr>
          <w:rFonts w:cs="Segoe UI"/>
          <w:color w:val="000000"/>
          <w:szCs w:val="24"/>
        </w:rPr>
        <w:t>impact of testing with voice-over-packet interfaces (e.g. IP) and overcoming of any associated problems;</w:t>
      </w:r>
    </w:p>
    <w:p w:rsidR="000B49D7" w:rsidRPr="00436C3D" w:rsidRDefault="000B49D7" w:rsidP="000B49D7">
      <w:pPr>
        <w:numPr>
          <w:ilvl w:val="0"/>
          <w:numId w:val="19"/>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textAlignment w:val="auto"/>
        <w:rPr>
          <w:rFonts w:cs="Segoe UI"/>
          <w:color w:val="000000"/>
          <w:szCs w:val="24"/>
        </w:rPr>
      </w:pPr>
      <w:r w:rsidRPr="00436C3D">
        <w:rPr>
          <w:rFonts w:cs="Segoe UI"/>
          <w:color w:val="000000"/>
          <w:szCs w:val="24"/>
        </w:rPr>
        <w:t>performance of speech enhancement devices under system load conditions</w:t>
      </w:r>
      <w:r w:rsidR="00F8777C">
        <w:rPr>
          <w:rFonts w:cs="Segoe UI"/>
          <w:color w:val="000000"/>
          <w:szCs w:val="24"/>
        </w:rPr>
        <w:t>.</w:t>
      </w:r>
    </w:p>
    <w:p w:rsidR="000B49D7" w:rsidRPr="00436C3D" w:rsidRDefault="00F8777C" w:rsidP="00D41CBB">
      <w:pPr>
        <w:shd w:val="clear" w:color="auto" w:fill="FFFFFF"/>
        <w:tabs>
          <w:tab w:val="clear" w:pos="794"/>
          <w:tab w:val="left" w:pos="426"/>
        </w:tabs>
        <w:spacing w:before="360"/>
        <w:rPr>
          <w:rFonts w:cs="Segoe UI"/>
          <w:color w:val="000000"/>
          <w:szCs w:val="24"/>
        </w:rPr>
      </w:pPr>
      <w:r>
        <w:rPr>
          <w:rStyle w:val="Strong"/>
          <w:rFonts w:cs="Segoe UI"/>
          <w:color w:val="000000"/>
          <w:szCs w:val="24"/>
        </w:rPr>
        <w:t>3.</w:t>
      </w:r>
      <w:r>
        <w:rPr>
          <w:rStyle w:val="Strong"/>
          <w:rFonts w:cs="Segoe UI"/>
          <w:color w:val="000000"/>
          <w:szCs w:val="24"/>
        </w:rPr>
        <w:tab/>
      </w:r>
      <w:r w:rsidR="000B49D7" w:rsidRPr="00436C3D">
        <w:rPr>
          <w:rStyle w:val="Strong"/>
          <w:rFonts w:cs="Segoe UI"/>
          <w:color w:val="000000"/>
          <w:szCs w:val="24"/>
        </w:rPr>
        <w:t>Tasks</w:t>
      </w:r>
      <w:r w:rsidR="000B49D7" w:rsidRPr="00436C3D">
        <w:rPr>
          <w:rFonts w:cs="Segoe UI"/>
          <w:color w:val="000000"/>
          <w:szCs w:val="24"/>
        </w:rPr>
        <w:br/>
      </w:r>
      <w:r w:rsidR="000B49D7" w:rsidRPr="00436C3D">
        <w:rPr>
          <w:rFonts w:cs="Segoe UI"/>
          <w:color w:val="000000"/>
          <w:szCs w:val="24"/>
        </w:rPr>
        <w:br/>
        <w:t xml:space="preserve">Tasks include, but are not limited to: </w:t>
      </w:r>
    </w:p>
    <w:p w:rsidR="000B49D7" w:rsidRPr="00436C3D" w:rsidRDefault="000B49D7" w:rsidP="000B49D7">
      <w:pPr>
        <w:numPr>
          <w:ilvl w:val="0"/>
          <w:numId w:val="20"/>
        </w:numPr>
        <w:shd w:val="clear" w:color="auto" w:fill="FFFFFF"/>
        <w:tabs>
          <w:tab w:val="clear" w:pos="794"/>
          <w:tab w:val="clear" w:pos="1191"/>
          <w:tab w:val="clear" w:pos="1588"/>
          <w:tab w:val="clear" w:pos="1985"/>
        </w:tabs>
        <w:overflowPunct/>
        <w:autoSpaceDE/>
        <w:autoSpaceDN/>
        <w:adjustRightInd/>
        <w:spacing w:before="60" w:after="100" w:afterAutospacing="1"/>
        <w:ind w:left="714" w:hanging="357"/>
        <w:textAlignment w:val="auto"/>
        <w:rPr>
          <w:rFonts w:cs="Segoe UI"/>
          <w:color w:val="000000"/>
          <w:szCs w:val="24"/>
        </w:rPr>
      </w:pPr>
      <w:r w:rsidRPr="00436C3D">
        <w:rPr>
          <w:rFonts w:cs="Segoe UI"/>
          <w:color w:val="000000"/>
          <w:szCs w:val="24"/>
        </w:rPr>
        <w:t>improving voice performance for various gateways including vehicle and home gateways (e.g. implementation of tandem avoidance mechanisms of speech processing functions);</w:t>
      </w:r>
    </w:p>
    <w:p w:rsidR="000B49D7" w:rsidRPr="00436C3D" w:rsidRDefault="000B49D7" w:rsidP="000B49D7">
      <w:pPr>
        <w:numPr>
          <w:ilvl w:val="0"/>
          <w:numId w:val="20"/>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textAlignment w:val="auto"/>
        <w:rPr>
          <w:rFonts w:cs="Segoe UI"/>
          <w:color w:val="000000"/>
          <w:szCs w:val="24"/>
        </w:rPr>
      </w:pPr>
      <w:r w:rsidRPr="00436C3D">
        <w:rPr>
          <w:rFonts w:cs="Segoe UI"/>
          <w:color w:val="000000"/>
          <w:szCs w:val="24"/>
        </w:rPr>
        <w:t>guidelines to perform tests for measuring performance of signal processing functionalities (e.g. embedded echo cancellers) of a gateway equipment;</w:t>
      </w:r>
    </w:p>
    <w:p w:rsidR="000B49D7" w:rsidRPr="00436C3D" w:rsidRDefault="000B49D7" w:rsidP="000B49D7">
      <w:pPr>
        <w:numPr>
          <w:ilvl w:val="0"/>
          <w:numId w:val="20"/>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textAlignment w:val="auto"/>
        <w:rPr>
          <w:rFonts w:cs="Segoe UI"/>
          <w:color w:val="000000"/>
          <w:szCs w:val="24"/>
        </w:rPr>
      </w:pPr>
      <w:r w:rsidRPr="00436C3D">
        <w:rPr>
          <w:rFonts w:cs="Segoe UI"/>
          <w:color w:val="000000"/>
          <w:szCs w:val="24"/>
        </w:rPr>
        <w:t>coordination of activities verifying the consistency of SPNE/terminal Recommendations;</w:t>
      </w:r>
    </w:p>
    <w:p w:rsidR="000B49D7" w:rsidRPr="00436C3D" w:rsidRDefault="000B49D7" w:rsidP="000B49D7">
      <w:pPr>
        <w:numPr>
          <w:ilvl w:val="0"/>
          <w:numId w:val="20"/>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textAlignment w:val="auto"/>
        <w:rPr>
          <w:rFonts w:cs="Segoe UI"/>
          <w:color w:val="000000"/>
          <w:szCs w:val="24"/>
        </w:rPr>
      </w:pPr>
      <w:r w:rsidRPr="00436C3D">
        <w:rPr>
          <w:rFonts w:cs="Segoe UI"/>
          <w:color w:val="000000"/>
          <w:szCs w:val="24"/>
        </w:rPr>
        <w:t>develop guidelines on the preferred locations of SPNE in networks;</w:t>
      </w:r>
    </w:p>
    <w:p w:rsidR="000B49D7" w:rsidRPr="00436C3D" w:rsidRDefault="000B49D7" w:rsidP="000B49D7">
      <w:pPr>
        <w:numPr>
          <w:ilvl w:val="0"/>
          <w:numId w:val="20"/>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textAlignment w:val="auto"/>
        <w:rPr>
          <w:rFonts w:cs="Segoe UI"/>
          <w:color w:val="000000"/>
          <w:szCs w:val="24"/>
        </w:rPr>
      </w:pPr>
      <w:r w:rsidRPr="00436C3D">
        <w:rPr>
          <w:rFonts w:cs="Segoe UI"/>
          <w:color w:val="000000"/>
          <w:szCs w:val="24"/>
        </w:rPr>
        <w:t>addressing performance issues between SPNE/terminals and other voiceband traffic types including text telephony;</w:t>
      </w:r>
    </w:p>
    <w:p w:rsidR="000B49D7" w:rsidRPr="00436C3D" w:rsidRDefault="000B49D7" w:rsidP="000B49D7">
      <w:pPr>
        <w:numPr>
          <w:ilvl w:val="0"/>
          <w:numId w:val="20"/>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textAlignment w:val="auto"/>
        <w:rPr>
          <w:rFonts w:cs="Segoe UI"/>
          <w:color w:val="000000"/>
          <w:szCs w:val="24"/>
        </w:rPr>
      </w:pPr>
      <w:r w:rsidRPr="00436C3D">
        <w:rPr>
          <w:rFonts w:cs="Segoe UI"/>
          <w:color w:val="000000"/>
          <w:szCs w:val="24"/>
        </w:rPr>
        <w:t>develop draft new Recommendation(s) on control logic for SPNE and between SPNE and terminals; on mechanism for dynamic and soft coordination of SPNE/terminals to achieve optimal end-to-end voice quality; and on provision of information and requirements for SPNE;</w:t>
      </w:r>
    </w:p>
    <w:p w:rsidR="000B49D7" w:rsidRPr="00436C3D" w:rsidRDefault="000B49D7" w:rsidP="000B49D7">
      <w:pPr>
        <w:numPr>
          <w:ilvl w:val="0"/>
          <w:numId w:val="20"/>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textAlignment w:val="auto"/>
        <w:rPr>
          <w:rFonts w:cs="Segoe UI"/>
          <w:color w:val="000000"/>
          <w:szCs w:val="24"/>
        </w:rPr>
      </w:pPr>
      <w:r w:rsidRPr="00436C3D">
        <w:rPr>
          <w:rFonts w:cs="Segoe UI"/>
          <w:color w:val="000000"/>
          <w:szCs w:val="24"/>
        </w:rPr>
        <w:t>maintain and further develop ITU</w:t>
      </w:r>
      <w:r w:rsidRPr="00436C3D">
        <w:rPr>
          <w:rFonts w:cs="Segoe UI"/>
          <w:color w:val="000000"/>
          <w:szCs w:val="24"/>
        </w:rPr>
        <w:noBreakHyphen/>
        <w:t>T G.160, G.161, G.161.1, G.164, G.165, G.168, G.169, Q.115-series, G.799.2</w:t>
      </w:r>
      <w:r w:rsidR="00F8777C">
        <w:rPr>
          <w:rFonts w:cs="Segoe UI"/>
          <w:color w:val="000000"/>
          <w:szCs w:val="24"/>
        </w:rPr>
        <w:t>,</w:t>
      </w:r>
      <w:r w:rsidRPr="00436C3D">
        <w:rPr>
          <w:rFonts w:cs="Segoe UI"/>
          <w:color w:val="000000"/>
          <w:szCs w:val="24"/>
        </w:rPr>
        <w:t xml:space="preserve"> G.776.1</w:t>
      </w:r>
      <w:r w:rsidR="00F8777C">
        <w:rPr>
          <w:rFonts w:cs="Segoe UI"/>
          <w:color w:val="000000"/>
          <w:szCs w:val="24"/>
        </w:rPr>
        <w:t>, and G.776.4</w:t>
      </w:r>
      <w:r w:rsidRPr="00436C3D">
        <w:rPr>
          <w:rFonts w:cs="Segoe UI"/>
          <w:color w:val="000000"/>
          <w:szCs w:val="24"/>
        </w:rPr>
        <w:t>;</w:t>
      </w:r>
    </w:p>
    <w:p w:rsidR="000B49D7" w:rsidRPr="00436C3D" w:rsidRDefault="000B49D7" w:rsidP="000B49D7">
      <w:pPr>
        <w:numPr>
          <w:ilvl w:val="0"/>
          <w:numId w:val="20"/>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textAlignment w:val="auto"/>
        <w:rPr>
          <w:rFonts w:cs="Segoe UI"/>
          <w:color w:val="000000"/>
          <w:szCs w:val="24"/>
        </w:rPr>
      </w:pPr>
      <w:r w:rsidRPr="00436C3D">
        <w:rPr>
          <w:rFonts w:cs="Segoe UI"/>
          <w:color w:val="000000"/>
          <w:szCs w:val="24"/>
        </w:rPr>
        <w:t>enhancement of ITU-T G.799.1/Y.1451.1 to include support of ATM networks for GSTN interface;</w:t>
      </w:r>
    </w:p>
    <w:p w:rsidR="000B49D7" w:rsidRPr="00436C3D" w:rsidRDefault="000B49D7" w:rsidP="000B49D7">
      <w:pPr>
        <w:numPr>
          <w:ilvl w:val="0"/>
          <w:numId w:val="20"/>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textAlignment w:val="auto"/>
        <w:rPr>
          <w:rFonts w:cs="Segoe UI"/>
          <w:color w:val="000000"/>
          <w:szCs w:val="24"/>
        </w:rPr>
      </w:pPr>
      <w:r w:rsidRPr="00436C3D">
        <w:rPr>
          <w:rFonts w:cs="Segoe UI"/>
          <w:color w:val="000000"/>
          <w:szCs w:val="24"/>
        </w:rPr>
        <w:t>revision of ITU-T G.799.3 (IP-to-IP Gateway) that can be used for the bulk interconnection of voice and voiceband data traffic of two network operators;</w:t>
      </w:r>
    </w:p>
    <w:p w:rsidR="000B49D7" w:rsidRPr="00436C3D" w:rsidRDefault="000B49D7" w:rsidP="000B49D7">
      <w:pPr>
        <w:numPr>
          <w:ilvl w:val="0"/>
          <w:numId w:val="20"/>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textAlignment w:val="auto"/>
        <w:rPr>
          <w:rFonts w:cs="Segoe UI"/>
          <w:color w:val="000000"/>
          <w:szCs w:val="24"/>
        </w:rPr>
      </w:pPr>
      <w:r w:rsidRPr="00436C3D">
        <w:rPr>
          <w:rFonts w:cs="Segoe UI"/>
          <w:color w:val="000000"/>
          <w:szCs w:val="24"/>
        </w:rPr>
        <w:t>maintenance of ITU</w:t>
      </w:r>
      <w:r w:rsidRPr="00436C3D">
        <w:rPr>
          <w:rFonts w:cs="Segoe UI"/>
          <w:color w:val="000000"/>
          <w:szCs w:val="24"/>
        </w:rPr>
        <w:noBreakHyphen/>
        <w:t>T G.763, G.764, G.765, G.766, G.767, G.768, G.769/Y.1242, G.799.1/Y.1451.1, G.799.3</w:t>
      </w:r>
      <w:r w:rsidR="00F8777C">
        <w:rPr>
          <w:rFonts w:cs="Segoe UI"/>
          <w:color w:val="000000"/>
          <w:szCs w:val="24"/>
        </w:rPr>
        <w:t xml:space="preserve"> </w:t>
      </w:r>
      <w:r w:rsidRPr="00436C3D">
        <w:rPr>
          <w:rFonts w:cs="Segoe UI"/>
          <w:color w:val="000000"/>
          <w:szCs w:val="24"/>
        </w:rPr>
        <w:t>and I.733;</w:t>
      </w:r>
    </w:p>
    <w:p w:rsidR="000B49D7" w:rsidRPr="00436C3D" w:rsidRDefault="000B49D7" w:rsidP="000B49D7">
      <w:pPr>
        <w:numPr>
          <w:ilvl w:val="0"/>
          <w:numId w:val="20"/>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textAlignment w:val="auto"/>
        <w:rPr>
          <w:rFonts w:cs="Segoe UI"/>
          <w:color w:val="000000"/>
          <w:szCs w:val="24"/>
        </w:rPr>
      </w:pPr>
      <w:r w:rsidRPr="00436C3D">
        <w:rPr>
          <w:rFonts w:cs="Segoe UI"/>
          <w:color w:val="000000"/>
          <w:szCs w:val="24"/>
        </w:rPr>
        <w:t>develop guidelines for the application of speech enhancement devices (e.g. echo cancellers in conference bridges) to be included in the respective Recommendations above;</w:t>
      </w:r>
    </w:p>
    <w:p w:rsidR="000B49D7" w:rsidRPr="00436C3D" w:rsidRDefault="000B49D7" w:rsidP="000B49D7">
      <w:pPr>
        <w:numPr>
          <w:ilvl w:val="0"/>
          <w:numId w:val="20"/>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textAlignment w:val="auto"/>
        <w:rPr>
          <w:rFonts w:cs="Segoe UI"/>
          <w:color w:val="000000"/>
          <w:szCs w:val="24"/>
        </w:rPr>
      </w:pPr>
      <w:r w:rsidRPr="00436C3D">
        <w:rPr>
          <w:rFonts w:cs="Segoe UI"/>
          <w:color w:val="000000"/>
          <w:szCs w:val="24"/>
        </w:rPr>
        <w:t>develop new Recommendation or Annex to ITU-T G.168 covering test methodologies and the requirements of embedded echo cancellers;</w:t>
      </w:r>
    </w:p>
    <w:p w:rsidR="000B49D7" w:rsidRPr="00436C3D" w:rsidRDefault="000B49D7" w:rsidP="000B49D7">
      <w:pPr>
        <w:numPr>
          <w:ilvl w:val="0"/>
          <w:numId w:val="20"/>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textAlignment w:val="auto"/>
        <w:rPr>
          <w:rFonts w:cs="Segoe UI"/>
          <w:color w:val="000000"/>
          <w:szCs w:val="24"/>
        </w:rPr>
      </w:pPr>
      <w:r w:rsidRPr="00436C3D">
        <w:rPr>
          <w:rFonts w:cs="Segoe UI"/>
          <w:color w:val="000000"/>
          <w:szCs w:val="24"/>
        </w:rPr>
        <w:t>progress new work item on Do No Harm tests for speech enhancement functions.</w:t>
      </w:r>
    </w:p>
    <w:p w:rsidR="000B49D7" w:rsidRPr="00436C3D" w:rsidRDefault="000B49D7" w:rsidP="00F8777C">
      <w:pPr>
        <w:pStyle w:val="NormalWeb"/>
        <w:shd w:val="clear" w:color="auto" w:fill="FFFFFF"/>
        <w:spacing w:before="0" w:after="60"/>
        <w:rPr>
          <w:rFonts w:asciiTheme="minorHAnsi" w:hAnsiTheme="minorHAnsi" w:cs="Segoe UI"/>
          <w:color w:val="000000"/>
          <w:sz w:val="24"/>
          <w:szCs w:val="24"/>
        </w:rPr>
      </w:pPr>
      <w:r w:rsidRPr="00436C3D">
        <w:rPr>
          <w:rFonts w:asciiTheme="minorHAnsi" w:hAnsiTheme="minorHAnsi" w:cs="Segoe UI"/>
          <w:color w:val="000000"/>
          <w:sz w:val="24"/>
          <w:szCs w:val="24"/>
        </w:rPr>
        <w:t>An up-to-date status of work under this Question is found in the SG16 work programme (</w:t>
      </w:r>
      <w:hyperlink r:id="rId11" w:history="1">
        <w:r w:rsidRPr="00436C3D">
          <w:rPr>
            <w:rStyle w:val="Hyperlink"/>
            <w:rFonts w:asciiTheme="minorHAnsi" w:hAnsiTheme="minorHAnsi" w:cs="Segoe UI"/>
            <w:sz w:val="24"/>
            <w:szCs w:val="24"/>
            <w:lang w:val="en-GB"/>
          </w:rPr>
          <w:t>http://itu.int/ITU-T/workprog/wp_search.aspx?sp=15&amp;q=18/16</w:t>
        </w:r>
      </w:hyperlink>
      <w:r w:rsidRPr="00436C3D">
        <w:rPr>
          <w:rFonts w:asciiTheme="minorHAnsi" w:hAnsiTheme="minorHAnsi" w:cs="Segoe UI"/>
          <w:color w:val="000000"/>
          <w:sz w:val="24"/>
          <w:szCs w:val="24"/>
        </w:rPr>
        <w:t>).</w:t>
      </w:r>
    </w:p>
    <w:p w:rsidR="000B49D7" w:rsidRPr="00436C3D" w:rsidRDefault="00F8777C" w:rsidP="00D41CBB">
      <w:pPr>
        <w:pStyle w:val="NormalWeb"/>
        <w:shd w:val="clear" w:color="auto" w:fill="FFFFFF"/>
        <w:tabs>
          <w:tab w:val="left" w:pos="426"/>
        </w:tabs>
        <w:spacing w:before="360"/>
        <w:rPr>
          <w:rFonts w:asciiTheme="minorHAnsi" w:hAnsiTheme="minorHAnsi" w:cs="Segoe UI"/>
          <w:color w:val="000000"/>
          <w:sz w:val="24"/>
          <w:szCs w:val="24"/>
        </w:rPr>
      </w:pPr>
      <w:r>
        <w:rPr>
          <w:rStyle w:val="Strong"/>
          <w:rFonts w:asciiTheme="minorHAnsi" w:hAnsiTheme="minorHAnsi" w:cs="Segoe UI"/>
          <w:color w:val="000000"/>
          <w:sz w:val="24"/>
          <w:szCs w:val="24"/>
        </w:rPr>
        <w:t>4.</w:t>
      </w:r>
      <w:r>
        <w:rPr>
          <w:rStyle w:val="Strong"/>
          <w:rFonts w:asciiTheme="minorHAnsi" w:hAnsiTheme="minorHAnsi" w:cs="Segoe UI"/>
          <w:color w:val="000000"/>
          <w:sz w:val="24"/>
          <w:szCs w:val="24"/>
        </w:rPr>
        <w:tab/>
      </w:r>
      <w:r w:rsidR="000B49D7" w:rsidRPr="00436C3D">
        <w:rPr>
          <w:rStyle w:val="Strong"/>
          <w:rFonts w:asciiTheme="minorHAnsi" w:hAnsiTheme="minorHAnsi" w:cs="Segoe UI"/>
          <w:color w:val="000000"/>
          <w:sz w:val="24"/>
          <w:szCs w:val="24"/>
        </w:rPr>
        <w:t>Relationships</w:t>
      </w:r>
    </w:p>
    <w:p w:rsidR="000B49D7" w:rsidRPr="00436C3D" w:rsidRDefault="000B49D7" w:rsidP="000B49D7">
      <w:pPr>
        <w:shd w:val="clear" w:color="auto" w:fill="FFFFFF"/>
        <w:rPr>
          <w:rFonts w:cs="Segoe UI"/>
          <w:color w:val="000000"/>
          <w:szCs w:val="24"/>
        </w:rPr>
      </w:pPr>
      <w:r w:rsidRPr="00436C3D">
        <w:rPr>
          <w:rStyle w:val="Strong"/>
          <w:rFonts w:cs="Segoe UI"/>
          <w:color w:val="000000"/>
          <w:szCs w:val="24"/>
        </w:rPr>
        <w:t>Recommendations</w:t>
      </w:r>
      <w:r w:rsidRPr="00436C3D">
        <w:rPr>
          <w:rFonts w:cs="Segoe UI"/>
          <w:color w:val="000000"/>
          <w:szCs w:val="24"/>
        </w:rPr>
        <w:t xml:space="preserve"> </w:t>
      </w:r>
    </w:p>
    <w:p w:rsidR="000B49D7" w:rsidRPr="00436C3D" w:rsidRDefault="000B49D7" w:rsidP="00D41CBB">
      <w:pPr>
        <w:numPr>
          <w:ilvl w:val="0"/>
          <w:numId w:val="21"/>
        </w:numPr>
        <w:shd w:val="clear" w:color="auto" w:fill="FFFFFF"/>
        <w:tabs>
          <w:tab w:val="clear" w:pos="794"/>
          <w:tab w:val="clear" w:pos="1588"/>
          <w:tab w:val="clear" w:pos="1985"/>
        </w:tabs>
        <w:overflowPunct/>
        <w:autoSpaceDE/>
        <w:autoSpaceDN/>
        <w:adjustRightInd/>
        <w:spacing w:before="0" w:after="100" w:afterAutospacing="1"/>
        <w:ind w:left="714" w:hanging="357"/>
        <w:textAlignment w:val="auto"/>
        <w:rPr>
          <w:rFonts w:cs="Segoe UI"/>
          <w:color w:val="000000"/>
          <w:szCs w:val="24"/>
        </w:rPr>
      </w:pPr>
      <w:r w:rsidRPr="00436C3D">
        <w:rPr>
          <w:rFonts w:cs="Segoe UI"/>
          <w:color w:val="000000"/>
          <w:szCs w:val="24"/>
        </w:rPr>
        <w:t>ITU-T G.108.2, G.114, G.131, G.136, G.160-series, G.173, G.175, G.177, G.710- and G.720-series, G.760-series, G.827, G.828, P.330, P.340, P.342, P.1010, P.1100, P.1110, P.501, P.502, P.82, P.84, P.800, P.831, P.835, P.840, P.862-series, Q</w:t>
      </w:r>
      <w:r w:rsidR="00915015">
        <w:rPr>
          <w:rFonts w:cs="Segoe UI"/>
          <w:color w:val="000000"/>
          <w:szCs w:val="24"/>
        </w:rPr>
        <w:t>.</w:t>
      </w:r>
      <w:r w:rsidRPr="00436C3D">
        <w:rPr>
          <w:rFonts w:cs="Segoe UI"/>
          <w:color w:val="000000"/>
          <w:szCs w:val="24"/>
        </w:rPr>
        <w:t>50-series, Q</w:t>
      </w:r>
      <w:r w:rsidR="00915015">
        <w:rPr>
          <w:rFonts w:cs="Segoe UI"/>
          <w:color w:val="000000"/>
          <w:szCs w:val="24"/>
        </w:rPr>
        <w:t>.</w:t>
      </w:r>
      <w:r w:rsidRPr="00436C3D">
        <w:rPr>
          <w:rFonts w:cs="Segoe UI"/>
          <w:color w:val="000000"/>
          <w:szCs w:val="24"/>
        </w:rPr>
        <w:t>55/16, Q</w:t>
      </w:r>
      <w:r w:rsidR="00915015">
        <w:rPr>
          <w:rFonts w:cs="Segoe UI"/>
          <w:color w:val="000000"/>
          <w:szCs w:val="24"/>
        </w:rPr>
        <w:t>.</w:t>
      </w:r>
      <w:bookmarkStart w:id="3" w:name="_GoBack"/>
      <w:bookmarkEnd w:id="3"/>
      <w:r w:rsidRPr="00436C3D">
        <w:rPr>
          <w:rFonts w:cs="Segoe UI"/>
          <w:color w:val="000000"/>
          <w:szCs w:val="24"/>
        </w:rPr>
        <w:t>56/16, Q.115</w:t>
      </w:r>
      <w:r w:rsidR="00D41CBB">
        <w:rPr>
          <w:rFonts w:cs="Segoe UI"/>
          <w:color w:val="000000"/>
          <w:szCs w:val="24"/>
        </w:rPr>
        <w:noBreakHyphen/>
      </w:r>
      <w:r w:rsidRPr="00436C3D">
        <w:rPr>
          <w:rFonts w:cs="Segoe UI"/>
          <w:color w:val="000000"/>
          <w:szCs w:val="24"/>
        </w:rPr>
        <w:t>series, S.1522, T.30, T.38, V.18, V.20-series, V.32, V.34, V.150.x-series, V.151, V.152</w:t>
      </w:r>
      <w:r w:rsidR="00F8777C">
        <w:rPr>
          <w:rFonts w:cs="Segoe UI"/>
          <w:color w:val="000000"/>
          <w:szCs w:val="24"/>
        </w:rPr>
        <w:t>.</w:t>
      </w:r>
    </w:p>
    <w:p w:rsidR="000B49D7" w:rsidRPr="00436C3D" w:rsidRDefault="000B49D7" w:rsidP="00D41CBB">
      <w:pPr>
        <w:pageBreakBefore/>
        <w:shd w:val="clear" w:color="auto" w:fill="FFFFFF"/>
        <w:tabs>
          <w:tab w:val="clear" w:pos="1191"/>
        </w:tabs>
        <w:spacing w:before="0"/>
        <w:rPr>
          <w:rFonts w:cs="Segoe UI"/>
          <w:color w:val="000000"/>
          <w:szCs w:val="24"/>
        </w:rPr>
      </w:pPr>
      <w:r w:rsidRPr="00436C3D">
        <w:rPr>
          <w:rStyle w:val="Strong"/>
          <w:rFonts w:cs="Segoe UI"/>
          <w:color w:val="000000"/>
          <w:szCs w:val="24"/>
        </w:rPr>
        <w:t>Questions</w:t>
      </w:r>
      <w:r w:rsidRPr="00436C3D">
        <w:rPr>
          <w:rFonts w:cs="Segoe UI"/>
          <w:color w:val="000000"/>
          <w:szCs w:val="24"/>
        </w:rPr>
        <w:t xml:space="preserve"> </w:t>
      </w:r>
    </w:p>
    <w:p w:rsidR="000B49D7" w:rsidRPr="00436C3D" w:rsidRDefault="000B49D7" w:rsidP="000B49D7">
      <w:pPr>
        <w:numPr>
          <w:ilvl w:val="0"/>
          <w:numId w:val="22"/>
        </w:numPr>
        <w:shd w:val="clear" w:color="auto" w:fill="FFFFFF"/>
        <w:tabs>
          <w:tab w:val="clear" w:pos="794"/>
          <w:tab w:val="clear" w:pos="1191"/>
          <w:tab w:val="clear" w:pos="1588"/>
          <w:tab w:val="clear" w:pos="1985"/>
        </w:tabs>
        <w:overflowPunct/>
        <w:autoSpaceDE/>
        <w:autoSpaceDN/>
        <w:adjustRightInd/>
        <w:spacing w:before="0" w:after="100" w:afterAutospacing="1"/>
        <w:ind w:left="714" w:hanging="357"/>
        <w:textAlignment w:val="auto"/>
        <w:rPr>
          <w:rFonts w:cs="Segoe UI"/>
          <w:color w:val="000000"/>
          <w:szCs w:val="24"/>
        </w:rPr>
      </w:pPr>
      <w:r w:rsidRPr="00436C3D">
        <w:rPr>
          <w:rFonts w:cs="Segoe UI"/>
          <w:color w:val="000000"/>
          <w:szCs w:val="24"/>
        </w:rPr>
        <w:t>1/16 and 21/16 on multimedia systems, terminals, protocols and architectures</w:t>
      </w:r>
      <w:r w:rsidR="00F8777C">
        <w:rPr>
          <w:rFonts w:cs="Segoe UI"/>
          <w:color w:val="000000"/>
          <w:szCs w:val="24"/>
        </w:rPr>
        <w:t>;</w:t>
      </w:r>
    </w:p>
    <w:p w:rsidR="000B49D7" w:rsidRPr="00436C3D" w:rsidRDefault="000B49D7" w:rsidP="000B49D7">
      <w:pPr>
        <w:numPr>
          <w:ilvl w:val="0"/>
          <w:numId w:val="22"/>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textAlignment w:val="auto"/>
        <w:rPr>
          <w:rFonts w:cs="Segoe UI"/>
          <w:color w:val="000000"/>
          <w:szCs w:val="24"/>
        </w:rPr>
      </w:pPr>
      <w:r w:rsidRPr="00436C3D">
        <w:rPr>
          <w:rFonts w:cs="Segoe UI"/>
          <w:color w:val="000000"/>
          <w:szCs w:val="24"/>
        </w:rPr>
        <w:t>3/16 and on media gateway control</w:t>
      </w:r>
      <w:r w:rsidR="00F8777C">
        <w:rPr>
          <w:rFonts w:cs="Segoe UI"/>
          <w:color w:val="000000"/>
          <w:szCs w:val="24"/>
        </w:rPr>
        <w:t>;</w:t>
      </w:r>
    </w:p>
    <w:p w:rsidR="000B49D7" w:rsidRPr="00436C3D" w:rsidRDefault="000B49D7" w:rsidP="000B49D7">
      <w:pPr>
        <w:numPr>
          <w:ilvl w:val="0"/>
          <w:numId w:val="22"/>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textAlignment w:val="auto"/>
        <w:rPr>
          <w:rFonts w:cs="Segoe UI"/>
          <w:color w:val="000000"/>
          <w:szCs w:val="24"/>
        </w:rPr>
      </w:pPr>
      <w:r w:rsidRPr="00436C3D">
        <w:rPr>
          <w:rFonts w:cs="Segoe UI"/>
          <w:color w:val="000000"/>
          <w:szCs w:val="24"/>
        </w:rPr>
        <w:t>7/16 and 10/16 on speech coding algorithms</w:t>
      </w:r>
      <w:r w:rsidR="00F8777C">
        <w:rPr>
          <w:rFonts w:cs="Segoe UI"/>
          <w:color w:val="000000"/>
          <w:szCs w:val="24"/>
        </w:rPr>
        <w:t>;</w:t>
      </w:r>
    </w:p>
    <w:p w:rsidR="000B49D7" w:rsidRPr="00436C3D" w:rsidRDefault="000B49D7" w:rsidP="000B49D7">
      <w:pPr>
        <w:numPr>
          <w:ilvl w:val="0"/>
          <w:numId w:val="22"/>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textAlignment w:val="auto"/>
        <w:rPr>
          <w:rFonts w:cs="Segoe UI"/>
          <w:color w:val="000000"/>
          <w:szCs w:val="24"/>
        </w:rPr>
      </w:pPr>
      <w:r w:rsidRPr="00436C3D">
        <w:rPr>
          <w:rFonts w:cs="Segoe UI"/>
          <w:color w:val="000000"/>
          <w:szCs w:val="24"/>
        </w:rPr>
        <w:t>15/16 on voiceband signal compression protocols</w:t>
      </w:r>
      <w:r w:rsidR="00F8777C">
        <w:rPr>
          <w:rFonts w:cs="Segoe UI"/>
          <w:color w:val="000000"/>
          <w:szCs w:val="24"/>
        </w:rPr>
        <w:t>;</w:t>
      </w:r>
    </w:p>
    <w:p w:rsidR="000B49D7" w:rsidRPr="00436C3D" w:rsidRDefault="000B49D7" w:rsidP="000B49D7">
      <w:pPr>
        <w:numPr>
          <w:ilvl w:val="0"/>
          <w:numId w:val="22"/>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textAlignment w:val="auto"/>
        <w:rPr>
          <w:rFonts w:cs="Segoe UI"/>
          <w:color w:val="000000"/>
          <w:szCs w:val="24"/>
        </w:rPr>
      </w:pPr>
      <w:r w:rsidRPr="00436C3D">
        <w:rPr>
          <w:rFonts w:cs="Segoe UI"/>
          <w:color w:val="000000"/>
          <w:szCs w:val="24"/>
        </w:rPr>
        <w:t>27/16 on vehicle gateway platform</w:t>
      </w:r>
      <w:r w:rsidR="00F8777C">
        <w:rPr>
          <w:rFonts w:cs="Segoe UI"/>
          <w:color w:val="000000"/>
          <w:szCs w:val="24"/>
        </w:rPr>
        <w:t>.</w:t>
      </w:r>
    </w:p>
    <w:p w:rsidR="000B49D7" w:rsidRPr="00436C3D" w:rsidRDefault="000B49D7" w:rsidP="000B49D7">
      <w:pPr>
        <w:shd w:val="clear" w:color="auto" w:fill="FFFFFF"/>
        <w:spacing w:before="0"/>
        <w:rPr>
          <w:rFonts w:cs="Segoe UI"/>
          <w:color w:val="000000"/>
          <w:szCs w:val="24"/>
        </w:rPr>
      </w:pPr>
      <w:r w:rsidRPr="00436C3D">
        <w:rPr>
          <w:rStyle w:val="Strong"/>
          <w:rFonts w:cs="Segoe UI"/>
          <w:color w:val="000000"/>
          <w:szCs w:val="24"/>
        </w:rPr>
        <w:t>Study groups</w:t>
      </w:r>
      <w:r w:rsidRPr="00436C3D">
        <w:rPr>
          <w:rFonts w:cs="Segoe UI"/>
          <w:color w:val="000000"/>
          <w:szCs w:val="24"/>
        </w:rPr>
        <w:t xml:space="preserve"> </w:t>
      </w:r>
    </w:p>
    <w:p w:rsidR="000B49D7" w:rsidRPr="00436C3D" w:rsidRDefault="000B49D7" w:rsidP="000B49D7">
      <w:pPr>
        <w:numPr>
          <w:ilvl w:val="0"/>
          <w:numId w:val="23"/>
        </w:numPr>
        <w:shd w:val="clear" w:color="auto" w:fill="FFFFFF"/>
        <w:tabs>
          <w:tab w:val="clear" w:pos="794"/>
          <w:tab w:val="clear" w:pos="1191"/>
          <w:tab w:val="clear" w:pos="1588"/>
          <w:tab w:val="clear" w:pos="1985"/>
        </w:tabs>
        <w:overflowPunct/>
        <w:autoSpaceDE/>
        <w:autoSpaceDN/>
        <w:adjustRightInd/>
        <w:spacing w:before="0" w:after="100" w:afterAutospacing="1"/>
        <w:ind w:left="714" w:hanging="357"/>
        <w:textAlignment w:val="auto"/>
        <w:rPr>
          <w:rFonts w:cs="Segoe UI"/>
          <w:color w:val="000000"/>
          <w:szCs w:val="24"/>
        </w:rPr>
      </w:pPr>
      <w:r w:rsidRPr="00436C3D">
        <w:rPr>
          <w:rFonts w:cs="Segoe UI"/>
          <w:color w:val="000000"/>
          <w:szCs w:val="24"/>
        </w:rPr>
        <w:t>ITU</w:t>
      </w:r>
      <w:r w:rsidRPr="00436C3D">
        <w:rPr>
          <w:rFonts w:cs="Segoe UI"/>
          <w:color w:val="000000"/>
          <w:szCs w:val="24"/>
        </w:rPr>
        <w:noBreakHyphen/>
        <w:t>T SG2 on operational aspects of networks and performance and network management</w:t>
      </w:r>
      <w:r w:rsidR="00F8777C">
        <w:rPr>
          <w:rFonts w:cs="Segoe UI"/>
          <w:color w:val="000000"/>
          <w:szCs w:val="24"/>
        </w:rPr>
        <w:t>;</w:t>
      </w:r>
    </w:p>
    <w:p w:rsidR="000B49D7" w:rsidRPr="00436C3D" w:rsidRDefault="000B49D7" w:rsidP="000B49D7">
      <w:pPr>
        <w:numPr>
          <w:ilvl w:val="0"/>
          <w:numId w:val="23"/>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textAlignment w:val="auto"/>
        <w:rPr>
          <w:rFonts w:cs="Segoe UI"/>
          <w:color w:val="000000"/>
          <w:szCs w:val="24"/>
        </w:rPr>
      </w:pPr>
      <w:r w:rsidRPr="00436C3D">
        <w:rPr>
          <w:rFonts w:cs="Segoe UI"/>
          <w:color w:val="000000"/>
          <w:szCs w:val="24"/>
        </w:rPr>
        <w:t>ITU</w:t>
      </w:r>
      <w:r w:rsidRPr="00436C3D">
        <w:rPr>
          <w:rFonts w:cs="Segoe UI"/>
          <w:color w:val="000000"/>
          <w:szCs w:val="24"/>
        </w:rPr>
        <w:noBreakHyphen/>
        <w:t>T SG11 on signalling requirements and protocols</w:t>
      </w:r>
      <w:r w:rsidR="00F8777C">
        <w:rPr>
          <w:rFonts w:cs="Segoe UI"/>
          <w:color w:val="000000"/>
          <w:szCs w:val="24"/>
        </w:rPr>
        <w:t>;</w:t>
      </w:r>
    </w:p>
    <w:p w:rsidR="000B49D7" w:rsidRPr="00436C3D" w:rsidRDefault="000B49D7" w:rsidP="000B49D7">
      <w:pPr>
        <w:numPr>
          <w:ilvl w:val="0"/>
          <w:numId w:val="23"/>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textAlignment w:val="auto"/>
        <w:rPr>
          <w:rFonts w:cs="Segoe UI"/>
          <w:color w:val="000000"/>
          <w:szCs w:val="24"/>
        </w:rPr>
      </w:pPr>
      <w:r w:rsidRPr="00436C3D">
        <w:rPr>
          <w:rFonts w:cs="Segoe UI"/>
          <w:color w:val="000000"/>
          <w:szCs w:val="24"/>
        </w:rPr>
        <w:t>ITU</w:t>
      </w:r>
      <w:r w:rsidRPr="00436C3D">
        <w:rPr>
          <w:rFonts w:cs="Segoe UI"/>
          <w:color w:val="000000"/>
          <w:szCs w:val="24"/>
        </w:rPr>
        <w:noBreakHyphen/>
        <w:t>T SG12 on speech performance</w:t>
      </w:r>
      <w:r w:rsidR="00F8777C">
        <w:rPr>
          <w:rFonts w:cs="Segoe UI"/>
          <w:color w:val="000000"/>
          <w:szCs w:val="24"/>
        </w:rPr>
        <w:t>;</w:t>
      </w:r>
    </w:p>
    <w:p w:rsidR="000B49D7" w:rsidRPr="00436C3D" w:rsidRDefault="000B49D7" w:rsidP="000B49D7">
      <w:pPr>
        <w:numPr>
          <w:ilvl w:val="0"/>
          <w:numId w:val="23"/>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textAlignment w:val="auto"/>
        <w:rPr>
          <w:rFonts w:cs="Segoe UI"/>
          <w:color w:val="000000"/>
          <w:szCs w:val="24"/>
        </w:rPr>
      </w:pPr>
      <w:r w:rsidRPr="00436C3D">
        <w:rPr>
          <w:rFonts w:cs="Segoe UI"/>
          <w:color w:val="000000"/>
          <w:szCs w:val="24"/>
        </w:rPr>
        <w:t>ITU</w:t>
      </w:r>
      <w:r w:rsidRPr="00436C3D">
        <w:rPr>
          <w:rFonts w:cs="Segoe UI"/>
          <w:color w:val="000000"/>
          <w:szCs w:val="24"/>
        </w:rPr>
        <w:noBreakHyphen/>
        <w:t>T SG13 on IP-based networks, NGN, FN and Internetworking</w:t>
      </w:r>
      <w:r w:rsidR="00F8777C">
        <w:rPr>
          <w:rFonts w:cs="Segoe UI"/>
          <w:color w:val="000000"/>
          <w:szCs w:val="24"/>
        </w:rPr>
        <w:t>;</w:t>
      </w:r>
    </w:p>
    <w:p w:rsidR="000B49D7" w:rsidRPr="00436C3D" w:rsidRDefault="000B49D7" w:rsidP="000B49D7">
      <w:pPr>
        <w:numPr>
          <w:ilvl w:val="0"/>
          <w:numId w:val="23"/>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textAlignment w:val="auto"/>
        <w:rPr>
          <w:rFonts w:cs="Segoe UI"/>
          <w:color w:val="000000"/>
          <w:szCs w:val="24"/>
        </w:rPr>
      </w:pPr>
      <w:r w:rsidRPr="00436C3D">
        <w:rPr>
          <w:rFonts w:cs="Segoe UI"/>
          <w:color w:val="000000"/>
          <w:szCs w:val="24"/>
        </w:rPr>
        <w:t>ITU</w:t>
      </w:r>
      <w:r w:rsidRPr="00436C3D">
        <w:rPr>
          <w:rFonts w:cs="Segoe UI"/>
          <w:color w:val="000000"/>
          <w:szCs w:val="24"/>
        </w:rPr>
        <w:noBreakHyphen/>
        <w:t>T SG15 on core network architecture, and management and control of transport systems and equipment</w:t>
      </w:r>
      <w:r w:rsidR="00F8777C">
        <w:rPr>
          <w:rFonts w:cs="Segoe UI"/>
          <w:color w:val="000000"/>
          <w:szCs w:val="24"/>
        </w:rPr>
        <w:t>;</w:t>
      </w:r>
    </w:p>
    <w:p w:rsidR="000B49D7" w:rsidRPr="00436C3D" w:rsidRDefault="000B49D7" w:rsidP="000B49D7">
      <w:pPr>
        <w:numPr>
          <w:ilvl w:val="0"/>
          <w:numId w:val="23"/>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textAlignment w:val="auto"/>
        <w:rPr>
          <w:rFonts w:cs="Segoe UI"/>
          <w:color w:val="000000"/>
          <w:szCs w:val="24"/>
        </w:rPr>
      </w:pPr>
      <w:r w:rsidRPr="00436C3D">
        <w:rPr>
          <w:rFonts w:cs="Segoe UI"/>
          <w:color w:val="000000"/>
          <w:szCs w:val="24"/>
        </w:rPr>
        <w:t>ITU</w:t>
      </w:r>
      <w:r w:rsidRPr="00436C3D">
        <w:rPr>
          <w:rFonts w:cs="Segoe UI"/>
          <w:color w:val="000000"/>
          <w:szCs w:val="24"/>
        </w:rPr>
        <w:noBreakHyphen/>
        <w:t>R SGs 4 and 5 on voice on mixed terrestrial/satellite networks</w:t>
      </w:r>
      <w:r w:rsidR="00F8777C">
        <w:rPr>
          <w:rFonts w:cs="Segoe UI"/>
          <w:color w:val="000000"/>
          <w:szCs w:val="24"/>
        </w:rPr>
        <w:t>.</w:t>
      </w:r>
    </w:p>
    <w:p w:rsidR="000B49D7" w:rsidRPr="00436C3D" w:rsidRDefault="000B49D7" w:rsidP="000B49D7">
      <w:pPr>
        <w:shd w:val="clear" w:color="auto" w:fill="FFFFFF"/>
        <w:spacing w:before="0"/>
        <w:rPr>
          <w:rFonts w:cs="Segoe UI"/>
          <w:color w:val="000000"/>
          <w:szCs w:val="24"/>
        </w:rPr>
      </w:pPr>
      <w:r w:rsidRPr="00436C3D">
        <w:rPr>
          <w:rStyle w:val="Strong"/>
          <w:rFonts w:cs="Segoe UI"/>
          <w:color w:val="000000"/>
          <w:szCs w:val="24"/>
        </w:rPr>
        <w:t>Other bodies</w:t>
      </w:r>
      <w:r w:rsidRPr="00436C3D">
        <w:rPr>
          <w:rFonts w:cs="Segoe UI"/>
          <w:color w:val="000000"/>
          <w:szCs w:val="24"/>
        </w:rPr>
        <w:t xml:space="preserve"> </w:t>
      </w:r>
    </w:p>
    <w:p w:rsidR="000B49D7" w:rsidRPr="00436C3D" w:rsidRDefault="000B49D7" w:rsidP="000B49D7">
      <w:pPr>
        <w:numPr>
          <w:ilvl w:val="0"/>
          <w:numId w:val="24"/>
        </w:numPr>
        <w:shd w:val="clear" w:color="auto" w:fill="FFFFFF"/>
        <w:tabs>
          <w:tab w:val="clear" w:pos="794"/>
          <w:tab w:val="clear" w:pos="1191"/>
          <w:tab w:val="clear" w:pos="1588"/>
          <w:tab w:val="clear" w:pos="1985"/>
        </w:tabs>
        <w:overflowPunct/>
        <w:autoSpaceDE/>
        <w:autoSpaceDN/>
        <w:adjustRightInd/>
        <w:spacing w:before="0" w:after="100" w:afterAutospacing="1"/>
        <w:ind w:left="714" w:hanging="357"/>
        <w:textAlignment w:val="auto"/>
        <w:rPr>
          <w:rFonts w:cs="Segoe UI"/>
          <w:color w:val="000000"/>
          <w:szCs w:val="24"/>
        </w:rPr>
      </w:pPr>
      <w:r w:rsidRPr="00436C3D">
        <w:rPr>
          <w:rFonts w:cs="Segoe UI"/>
          <w:color w:val="000000"/>
          <w:szCs w:val="24"/>
        </w:rPr>
        <w:t>Broadband Forum on ATM, MPLS and frame relay transport</w:t>
      </w:r>
      <w:r w:rsidR="00F8777C">
        <w:rPr>
          <w:rFonts w:cs="Segoe UI"/>
          <w:color w:val="000000"/>
          <w:szCs w:val="24"/>
        </w:rPr>
        <w:t>;</w:t>
      </w:r>
    </w:p>
    <w:p w:rsidR="000B49D7" w:rsidRPr="00436C3D" w:rsidRDefault="000B49D7" w:rsidP="000B49D7">
      <w:pPr>
        <w:numPr>
          <w:ilvl w:val="0"/>
          <w:numId w:val="24"/>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textAlignment w:val="auto"/>
        <w:rPr>
          <w:rFonts w:cs="Segoe UI"/>
          <w:color w:val="000000"/>
          <w:szCs w:val="24"/>
        </w:rPr>
      </w:pPr>
      <w:r w:rsidRPr="00436C3D">
        <w:rPr>
          <w:rFonts w:cs="Segoe UI"/>
          <w:color w:val="000000"/>
          <w:szCs w:val="24"/>
        </w:rPr>
        <w:t>ETSI TISPAN, 3GPP, 3GPP TSG SA4, 3GPP2 and TIA on mobile networks, mobile network architectures, tandem-free operation and the logic and protocol requirements needed for the control and coordination of signal processing functionalities in the networks and terminals</w:t>
      </w:r>
      <w:r w:rsidR="00F8777C">
        <w:rPr>
          <w:rFonts w:cs="Segoe UI"/>
          <w:color w:val="000000"/>
          <w:szCs w:val="24"/>
        </w:rPr>
        <w:t>;</w:t>
      </w:r>
    </w:p>
    <w:p w:rsidR="000B49D7" w:rsidRPr="00436C3D" w:rsidRDefault="000B49D7" w:rsidP="000B49D7">
      <w:pPr>
        <w:numPr>
          <w:ilvl w:val="0"/>
          <w:numId w:val="24"/>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textAlignment w:val="auto"/>
        <w:rPr>
          <w:rFonts w:cs="Segoe UI"/>
          <w:color w:val="000000"/>
          <w:szCs w:val="24"/>
        </w:rPr>
      </w:pPr>
      <w:r w:rsidRPr="00436C3D">
        <w:rPr>
          <w:rFonts w:cs="Segoe UI"/>
          <w:color w:val="000000"/>
          <w:szCs w:val="24"/>
        </w:rPr>
        <w:t>IETF on IP transport, applications, speech service control, and operation and management</w:t>
      </w:r>
      <w:r w:rsidR="00F8777C">
        <w:rPr>
          <w:rFonts w:cs="Segoe UI"/>
          <w:color w:val="000000"/>
          <w:szCs w:val="24"/>
        </w:rPr>
        <w:t>;</w:t>
      </w:r>
    </w:p>
    <w:p w:rsidR="000B49D7" w:rsidRPr="00436C3D" w:rsidRDefault="000B49D7" w:rsidP="000B49D7">
      <w:pPr>
        <w:numPr>
          <w:ilvl w:val="0"/>
          <w:numId w:val="24"/>
        </w:numPr>
        <w:shd w:val="clear" w:color="auto" w:fill="FFFFFF"/>
        <w:tabs>
          <w:tab w:val="clear" w:pos="794"/>
          <w:tab w:val="clear" w:pos="1191"/>
          <w:tab w:val="clear" w:pos="1588"/>
          <w:tab w:val="clear" w:pos="1985"/>
        </w:tabs>
        <w:overflowPunct/>
        <w:autoSpaceDE/>
        <w:autoSpaceDN/>
        <w:adjustRightInd/>
        <w:spacing w:before="100" w:beforeAutospacing="1" w:after="100" w:afterAutospacing="1"/>
        <w:textAlignment w:val="auto"/>
        <w:rPr>
          <w:rFonts w:cs="Segoe UI"/>
          <w:color w:val="000000"/>
          <w:szCs w:val="24"/>
        </w:rPr>
      </w:pPr>
      <w:r w:rsidRPr="00436C3D">
        <w:rPr>
          <w:rFonts w:cs="Segoe UI"/>
          <w:color w:val="000000"/>
          <w:szCs w:val="24"/>
        </w:rPr>
        <w:t>ISO, IEC</w:t>
      </w:r>
      <w:r w:rsidR="00F8777C">
        <w:rPr>
          <w:rFonts w:cs="Segoe UI"/>
          <w:color w:val="000000"/>
          <w:szCs w:val="24"/>
        </w:rPr>
        <w:t>.</w:t>
      </w:r>
    </w:p>
    <w:p w:rsidR="000B49D7" w:rsidRPr="00436C3D" w:rsidRDefault="000B49D7" w:rsidP="000B49D7">
      <w:pPr>
        <w:pStyle w:val="NormalWeb"/>
        <w:shd w:val="clear" w:color="auto" w:fill="FFFFFF"/>
        <w:jc w:val="center"/>
        <w:rPr>
          <w:rFonts w:asciiTheme="minorHAnsi" w:hAnsiTheme="minorHAnsi" w:cs="Segoe UI"/>
          <w:color w:val="000000"/>
          <w:sz w:val="24"/>
          <w:szCs w:val="24"/>
        </w:rPr>
      </w:pPr>
      <w:r w:rsidRPr="00436C3D">
        <w:rPr>
          <w:rFonts w:asciiTheme="minorHAnsi" w:hAnsiTheme="minorHAnsi" w:cs="Segoe UI"/>
          <w:color w:val="000000"/>
          <w:sz w:val="24"/>
          <w:szCs w:val="24"/>
        </w:rPr>
        <w:t>_________________</w:t>
      </w:r>
    </w:p>
    <w:p w:rsidR="000B49D7" w:rsidRPr="00436C3D" w:rsidRDefault="000B49D7" w:rsidP="000B49D7">
      <w:pPr>
        <w:pStyle w:val="NormalWeb"/>
        <w:shd w:val="clear" w:color="auto" w:fill="FFFFFF"/>
        <w:rPr>
          <w:rFonts w:asciiTheme="minorHAnsi" w:hAnsiTheme="minorHAnsi" w:cs="Segoe UI"/>
          <w:color w:val="000000"/>
          <w:sz w:val="24"/>
          <w:szCs w:val="24"/>
        </w:rPr>
      </w:pPr>
      <w:r w:rsidRPr="00436C3D">
        <w:rPr>
          <w:rFonts w:asciiTheme="minorHAnsi" w:hAnsiTheme="minorHAnsi" w:cs="Segoe UI"/>
          <w:color w:val="000000"/>
          <w:sz w:val="24"/>
          <w:szCs w:val="24"/>
        </w:rPr>
        <w:t> </w:t>
      </w:r>
    </w:p>
    <w:p w:rsidR="000B49D7" w:rsidRPr="00436C3D" w:rsidRDefault="000B49D7" w:rsidP="000B49D7">
      <w:pPr>
        <w:spacing w:before="100" w:beforeAutospacing="1" w:after="100" w:afterAutospacing="1"/>
        <w:rPr>
          <w:b/>
          <w:bCs/>
          <w:szCs w:val="24"/>
        </w:rPr>
      </w:pPr>
    </w:p>
    <w:sectPr w:rsidR="000B49D7" w:rsidRPr="00436C3D" w:rsidSect="002F6530">
      <w:headerReference w:type="default" r:id="rId12"/>
      <w:footerReference w:type="default" r:id="rId13"/>
      <w:footerReference w:type="first" r:id="rId14"/>
      <w:type w:val="oddPage"/>
      <w:pgSz w:w="11907" w:h="16834" w:code="9"/>
      <w:pgMar w:top="567" w:right="1089" w:bottom="567" w:left="1089"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9D7" w:rsidRDefault="000B49D7">
      <w:r>
        <w:separator/>
      </w:r>
    </w:p>
  </w:endnote>
  <w:endnote w:type="continuationSeparator" w:id="0">
    <w:p w:rsidR="000B49D7" w:rsidRDefault="000B4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Futura Lt BT">
    <w:altName w:val="Century Gothic"/>
    <w:charset w:val="00"/>
    <w:family w:val="swiss"/>
    <w:pitch w:val="variable"/>
    <w:sig w:usb0="00000001" w:usb1="00000000" w:usb2="00000000" w:usb3="00000000" w:csb0="0000001B"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24A" w:rsidRPr="00196AB1" w:rsidRDefault="00196AB1" w:rsidP="00D41CBB">
    <w:pPr>
      <w:pStyle w:val="Footer"/>
      <w:tabs>
        <w:tab w:val="clear" w:pos="794"/>
        <w:tab w:val="clear" w:pos="1191"/>
        <w:tab w:val="clear" w:pos="1588"/>
        <w:tab w:val="clear" w:pos="1985"/>
      </w:tabs>
      <w:rPr>
        <w:lang w:val="fr-CH"/>
      </w:rPr>
    </w:pPr>
    <w:r w:rsidRPr="00801170">
      <w:rPr>
        <w:lang w:val="fr-CH"/>
      </w:rPr>
      <w:t>ITU-T\BUREAU\CIRC\</w:t>
    </w:r>
    <w:r w:rsidR="005B625F">
      <w:rPr>
        <w:lang w:val="fr-CH"/>
      </w:rPr>
      <w:t>107</w:t>
    </w:r>
    <w:r w:rsidRPr="00801170">
      <w:rPr>
        <w:lang w:val="fr-CH"/>
      </w:rPr>
      <w:t>E.DOC</w:t>
    </w:r>
    <w:r w:rsidRPr="00801170">
      <w:rPr>
        <w:lang w:val="fr-CH"/>
      </w:rPr>
      <w:tab/>
    </w:r>
    <w:r w:rsidRPr="00801170">
      <w:rPr>
        <w:lang w:val="fr-CH"/>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124A" w:rsidRPr="004E3CF9" w:rsidRDefault="004E3CF9" w:rsidP="004E3CF9">
    <w:pPr>
      <w:pStyle w:val="FirstFooter"/>
      <w:ind w:left="-397" w:right="-397"/>
      <w:jc w:val="center"/>
    </w:pPr>
    <w:r w:rsidRPr="00026CF8">
      <w:rPr>
        <w:sz w:val="18"/>
        <w:szCs w:val="18"/>
        <w:lang w:val="fr-CH"/>
      </w:rPr>
      <w:t>International Telecommunication Union • Place des Nations • CH</w:t>
    </w:r>
    <w:r w:rsidRPr="00026CF8">
      <w:rPr>
        <w:sz w:val="18"/>
        <w:szCs w:val="18"/>
        <w:lang w:val="fr-CH"/>
      </w:rPr>
      <w:noBreakHyphen/>
      <w:t xml:space="preserve">1211 Geneva 20 • Switzerland </w:t>
    </w:r>
    <w:r w:rsidRPr="00026CF8">
      <w:rPr>
        <w:sz w:val="18"/>
        <w:szCs w:val="18"/>
        <w:lang w:val="fr-CH"/>
      </w:rPr>
      <w:br/>
      <w:t xml:space="preserve">Tel: +41 22 730 5111 • Fax: +41 22 733 7256 • E-mail: </w:t>
    </w:r>
    <w:hyperlink r:id="rId1" w:history="1">
      <w:r w:rsidRPr="00026CF8">
        <w:rPr>
          <w:rStyle w:val="Hyperlink"/>
          <w:sz w:val="18"/>
          <w:szCs w:val="18"/>
          <w:lang w:val="fr-CH"/>
        </w:rPr>
        <w:t>itumail@itu.int</w:t>
      </w:r>
    </w:hyperlink>
    <w:r w:rsidRPr="00026CF8">
      <w:rPr>
        <w:sz w:val="18"/>
        <w:szCs w:val="18"/>
        <w:lang w:val="fr-CH"/>
      </w:rPr>
      <w:t xml:space="preserve"> • </w:t>
    </w:r>
    <w:hyperlink r:id="rId2" w:history="1">
      <w:r w:rsidRPr="00026CF8">
        <w:rPr>
          <w:rStyle w:val="Hyperlink"/>
          <w:sz w:val="18"/>
          <w:szCs w:val="18"/>
          <w:lang w:val="fr-CH"/>
        </w:rPr>
        <w:t>www.itu.int</w:t>
      </w:r>
    </w:hyperlink>
    <w:r w:rsidRPr="00026CF8">
      <w:rPr>
        <w:sz w:val="18"/>
        <w:szCs w:val="18"/>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9D7" w:rsidRDefault="000B49D7">
      <w:r>
        <w:t>____________________</w:t>
      </w:r>
    </w:p>
  </w:footnote>
  <w:footnote w:type="continuationSeparator" w:id="0">
    <w:p w:rsidR="000B49D7" w:rsidRDefault="000B49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40E1" w:rsidRDefault="00221687">
    <w:pPr>
      <w:pStyle w:val="Header"/>
    </w:pPr>
    <w:sdt>
      <w:sdtPr>
        <w:id w:val="526448189"/>
        <w:docPartObj>
          <w:docPartGallery w:val="Page Numbers (Top of Page)"/>
          <w:docPartUnique/>
        </w:docPartObj>
      </w:sdtPr>
      <w:sdtEndPr>
        <w:rPr>
          <w:noProof/>
        </w:rPr>
      </w:sdtEndPr>
      <w:sdtContent>
        <w:r w:rsidR="00C740E1">
          <w:t xml:space="preserve">- </w:t>
        </w:r>
        <w:r w:rsidR="00C740E1">
          <w:fldChar w:fldCharType="begin"/>
        </w:r>
        <w:r w:rsidR="00C740E1">
          <w:instrText xml:space="preserve"> PAGE   \* MERGEFORMAT </w:instrText>
        </w:r>
        <w:r w:rsidR="00C740E1">
          <w:fldChar w:fldCharType="separate"/>
        </w:r>
        <w:r>
          <w:rPr>
            <w:noProof/>
          </w:rPr>
          <w:t>5</w:t>
        </w:r>
        <w:r w:rsidR="00C740E1">
          <w:rPr>
            <w:noProof/>
          </w:rPr>
          <w:fldChar w:fldCharType="end"/>
        </w:r>
      </w:sdtContent>
    </w:sdt>
    <w:r w:rsidR="00C740E1">
      <w:rPr>
        <w:noProof/>
      </w:rPr>
      <w:t xml:space="preserve"> -</w:t>
    </w:r>
  </w:p>
  <w:p w:rsidR="00C740E1" w:rsidRPr="00C740E1" w:rsidRDefault="00C740E1">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D9CFBD0"/>
    <w:lvl w:ilvl="0">
      <w:start w:val="1"/>
      <w:numFmt w:val="decimal"/>
      <w:lvlText w:val="%1."/>
      <w:lvlJc w:val="left"/>
      <w:pPr>
        <w:tabs>
          <w:tab w:val="num" w:pos="1492"/>
        </w:tabs>
        <w:ind w:left="1492" w:hanging="360"/>
      </w:pPr>
    </w:lvl>
  </w:abstractNum>
  <w:abstractNum w:abstractNumId="1">
    <w:nsid w:val="FFFFFF7D"/>
    <w:multiLevelType w:val="singleLevel"/>
    <w:tmpl w:val="891A4676"/>
    <w:lvl w:ilvl="0">
      <w:start w:val="1"/>
      <w:numFmt w:val="decimal"/>
      <w:lvlText w:val="%1."/>
      <w:lvlJc w:val="left"/>
      <w:pPr>
        <w:tabs>
          <w:tab w:val="num" w:pos="1209"/>
        </w:tabs>
        <w:ind w:left="1209" w:hanging="360"/>
      </w:pPr>
    </w:lvl>
  </w:abstractNum>
  <w:abstractNum w:abstractNumId="2">
    <w:nsid w:val="FFFFFF7E"/>
    <w:multiLevelType w:val="singleLevel"/>
    <w:tmpl w:val="ABB49E62"/>
    <w:lvl w:ilvl="0">
      <w:start w:val="1"/>
      <w:numFmt w:val="decimal"/>
      <w:lvlText w:val="%1."/>
      <w:lvlJc w:val="left"/>
      <w:pPr>
        <w:tabs>
          <w:tab w:val="num" w:pos="926"/>
        </w:tabs>
        <w:ind w:left="926" w:hanging="360"/>
      </w:pPr>
    </w:lvl>
  </w:abstractNum>
  <w:abstractNum w:abstractNumId="3">
    <w:nsid w:val="FFFFFF7F"/>
    <w:multiLevelType w:val="singleLevel"/>
    <w:tmpl w:val="A5541F14"/>
    <w:lvl w:ilvl="0">
      <w:start w:val="1"/>
      <w:numFmt w:val="decimal"/>
      <w:lvlText w:val="%1."/>
      <w:lvlJc w:val="left"/>
      <w:pPr>
        <w:tabs>
          <w:tab w:val="num" w:pos="643"/>
        </w:tabs>
        <w:ind w:left="643" w:hanging="360"/>
      </w:pPr>
    </w:lvl>
  </w:abstractNum>
  <w:abstractNum w:abstractNumId="4">
    <w:nsid w:val="FFFFFF80"/>
    <w:multiLevelType w:val="singleLevel"/>
    <w:tmpl w:val="67DCCF5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EAACC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B34350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EEEBB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22E1106"/>
    <w:lvl w:ilvl="0">
      <w:start w:val="1"/>
      <w:numFmt w:val="decimal"/>
      <w:lvlText w:val="%1."/>
      <w:lvlJc w:val="left"/>
      <w:pPr>
        <w:tabs>
          <w:tab w:val="num" w:pos="360"/>
        </w:tabs>
        <w:ind w:left="360" w:hanging="360"/>
      </w:pPr>
    </w:lvl>
  </w:abstractNum>
  <w:abstractNum w:abstractNumId="9">
    <w:nsid w:val="FFFFFF89"/>
    <w:multiLevelType w:val="singleLevel"/>
    <w:tmpl w:val="19AA14B2"/>
    <w:lvl w:ilvl="0">
      <w:start w:val="1"/>
      <w:numFmt w:val="bullet"/>
      <w:lvlText w:val=""/>
      <w:lvlJc w:val="left"/>
      <w:pPr>
        <w:tabs>
          <w:tab w:val="num" w:pos="360"/>
        </w:tabs>
        <w:ind w:left="360" w:hanging="360"/>
      </w:pPr>
      <w:rPr>
        <w:rFonts w:ascii="Symbol" w:hAnsi="Symbol" w:hint="default"/>
      </w:rPr>
    </w:lvl>
  </w:abstractNum>
  <w:abstractNum w:abstractNumId="10">
    <w:nsid w:val="0A4B7EAC"/>
    <w:multiLevelType w:val="multilevel"/>
    <w:tmpl w:val="CC3EF7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13B37F7B"/>
    <w:multiLevelType w:val="multilevel"/>
    <w:tmpl w:val="BE0455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21156072"/>
    <w:multiLevelType w:val="multilevel"/>
    <w:tmpl w:val="92C40E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27B33345"/>
    <w:multiLevelType w:val="multilevel"/>
    <w:tmpl w:val="56766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23607E"/>
    <w:multiLevelType w:val="multilevel"/>
    <w:tmpl w:val="1DACBE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CBC5B41"/>
    <w:multiLevelType w:val="multilevel"/>
    <w:tmpl w:val="418C2A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34920C79"/>
    <w:multiLevelType w:val="multilevel"/>
    <w:tmpl w:val="3F228C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6C72A09"/>
    <w:multiLevelType w:val="multilevel"/>
    <w:tmpl w:val="97343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4901A86"/>
    <w:multiLevelType w:val="multilevel"/>
    <w:tmpl w:val="8AF09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495319C"/>
    <w:multiLevelType w:val="multilevel"/>
    <w:tmpl w:val="D51E8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45F4EB9"/>
    <w:multiLevelType w:val="multilevel"/>
    <w:tmpl w:val="BE58C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7143B4F"/>
    <w:multiLevelType w:val="multilevel"/>
    <w:tmpl w:val="10E0B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E1D140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3">
    <w:nsid w:val="774725F3"/>
    <w:multiLevelType w:val="multilevel"/>
    <w:tmpl w:val="4E128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1"/>
  </w:num>
  <w:num w:numId="16">
    <w:abstractNumId w:val="15"/>
  </w:num>
  <w:num w:numId="17">
    <w:abstractNumId w:val="10"/>
  </w:num>
  <w:num w:numId="18">
    <w:abstractNumId w:val="20"/>
  </w:num>
  <w:num w:numId="19">
    <w:abstractNumId w:val="13"/>
  </w:num>
  <w:num w:numId="20">
    <w:abstractNumId w:val="18"/>
  </w:num>
  <w:num w:numId="21">
    <w:abstractNumId w:val="21"/>
  </w:num>
  <w:num w:numId="22">
    <w:abstractNumId w:val="17"/>
  </w:num>
  <w:num w:numId="23">
    <w:abstractNumId w:val="19"/>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CH" w:vendorID="64" w:dllVersion="131078" w:nlCheck="1" w:checkStyle="1"/>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0B49D7"/>
    <w:rsid w:val="000069D4"/>
    <w:rsid w:val="000174AD"/>
    <w:rsid w:val="000305E1"/>
    <w:rsid w:val="000A7D55"/>
    <w:rsid w:val="000B46FB"/>
    <w:rsid w:val="000B49D7"/>
    <w:rsid w:val="000C2E8E"/>
    <w:rsid w:val="000D49FB"/>
    <w:rsid w:val="000E0E7C"/>
    <w:rsid w:val="000F1B4B"/>
    <w:rsid w:val="0012744F"/>
    <w:rsid w:val="00156DFF"/>
    <w:rsid w:val="00156F66"/>
    <w:rsid w:val="00182528"/>
    <w:rsid w:val="0018500B"/>
    <w:rsid w:val="00196A19"/>
    <w:rsid w:val="00196AB1"/>
    <w:rsid w:val="001D3DD3"/>
    <w:rsid w:val="00202DC1"/>
    <w:rsid w:val="002116EE"/>
    <w:rsid w:val="00221687"/>
    <w:rsid w:val="002309D8"/>
    <w:rsid w:val="00287BF1"/>
    <w:rsid w:val="002A7FE2"/>
    <w:rsid w:val="002B711C"/>
    <w:rsid w:val="002E1B4F"/>
    <w:rsid w:val="002F2E67"/>
    <w:rsid w:val="002F6530"/>
    <w:rsid w:val="00315546"/>
    <w:rsid w:val="00330567"/>
    <w:rsid w:val="00351DA5"/>
    <w:rsid w:val="00383598"/>
    <w:rsid w:val="00386A9D"/>
    <w:rsid w:val="00391081"/>
    <w:rsid w:val="003B2789"/>
    <w:rsid w:val="003C13CE"/>
    <w:rsid w:val="003E2518"/>
    <w:rsid w:val="004314A2"/>
    <w:rsid w:val="00436C3D"/>
    <w:rsid w:val="00453356"/>
    <w:rsid w:val="004B1EF7"/>
    <w:rsid w:val="004B3FAD"/>
    <w:rsid w:val="004B6F55"/>
    <w:rsid w:val="004E3CF9"/>
    <w:rsid w:val="00501DCA"/>
    <w:rsid w:val="00513A47"/>
    <w:rsid w:val="005408DF"/>
    <w:rsid w:val="0055318D"/>
    <w:rsid w:val="00573344"/>
    <w:rsid w:val="00583F9B"/>
    <w:rsid w:val="00584AFA"/>
    <w:rsid w:val="005B625F"/>
    <w:rsid w:val="005C08FC"/>
    <w:rsid w:val="005E1223"/>
    <w:rsid w:val="005E5C10"/>
    <w:rsid w:val="005F2C78"/>
    <w:rsid w:val="006144E4"/>
    <w:rsid w:val="00624555"/>
    <w:rsid w:val="00650299"/>
    <w:rsid w:val="00655FC5"/>
    <w:rsid w:val="007D2F64"/>
    <w:rsid w:val="00801031"/>
    <w:rsid w:val="00802953"/>
    <w:rsid w:val="00807FF1"/>
    <w:rsid w:val="0081550D"/>
    <w:rsid w:val="00822581"/>
    <w:rsid w:val="008309DD"/>
    <w:rsid w:val="0083227A"/>
    <w:rsid w:val="00857C67"/>
    <w:rsid w:val="00866900"/>
    <w:rsid w:val="00870336"/>
    <w:rsid w:val="0087300D"/>
    <w:rsid w:val="00881BA1"/>
    <w:rsid w:val="008A0A55"/>
    <w:rsid w:val="008C26B8"/>
    <w:rsid w:val="00915015"/>
    <w:rsid w:val="009273EC"/>
    <w:rsid w:val="00932E45"/>
    <w:rsid w:val="00951309"/>
    <w:rsid w:val="00964CF0"/>
    <w:rsid w:val="00982084"/>
    <w:rsid w:val="00991A72"/>
    <w:rsid w:val="00995963"/>
    <w:rsid w:val="009A3E36"/>
    <w:rsid w:val="009A54D9"/>
    <w:rsid w:val="009B61EB"/>
    <w:rsid w:val="009B6449"/>
    <w:rsid w:val="009C2064"/>
    <w:rsid w:val="009D1697"/>
    <w:rsid w:val="00A014F8"/>
    <w:rsid w:val="00A11DCA"/>
    <w:rsid w:val="00A5173C"/>
    <w:rsid w:val="00A61AEF"/>
    <w:rsid w:val="00A9652E"/>
    <w:rsid w:val="00AA1543"/>
    <w:rsid w:val="00AB0FFD"/>
    <w:rsid w:val="00AD7192"/>
    <w:rsid w:val="00AF10F1"/>
    <w:rsid w:val="00AF173A"/>
    <w:rsid w:val="00B066A4"/>
    <w:rsid w:val="00B07A13"/>
    <w:rsid w:val="00B143E2"/>
    <w:rsid w:val="00B4279B"/>
    <w:rsid w:val="00B45FC9"/>
    <w:rsid w:val="00B83461"/>
    <w:rsid w:val="00BC7CCF"/>
    <w:rsid w:val="00BE470B"/>
    <w:rsid w:val="00BE7FA3"/>
    <w:rsid w:val="00C018E7"/>
    <w:rsid w:val="00C57A91"/>
    <w:rsid w:val="00C740E1"/>
    <w:rsid w:val="00CB43AF"/>
    <w:rsid w:val="00CC01C2"/>
    <w:rsid w:val="00CD0D76"/>
    <w:rsid w:val="00CF21F2"/>
    <w:rsid w:val="00D02712"/>
    <w:rsid w:val="00D214D0"/>
    <w:rsid w:val="00D41CBB"/>
    <w:rsid w:val="00D6546B"/>
    <w:rsid w:val="00DD4BED"/>
    <w:rsid w:val="00DE39F0"/>
    <w:rsid w:val="00DF0AF3"/>
    <w:rsid w:val="00E17CCC"/>
    <w:rsid w:val="00E27D7E"/>
    <w:rsid w:val="00E34935"/>
    <w:rsid w:val="00E42E13"/>
    <w:rsid w:val="00E44C57"/>
    <w:rsid w:val="00E6257C"/>
    <w:rsid w:val="00E63C59"/>
    <w:rsid w:val="00F13455"/>
    <w:rsid w:val="00F8777C"/>
    <w:rsid w:val="00FA124A"/>
    <w:rsid w:val="00FC08DD"/>
    <w:rsid w:val="00FC2316"/>
    <w:rsid w:val="00FC2CFD"/>
    <w:rsid w:val="00FD06C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DD3"/>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1D3DD3"/>
    <w:pPr>
      <w:keepNext/>
      <w:keepLines/>
      <w:numPr>
        <w:numId w:val="11"/>
      </w:numPr>
      <w:spacing w:before="280"/>
      <w:outlineLvl w:val="0"/>
    </w:pPr>
    <w:rPr>
      <w:b/>
      <w:sz w:val="28"/>
    </w:rPr>
  </w:style>
  <w:style w:type="paragraph" w:styleId="Heading2">
    <w:name w:val="heading 2"/>
    <w:basedOn w:val="Heading1"/>
    <w:next w:val="Normal"/>
    <w:qFormat/>
    <w:rsid w:val="001D3DD3"/>
    <w:pPr>
      <w:numPr>
        <w:ilvl w:val="1"/>
      </w:numPr>
      <w:spacing w:before="200"/>
      <w:outlineLvl w:val="1"/>
    </w:pPr>
    <w:rPr>
      <w:sz w:val="24"/>
    </w:rPr>
  </w:style>
  <w:style w:type="paragraph" w:styleId="Heading3">
    <w:name w:val="heading 3"/>
    <w:basedOn w:val="Heading1"/>
    <w:next w:val="Normal"/>
    <w:qFormat/>
    <w:rsid w:val="001D3DD3"/>
    <w:pPr>
      <w:numPr>
        <w:ilvl w:val="2"/>
      </w:numPr>
      <w:spacing w:before="200"/>
      <w:outlineLvl w:val="2"/>
    </w:pPr>
    <w:rPr>
      <w:sz w:val="24"/>
    </w:rPr>
  </w:style>
  <w:style w:type="paragraph" w:styleId="Heading4">
    <w:name w:val="heading 4"/>
    <w:basedOn w:val="Heading3"/>
    <w:next w:val="Normal"/>
    <w:qFormat/>
    <w:rsid w:val="001D3DD3"/>
    <w:pPr>
      <w:numPr>
        <w:ilvl w:val="3"/>
      </w:numPr>
      <w:outlineLvl w:val="3"/>
    </w:pPr>
  </w:style>
  <w:style w:type="paragraph" w:styleId="Heading5">
    <w:name w:val="heading 5"/>
    <w:basedOn w:val="Heading4"/>
    <w:next w:val="Normal"/>
    <w:qFormat/>
    <w:rsid w:val="001D3DD3"/>
    <w:pPr>
      <w:numPr>
        <w:ilvl w:val="4"/>
      </w:numPr>
      <w:outlineLvl w:val="4"/>
    </w:pPr>
  </w:style>
  <w:style w:type="paragraph" w:styleId="Heading6">
    <w:name w:val="heading 6"/>
    <w:basedOn w:val="Heading4"/>
    <w:next w:val="Normal"/>
    <w:qFormat/>
    <w:rsid w:val="001D3DD3"/>
    <w:pPr>
      <w:numPr>
        <w:ilvl w:val="5"/>
      </w:numPr>
      <w:outlineLvl w:val="5"/>
    </w:pPr>
  </w:style>
  <w:style w:type="paragraph" w:styleId="Heading7">
    <w:name w:val="heading 7"/>
    <w:basedOn w:val="Heading6"/>
    <w:next w:val="Normal"/>
    <w:qFormat/>
    <w:rsid w:val="001D3DD3"/>
    <w:pPr>
      <w:numPr>
        <w:ilvl w:val="6"/>
      </w:numPr>
      <w:outlineLvl w:val="6"/>
    </w:pPr>
  </w:style>
  <w:style w:type="paragraph" w:styleId="Heading8">
    <w:name w:val="heading 8"/>
    <w:basedOn w:val="Heading6"/>
    <w:next w:val="Normal"/>
    <w:qFormat/>
    <w:rsid w:val="001D3DD3"/>
    <w:pPr>
      <w:numPr>
        <w:ilvl w:val="7"/>
      </w:numPr>
      <w:outlineLvl w:val="7"/>
    </w:pPr>
  </w:style>
  <w:style w:type="paragraph" w:styleId="Heading9">
    <w:name w:val="heading 9"/>
    <w:basedOn w:val="Heading6"/>
    <w:next w:val="Normal"/>
    <w:qFormat/>
    <w:rsid w:val="001D3DD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1D3DD3"/>
    <w:pPr>
      <w:keepNext/>
      <w:keepLines/>
      <w:spacing w:before="20" w:after="20"/>
    </w:pPr>
    <w:rPr>
      <w:sz w:val="20"/>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1D3DD3"/>
    <w:pPr>
      <w:spacing w:after="480"/>
    </w:pPr>
    <w:rPr>
      <w:sz w:val="22"/>
    </w:rPr>
  </w:style>
  <w:style w:type="paragraph" w:customStyle="1" w:styleId="FigureNo">
    <w:name w:val="Figure_No"/>
    <w:basedOn w:val="Normal"/>
    <w:next w:val="Figuretitle"/>
    <w:rsid w:val="001D3DD3"/>
    <w:pPr>
      <w:keepNext/>
      <w:keepLines/>
      <w:spacing w:before="480" w:after="120"/>
      <w:jc w:val="center"/>
    </w:pPr>
    <w:rPr>
      <w:caps/>
      <w:sz w:val="22"/>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customStyle="1" w:styleId="AnnexNotitle">
    <w:name w:val="Annex_No &amp; title"/>
    <w:basedOn w:val="Normal"/>
    <w:next w:val="Normal"/>
    <w:rsid w:val="000B49D7"/>
    <w:pPr>
      <w:keepNext/>
      <w:keepLines/>
      <w:spacing w:before="480"/>
      <w:jc w:val="center"/>
      <w:textAlignment w:val="auto"/>
    </w:pPr>
    <w:rPr>
      <w:rFonts w:ascii="Times New Roman" w:hAnsi="Times New Roman"/>
      <w:b/>
      <w:sz w:val="28"/>
    </w:rPr>
  </w:style>
  <w:style w:type="paragraph" w:styleId="NormalWeb">
    <w:name w:val="Normal (Web)"/>
    <w:basedOn w:val="Normal"/>
    <w:uiPriority w:val="99"/>
    <w:semiHidden/>
    <w:unhideWhenUsed/>
    <w:rsid w:val="000B49D7"/>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character" w:styleId="Strong">
    <w:name w:val="Strong"/>
    <w:basedOn w:val="DefaultParagraphFont"/>
    <w:uiPriority w:val="22"/>
    <w:qFormat/>
    <w:rsid w:val="000B49D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041923">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2129008367">
      <w:bodyDiv w:val="1"/>
      <w:marLeft w:val="0"/>
      <w:marRight w:val="0"/>
      <w:marTop w:val="0"/>
      <w:marBottom w:val="0"/>
      <w:divBdr>
        <w:top w:val="none" w:sz="0" w:space="0" w:color="auto"/>
        <w:left w:val="none" w:sz="0" w:space="0" w:color="auto"/>
        <w:bottom w:val="none" w:sz="0" w:space="0" w:color="auto"/>
        <w:right w:val="none" w:sz="0" w:space="0" w:color="auto"/>
      </w:divBdr>
      <w:divsChild>
        <w:div w:id="1873574186">
          <w:marLeft w:val="0"/>
          <w:marRight w:val="0"/>
          <w:marTop w:val="0"/>
          <w:marBottom w:val="0"/>
          <w:divBdr>
            <w:top w:val="none" w:sz="0" w:space="0" w:color="auto"/>
            <w:left w:val="none" w:sz="0" w:space="0" w:color="auto"/>
            <w:bottom w:val="none" w:sz="0" w:space="0" w:color="auto"/>
            <w:right w:val="none" w:sz="0" w:space="0" w:color="auto"/>
          </w:divBdr>
          <w:divsChild>
            <w:div w:id="1194146569">
              <w:marLeft w:val="0"/>
              <w:marRight w:val="0"/>
              <w:marTop w:val="0"/>
              <w:marBottom w:val="0"/>
              <w:divBdr>
                <w:top w:val="none" w:sz="0" w:space="0" w:color="auto"/>
                <w:left w:val="none" w:sz="0" w:space="0" w:color="auto"/>
                <w:bottom w:val="none" w:sz="0" w:space="0" w:color="auto"/>
                <w:right w:val="none" w:sz="0" w:space="0" w:color="auto"/>
              </w:divBdr>
              <w:divsChild>
                <w:div w:id="1062606514">
                  <w:marLeft w:val="0"/>
                  <w:marRight w:val="0"/>
                  <w:marTop w:val="0"/>
                  <w:marBottom w:val="0"/>
                  <w:divBdr>
                    <w:top w:val="none" w:sz="0" w:space="0" w:color="auto"/>
                    <w:left w:val="none" w:sz="0" w:space="0" w:color="auto"/>
                    <w:bottom w:val="none" w:sz="0" w:space="0" w:color="auto"/>
                    <w:right w:val="none" w:sz="0" w:space="0" w:color="auto"/>
                  </w:divBdr>
                  <w:divsChild>
                    <w:div w:id="275405091">
                      <w:marLeft w:val="0"/>
                      <w:marRight w:val="0"/>
                      <w:marTop w:val="0"/>
                      <w:marBottom w:val="0"/>
                      <w:divBdr>
                        <w:top w:val="none" w:sz="0" w:space="0" w:color="auto"/>
                        <w:left w:val="none" w:sz="0" w:space="0" w:color="auto"/>
                        <w:bottom w:val="none" w:sz="0" w:space="0" w:color="auto"/>
                        <w:right w:val="none" w:sz="0" w:space="0" w:color="auto"/>
                      </w:divBdr>
                      <w:divsChild>
                        <w:div w:id="1816529627">
                          <w:marLeft w:val="0"/>
                          <w:marRight w:val="0"/>
                          <w:marTop w:val="0"/>
                          <w:marBottom w:val="0"/>
                          <w:divBdr>
                            <w:top w:val="none" w:sz="0" w:space="0" w:color="auto"/>
                            <w:left w:val="none" w:sz="0" w:space="0" w:color="auto"/>
                            <w:bottom w:val="none" w:sz="0" w:space="0" w:color="auto"/>
                            <w:right w:val="none" w:sz="0" w:space="0" w:color="auto"/>
                          </w:divBdr>
                          <w:divsChild>
                            <w:div w:id="145057205">
                              <w:marLeft w:val="0"/>
                              <w:marRight w:val="0"/>
                              <w:marTop w:val="0"/>
                              <w:marBottom w:val="0"/>
                              <w:divBdr>
                                <w:top w:val="none" w:sz="0" w:space="0" w:color="auto"/>
                                <w:left w:val="none" w:sz="0" w:space="0" w:color="auto"/>
                                <w:bottom w:val="none" w:sz="0" w:space="0" w:color="auto"/>
                                <w:right w:val="none" w:sz="0" w:space="0" w:color="auto"/>
                              </w:divBdr>
                              <w:divsChild>
                                <w:div w:id="1063530136">
                                  <w:marLeft w:val="0"/>
                                  <w:marRight w:val="0"/>
                                  <w:marTop w:val="0"/>
                                  <w:marBottom w:val="0"/>
                                  <w:divBdr>
                                    <w:top w:val="none" w:sz="0" w:space="0" w:color="auto"/>
                                    <w:left w:val="none" w:sz="0" w:space="0" w:color="auto"/>
                                    <w:bottom w:val="none" w:sz="0" w:space="0" w:color="auto"/>
                                    <w:right w:val="none" w:sz="0" w:space="0" w:color="auto"/>
                                  </w:divBdr>
                                  <w:divsChild>
                                    <w:div w:id="760370971">
                                      <w:marLeft w:val="0"/>
                                      <w:marRight w:val="0"/>
                                      <w:marTop w:val="0"/>
                                      <w:marBottom w:val="0"/>
                                      <w:divBdr>
                                        <w:top w:val="none" w:sz="0" w:space="0" w:color="auto"/>
                                        <w:left w:val="none" w:sz="0" w:space="0" w:color="auto"/>
                                        <w:bottom w:val="none" w:sz="0" w:space="0" w:color="auto"/>
                                        <w:right w:val="none" w:sz="0" w:space="0" w:color="auto"/>
                                      </w:divBdr>
                                      <w:divsChild>
                                        <w:div w:id="159470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tu.int/ITU-T/workprog/wp_search.aspx?sp=15&amp;q=18/16"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tsbsg16@itu.in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es\AppData\Roaming\Microsoft\Templates\TSB%20DOC\APPROV-Q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8D8A9-A934-4D0A-BB52-BCD6C4014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APPROV-QE.dotx</Template>
  <TotalTime>1</TotalTime>
  <Pages>5</Pages>
  <Words>1757</Words>
  <Characters>10021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Angeles-Leon De Vivero, Rosa</dc:creator>
  <cp:lastModifiedBy>Angeles-Leon De Vivero, Rosa</cp:lastModifiedBy>
  <cp:revision>2</cp:revision>
  <cp:lastPrinted>2014-07-17T14:47:00Z</cp:lastPrinted>
  <dcterms:created xsi:type="dcterms:W3CDTF">2014-07-18T07:27:00Z</dcterms:created>
  <dcterms:modified xsi:type="dcterms:W3CDTF">2014-07-18T07:27:00Z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