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F66EAA" w:rsidTr="00303D62">
        <w:trPr>
          <w:cantSplit/>
        </w:trPr>
        <w:tc>
          <w:tcPr>
            <w:tcW w:w="6426" w:type="dxa"/>
            <w:vAlign w:val="center"/>
          </w:tcPr>
          <w:p w:rsidR="00C34772" w:rsidRPr="00F66EAA" w:rsidRDefault="00C34772" w:rsidP="00303D62">
            <w:pPr>
              <w:tabs>
                <w:tab w:val="right" w:pos="8732"/>
              </w:tabs>
              <w:spacing w:before="0"/>
              <w:rPr>
                <w:rFonts w:ascii="Verdana" w:hAnsi="Verdana"/>
                <w:b/>
                <w:bCs/>
                <w:iCs/>
                <w:sz w:val="18"/>
                <w:szCs w:val="18"/>
              </w:rPr>
            </w:pPr>
          </w:p>
        </w:tc>
        <w:tc>
          <w:tcPr>
            <w:tcW w:w="3355" w:type="dxa"/>
            <w:vAlign w:val="center"/>
          </w:tcPr>
          <w:p w:rsidR="00C34772" w:rsidRPr="00F66EAA" w:rsidRDefault="00C34772" w:rsidP="00303D62">
            <w:pPr>
              <w:spacing w:before="0"/>
              <w:ind w:left="993" w:hanging="993"/>
              <w:jc w:val="right"/>
              <w:rPr>
                <w:rFonts w:ascii="Verdana" w:hAnsi="Verdana"/>
                <w:sz w:val="18"/>
                <w:szCs w:val="18"/>
              </w:rPr>
            </w:pPr>
          </w:p>
        </w:tc>
      </w:tr>
    </w:tbl>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F66EAA" w:rsidRPr="00F66EAA" w:rsidTr="00816FF7">
        <w:trPr>
          <w:cantSplit/>
        </w:trPr>
        <w:tc>
          <w:tcPr>
            <w:tcW w:w="3828" w:type="dxa"/>
            <w:vAlign w:val="center"/>
          </w:tcPr>
          <w:p w:rsidR="00F66EAA" w:rsidRPr="00F66EAA" w:rsidRDefault="00F66EAA" w:rsidP="00F66EAA">
            <w:pPr>
              <w:tabs>
                <w:tab w:val="right" w:pos="8732"/>
              </w:tabs>
              <w:spacing w:before="0"/>
              <w:ind w:left="426"/>
              <w:rPr>
                <w:rFonts w:ascii="Calibri" w:hAnsi="Calibri" w:cs="Calibri"/>
                <w:b/>
                <w:bCs/>
                <w:iCs/>
                <w:color w:val="FFFFFF"/>
                <w:sz w:val="28"/>
                <w:szCs w:val="28"/>
              </w:rPr>
            </w:pPr>
            <w:bookmarkStart w:id="0" w:name="StartTyping_S"/>
            <w:bookmarkStart w:id="1" w:name="suitetext"/>
            <w:bookmarkStart w:id="2" w:name="text"/>
            <w:bookmarkStart w:id="3" w:name="StartTyping_E"/>
            <w:bookmarkEnd w:id="0"/>
            <w:bookmarkEnd w:id="1"/>
            <w:bookmarkEnd w:id="2"/>
            <w:bookmarkEnd w:id="3"/>
            <w:r w:rsidRPr="00F66EAA">
              <w:rPr>
                <w:rFonts w:ascii="Calibri" w:hAnsi="Calibri" w:cs="Calibri"/>
                <w:b/>
                <w:bCs/>
                <w:iCs/>
                <w:sz w:val="28"/>
                <w:szCs w:val="28"/>
              </w:rPr>
              <w:t>Oficina de normalización</w:t>
            </w:r>
            <w:r w:rsidRPr="00F66EAA">
              <w:rPr>
                <w:rFonts w:ascii="Calibri" w:hAnsi="Calibri" w:cs="Calibri"/>
                <w:b/>
                <w:bCs/>
                <w:iCs/>
                <w:sz w:val="28"/>
                <w:szCs w:val="28"/>
              </w:rPr>
              <w:br/>
              <w:t>de las telecomunicaciones</w:t>
            </w:r>
            <w:r w:rsidRPr="00F66EAA">
              <w:rPr>
                <w:rFonts w:ascii="Calibri" w:hAnsi="Calibri" w:cs="Calibri"/>
                <w:b/>
                <w:bCs/>
                <w:sz w:val="28"/>
                <w:szCs w:val="28"/>
              </w:rPr>
              <w:t xml:space="preserve"> (TSB)</w:t>
            </w:r>
          </w:p>
        </w:tc>
        <w:tc>
          <w:tcPr>
            <w:tcW w:w="2693" w:type="dxa"/>
            <w:vAlign w:val="center"/>
          </w:tcPr>
          <w:p w:rsidR="00F66EAA" w:rsidRPr="00F66EAA" w:rsidRDefault="00F66EAA" w:rsidP="00F66EAA">
            <w:pPr>
              <w:tabs>
                <w:tab w:val="right" w:pos="8732"/>
              </w:tabs>
              <w:spacing w:before="0"/>
              <w:ind w:left="720"/>
              <w:rPr>
                <w:rFonts w:ascii="Verdana" w:hAnsi="Verdana"/>
                <w:b/>
                <w:bCs/>
                <w:iCs/>
                <w:color w:val="FFFFFF"/>
                <w:sz w:val="26"/>
                <w:szCs w:val="26"/>
              </w:rPr>
            </w:pPr>
            <w:r w:rsidRPr="00F66EAA">
              <w:rPr>
                <w:b/>
                <w:bCs/>
                <w:noProof/>
                <w:lang w:val="en-US"/>
              </w:rPr>
              <w:drawing>
                <wp:anchor distT="0" distB="0" distL="114300" distR="114300" simplePos="0" relativeHeight="251659264" behindDoc="1" locked="0" layoutInCell="1" allowOverlap="1" wp14:anchorId="0DB4980E" wp14:editId="643A0143">
                  <wp:simplePos x="0" y="0"/>
                  <wp:positionH relativeFrom="column">
                    <wp:posOffset>399415</wp:posOffset>
                  </wp:positionH>
                  <wp:positionV relativeFrom="paragraph">
                    <wp:posOffset>-2540</wp:posOffset>
                  </wp:positionV>
                  <wp:extent cx="638175" cy="723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F66EAA" w:rsidRPr="00F66EAA" w:rsidRDefault="00F66EAA" w:rsidP="00F66EAA">
            <w:pPr>
              <w:spacing w:before="0"/>
              <w:rPr>
                <w:rFonts w:ascii="Calibri" w:hAnsi="Calibri"/>
                <w:sz w:val="28"/>
                <w:szCs w:val="28"/>
              </w:rPr>
            </w:pPr>
            <w:bookmarkStart w:id="4" w:name="ditulogo"/>
            <w:bookmarkEnd w:id="4"/>
            <w:r w:rsidRPr="00F66EAA">
              <w:rPr>
                <w:rFonts w:ascii="Calibri" w:hAnsi="Calibri"/>
                <w:b/>
                <w:bCs/>
                <w:sz w:val="28"/>
                <w:szCs w:val="28"/>
              </w:rPr>
              <w:t>Oficina de Desarrollo de las Telecomunicaciones (BDT)</w:t>
            </w:r>
          </w:p>
        </w:tc>
      </w:tr>
      <w:tr w:rsidR="003C1B29" w:rsidRPr="00F66EAA" w:rsidTr="00816FF7">
        <w:trPr>
          <w:cantSplit/>
        </w:trPr>
        <w:tc>
          <w:tcPr>
            <w:tcW w:w="3828" w:type="dxa"/>
            <w:vAlign w:val="center"/>
          </w:tcPr>
          <w:p w:rsidR="003C1B29" w:rsidRPr="00F66EAA" w:rsidRDefault="003C1B29" w:rsidP="00F66EAA">
            <w:pPr>
              <w:tabs>
                <w:tab w:val="right" w:pos="8732"/>
              </w:tabs>
              <w:spacing w:before="0"/>
              <w:ind w:left="426"/>
              <w:rPr>
                <w:rFonts w:ascii="Calibri" w:hAnsi="Calibri" w:cs="Calibri"/>
                <w:b/>
                <w:bCs/>
                <w:iCs/>
                <w:sz w:val="28"/>
                <w:szCs w:val="28"/>
              </w:rPr>
            </w:pPr>
          </w:p>
        </w:tc>
        <w:tc>
          <w:tcPr>
            <w:tcW w:w="2693" w:type="dxa"/>
            <w:vAlign w:val="center"/>
          </w:tcPr>
          <w:p w:rsidR="003C1B29" w:rsidRPr="00F66EAA" w:rsidRDefault="003C1B29" w:rsidP="00F66EAA">
            <w:pPr>
              <w:tabs>
                <w:tab w:val="right" w:pos="8732"/>
              </w:tabs>
              <w:spacing w:before="0"/>
              <w:ind w:left="720"/>
              <w:rPr>
                <w:b/>
                <w:bCs/>
                <w:noProof/>
                <w:lang w:eastAsia="zh-CN"/>
              </w:rPr>
            </w:pPr>
          </w:p>
        </w:tc>
        <w:tc>
          <w:tcPr>
            <w:tcW w:w="3260" w:type="dxa"/>
            <w:vAlign w:val="center"/>
          </w:tcPr>
          <w:p w:rsidR="003C1B29" w:rsidRPr="00F66EAA" w:rsidRDefault="003C1B29" w:rsidP="00F66EAA">
            <w:pPr>
              <w:spacing w:before="0"/>
              <w:rPr>
                <w:rFonts w:ascii="Calibri" w:hAnsi="Calibri"/>
                <w:b/>
                <w:bCs/>
                <w:sz w:val="28"/>
                <w:szCs w:val="28"/>
              </w:rPr>
            </w:pPr>
          </w:p>
        </w:tc>
      </w:tr>
      <w:tr w:rsidR="003C1B29" w:rsidRPr="00F66EAA" w:rsidTr="00816FF7">
        <w:trPr>
          <w:cantSplit/>
        </w:trPr>
        <w:tc>
          <w:tcPr>
            <w:tcW w:w="3828" w:type="dxa"/>
            <w:vAlign w:val="center"/>
          </w:tcPr>
          <w:p w:rsidR="003C1B29" w:rsidRPr="00F66EAA" w:rsidRDefault="003C1B29" w:rsidP="00F66EAA">
            <w:pPr>
              <w:tabs>
                <w:tab w:val="right" w:pos="8732"/>
              </w:tabs>
              <w:spacing w:before="0"/>
              <w:ind w:left="426"/>
              <w:rPr>
                <w:rFonts w:ascii="Calibri" w:hAnsi="Calibri" w:cs="Calibri"/>
                <w:b/>
                <w:bCs/>
                <w:iCs/>
                <w:sz w:val="28"/>
                <w:szCs w:val="28"/>
              </w:rPr>
            </w:pPr>
          </w:p>
        </w:tc>
        <w:tc>
          <w:tcPr>
            <w:tcW w:w="2693" w:type="dxa"/>
            <w:vAlign w:val="center"/>
          </w:tcPr>
          <w:p w:rsidR="003C1B29" w:rsidRPr="00F66EAA" w:rsidRDefault="003C1B29" w:rsidP="00F66EAA">
            <w:pPr>
              <w:tabs>
                <w:tab w:val="right" w:pos="8732"/>
              </w:tabs>
              <w:spacing w:before="0"/>
              <w:ind w:left="720"/>
              <w:rPr>
                <w:b/>
                <w:bCs/>
                <w:noProof/>
                <w:lang w:eastAsia="zh-CN"/>
              </w:rPr>
            </w:pPr>
          </w:p>
        </w:tc>
        <w:tc>
          <w:tcPr>
            <w:tcW w:w="3260" w:type="dxa"/>
            <w:vAlign w:val="center"/>
          </w:tcPr>
          <w:p w:rsidR="003C1B29" w:rsidRPr="00F66EAA" w:rsidRDefault="003C1B29" w:rsidP="00F66EAA">
            <w:pPr>
              <w:spacing w:before="0"/>
              <w:rPr>
                <w:rFonts w:ascii="Calibri" w:hAnsi="Calibri"/>
                <w:b/>
                <w:bCs/>
                <w:sz w:val="28"/>
                <w:szCs w:val="28"/>
              </w:rPr>
            </w:pPr>
          </w:p>
        </w:tc>
      </w:tr>
      <w:tr w:rsidR="00732B0E" w:rsidRPr="00F66EAA" w:rsidTr="00816FF7">
        <w:trPr>
          <w:cantSplit/>
        </w:trPr>
        <w:tc>
          <w:tcPr>
            <w:tcW w:w="3828" w:type="dxa"/>
            <w:vAlign w:val="center"/>
          </w:tcPr>
          <w:p w:rsidR="00732B0E" w:rsidRPr="00F66EAA" w:rsidRDefault="00732B0E" w:rsidP="00F66EAA">
            <w:pPr>
              <w:tabs>
                <w:tab w:val="right" w:pos="8732"/>
              </w:tabs>
              <w:spacing w:before="0"/>
              <w:ind w:left="426"/>
              <w:rPr>
                <w:rFonts w:ascii="Calibri" w:hAnsi="Calibri" w:cs="Calibri"/>
                <w:b/>
                <w:bCs/>
                <w:iCs/>
                <w:sz w:val="28"/>
                <w:szCs w:val="28"/>
              </w:rPr>
            </w:pPr>
          </w:p>
        </w:tc>
        <w:tc>
          <w:tcPr>
            <w:tcW w:w="2693" w:type="dxa"/>
            <w:vAlign w:val="center"/>
          </w:tcPr>
          <w:p w:rsidR="00732B0E" w:rsidRPr="00F66EAA" w:rsidRDefault="00732B0E" w:rsidP="00F66EAA">
            <w:pPr>
              <w:tabs>
                <w:tab w:val="right" w:pos="8732"/>
              </w:tabs>
              <w:spacing w:before="0"/>
              <w:ind w:left="720"/>
              <w:rPr>
                <w:b/>
                <w:bCs/>
                <w:noProof/>
                <w:lang w:eastAsia="zh-CN"/>
              </w:rPr>
            </w:pPr>
          </w:p>
        </w:tc>
        <w:tc>
          <w:tcPr>
            <w:tcW w:w="3260" w:type="dxa"/>
            <w:vAlign w:val="center"/>
          </w:tcPr>
          <w:p w:rsidR="00732B0E" w:rsidRPr="00F66EAA" w:rsidRDefault="00732B0E" w:rsidP="00F66EAA">
            <w:pPr>
              <w:spacing w:before="0"/>
              <w:rPr>
                <w:rFonts w:ascii="Calibri" w:hAnsi="Calibri"/>
                <w:b/>
                <w:bCs/>
                <w:sz w:val="28"/>
                <w:szCs w:val="28"/>
              </w:rPr>
            </w:pPr>
          </w:p>
        </w:tc>
      </w:tr>
    </w:tbl>
    <w:p w:rsidR="00FA1642" w:rsidRDefault="00FA1642" w:rsidP="007222C9">
      <w:pPr>
        <w:rPr>
          <w:vanish/>
        </w:rPr>
      </w:pPr>
    </w:p>
    <w:p w:rsidR="00867E12" w:rsidRPr="00F66EAA" w:rsidRDefault="00867E12" w:rsidP="007222C9">
      <w:pPr>
        <w:rPr>
          <w:vanish/>
        </w:rPr>
      </w:pPr>
    </w:p>
    <w:tbl>
      <w:tblPr>
        <w:tblW w:w="5000" w:type="pct"/>
        <w:tblInd w:w="-8" w:type="dxa"/>
        <w:tblCellMar>
          <w:left w:w="0" w:type="dxa"/>
          <w:right w:w="0" w:type="dxa"/>
        </w:tblCellMar>
        <w:tblLook w:val="0000" w:firstRow="0" w:lastRow="0" w:firstColumn="0" w:lastColumn="0" w:noHBand="0" w:noVBand="0"/>
      </w:tblPr>
      <w:tblGrid>
        <w:gridCol w:w="8"/>
        <w:gridCol w:w="954"/>
        <w:gridCol w:w="123"/>
        <w:gridCol w:w="3399"/>
        <w:gridCol w:w="954"/>
        <w:gridCol w:w="4201"/>
      </w:tblGrid>
      <w:tr w:rsidR="006E7BC2" w:rsidRPr="00F66EAA" w:rsidTr="00BF484A">
        <w:trPr>
          <w:gridBefore w:val="1"/>
          <w:wBefore w:w="4" w:type="pct"/>
          <w:cantSplit/>
          <w:trHeight w:val="3672"/>
        </w:trPr>
        <w:tc>
          <w:tcPr>
            <w:tcW w:w="495" w:type="pct"/>
          </w:tcPr>
          <w:p w:rsidR="006E7BC2" w:rsidRPr="00F66EAA" w:rsidRDefault="006E7BC2" w:rsidP="009105A0">
            <w:pPr>
              <w:tabs>
                <w:tab w:val="left" w:pos="4111"/>
              </w:tabs>
              <w:spacing w:before="0"/>
              <w:rPr>
                <w:szCs w:val="24"/>
              </w:rPr>
            </w:pPr>
            <w:bookmarkStart w:id="5" w:name="Addressee_E"/>
            <w:bookmarkEnd w:id="5"/>
          </w:p>
          <w:p w:rsidR="00FA1642" w:rsidRPr="00F66EAA" w:rsidRDefault="00FA1642" w:rsidP="009105A0">
            <w:pPr>
              <w:tabs>
                <w:tab w:val="left" w:pos="4111"/>
              </w:tabs>
              <w:spacing w:before="0"/>
              <w:rPr>
                <w:szCs w:val="24"/>
              </w:rPr>
            </w:pPr>
          </w:p>
          <w:p w:rsidR="006E7BC2" w:rsidRPr="00F66EAA" w:rsidRDefault="006E7BC2" w:rsidP="009105A0">
            <w:pPr>
              <w:tabs>
                <w:tab w:val="left" w:pos="4111"/>
              </w:tabs>
              <w:spacing w:before="0"/>
              <w:rPr>
                <w:szCs w:val="24"/>
              </w:rPr>
            </w:pPr>
            <w:r w:rsidRPr="00F66EAA">
              <w:rPr>
                <w:szCs w:val="24"/>
              </w:rPr>
              <w:t>Ref.:</w:t>
            </w:r>
          </w:p>
          <w:p w:rsidR="006E7BC2" w:rsidRPr="00F66EAA" w:rsidRDefault="006E7BC2" w:rsidP="009105A0">
            <w:pPr>
              <w:tabs>
                <w:tab w:val="left" w:pos="4111"/>
              </w:tabs>
              <w:spacing w:before="0"/>
              <w:rPr>
                <w:szCs w:val="24"/>
              </w:rPr>
            </w:pPr>
            <w:r w:rsidRPr="00F66EAA">
              <w:rPr>
                <w:szCs w:val="24"/>
              </w:rPr>
              <w:t>Tel</w:t>
            </w:r>
            <w:r w:rsidR="00FA1642" w:rsidRPr="00F66EAA">
              <w:rPr>
                <w:szCs w:val="24"/>
              </w:rPr>
              <w:t>.</w:t>
            </w:r>
            <w:r w:rsidRPr="00F66EAA">
              <w:rPr>
                <w:szCs w:val="24"/>
              </w:rPr>
              <w:t>:</w:t>
            </w:r>
          </w:p>
          <w:p w:rsidR="006E7BC2" w:rsidRPr="00F66EAA" w:rsidRDefault="006E7BC2" w:rsidP="009105A0">
            <w:pPr>
              <w:tabs>
                <w:tab w:val="left" w:pos="4111"/>
              </w:tabs>
              <w:spacing w:before="0"/>
              <w:rPr>
                <w:szCs w:val="24"/>
              </w:rPr>
            </w:pPr>
            <w:r w:rsidRPr="00F66EAA">
              <w:rPr>
                <w:szCs w:val="24"/>
              </w:rPr>
              <w:t>Fax:</w:t>
            </w:r>
          </w:p>
          <w:p w:rsidR="006E7BC2" w:rsidRPr="00F66EAA" w:rsidRDefault="006E7BC2" w:rsidP="009105A0">
            <w:pPr>
              <w:tabs>
                <w:tab w:val="left" w:pos="4111"/>
              </w:tabs>
              <w:spacing w:before="0"/>
              <w:rPr>
                <w:szCs w:val="24"/>
              </w:rPr>
            </w:pPr>
            <w:r w:rsidRPr="00F66EAA">
              <w:rPr>
                <w:szCs w:val="24"/>
              </w:rPr>
              <w:t>Correo-e:</w:t>
            </w:r>
          </w:p>
          <w:p w:rsidR="006E7BC2" w:rsidRPr="00F66EAA" w:rsidRDefault="006E7BC2" w:rsidP="009105A0">
            <w:pPr>
              <w:tabs>
                <w:tab w:val="left" w:pos="4111"/>
              </w:tabs>
              <w:spacing w:before="0"/>
              <w:rPr>
                <w:szCs w:val="24"/>
              </w:rPr>
            </w:pPr>
          </w:p>
          <w:p w:rsidR="006E7BC2" w:rsidRPr="00F66EAA" w:rsidRDefault="006E7BC2" w:rsidP="009105A0">
            <w:pPr>
              <w:tabs>
                <w:tab w:val="left" w:pos="4111"/>
              </w:tabs>
              <w:spacing w:before="0"/>
              <w:rPr>
                <w:szCs w:val="24"/>
              </w:rPr>
            </w:pPr>
          </w:p>
          <w:p w:rsidR="006E7BC2" w:rsidRPr="00F66EAA" w:rsidRDefault="006E7BC2" w:rsidP="009105A0">
            <w:pPr>
              <w:tabs>
                <w:tab w:val="left" w:pos="4111"/>
              </w:tabs>
              <w:spacing w:before="0"/>
              <w:rPr>
                <w:szCs w:val="24"/>
              </w:rPr>
            </w:pPr>
          </w:p>
          <w:p w:rsidR="006E7BC2" w:rsidRPr="00F66EAA" w:rsidRDefault="006E7BC2" w:rsidP="009105A0">
            <w:pPr>
              <w:tabs>
                <w:tab w:val="left" w:pos="4111"/>
              </w:tabs>
              <w:spacing w:before="0"/>
              <w:rPr>
                <w:szCs w:val="24"/>
              </w:rPr>
            </w:pPr>
          </w:p>
          <w:p w:rsidR="006E7BC2" w:rsidRPr="00F66EAA" w:rsidRDefault="006E7BC2" w:rsidP="009105A0">
            <w:pPr>
              <w:tabs>
                <w:tab w:val="left" w:pos="4111"/>
              </w:tabs>
              <w:spacing w:before="0"/>
              <w:rPr>
                <w:szCs w:val="24"/>
              </w:rPr>
            </w:pPr>
            <w:r w:rsidRPr="00F66EAA">
              <w:rPr>
                <w:szCs w:val="24"/>
              </w:rPr>
              <w:t>Ref.:</w:t>
            </w:r>
          </w:p>
          <w:p w:rsidR="006E7BC2" w:rsidRPr="00F66EAA" w:rsidRDefault="006E7BC2" w:rsidP="009105A0">
            <w:pPr>
              <w:tabs>
                <w:tab w:val="left" w:pos="4111"/>
              </w:tabs>
              <w:spacing w:before="0"/>
              <w:rPr>
                <w:szCs w:val="24"/>
              </w:rPr>
            </w:pPr>
            <w:r w:rsidRPr="00F66EAA">
              <w:rPr>
                <w:szCs w:val="24"/>
              </w:rPr>
              <w:t>Tel</w:t>
            </w:r>
            <w:r w:rsidR="00FA1642" w:rsidRPr="00F66EAA">
              <w:rPr>
                <w:szCs w:val="24"/>
              </w:rPr>
              <w:t>.</w:t>
            </w:r>
            <w:r w:rsidRPr="00F66EAA">
              <w:rPr>
                <w:szCs w:val="24"/>
              </w:rPr>
              <w:t>:</w:t>
            </w:r>
          </w:p>
          <w:p w:rsidR="006E7BC2" w:rsidRPr="00F66EAA" w:rsidRDefault="006E7BC2" w:rsidP="009105A0">
            <w:pPr>
              <w:tabs>
                <w:tab w:val="left" w:pos="4111"/>
              </w:tabs>
              <w:spacing w:before="0"/>
              <w:rPr>
                <w:szCs w:val="24"/>
              </w:rPr>
            </w:pPr>
            <w:r w:rsidRPr="00F66EAA">
              <w:rPr>
                <w:szCs w:val="24"/>
              </w:rPr>
              <w:t>Fax:</w:t>
            </w:r>
          </w:p>
          <w:p w:rsidR="006E7BC2" w:rsidRPr="00F66EAA" w:rsidRDefault="006E7BC2" w:rsidP="009105A0">
            <w:pPr>
              <w:tabs>
                <w:tab w:val="left" w:pos="4111"/>
              </w:tabs>
              <w:spacing w:before="0"/>
              <w:rPr>
                <w:szCs w:val="24"/>
              </w:rPr>
            </w:pPr>
            <w:r w:rsidRPr="00F66EAA">
              <w:rPr>
                <w:szCs w:val="24"/>
              </w:rPr>
              <w:t xml:space="preserve">Correo-e: </w:t>
            </w:r>
          </w:p>
        </w:tc>
        <w:tc>
          <w:tcPr>
            <w:tcW w:w="1827" w:type="pct"/>
            <w:gridSpan w:val="2"/>
          </w:tcPr>
          <w:p w:rsidR="006E7BC2" w:rsidRPr="00F66EAA" w:rsidRDefault="006E7BC2" w:rsidP="009105A0">
            <w:pPr>
              <w:tabs>
                <w:tab w:val="left" w:pos="4111"/>
              </w:tabs>
              <w:spacing w:before="0"/>
              <w:rPr>
                <w:b/>
                <w:bCs/>
                <w:szCs w:val="24"/>
              </w:rPr>
            </w:pPr>
          </w:p>
          <w:p w:rsidR="00FA1642" w:rsidRPr="00F66EAA" w:rsidRDefault="00FA1642" w:rsidP="00782CD0">
            <w:pPr>
              <w:tabs>
                <w:tab w:val="left" w:pos="4111"/>
              </w:tabs>
              <w:spacing w:before="0"/>
              <w:rPr>
                <w:b/>
                <w:bCs/>
                <w:szCs w:val="24"/>
              </w:rPr>
            </w:pPr>
          </w:p>
          <w:p w:rsidR="006E7BC2" w:rsidRPr="00F66EAA" w:rsidRDefault="006E7BC2" w:rsidP="00782CD0">
            <w:pPr>
              <w:tabs>
                <w:tab w:val="left" w:pos="4111"/>
              </w:tabs>
              <w:spacing w:before="0"/>
              <w:rPr>
                <w:b/>
                <w:bCs/>
                <w:szCs w:val="24"/>
              </w:rPr>
            </w:pPr>
            <w:r w:rsidRPr="00F66EAA">
              <w:rPr>
                <w:b/>
                <w:bCs/>
                <w:szCs w:val="24"/>
              </w:rPr>
              <w:t>Circular TSB 103</w:t>
            </w:r>
          </w:p>
          <w:p w:rsidR="006E7BC2" w:rsidRPr="00F66EAA" w:rsidRDefault="006E7BC2" w:rsidP="009105A0">
            <w:pPr>
              <w:tabs>
                <w:tab w:val="left" w:pos="4111"/>
              </w:tabs>
              <w:spacing w:before="0"/>
              <w:rPr>
                <w:szCs w:val="24"/>
              </w:rPr>
            </w:pPr>
            <w:r w:rsidRPr="00F66EAA">
              <w:rPr>
                <w:szCs w:val="24"/>
              </w:rPr>
              <w:t>+41 22 730 6206</w:t>
            </w:r>
            <w:r w:rsidRPr="00F66EAA">
              <w:rPr>
                <w:szCs w:val="24"/>
              </w:rPr>
              <w:br/>
              <w:t>+41 22 730 5853</w:t>
            </w:r>
          </w:p>
          <w:p w:rsidR="006E7BC2" w:rsidRPr="00F66EAA" w:rsidRDefault="0034422C" w:rsidP="009105A0">
            <w:pPr>
              <w:tabs>
                <w:tab w:val="left" w:pos="4111"/>
              </w:tabs>
              <w:spacing w:before="0"/>
              <w:rPr>
                <w:rStyle w:val="Hyperlink"/>
                <w:szCs w:val="24"/>
              </w:rPr>
            </w:pPr>
            <w:hyperlink r:id="rId9" w:history="1">
              <w:r w:rsidR="006E7BC2" w:rsidRPr="00F66EAA">
                <w:rPr>
                  <w:rStyle w:val="Hyperlink"/>
                  <w:szCs w:val="24"/>
                </w:rPr>
                <w:t>seminar-counterfeiting@itu.int</w:t>
              </w:r>
            </w:hyperlink>
          </w:p>
          <w:p w:rsidR="006E7BC2" w:rsidRPr="00F66EAA" w:rsidRDefault="006E7BC2" w:rsidP="009105A0">
            <w:pPr>
              <w:tabs>
                <w:tab w:val="left" w:pos="4111"/>
              </w:tabs>
              <w:spacing w:before="0"/>
              <w:rPr>
                <w:rStyle w:val="Hyperlink"/>
                <w:szCs w:val="24"/>
              </w:rPr>
            </w:pPr>
          </w:p>
          <w:p w:rsidR="006E7BC2" w:rsidRPr="00F66EAA" w:rsidRDefault="006E7BC2" w:rsidP="009105A0">
            <w:pPr>
              <w:tabs>
                <w:tab w:val="left" w:pos="4111"/>
              </w:tabs>
              <w:spacing w:before="0"/>
              <w:rPr>
                <w:rStyle w:val="Hyperlink"/>
                <w:b/>
                <w:bCs/>
                <w:szCs w:val="24"/>
              </w:rPr>
            </w:pPr>
          </w:p>
          <w:p w:rsidR="006E7BC2" w:rsidRPr="00F66EAA" w:rsidRDefault="006E7BC2" w:rsidP="009105A0">
            <w:pPr>
              <w:tabs>
                <w:tab w:val="left" w:pos="4111"/>
              </w:tabs>
              <w:spacing w:before="0"/>
              <w:rPr>
                <w:rStyle w:val="Hyperlink"/>
                <w:b/>
                <w:bCs/>
                <w:szCs w:val="24"/>
              </w:rPr>
            </w:pPr>
          </w:p>
          <w:p w:rsidR="006E7BC2" w:rsidRPr="00F66EAA" w:rsidRDefault="006E7BC2" w:rsidP="001A21EF">
            <w:pPr>
              <w:tabs>
                <w:tab w:val="left" w:pos="4111"/>
              </w:tabs>
              <w:spacing w:before="0"/>
              <w:rPr>
                <w:rStyle w:val="Hyperlink"/>
                <w:b/>
                <w:bCs/>
                <w:szCs w:val="24"/>
              </w:rPr>
            </w:pPr>
          </w:p>
          <w:p w:rsidR="006E7BC2" w:rsidRPr="005638DF" w:rsidRDefault="006E7BC2" w:rsidP="001A21EF">
            <w:pPr>
              <w:tabs>
                <w:tab w:val="left" w:pos="4111"/>
              </w:tabs>
              <w:spacing w:before="0"/>
              <w:rPr>
                <w:rStyle w:val="Hyperlink"/>
                <w:b/>
                <w:bCs/>
                <w:color w:val="auto"/>
                <w:szCs w:val="24"/>
                <w:u w:val="none"/>
              </w:rPr>
            </w:pPr>
            <w:r w:rsidRPr="005638DF">
              <w:rPr>
                <w:rStyle w:val="Hyperlink"/>
                <w:b/>
                <w:bCs/>
                <w:color w:val="auto"/>
                <w:szCs w:val="24"/>
                <w:u w:val="none"/>
              </w:rPr>
              <w:t>BDT/IEE/RME/024</w:t>
            </w:r>
          </w:p>
          <w:p w:rsidR="006E7BC2" w:rsidRPr="005638DF" w:rsidRDefault="006E7BC2" w:rsidP="009105A0">
            <w:pPr>
              <w:tabs>
                <w:tab w:val="left" w:pos="4111"/>
              </w:tabs>
              <w:spacing w:before="0"/>
              <w:rPr>
                <w:rStyle w:val="Hyperlink"/>
                <w:color w:val="auto"/>
                <w:szCs w:val="24"/>
                <w:u w:val="none"/>
              </w:rPr>
            </w:pPr>
            <w:r w:rsidRPr="005638DF">
              <w:rPr>
                <w:rStyle w:val="Hyperlink"/>
                <w:color w:val="auto"/>
                <w:szCs w:val="24"/>
                <w:u w:val="none"/>
              </w:rPr>
              <w:t>+41 22 730 6256</w:t>
            </w:r>
          </w:p>
          <w:p w:rsidR="006E7BC2" w:rsidRPr="005638DF" w:rsidRDefault="006E7BC2" w:rsidP="009105A0">
            <w:pPr>
              <w:tabs>
                <w:tab w:val="left" w:pos="4111"/>
              </w:tabs>
              <w:spacing w:before="0"/>
              <w:rPr>
                <w:rStyle w:val="Hyperlink"/>
                <w:color w:val="auto"/>
                <w:szCs w:val="24"/>
                <w:u w:val="none"/>
              </w:rPr>
            </w:pPr>
            <w:r w:rsidRPr="005638DF">
              <w:rPr>
                <w:rStyle w:val="Hyperlink"/>
                <w:color w:val="auto"/>
                <w:szCs w:val="24"/>
                <w:u w:val="none"/>
              </w:rPr>
              <w:t>+41 22 730 5484</w:t>
            </w:r>
          </w:p>
          <w:p w:rsidR="006E7BC2" w:rsidRPr="00F66EAA" w:rsidRDefault="0034422C" w:rsidP="009105A0">
            <w:pPr>
              <w:tabs>
                <w:tab w:val="left" w:pos="4111"/>
              </w:tabs>
              <w:spacing w:before="0"/>
              <w:rPr>
                <w:rStyle w:val="Hyperlink"/>
                <w:b/>
                <w:bCs/>
                <w:szCs w:val="24"/>
              </w:rPr>
            </w:pPr>
            <w:hyperlink r:id="rId10" w:history="1">
              <w:r w:rsidR="006E7BC2" w:rsidRPr="00F66EAA">
                <w:rPr>
                  <w:rStyle w:val="Hyperlink"/>
                  <w:szCs w:val="24"/>
                </w:rPr>
                <w:t>seminar-counterfeiting@itu.int</w:t>
              </w:r>
            </w:hyperlink>
          </w:p>
          <w:p w:rsidR="006E7BC2" w:rsidRPr="00F66EAA" w:rsidRDefault="006E7BC2" w:rsidP="009105A0">
            <w:pPr>
              <w:tabs>
                <w:tab w:val="left" w:pos="4111"/>
              </w:tabs>
              <w:spacing w:before="0"/>
              <w:rPr>
                <w:rStyle w:val="Hyperlink"/>
                <w:szCs w:val="24"/>
              </w:rPr>
            </w:pPr>
          </w:p>
          <w:p w:rsidR="006E7BC2" w:rsidRPr="00F66EAA" w:rsidRDefault="006E7BC2" w:rsidP="009105A0">
            <w:pPr>
              <w:tabs>
                <w:tab w:val="left" w:pos="4111"/>
              </w:tabs>
              <w:spacing w:before="0"/>
              <w:rPr>
                <w:b/>
                <w:bCs/>
                <w:szCs w:val="24"/>
              </w:rPr>
            </w:pPr>
          </w:p>
        </w:tc>
        <w:tc>
          <w:tcPr>
            <w:tcW w:w="495" w:type="pct"/>
          </w:tcPr>
          <w:p w:rsidR="006E7BC2" w:rsidRPr="00F66EAA" w:rsidRDefault="006E7BC2" w:rsidP="00A82E6D">
            <w:pPr>
              <w:tabs>
                <w:tab w:val="clear" w:pos="794"/>
                <w:tab w:val="left" w:pos="141"/>
                <w:tab w:val="left" w:pos="4111"/>
              </w:tabs>
              <w:spacing w:before="0"/>
            </w:pPr>
          </w:p>
        </w:tc>
        <w:tc>
          <w:tcPr>
            <w:tcW w:w="2179" w:type="pct"/>
          </w:tcPr>
          <w:p w:rsidR="006E7BC2" w:rsidRPr="00F66EAA" w:rsidRDefault="006E7BC2" w:rsidP="00B41C3C">
            <w:pPr>
              <w:pStyle w:val="Index1"/>
              <w:tabs>
                <w:tab w:val="clear" w:pos="794"/>
                <w:tab w:val="clear" w:pos="1191"/>
                <w:tab w:val="clear" w:pos="1588"/>
                <w:tab w:val="clear" w:pos="1985"/>
                <w:tab w:val="left" w:pos="5387"/>
              </w:tabs>
            </w:pPr>
            <w:r w:rsidRPr="00F66EAA">
              <w:t>Ginebra, 2 de julio de 2014</w:t>
            </w:r>
          </w:p>
          <w:p w:rsidR="006E7BC2" w:rsidRPr="00F66EAA" w:rsidRDefault="006E7BC2" w:rsidP="00A82E6D">
            <w:pPr>
              <w:tabs>
                <w:tab w:val="clear" w:pos="794"/>
                <w:tab w:val="left" w:pos="141"/>
                <w:tab w:val="left" w:pos="4111"/>
              </w:tabs>
            </w:pPr>
          </w:p>
          <w:p w:rsidR="006E7BC2" w:rsidRPr="00F66EAA" w:rsidRDefault="006E7BC2" w:rsidP="00782CD0">
            <w:pPr>
              <w:tabs>
                <w:tab w:val="left" w:pos="284"/>
              </w:tabs>
              <w:spacing w:before="0"/>
              <w:ind w:left="284" w:hanging="227"/>
            </w:pPr>
            <w:r w:rsidRPr="00F66EAA">
              <w:t>-</w:t>
            </w:r>
            <w:r w:rsidRPr="00F66EAA">
              <w:tab/>
              <w:t>A las Administraciones de los Estados Miembros de la Unión;</w:t>
            </w:r>
          </w:p>
          <w:p w:rsidR="006E7BC2" w:rsidRPr="00F66EAA" w:rsidRDefault="006E7BC2" w:rsidP="00B41C3C">
            <w:pPr>
              <w:tabs>
                <w:tab w:val="left" w:pos="284"/>
              </w:tabs>
              <w:spacing w:before="0"/>
              <w:ind w:left="284" w:hanging="227"/>
            </w:pPr>
            <w:r w:rsidRPr="00F66EAA">
              <w:t>-</w:t>
            </w:r>
            <w:r w:rsidRPr="00F66EAA">
              <w:tab/>
              <w:t>A los Miembros de Sector del UIT</w:t>
            </w:r>
            <w:r w:rsidRPr="00F66EAA">
              <w:noBreakHyphen/>
              <w:t>T y el UIT-D;</w:t>
            </w:r>
          </w:p>
          <w:p w:rsidR="006E7BC2" w:rsidRPr="00F66EAA" w:rsidRDefault="006E7BC2" w:rsidP="00B41C3C">
            <w:pPr>
              <w:tabs>
                <w:tab w:val="left" w:pos="284"/>
              </w:tabs>
              <w:spacing w:before="0"/>
              <w:ind w:left="284" w:hanging="227"/>
            </w:pPr>
            <w:r w:rsidRPr="00F66EAA">
              <w:t>-</w:t>
            </w:r>
            <w:r w:rsidRPr="00F66EAA">
              <w:tab/>
              <w:t>A los Asociados del UIT</w:t>
            </w:r>
            <w:r w:rsidRPr="00F66EAA">
              <w:noBreakHyphen/>
              <w:t>T y el UIT-D;</w:t>
            </w:r>
          </w:p>
          <w:p w:rsidR="006E7BC2" w:rsidRPr="00F66EAA" w:rsidRDefault="00B41C3C" w:rsidP="00B41C3C">
            <w:pPr>
              <w:tabs>
                <w:tab w:val="left" w:pos="284"/>
              </w:tabs>
              <w:spacing w:before="0"/>
              <w:ind w:left="284" w:hanging="227"/>
            </w:pPr>
            <w:r>
              <w:t>-</w:t>
            </w:r>
            <w:r>
              <w:tab/>
            </w:r>
            <w:r w:rsidR="006E7BC2" w:rsidRPr="00F66EAA">
              <w:t>A las Instituciones Académicas del UIT-T y el UIT-D</w:t>
            </w:r>
          </w:p>
          <w:p w:rsidR="006E7BC2" w:rsidRPr="00F66EAA" w:rsidRDefault="006E7BC2" w:rsidP="00782CD0">
            <w:pPr>
              <w:spacing w:before="0"/>
            </w:pPr>
          </w:p>
          <w:p w:rsidR="006E7BC2" w:rsidRPr="00F66EAA" w:rsidRDefault="006E7BC2" w:rsidP="00A82E6D">
            <w:pPr>
              <w:tabs>
                <w:tab w:val="clear" w:pos="794"/>
                <w:tab w:val="clear" w:pos="1191"/>
                <w:tab w:val="clear" w:pos="1588"/>
                <w:tab w:val="clear" w:pos="1985"/>
                <w:tab w:val="left" w:pos="284"/>
              </w:tabs>
              <w:spacing w:before="0"/>
              <w:rPr>
                <w:b/>
                <w:bCs/>
              </w:rPr>
            </w:pPr>
            <w:r w:rsidRPr="00F66EAA">
              <w:rPr>
                <w:b/>
                <w:bCs/>
              </w:rPr>
              <w:t>Copia:</w:t>
            </w:r>
          </w:p>
          <w:p w:rsidR="006E7BC2" w:rsidRPr="00F66EAA" w:rsidRDefault="006E7BC2" w:rsidP="00782CD0">
            <w:pPr>
              <w:spacing w:before="0"/>
              <w:ind w:left="284" w:hanging="284"/>
            </w:pPr>
            <w:r w:rsidRPr="00F66EAA">
              <w:t>-</w:t>
            </w:r>
            <w:r w:rsidRPr="00F66EAA">
              <w:tab/>
              <w:t>A los Presidentes y Vicepresidentes de todas las Comisiones de Estudio del UIT-T y el UIT-D;</w:t>
            </w:r>
          </w:p>
          <w:p w:rsidR="006E7BC2" w:rsidRPr="00F66EAA" w:rsidRDefault="006E7BC2" w:rsidP="00782CD0">
            <w:pPr>
              <w:spacing w:before="0"/>
              <w:ind w:left="284" w:hanging="284"/>
            </w:pPr>
            <w:r w:rsidRPr="00F66EAA">
              <w:t>-</w:t>
            </w:r>
            <w:r w:rsidRPr="00F66EAA">
              <w:tab/>
              <w:t>A los Presidentes y Vicepresidentes del GANT y el GADT;</w:t>
            </w:r>
          </w:p>
          <w:p w:rsidR="006E7BC2" w:rsidRPr="00F66EAA" w:rsidRDefault="006E7BC2" w:rsidP="00A82E6D">
            <w:pPr>
              <w:spacing w:before="0" w:after="120"/>
              <w:ind w:left="284" w:hanging="284"/>
            </w:pPr>
            <w:r w:rsidRPr="00F66EAA">
              <w:t>-</w:t>
            </w:r>
            <w:r w:rsidRPr="00F66EAA">
              <w:tab/>
              <w:t>Al Director de la Oficina de Radiocomunicaciones</w:t>
            </w:r>
          </w:p>
        </w:tc>
      </w:tr>
      <w:tr w:rsidR="006E7BC2" w:rsidRPr="00F66EAA" w:rsidTr="00BF484A">
        <w:trPr>
          <w:gridBefore w:val="1"/>
          <w:wBefore w:w="4" w:type="pct"/>
          <w:cantSplit/>
          <w:trHeight w:val="423"/>
        </w:trPr>
        <w:tc>
          <w:tcPr>
            <w:tcW w:w="2322" w:type="pct"/>
            <w:gridSpan w:val="3"/>
          </w:tcPr>
          <w:p w:rsidR="006E7BC2" w:rsidRPr="00F66EAA" w:rsidRDefault="006E7BC2" w:rsidP="006D4AF6">
            <w:pPr>
              <w:tabs>
                <w:tab w:val="clear" w:pos="794"/>
                <w:tab w:val="left" w:pos="141"/>
                <w:tab w:val="left" w:pos="4111"/>
              </w:tabs>
              <w:spacing w:before="0"/>
            </w:pPr>
          </w:p>
        </w:tc>
        <w:tc>
          <w:tcPr>
            <w:tcW w:w="2674" w:type="pct"/>
            <w:gridSpan w:val="2"/>
          </w:tcPr>
          <w:p w:rsidR="006E7BC2" w:rsidRPr="00F66EAA" w:rsidRDefault="006E7BC2" w:rsidP="002A7870">
            <w:pPr>
              <w:spacing w:before="0" w:after="120"/>
              <w:ind w:left="284" w:hanging="284"/>
            </w:pPr>
          </w:p>
        </w:tc>
      </w:tr>
      <w:tr w:rsidR="006E7BC2" w:rsidRPr="00F66EAA" w:rsidTr="00BF484A">
        <w:tblPrEx>
          <w:tblCellMar>
            <w:left w:w="107" w:type="dxa"/>
            <w:right w:w="107" w:type="dxa"/>
          </w:tblCellMar>
        </w:tblPrEx>
        <w:trPr>
          <w:cantSplit/>
        </w:trPr>
        <w:tc>
          <w:tcPr>
            <w:tcW w:w="563" w:type="pct"/>
            <w:gridSpan w:val="3"/>
          </w:tcPr>
          <w:p w:rsidR="006E7BC2" w:rsidRPr="00F66EAA" w:rsidRDefault="006E7BC2" w:rsidP="008304E8">
            <w:pPr>
              <w:tabs>
                <w:tab w:val="left" w:pos="4111"/>
              </w:tabs>
            </w:pPr>
            <w:r w:rsidRPr="00F66EAA">
              <w:t>Asunto:</w:t>
            </w:r>
          </w:p>
        </w:tc>
        <w:tc>
          <w:tcPr>
            <w:tcW w:w="4437" w:type="pct"/>
            <w:gridSpan w:val="3"/>
          </w:tcPr>
          <w:p w:rsidR="006E7BC2" w:rsidRPr="00F66EAA" w:rsidRDefault="006E7BC2" w:rsidP="001A5C34">
            <w:pPr>
              <w:tabs>
                <w:tab w:val="clear" w:pos="794"/>
                <w:tab w:val="left" w:pos="4111"/>
              </w:tabs>
              <w:rPr>
                <w:b/>
                <w:bCs/>
              </w:rPr>
            </w:pPr>
            <w:r w:rsidRPr="00F66EAA">
              <w:rPr>
                <w:b/>
                <w:bCs/>
              </w:rPr>
              <w:t xml:space="preserve">Seminario sobre lucha contra la falsificación de dispositivos TIC </w:t>
            </w:r>
            <w:r w:rsidR="005638DF">
              <w:rPr>
                <w:b/>
                <w:bCs/>
              </w:rPr>
              <w:br/>
            </w:r>
            <w:r w:rsidRPr="00F66EAA">
              <w:rPr>
                <w:b/>
                <w:bCs/>
              </w:rPr>
              <w:t>(Ginebra, Suiza, del 17 al 18 de noviembre de 2014</w:t>
            </w:r>
            <w:r w:rsidRPr="00F66EAA">
              <w:t>)</w:t>
            </w:r>
          </w:p>
        </w:tc>
      </w:tr>
    </w:tbl>
    <w:p w:rsidR="006E7BC2" w:rsidRPr="00F66EAA" w:rsidRDefault="006E7BC2" w:rsidP="00864D2D">
      <w:pPr>
        <w:spacing w:before="360"/>
      </w:pPr>
      <w:r w:rsidRPr="00F66EAA">
        <w:t>Muy Señora mía/Muy Señor mío:</w:t>
      </w:r>
    </w:p>
    <w:p w:rsidR="006E7BC2" w:rsidRPr="00F66EAA" w:rsidRDefault="006E7BC2" w:rsidP="00864D2D">
      <w:r w:rsidRPr="00F66EAA">
        <w:t>1</w:t>
      </w:r>
      <w:r w:rsidRPr="00F66EAA">
        <w:tab/>
        <w:t>Nos complace informarle de que la Unión Internacional de Telecomunicaciones (UIT) está organizando un seminario sobre lucha contra la falsificación de dispositivos TIC. Este evento se celebrará del 17 (por la tarde) al 18 de noviembre de 2014 en la sede de la UIT, en Ginebra (Suiza). El programa figura en el</w:t>
      </w:r>
      <w:r w:rsidRPr="00F66EAA">
        <w:rPr>
          <w:b/>
          <w:bCs/>
        </w:rPr>
        <w:t xml:space="preserve"> Anexo 1</w:t>
      </w:r>
      <w:r w:rsidR="009E0660">
        <w:t>.</w:t>
      </w:r>
    </w:p>
    <w:p w:rsidR="006E7BC2" w:rsidRPr="00F66EAA" w:rsidRDefault="006E7BC2" w:rsidP="00B41C3C">
      <w:r w:rsidRPr="00F66EAA">
        <w:t>2</w:t>
      </w:r>
      <w:r w:rsidRPr="00F66EAA">
        <w:tab/>
        <w:t>Los productos TIC falsificados y de baja calidad constituyen un grave problema que afecta a las economías desarrolladas y en desarrollo, a la industria de las TIC y a la población mundial de consumidores. El coste y los efectos negativos que entrañan para los interesados son amplios y numerosos, y comprenden la pérdida de impuestos, regalías y otros ingresos; la disminución de las ventas, los precios y las operaciones; la erosión del valor, el fondo de comercio y la reputación de la marca; la reducción de los incentivos destinados a la innovación y la inversión; la disminución de la tasa de empleo y el crecimiento económico; retos en materia de perturbaciones de la red y compatibilidad, derivados de la ínfima calidad de la prestación y la</w:t>
      </w:r>
      <w:r w:rsidR="00B41C3C">
        <w:t xml:space="preserve"> recepción de los servicios; y </w:t>
      </w:r>
      <w:r w:rsidRPr="00F66EAA">
        <w:t>posibles riesgos para la salud, la seguridad y el medioambiente. De acuerdo con la Cámara de Comercio Internacional (CCI), se espera que el valor de los productos falsificados a escala mundial supere los 1</w:t>
      </w:r>
      <w:r w:rsidR="00FA1642" w:rsidRPr="00F66EAA">
        <w:t>,7 b</w:t>
      </w:r>
      <w:r w:rsidRPr="00F66EAA">
        <w:t>illones USD en 2015</w:t>
      </w:r>
      <w:r w:rsidR="003C1B29">
        <w:t>.</w:t>
      </w:r>
    </w:p>
    <w:p w:rsidR="006E7BC2" w:rsidRPr="00F66EAA" w:rsidRDefault="006E7BC2" w:rsidP="00FA1642">
      <w:pPr>
        <w:keepLines/>
        <w:rPr>
          <w:color w:val="000000"/>
        </w:rPr>
      </w:pPr>
      <w:r w:rsidRPr="00F66EAA">
        <w:rPr>
          <w:color w:val="000000"/>
        </w:rPr>
        <w:lastRenderedPageBreak/>
        <w:t>3</w:t>
      </w:r>
      <w:r w:rsidRPr="00F66EAA">
        <w:rPr>
          <w:color w:val="000000"/>
        </w:rPr>
        <w:tab/>
        <w:t xml:space="preserve">El seminario tiene tres objetivos, a saber: (1) debatir el alcance mundial de los productos TIC falsificados y de baja calidad, así como sus repercusiones para los distintos interesados; (2) poner de relieve las inquietudes comunes, los retos, las iniciativas, las prácticas y las oportunidades de los distintos grupos de interés en su lucha contra los productos TIC falsificados y de baja calidad; y (3) analizar la posible función de las organizaciones de normalización de las TIC y, en particular, de la UIT, en el marco de la estrategia y la solución mundiales para contrarrestar los </w:t>
      </w:r>
      <w:r w:rsidRPr="00F66EAA">
        <w:t>productos TIC falsificados y de baja calidad</w:t>
      </w:r>
      <w:r w:rsidR="00BC2C48" w:rsidRPr="00F66EAA">
        <w:rPr>
          <w:color w:val="000000"/>
        </w:rPr>
        <w:t>.</w:t>
      </w:r>
    </w:p>
    <w:p w:rsidR="006E7BC2" w:rsidRPr="00F66EAA" w:rsidRDefault="006E7BC2" w:rsidP="005A3399">
      <w:pPr>
        <w:rPr>
          <w:color w:val="000000"/>
        </w:rPr>
      </w:pPr>
      <w:r w:rsidRPr="00F66EAA">
        <w:rPr>
          <w:color w:val="000000"/>
        </w:rPr>
        <w:t>4</w:t>
      </w:r>
      <w:r w:rsidRPr="00F66EAA">
        <w:rPr>
          <w:color w:val="000000"/>
        </w:rPr>
        <w:tab/>
        <w:t>Este evento contará con la presencia de destacados especialistas procedentes de organizaciones internacionales, la industria de las TIC, reguladores de telecomunicaciones, funcionarios gubernamentales, organismos de normalización y juristas.</w:t>
      </w:r>
    </w:p>
    <w:p w:rsidR="006E7BC2" w:rsidRPr="00F66EAA" w:rsidRDefault="006E7BC2" w:rsidP="00BC2C48">
      <w:pPr>
        <w:tabs>
          <w:tab w:val="clear" w:pos="794"/>
          <w:tab w:val="clear" w:pos="1191"/>
          <w:tab w:val="clear" w:pos="1588"/>
          <w:tab w:val="clear" w:pos="1985"/>
        </w:tabs>
        <w:overflowPunct/>
        <w:textAlignment w:val="auto"/>
      </w:pPr>
      <w:r w:rsidRPr="00F66EAA">
        <w:t>5</w:t>
      </w:r>
      <w:r w:rsidRPr="00F66EAA">
        <w:tab/>
        <w:t>El seminario se ha organizado de conformidad con la Resolución 177 (Guadalajara, 2010) y la nueva Resolución de la Conferencia Mundial de Desarrollo de</w:t>
      </w:r>
      <w:r w:rsidR="00864D2D">
        <w:t xml:space="preserve"> las Telecomunicaciones (Dubái, </w:t>
      </w:r>
      <w:r w:rsidRPr="00F66EAA">
        <w:t xml:space="preserve">2014) sobre la </w:t>
      </w:r>
      <w:r w:rsidR="00BC2C48" w:rsidRPr="00F66EAA">
        <w:t>"</w:t>
      </w:r>
      <w:r w:rsidRPr="00F66EAA">
        <w:t>Función de las telecomunicaciones/TIC en la gestión y</w:t>
      </w:r>
      <w:r w:rsidR="009E0660">
        <w:t xml:space="preserve"> lucha contra la falsificación </w:t>
      </w:r>
      <w:r w:rsidRPr="00F66EAA">
        <w:t>de dispositivos de telecomunicaciones/TIC</w:t>
      </w:r>
      <w:r w:rsidR="00BC2C48" w:rsidRPr="00F66EAA">
        <w:t>"</w:t>
      </w:r>
      <w:r w:rsidRPr="00F66EAA">
        <w:t>.</w:t>
      </w:r>
    </w:p>
    <w:p w:rsidR="006E7BC2" w:rsidRPr="00F66EAA" w:rsidRDefault="006E7BC2" w:rsidP="00864D2D">
      <w:pPr>
        <w:rPr>
          <w:b/>
          <w:bCs/>
        </w:rPr>
      </w:pPr>
      <w:r w:rsidRPr="00F66EAA">
        <w:t>6</w:t>
      </w:r>
      <w:r w:rsidRPr="00F66EAA">
        <w:tab/>
        <w:t xml:space="preserve">A fin de que la UIT pueda adoptar las medidas necesarias para la organización del seminario y habida cuenta de que el número de participantes es limitado, le agradeceríamos que se inscribiera cuanto antes, mediante el formulario en línea disponible en el sitio web del evento </w:t>
      </w:r>
      <w:r w:rsidRPr="00F66EAA">
        <w:rPr>
          <w:color w:val="000000"/>
        </w:rPr>
        <w:t>(</w:t>
      </w:r>
      <w:hyperlink r:id="rId11" w:history="1">
        <w:r w:rsidRPr="00F66EAA">
          <w:rPr>
            <w:rStyle w:val="Hyperlink"/>
            <w:rFonts w:eastAsia="SimSun"/>
          </w:rPr>
          <w:t>http://www.itu.int/en/ITU-T/C-I/Pages/WSHP_counterfeit.aspx</w:t>
        </w:r>
      </w:hyperlink>
      <w:r w:rsidRPr="00F66EAA">
        <w:rPr>
          <w:color w:val="000000"/>
        </w:rPr>
        <w:t xml:space="preserve">), </w:t>
      </w:r>
      <w:r w:rsidRPr="00F66EAA">
        <w:rPr>
          <w:b/>
          <w:bCs/>
          <w:color w:val="000000"/>
        </w:rPr>
        <w:t xml:space="preserve">a más tardar el </w:t>
      </w:r>
      <w:r w:rsidR="005638DF">
        <w:rPr>
          <w:b/>
          <w:bCs/>
          <w:color w:val="000000"/>
        </w:rPr>
        <w:br/>
      </w:r>
      <w:r w:rsidRPr="00F66EAA">
        <w:rPr>
          <w:b/>
          <w:bCs/>
          <w:color w:val="000000"/>
        </w:rPr>
        <w:t>3 de noviembre de 2014.</w:t>
      </w:r>
    </w:p>
    <w:p w:rsidR="006E7BC2" w:rsidRPr="00F66EAA" w:rsidRDefault="006E7BC2" w:rsidP="00864D2D">
      <w:r w:rsidRPr="00F66EAA">
        <w:t>7</w:t>
      </w:r>
      <w:r w:rsidRPr="00F66EAA">
        <w:tab/>
        <w:t xml:space="preserve">Si necesita más información acerca de este seminario, no dude en ponerse en contacto con </w:t>
      </w:r>
      <w:hyperlink r:id="rId12" w:history="1">
        <w:r w:rsidRPr="00F66EAA">
          <w:rPr>
            <w:rStyle w:val="Hyperlink"/>
            <w:rFonts w:eastAsia="SimSun"/>
          </w:rPr>
          <w:t>seminar-counterfeiting@itu.int</w:t>
        </w:r>
      </w:hyperlink>
      <w:r w:rsidRPr="00F66EAA">
        <w:t>.</w:t>
      </w:r>
    </w:p>
    <w:p w:rsidR="006E7BC2" w:rsidRPr="00F66EAA" w:rsidRDefault="006E7BC2" w:rsidP="00AE1F2D">
      <w:pPr>
        <w:rPr>
          <w:noProof/>
          <w:lang w:eastAsia="zh-CN"/>
        </w:rPr>
      </w:pPr>
      <w:r w:rsidRPr="00F66EAA">
        <w:t>Atentamente,</w:t>
      </w:r>
      <w:r w:rsidRPr="00F66EAA">
        <w:rPr>
          <w:noProof/>
          <w:lang w:eastAsia="zh-CN"/>
        </w:rPr>
        <w:t xml:space="preserve"> </w:t>
      </w:r>
    </w:p>
    <w:p w:rsidR="00934891" w:rsidRPr="00F66EAA" w:rsidRDefault="00FA1642" w:rsidP="00934891">
      <w:pPr>
        <w:tabs>
          <w:tab w:val="left" w:pos="6946"/>
        </w:tabs>
        <w:spacing w:before="840" w:after="480"/>
        <w:rPr>
          <w:noProof/>
          <w:lang w:eastAsia="zh-CN"/>
        </w:rPr>
      </w:pPr>
      <w:r w:rsidRPr="00FA1642">
        <w:rPr>
          <w:noProof/>
          <w:lang w:eastAsia="zh-CN"/>
        </w:rPr>
        <w:tab/>
      </w:r>
      <w:r w:rsidRPr="00FA1642">
        <w:rPr>
          <w:noProof/>
          <w:lang w:eastAsia="zh-CN"/>
        </w:rPr>
        <w:tab/>
      </w:r>
      <w:r w:rsidRPr="00FA1642">
        <w:rPr>
          <w:noProof/>
          <w:lang w:eastAsia="zh-CN"/>
        </w:rPr>
        <w:tab/>
      </w:r>
      <w:r w:rsidR="00934891" w:rsidRPr="00FA1642">
        <w:rPr>
          <w:noProof/>
          <w:lang w:eastAsia="zh-CN"/>
        </w:rPr>
        <w:t>[</w:t>
      </w:r>
      <w:r w:rsidR="00934891" w:rsidRPr="00F66EAA">
        <w:rPr>
          <w:noProof/>
          <w:lang w:eastAsia="zh-CN"/>
        </w:rPr>
        <w:t>Firmado</w:t>
      </w:r>
      <w:r w:rsidR="00934891" w:rsidRPr="00FA1642">
        <w:rPr>
          <w:noProof/>
          <w:lang w:eastAsia="zh-CN"/>
        </w:rPr>
        <w:t xml:space="preserve"> ]</w:t>
      </w:r>
      <w:r w:rsidR="00934891" w:rsidRPr="00FA1642">
        <w:rPr>
          <w:noProof/>
          <w:lang w:eastAsia="zh-CN"/>
        </w:rPr>
        <w:tab/>
        <w:t>[</w:t>
      </w:r>
      <w:r w:rsidR="00934891" w:rsidRPr="00F66EAA">
        <w:rPr>
          <w:noProof/>
          <w:lang w:eastAsia="zh-CN"/>
        </w:rPr>
        <w:t>Firmado</w:t>
      </w:r>
      <w:r w:rsidR="00934891" w:rsidRPr="00FA1642">
        <w:rPr>
          <w:noProof/>
          <w:lang w:eastAsia="zh-CN"/>
        </w:rPr>
        <w:t xml:space="preserve"> ]</w:t>
      </w:r>
    </w:p>
    <w:p w:rsidR="006E5A8A" w:rsidRDefault="006E5A8A" w:rsidP="005638DF">
      <w:pPr>
        <w:tabs>
          <w:tab w:val="left" w:pos="6946"/>
        </w:tabs>
        <w:spacing w:before="840" w:after="480"/>
        <w:rPr>
          <w:noProof/>
          <w:lang w:eastAsia="zh-CN"/>
        </w:rPr>
      </w:pPr>
    </w:p>
    <w:tbl>
      <w:tblPr>
        <w:tblW w:w="9945" w:type="dxa"/>
        <w:tblLayout w:type="fixed"/>
        <w:tblLook w:val="0000" w:firstRow="0" w:lastRow="0" w:firstColumn="0" w:lastColumn="0" w:noHBand="0" w:noVBand="0"/>
      </w:tblPr>
      <w:tblGrid>
        <w:gridCol w:w="4972"/>
        <w:gridCol w:w="98"/>
        <w:gridCol w:w="4875"/>
      </w:tblGrid>
      <w:tr w:rsidR="00FA1642" w:rsidRPr="00F66EAA" w:rsidTr="00816FF7">
        <w:tc>
          <w:tcPr>
            <w:tcW w:w="5070" w:type="dxa"/>
            <w:gridSpan w:val="2"/>
            <w:tcBorders>
              <w:top w:val="nil"/>
              <w:left w:val="nil"/>
              <w:bottom w:val="nil"/>
              <w:right w:val="nil"/>
            </w:tcBorders>
            <w:shd w:val="clear" w:color="auto" w:fill="FFFFFF"/>
          </w:tcPr>
          <w:p w:rsidR="00FA1642" w:rsidRPr="00F66EAA" w:rsidRDefault="00FA1642" w:rsidP="00FA1642">
            <w:pPr>
              <w:jc w:val="center"/>
            </w:pPr>
            <w:r w:rsidRPr="00F66EAA">
              <w:t>Malcolm Johnson</w:t>
            </w:r>
            <w:r w:rsidRPr="00F66EAA">
              <w:br/>
              <w:t>Director</w:t>
            </w:r>
            <w:r w:rsidRPr="00F66EAA">
              <w:br/>
              <w:t>Oficina de Normalización de las Telecomunicaciones</w:t>
            </w:r>
          </w:p>
        </w:tc>
        <w:tc>
          <w:tcPr>
            <w:tcW w:w="4875" w:type="dxa"/>
            <w:tcBorders>
              <w:top w:val="nil"/>
              <w:left w:val="nil"/>
              <w:bottom w:val="nil"/>
              <w:right w:val="nil"/>
            </w:tcBorders>
            <w:shd w:val="clear" w:color="auto" w:fill="FFFFFF"/>
          </w:tcPr>
          <w:p w:rsidR="00FA1642" w:rsidRPr="00F66EAA" w:rsidRDefault="00FA1642" w:rsidP="00FA1642">
            <w:pPr>
              <w:jc w:val="center"/>
            </w:pPr>
            <w:r w:rsidRPr="00F66EAA">
              <w:t>Brahima Sanou</w:t>
            </w:r>
            <w:r w:rsidRPr="00F66EAA">
              <w:br/>
              <w:t>Director</w:t>
            </w:r>
            <w:r w:rsidRPr="00F66EAA">
              <w:br/>
              <w:t xml:space="preserve">Oficina de Desarrollo de las </w:t>
            </w:r>
            <w:r w:rsidRPr="00F66EAA">
              <w:br/>
              <w:t>Telecomunicaciones</w:t>
            </w:r>
          </w:p>
        </w:tc>
      </w:tr>
      <w:tr w:rsidR="006E7BC2" w:rsidRPr="00F66EAA" w:rsidTr="00FA1642">
        <w:tc>
          <w:tcPr>
            <w:tcW w:w="4972" w:type="dxa"/>
            <w:tcBorders>
              <w:top w:val="nil"/>
              <w:left w:val="nil"/>
              <w:bottom w:val="nil"/>
              <w:right w:val="nil"/>
            </w:tcBorders>
            <w:shd w:val="clear" w:color="auto" w:fill="FFFFFF"/>
          </w:tcPr>
          <w:p w:rsidR="006E7BC2" w:rsidRPr="00F66EAA" w:rsidRDefault="006E7BC2" w:rsidP="00F15390">
            <w:pPr>
              <w:jc w:val="center"/>
            </w:pPr>
          </w:p>
        </w:tc>
        <w:tc>
          <w:tcPr>
            <w:tcW w:w="4973" w:type="dxa"/>
            <w:gridSpan w:val="2"/>
            <w:tcBorders>
              <w:top w:val="nil"/>
              <w:left w:val="nil"/>
              <w:bottom w:val="nil"/>
              <w:right w:val="nil"/>
            </w:tcBorders>
            <w:shd w:val="clear" w:color="auto" w:fill="FFFFFF"/>
          </w:tcPr>
          <w:p w:rsidR="006E7BC2" w:rsidRPr="00F66EAA" w:rsidRDefault="006E7BC2" w:rsidP="00F15390">
            <w:pPr>
              <w:jc w:val="center"/>
            </w:pPr>
          </w:p>
        </w:tc>
      </w:tr>
    </w:tbl>
    <w:p w:rsidR="006E7BC2" w:rsidRPr="00F66EAA" w:rsidRDefault="006E7BC2" w:rsidP="00AE1F2D"/>
    <w:p w:rsidR="006E7BC2" w:rsidRPr="00F66EAA" w:rsidRDefault="006E7BC2" w:rsidP="00AE1F2D">
      <w:bookmarkStart w:id="6" w:name="_GoBack"/>
      <w:bookmarkEnd w:id="6"/>
    </w:p>
    <w:p w:rsidR="006E7BC2" w:rsidRPr="00F66EAA" w:rsidRDefault="006E7BC2" w:rsidP="00AE1F2D"/>
    <w:p w:rsidR="006E7BC2" w:rsidRPr="00F66EAA" w:rsidRDefault="006E7BC2" w:rsidP="00544DF6">
      <w:pPr>
        <w:rPr>
          <w:b/>
          <w:bCs/>
        </w:rPr>
      </w:pPr>
      <w:r w:rsidRPr="00F66EAA">
        <w:rPr>
          <w:b/>
          <w:bCs/>
        </w:rPr>
        <w:t xml:space="preserve">Anexos: 3 </w:t>
      </w:r>
    </w:p>
    <w:p w:rsidR="006E7BC2" w:rsidRPr="00F66EAA" w:rsidRDefault="006E7BC2" w:rsidP="006A251C">
      <w:pPr>
        <w:pageBreakBefore/>
        <w:spacing w:before="0"/>
        <w:jc w:val="center"/>
      </w:pPr>
      <w:r w:rsidRPr="00F66EAA">
        <w:lastRenderedPageBreak/>
        <w:t>ANEXO 1</w:t>
      </w:r>
      <w:r w:rsidRPr="00F66EAA">
        <w:br/>
        <w:t>(a la Circular TSB 103)</w:t>
      </w:r>
    </w:p>
    <w:p w:rsidR="006E7BC2" w:rsidRDefault="006E7BC2" w:rsidP="00C575BF">
      <w:pPr>
        <w:spacing w:before="480"/>
        <w:jc w:val="center"/>
        <w:rPr>
          <w:b/>
          <w:sz w:val="28"/>
          <w:szCs w:val="28"/>
        </w:rPr>
      </w:pPr>
      <w:r w:rsidRPr="00F66EAA">
        <w:rPr>
          <w:b/>
          <w:sz w:val="28"/>
          <w:szCs w:val="28"/>
        </w:rPr>
        <w:t>Proyecto de programa</w:t>
      </w:r>
    </w:p>
    <w:p w:rsidR="006E7BC2" w:rsidRPr="00F66EAA" w:rsidRDefault="006E7BC2" w:rsidP="00C575BF">
      <w:pPr>
        <w:pStyle w:val="Headingb0"/>
        <w:spacing w:before="480" w:after="240"/>
        <w:rPr>
          <w:b w:val="0"/>
        </w:rPr>
      </w:pPr>
      <w:r w:rsidRPr="00D5643A">
        <w:t>Antecedentes y objetivos:</w:t>
      </w:r>
    </w:p>
    <w:p w:rsidR="006E7BC2" w:rsidRPr="00F66EAA" w:rsidRDefault="006E7BC2" w:rsidP="00864D2D">
      <w:r w:rsidRPr="00F66EAA">
        <w:t>Los productos TIC falsificados y de baja calidad constituyen un grave problema que afecta a las economías desarrolladas y en desarrollo, a la industria de las TIC y a la población mundial de consumidores. El coste y los efectos negativos que entrañan para los interesados son amplios y numerosos, y comprenden la pérdida de impuestos, regalías y otros ingresos; la disminución de las ventas, los precios y las operaciones; la erosión del valor, el fondo de comercio y la reputación de la marca; la reducción de los incentivos destinados a la innovación y la inversión; la disminución de la tasa de empleo y el crecimiento económico; retos en materia de perturbaciones de la red y compatibilidad, derivados de la ínfima calidad de la prestación y la recepción de los servicios; y posibles riesgos para la salud, la seguridad y el medioambiente. De acuerdo con la Cámara de Comercio Internacional (CCI), se espera que el valor de los productos falsificado</w:t>
      </w:r>
      <w:r w:rsidR="00F66EAA">
        <w:t>s a escala mundial supere los 1,</w:t>
      </w:r>
      <w:r w:rsidRPr="00F66EAA">
        <w:t>7</w:t>
      </w:r>
      <w:r w:rsidR="00F66EAA">
        <w:t xml:space="preserve"> b</w:t>
      </w:r>
      <w:r w:rsidRPr="00F66EAA">
        <w:t>illones USD en 2015.</w:t>
      </w:r>
    </w:p>
    <w:p w:rsidR="006E7BC2" w:rsidRPr="00F66EAA" w:rsidRDefault="006E7BC2" w:rsidP="00864D2D">
      <w:r w:rsidRPr="00F66EAA">
        <w:t xml:space="preserve">En la Resolución 177 (Guadalajara, 2010) de la Conferencia de Plenipotenciarios de la UIT de 2010 y la nueva Resolución de la Conferencia Mundial de Desarrollo de las Telecomunicaciones (Dubái, 2014), sobre la </w:t>
      </w:r>
      <w:r w:rsidR="00F66EAA">
        <w:t>"</w:t>
      </w:r>
      <w:r w:rsidRPr="00F66EAA">
        <w:t>Función de las telecomunicaciones/TIC en la gestión y</w:t>
      </w:r>
      <w:r w:rsidR="009E0660">
        <w:t xml:space="preserve"> lucha contra la falsificación </w:t>
      </w:r>
      <w:r w:rsidRPr="00F66EAA">
        <w:t>de dispositivos de telecomunicaciones/TIC</w:t>
      </w:r>
      <w:r w:rsidR="00F66EAA">
        <w:t>", queda constancia de ello.</w:t>
      </w:r>
    </w:p>
    <w:p w:rsidR="006E7BC2" w:rsidRPr="00F66EAA" w:rsidRDefault="006E7BC2" w:rsidP="00864D2D">
      <w:r w:rsidRPr="00F66EAA">
        <w:t>Este seminario de la UIT tiene tres objetivos, a saber: (1) debatir el alcance mundial de los productos TIC falsificados y de baja calidad, así como sus repercusiones para los distintos interesados; (2) poner de relieve las preocupaciones comunes, los retos, las iniciativas, las prácticas y las oportunidades de los distintos grupos de interés en su lucha contra los productos TIC falsificados y de baja calidad; y (3) analizar la posible función de las organizaciones de normalización de las TIC y, en particular, de la UIT, en el marco de la estrategia y la solución mundiales para contrarrestar los productos TIC falsificados y de baja calidad, y ayudar a los miembros a disipar sus inquietudes con respecto a l</w:t>
      </w:r>
      <w:r w:rsidR="00F66EAA">
        <w:t>a</w:t>
      </w:r>
      <w:r w:rsidRPr="00F66EAA">
        <w:t xml:space="preserve"> </w:t>
      </w:r>
      <w:r w:rsidR="00F66EAA" w:rsidRPr="00F66EAA">
        <w:t>falsifica</w:t>
      </w:r>
      <w:r w:rsidR="00F66EAA">
        <w:t>ción de</w:t>
      </w:r>
      <w:r w:rsidR="00F66EAA" w:rsidRPr="00F66EAA">
        <w:t xml:space="preserve"> </w:t>
      </w:r>
      <w:r w:rsidRPr="00F66EAA">
        <w:t>dispositivos</w:t>
      </w:r>
      <w:r w:rsidR="00F66EAA">
        <w:t>.</w:t>
      </w:r>
    </w:p>
    <w:p w:rsidR="00AF78DB" w:rsidRDefault="00AF78DB">
      <w:pPr>
        <w:tabs>
          <w:tab w:val="clear" w:pos="794"/>
          <w:tab w:val="clear" w:pos="1191"/>
          <w:tab w:val="clear" w:pos="1588"/>
          <w:tab w:val="clear" w:pos="1985"/>
        </w:tabs>
        <w:overflowPunct/>
        <w:autoSpaceDE/>
        <w:autoSpaceDN/>
        <w:adjustRightInd/>
        <w:spacing w:before="0"/>
        <w:textAlignment w:val="auto"/>
        <w:rPr>
          <w:b/>
        </w:rPr>
      </w:pPr>
      <w:r>
        <w:rPr>
          <w:b/>
        </w:rPr>
        <w:br w:type="page"/>
      </w:r>
    </w:p>
    <w:p w:rsidR="006E7BC2" w:rsidRPr="00AF78DB" w:rsidRDefault="006E7BC2" w:rsidP="00560F22">
      <w:pPr>
        <w:pStyle w:val="Headingb0"/>
        <w:spacing w:after="240"/>
        <w:jc w:val="center"/>
        <w:rPr>
          <w:lang w:val="fr-FR"/>
        </w:rPr>
      </w:pPr>
      <w:r w:rsidRPr="00AF78DB">
        <w:rPr>
          <w:lang w:val="fr-FR"/>
        </w:rPr>
        <w:lastRenderedPageBreak/>
        <w:t>Programa:</w:t>
      </w:r>
    </w:p>
    <w:tbl>
      <w:tblPr>
        <w:tblW w:w="9889" w:type="dxa"/>
        <w:tblLook w:val="04A0" w:firstRow="1" w:lastRow="0" w:firstColumn="1" w:lastColumn="0" w:noHBand="0" w:noVBand="1"/>
      </w:tblPr>
      <w:tblGrid>
        <w:gridCol w:w="2268"/>
        <w:gridCol w:w="7587"/>
        <w:gridCol w:w="34"/>
      </w:tblGrid>
      <w:tr w:rsidR="006E7BC2" w:rsidRPr="00F66EAA" w:rsidTr="00AF78DB">
        <w:trPr>
          <w:gridAfter w:val="1"/>
          <w:wAfter w:w="34" w:type="dxa"/>
        </w:trPr>
        <w:tc>
          <w:tcPr>
            <w:tcW w:w="9855" w:type="dxa"/>
            <w:gridSpan w:val="2"/>
            <w:shd w:val="pct10" w:color="auto" w:fill="auto"/>
          </w:tcPr>
          <w:p w:rsidR="006E7BC2" w:rsidRPr="00F66EAA" w:rsidRDefault="006E7BC2" w:rsidP="00325D24">
            <w:pPr>
              <w:spacing w:after="60"/>
              <w:jc w:val="center"/>
              <w:rPr>
                <w:b/>
                <w:bCs/>
              </w:rPr>
            </w:pPr>
            <w:r w:rsidRPr="00F66EAA">
              <w:rPr>
                <w:b/>
                <w:bCs/>
              </w:rPr>
              <w:t>DÍA 1: Lunes, 17 de noviembre de 2014 (por la tarde)</w:t>
            </w:r>
          </w:p>
        </w:tc>
      </w:tr>
      <w:tr w:rsidR="006E7BC2" w:rsidRPr="00F66EAA" w:rsidTr="00AF78DB">
        <w:tc>
          <w:tcPr>
            <w:tcW w:w="2268" w:type="dxa"/>
            <w:shd w:val="clear" w:color="auto" w:fill="auto"/>
          </w:tcPr>
          <w:p w:rsidR="006E7BC2" w:rsidRPr="00F66EAA" w:rsidRDefault="006E7BC2" w:rsidP="00A82E6D">
            <w:r w:rsidRPr="00F66EAA">
              <w:t>08:30-12:00</w:t>
            </w:r>
            <w:r w:rsidRPr="00F66EAA">
              <w:br/>
              <w:t xml:space="preserve">       y</w:t>
            </w:r>
            <w:r w:rsidRPr="00F66EAA">
              <w:br/>
              <w:t>13:00-17:00</w:t>
            </w:r>
          </w:p>
        </w:tc>
        <w:tc>
          <w:tcPr>
            <w:tcW w:w="7621" w:type="dxa"/>
            <w:gridSpan w:val="2"/>
            <w:shd w:val="clear" w:color="auto" w:fill="auto"/>
          </w:tcPr>
          <w:p w:rsidR="006E7BC2" w:rsidRPr="00F66EAA" w:rsidRDefault="006E7BC2" w:rsidP="00325D24">
            <w:pPr>
              <w:rPr>
                <w:b/>
                <w:bCs/>
              </w:rPr>
            </w:pPr>
            <w:r w:rsidRPr="00F66EAA">
              <w:rPr>
                <w:b/>
                <w:bCs/>
              </w:rPr>
              <w:br/>
              <w:t>Inscripción</w:t>
            </w:r>
          </w:p>
        </w:tc>
      </w:tr>
      <w:tr w:rsidR="006E7BC2" w:rsidRPr="00F66EAA" w:rsidTr="00AF78DB">
        <w:tc>
          <w:tcPr>
            <w:tcW w:w="2268" w:type="dxa"/>
            <w:shd w:val="clear" w:color="auto" w:fill="auto"/>
          </w:tcPr>
          <w:p w:rsidR="006E7BC2" w:rsidRPr="00F66EAA" w:rsidRDefault="006E7BC2" w:rsidP="00A82E6D">
            <w:r w:rsidRPr="00F66EAA">
              <w:t>14:00-14:15</w:t>
            </w:r>
          </w:p>
        </w:tc>
        <w:tc>
          <w:tcPr>
            <w:tcW w:w="7621" w:type="dxa"/>
            <w:gridSpan w:val="2"/>
            <w:shd w:val="clear" w:color="auto" w:fill="auto"/>
          </w:tcPr>
          <w:p w:rsidR="006E7BC2" w:rsidRPr="00F66EAA" w:rsidRDefault="006E7BC2" w:rsidP="00A82E6D">
            <w:pPr>
              <w:rPr>
                <w:b/>
                <w:bCs/>
              </w:rPr>
            </w:pPr>
            <w:r w:rsidRPr="00F66EAA">
              <w:rPr>
                <w:b/>
                <w:bCs/>
              </w:rPr>
              <w:t>Discursos de apertura</w:t>
            </w:r>
          </w:p>
        </w:tc>
      </w:tr>
      <w:tr w:rsidR="006E7BC2" w:rsidRPr="00F66EAA" w:rsidTr="00AF78DB">
        <w:tc>
          <w:tcPr>
            <w:tcW w:w="2268" w:type="dxa"/>
            <w:shd w:val="clear" w:color="auto" w:fill="auto"/>
          </w:tcPr>
          <w:p w:rsidR="006E7BC2" w:rsidRPr="00F66EAA" w:rsidRDefault="006E7BC2" w:rsidP="00A82E6D"/>
        </w:tc>
        <w:tc>
          <w:tcPr>
            <w:tcW w:w="7621" w:type="dxa"/>
            <w:gridSpan w:val="2"/>
            <w:shd w:val="clear" w:color="auto" w:fill="auto"/>
          </w:tcPr>
          <w:p w:rsidR="006E7BC2" w:rsidRPr="00F66EAA" w:rsidRDefault="006E7BC2" w:rsidP="00864D2D">
            <w:pPr>
              <w:numPr>
                <w:ilvl w:val="0"/>
                <w:numId w:val="5"/>
              </w:numPr>
              <w:tabs>
                <w:tab w:val="clear" w:pos="794"/>
                <w:tab w:val="clear" w:pos="1191"/>
                <w:tab w:val="clear" w:pos="1588"/>
                <w:tab w:val="clear" w:pos="1985"/>
                <w:tab w:val="left" w:pos="297"/>
              </w:tabs>
              <w:overflowPunct/>
              <w:autoSpaceDE/>
              <w:autoSpaceDN/>
              <w:adjustRightInd/>
              <w:ind w:left="0" w:firstLine="0"/>
              <w:contextualSpacing/>
              <w:textAlignment w:val="auto"/>
            </w:pPr>
            <w:r w:rsidRPr="00F66EAA">
              <w:t xml:space="preserve">Discurso de bienvenida del Presidente del seminario </w:t>
            </w:r>
          </w:p>
          <w:p w:rsidR="006E7BC2" w:rsidRPr="00F66EAA" w:rsidRDefault="006E7BC2" w:rsidP="00866132">
            <w:pPr>
              <w:numPr>
                <w:ilvl w:val="0"/>
                <w:numId w:val="5"/>
              </w:numPr>
              <w:tabs>
                <w:tab w:val="clear" w:pos="794"/>
                <w:tab w:val="clear" w:pos="1191"/>
                <w:tab w:val="clear" w:pos="1588"/>
                <w:tab w:val="clear" w:pos="1985"/>
                <w:tab w:val="left" w:pos="297"/>
              </w:tabs>
              <w:overflowPunct/>
              <w:autoSpaceDE/>
              <w:autoSpaceDN/>
              <w:adjustRightInd/>
              <w:spacing w:before="0"/>
              <w:ind w:left="297" w:hanging="297"/>
              <w:contextualSpacing/>
              <w:jc w:val="both"/>
              <w:textAlignment w:val="auto"/>
            </w:pPr>
            <w:r w:rsidRPr="00F66EAA">
              <w:t>Discurso de bienvenida del señor Brahima Sanou, Director de la Oficina de Desarrollo de las Telecomunicaciones, y/o el señor Malcolm Johnson, Director de la Oficina de Normalización de las Telecomunicaciones de la</w:t>
            </w:r>
            <w:r w:rsidR="00866132">
              <w:t> </w:t>
            </w:r>
            <w:r w:rsidRPr="00F66EAA">
              <w:t>UIT</w:t>
            </w:r>
          </w:p>
          <w:p w:rsidR="006E7BC2" w:rsidRPr="00F66EAA" w:rsidRDefault="006E7BC2" w:rsidP="00A82E6D">
            <w:pPr>
              <w:tabs>
                <w:tab w:val="left" w:pos="297"/>
              </w:tabs>
              <w:ind w:left="297"/>
            </w:pPr>
          </w:p>
        </w:tc>
      </w:tr>
      <w:tr w:rsidR="006E7BC2" w:rsidRPr="00F66EAA" w:rsidTr="00AF78DB">
        <w:tc>
          <w:tcPr>
            <w:tcW w:w="2268" w:type="dxa"/>
            <w:shd w:val="pct10" w:color="auto" w:fill="auto"/>
          </w:tcPr>
          <w:p w:rsidR="006E7BC2" w:rsidRPr="00F66EAA" w:rsidRDefault="006E7BC2" w:rsidP="00FF3F04">
            <w:pPr>
              <w:rPr>
                <w:b/>
                <w:bCs/>
              </w:rPr>
            </w:pPr>
            <w:r w:rsidRPr="00F66EAA">
              <w:rPr>
                <w:b/>
                <w:bCs/>
              </w:rPr>
              <w:t>SESIÓN 1:</w:t>
            </w:r>
          </w:p>
        </w:tc>
        <w:tc>
          <w:tcPr>
            <w:tcW w:w="7621" w:type="dxa"/>
            <w:gridSpan w:val="2"/>
            <w:shd w:val="pct10" w:color="auto" w:fill="auto"/>
          </w:tcPr>
          <w:p w:rsidR="006E7BC2" w:rsidRPr="00F66EAA" w:rsidRDefault="006E7BC2" w:rsidP="00374D82">
            <w:pPr>
              <w:rPr>
                <w:b/>
                <w:bCs/>
              </w:rPr>
            </w:pPr>
            <w:r w:rsidRPr="00F66EAA">
              <w:rPr>
                <w:b/>
                <w:bCs/>
              </w:rPr>
              <w:t>Coste y repercusiones socioeconómicos de los productos TIC falsificados y de baja calidad</w:t>
            </w:r>
          </w:p>
        </w:tc>
      </w:tr>
      <w:tr w:rsidR="006E7BC2" w:rsidRPr="00F66EAA" w:rsidTr="00AF78DB">
        <w:tc>
          <w:tcPr>
            <w:tcW w:w="2268" w:type="dxa"/>
            <w:shd w:val="clear" w:color="auto" w:fill="auto"/>
          </w:tcPr>
          <w:p w:rsidR="006E7BC2" w:rsidRPr="00F66EAA" w:rsidRDefault="006E7BC2" w:rsidP="00A82E6D">
            <w:r w:rsidRPr="00F66EAA">
              <w:t>14:15-15:45</w:t>
            </w:r>
          </w:p>
        </w:tc>
        <w:tc>
          <w:tcPr>
            <w:tcW w:w="7621" w:type="dxa"/>
            <w:gridSpan w:val="2"/>
            <w:shd w:val="clear" w:color="auto" w:fill="auto"/>
          </w:tcPr>
          <w:p w:rsidR="006E7BC2" w:rsidRPr="00F66EAA" w:rsidRDefault="006E7BC2" w:rsidP="00864D2D">
            <w:r w:rsidRPr="00F66EAA">
              <w:t>En esta sesión se debatirán el alcance y la gravedad de los problemas que conllevan los productos falsificados y de baja calidad a escala mundial, especialmente para la industria de las TIC. Asimismo, se analizará la amplia gama de costes y repercusiones socioeconómicos que dichos productos entrañan para gobiernos, proveedores, operadores, titulares de derechos y consumidores.</w:t>
            </w:r>
          </w:p>
          <w:p w:rsidR="006E7BC2" w:rsidRPr="00F66EAA" w:rsidRDefault="006E7BC2" w:rsidP="00FF3F04">
            <w:pPr>
              <w:jc w:val="both"/>
            </w:pPr>
          </w:p>
        </w:tc>
      </w:tr>
      <w:tr w:rsidR="006E7BC2" w:rsidRPr="00F66EAA" w:rsidTr="00AF78DB">
        <w:tc>
          <w:tcPr>
            <w:tcW w:w="2268" w:type="dxa"/>
            <w:shd w:val="clear" w:color="auto" w:fill="auto"/>
          </w:tcPr>
          <w:p w:rsidR="006E7BC2" w:rsidRPr="00F66EAA" w:rsidRDefault="006E7BC2" w:rsidP="00A82E6D">
            <w:r w:rsidRPr="00F66EAA">
              <w:t>15:45-16:15</w:t>
            </w:r>
          </w:p>
        </w:tc>
        <w:tc>
          <w:tcPr>
            <w:tcW w:w="7621" w:type="dxa"/>
            <w:gridSpan w:val="2"/>
            <w:shd w:val="clear" w:color="auto" w:fill="auto"/>
          </w:tcPr>
          <w:p w:rsidR="006E7BC2" w:rsidRPr="00F66EAA" w:rsidRDefault="006E7BC2" w:rsidP="00AF78DB">
            <w:pPr>
              <w:spacing w:after="120"/>
              <w:rPr>
                <w:b/>
                <w:bCs/>
              </w:rPr>
            </w:pPr>
            <w:r w:rsidRPr="00F66EAA">
              <w:rPr>
                <w:b/>
                <w:bCs/>
              </w:rPr>
              <w:t>Pausa para café</w:t>
            </w:r>
          </w:p>
        </w:tc>
      </w:tr>
      <w:tr w:rsidR="006E7BC2" w:rsidRPr="00F66EAA" w:rsidTr="00AF78DB">
        <w:tc>
          <w:tcPr>
            <w:tcW w:w="2268" w:type="dxa"/>
            <w:shd w:val="pct10" w:color="auto" w:fill="auto"/>
          </w:tcPr>
          <w:p w:rsidR="006E7BC2" w:rsidRPr="00F66EAA" w:rsidRDefault="006E7BC2" w:rsidP="00DE6BCE">
            <w:pPr>
              <w:rPr>
                <w:b/>
                <w:bCs/>
              </w:rPr>
            </w:pPr>
            <w:r w:rsidRPr="00F66EAA">
              <w:rPr>
                <w:b/>
                <w:bCs/>
              </w:rPr>
              <w:t>SESIÓN 2:</w:t>
            </w:r>
          </w:p>
        </w:tc>
        <w:tc>
          <w:tcPr>
            <w:tcW w:w="7621" w:type="dxa"/>
            <w:gridSpan w:val="2"/>
            <w:shd w:val="pct10" w:color="auto" w:fill="auto"/>
          </w:tcPr>
          <w:p w:rsidR="006E7BC2" w:rsidRPr="00F66EAA" w:rsidRDefault="006E7BC2" w:rsidP="006D3ADA">
            <w:pPr>
              <w:tabs>
                <w:tab w:val="left" w:pos="297"/>
              </w:tabs>
              <w:rPr>
                <w:b/>
                <w:bCs/>
              </w:rPr>
            </w:pPr>
            <w:r w:rsidRPr="00F66EAA">
              <w:rPr>
                <w:b/>
                <w:bCs/>
              </w:rPr>
              <w:t>Perspectiva gubernamental e iniciativas intergubernamentales destinadas a contrarrestar los productos falsificados y de baja calidad</w:t>
            </w:r>
          </w:p>
        </w:tc>
      </w:tr>
      <w:tr w:rsidR="006E7BC2" w:rsidRPr="00F66EAA" w:rsidTr="00AF78DB">
        <w:tc>
          <w:tcPr>
            <w:tcW w:w="2268" w:type="dxa"/>
            <w:shd w:val="clear" w:color="auto" w:fill="auto"/>
          </w:tcPr>
          <w:p w:rsidR="006E7BC2" w:rsidRPr="00F66EAA" w:rsidRDefault="006E7BC2" w:rsidP="00A82E6D">
            <w:r w:rsidRPr="00F66EAA">
              <w:t>16:15-18:00</w:t>
            </w:r>
          </w:p>
        </w:tc>
        <w:tc>
          <w:tcPr>
            <w:tcW w:w="7621" w:type="dxa"/>
            <w:gridSpan w:val="2"/>
            <w:shd w:val="clear" w:color="auto" w:fill="auto"/>
          </w:tcPr>
          <w:p w:rsidR="006E7BC2" w:rsidRDefault="006E7BC2" w:rsidP="00DC2506">
            <w:r w:rsidRPr="00F66EAA">
              <w:t xml:space="preserve">En esta sesión se examinará la función de los gobiernos (es decir, de los legisladores, los reguladores, los funcionarios encargados de las aduanas y la observancia de la ley, y el poder judicial) en la lucha contra los productos falsificados y de baja calidad. En concreto, los gobiernos pondrán de relieve las inquietudes comunes, los desafíos principales, las campañas de sensibilización, las mejores prácticas y las experiencias destacadas </w:t>
            </w:r>
            <w:r w:rsidR="00F66EAA">
              <w:t>d</w:t>
            </w:r>
            <w:r w:rsidRPr="00F66EAA">
              <w:t xml:space="preserve">e su lucha contra los productos TIC falsificados y de baja calidad. Del mismo modo, se identificarán las áreas fundamentales en las que los gobiernos habrán de reforzar su eficacia y coordinación, así como aquellas propicias a la cooperación y el intercambio de conocimientos. Además, en esta sesión se presentarán marcos jurídicos esenciales, programas y otras iniciativas que se han creado con el fin de salvaguardar y hacer </w:t>
            </w:r>
            <w:r w:rsidR="00DC2506">
              <w:t>respeta</w:t>
            </w:r>
            <w:r w:rsidRPr="00F66EAA">
              <w:t>r los derechos de propiedad intelectual (DPI), así como de contrarrestar los productos TIC falsificados y de baja calidad.</w:t>
            </w:r>
          </w:p>
          <w:p w:rsidR="00AF78DB" w:rsidRPr="00F66EAA" w:rsidRDefault="00AF78DB" w:rsidP="00864D2D"/>
        </w:tc>
      </w:tr>
    </w:tbl>
    <w:p w:rsidR="00AF78DB" w:rsidRDefault="00AF78DB">
      <w:r>
        <w:br w:type="page"/>
      </w:r>
    </w:p>
    <w:tbl>
      <w:tblPr>
        <w:tblW w:w="9889" w:type="dxa"/>
        <w:tblLook w:val="04A0" w:firstRow="1" w:lastRow="0" w:firstColumn="1" w:lastColumn="0" w:noHBand="0" w:noVBand="1"/>
      </w:tblPr>
      <w:tblGrid>
        <w:gridCol w:w="2268"/>
        <w:gridCol w:w="7587"/>
        <w:gridCol w:w="34"/>
      </w:tblGrid>
      <w:tr w:rsidR="006E7BC2" w:rsidRPr="00F66EAA" w:rsidTr="00AF78DB">
        <w:trPr>
          <w:gridAfter w:val="1"/>
          <w:wAfter w:w="34" w:type="dxa"/>
        </w:trPr>
        <w:tc>
          <w:tcPr>
            <w:tcW w:w="9855" w:type="dxa"/>
            <w:gridSpan w:val="2"/>
            <w:shd w:val="pct10" w:color="auto" w:fill="auto"/>
          </w:tcPr>
          <w:p w:rsidR="006E7BC2" w:rsidRDefault="006E7BC2" w:rsidP="00CC7334">
            <w:pPr>
              <w:spacing w:after="60"/>
              <w:jc w:val="center"/>
              <w:rPr>
                <w:b/>
                <w:bCs/>
              </w:rPr>
            </w:pPr>
            <w:r w:rsidRPr="00F66EAA">
              <w:rPr>
                <w:b/>
                <w:bCs/>
              </w:rPr>
              <w:lastRenderedPageBreak/>
              <w:t>DÍA 2: Martes, 18 de noviembre de 2014</w:t>
            </w:r>
          </w:p>
          <w:p w:rsidR="004A5D96" w:rsidRDefault="004A5D96" w:rsidP="00CC7334">
            <w:pPr>
              <w:spacing w:after="60"/>
              <w:jc w:val="center"/>
              <w:rPr>
                <w:b/>
                <w:bCs/>
              </w:rPr>
            </w:pPr>
          </w:p>
          <w:p w:rsidR="004A5D96" w:rsidRPr="00F66EAA" w:rsidRDefault="004A5D96" w:rsidP="00CC7334">
            <w:pPr>
              <w:spacing w:after="60"/>
              <w:jc w:val="center"/>
              <w:rPr>
                <w:b/>
                <w:bCs/>
              </w:rPr>
            </w:pPr>
          </w:p>
        </w:tc>
      </w:tr>
      <w:tr w:rsidR="006E7BC2" w:rsidRPr="00F66EAA" w:rsidTr="00A82E6D">
        <w:tc>
          <w:tcPr>
            <w:tcW w:w="2268" w:type="dxa"/>
            <w:shd w:val="pct10" w:color="auto" w:fill="auto"/>
          </w:tcPr>
          <w:p w:rsidR="006E7BC2" w:rsidRPr="00F66EAA" w:rsidRDefault="006E7BC2" w:rsidP="00CC7334">
            <w:pPr>
              <w:rPr>
                <w:b/>
                <w:bCs/>
              </w:rPr>
            </w:pPr>
            <w:r w:rsidRPr="00F66EAA">
              <w:rPr>
                <w:b/>
                <w:bCs/>
              </w:rPr>
              <w:t>SESIÓN 3:</w:t>
            </w:r>
          </w:p>
        </w:tc>
        <w:tc>
          <w:tcPr>
            <w:tcW w:w="7621" w:type="dxa"/>
            <w:gridSpan w:val="2"/>
            <w:shd w:val="pct10" w:color="auto" w:fill="auto"/>
          </w:tcPr>
          <w:p w:rsidR="006E7BC2" w:rsidRPr="00F66EAA" w:rsidRDefault="006E7BC2" w:rsidP="00CB4503">
            <w:pPr>
              <w:rPr>
                <w:b/>
                <w:bCs/>
              </w:rPr>
            </w:pPr>
            <w:r w:rsidRPr="00F66EAA">
              <w:rPr>
                <w:b/>
                <w:bCs/>
              </w:rPr>
              <w:t>Perspectiva de los titulares de los derechos: Entidades comerciales y asociaciones del sector industrial</w:t>
            </w:r>
          </w:p>
        </w:tc>
      </w:tr>
      <w:tr w:rsidR="006E7BC2" w:rsidRPr="00F66EAA" w:rsidTr="00A82E6D">
        <w:tc>
          <w:tcPr>
            <w:tcW w:w="2268" w:type="dxa"/>
            <w:shd w:val="clear" w:color="auto" w:fill="auto"/>
          </w:tcPr>
          <w:p w:rsidR="006E7BC2" w:rsidRPr="00F66EAA" w:rsidRDefault="006E7BC2" w:rsidP="00A82E6D">
            <w:r w:rsidRPr="00F66EAA">
              <w:t>09:30-10:45</w:t>
            </w:r>
          </w:p>
        </w:tc>
        <w:tc>
          <w:tcPr>
            <w:tcW w:w="7621" w:type="dxa"/>
            <w:gridSpan w:val="2"/>
            <w:shd w:val="clear" w:color="auto" w:fill="auto"/>
          </w:tcPr>
          <w:p w:rsidR="006E7BC2" w:rsidRDefault="006E7BC2" w:rsidP="00864D2D">
            <w:r w:rsidRPr="00F66EAA">
              <w:t>En esta sesión se debatirá la función de los titulares de los derechos en la re</w:t>
            </w:r>
            <w:r w:rsidR="00561B50">
              <w:t>stri</w:t>
            </w:r>
            <w:r w:rsidRPr="00F66EAA">
              <w:t>cción de</w:t>
            </w:r>
            <w:r w:rsidR="00561B50">
              <w:t xml:space="preserve"> </w:t>
            </w:r>
            <w:r w:rsidRPr="00F66EAA">
              <w:t>l</w:t>
            </w:r>
            <w:r w:rsidR="00561B50">
              <w:t>os</w:t>
            </w:r>
            <w:r w:rsidRPr="00F66EAA">
              <w:t xml:space="preserve"> productos TIC falsificados y de baja calidad. En concreto, los titulares de los derechos harán hincapié en las inquietudes comunes, los retos principales, las prácticas idóneas y las experiencias destacadas </w:t>
            </w:r>
            <w:r w:rsidR="00561B50">
              <w:t>d</w:t>
            </w:r>
            <w:r w:rsidRPr="00F66EAA">
              <w:t xml:space="preserve">e su lucha contra los productos TIC falsificados y de baja calidad. Además, </w:t>
            </w:r>
            <w:r w:rsidR="00561B50">
              <w:t xml:space="preserve">se </w:t>
            </w:r>
            <w:r w:rsidRPr="00F66EAA">
              <w:t>identificarán las áreas fundamentales en las que los titulares de los derechos habrán de reforzar su eficacia y coordinación.</w:t>
            </w:r>
          </w:p>
          <w:p w:rsidR="00AF78DB" w:rsidRPr="00F66EAA" w:rsidRDefault="00AF78DB" w:rsidP="00864D2D"/>
        </w:tc>
      </w:tr>
      <w:tr w:rsidR="006E7BC2" w:rsidRPr="00F66EAA" w:rsidTr="00A82E6D">
        <w:tc>
          <w:tcPr>
            <w:tcW w:w="2268" w:type="dxa"/>
            <w:shd w:val="clear" w:color="auto" w:fill="auto"/>
          </w:tcPr>
          <w:p w:rsidR="006E7BC2" w:rsidRPr="00F66EAA" w:rsidRDefault="006E7BC2" w:rsidP="00A82E6D">
            <w:r w:rsidRPr="00F66EAA">
              <w:t>10:45-11:15</w:t>
            </w:r>
          </w:p>
        </w:tc>
        <w:tc>
          <w:tcPr>
            <w:tcW w:w="7621" w:type="dxa"/>
            <w:gridSpan w:val="2"/>
            <w:shd w:val="clear" w:color="auto" w:fill="auto"/>
          </w:tcPr>
          <w:p w:rsidR="006E7BC2" w:rsidRPr="00F66EAA" w:rsidRDefault="006E7BC2" w:rsidP="00AF78DB">
            <w:pPr>
              <w:spacing w:after="120"/>
              <w:jc w:val="both"/>
              <w:rPr>
                <w:b/>
                <w:bCs/>
              </w:rPr>
            </w:pPr>
            <w:r w:rsidRPr="00F66EAA">
              <w:rPr>
                <w:b/>
                <w:bCs/>
              </w:rPr>
              <w:t>Pausa para café</w:t>
            </w:r>
          </w:p>
        </w:tc>
      </w:tr>
      <w:tr w:rsidR="006E7BC2" w:rsidRPr="00F66EAA" w:rsidTr="00A82E6D">
        <w:tc>
          <w:tcPr>
            <w:tcW w:w="2268" w:type="dxa"/>
            <w:shd w:val="pct10" w:color="auto" w:fill="auto"/>
          </w:tcPr>
          <w:p w:rsidR="006E7BC2" w:rsidRPr="00F66EAA" w:rsidRDefault="006E7BC2" w:rsidP="00A82E6D">
            <w:pPr>
              <w:rPr>
                <w:b/>
                <w:bCs/>
              </w:rPr>
            </w:pPr>
            <w:r w:rsidRPr="00F66EAA">
              <w:rPr>
                <w:b/>
                <w:bCs/>
              </w:rPr>
              <w:t>SESIÓN 4:</w:t>
            </w:r>
          </w:p>
        </w:tc>
        <w:tc>
          <w:tcPr>
            <w:tcW w:w="7621" w:type="dxa"/>
            <w:gridSpan w:val="2"/>
            <w:shd w:val="pct10" w:color="auto" w:fill="auto"/>
          </w:tcPr>
          <w:p w:rsidR="006E7BC2" w:rsidRPr="00F66EAA" w:rsidRDefault="006E7BC2" w:rsidP="00181BC7">
            <w:pPr>
              <w:rPr>
                <w:b/>
                <w:bCs/>
              </w:rPr>
            </w:pPr>
            <w:r w:rsidRPr="00F66EAA">
              <w:rPr>
                <w:b/>
                <w:bCs/>
              </w:rPr>
              <w:t>Tecnologías y sistemas destinados a contrarrestar los productos falsificados y de baja calidad</w:t>
            </w:r>
          </w:p>
        </w:tc>
      </w:tr>
      <w:tr w:rsidR="006E7BC2" w:rsidRPr="00F66EAA" w:rsidTr="00A82E6D">
        <w:tc>
          <w:tcPr>
            <w:tcW w:w="2268" w:type="dxa"/>
            <w:shd w:val="clear" w:color="auto" w:fill="auto"/>
          </w:tcPr>
          <w:p w:rsidR="006E7BC2" w:rsidRPr="00F66EAA" w:rsidRDefault="006E7BC2" w:rsidP="00A82E6D">
            <w:r w:rsidRPr="00F66EAA">
              <w:t>11:15-12:45</w:t>
            </w:r>
          </w:p>
        </w:tc>
        <w:tc>
          <w:tcPr>
            <w:tcW w:w="7621" w:type="dxa"/>
            <w:gridSpan w:val="2"/>
            <w:shd w:val="clear" w:color="auto" w:fill="auto"/>
          </w:tcPr>
          <w:p w:rsidR="00AF78DB" w:rsidRDefault="006E7BC2" w:rsidP="00AF78DB">
            <w:r w:rsidRPr="00F66EAA">
              <w:t xml:space="preserve">En esta sesión se debatirán distintos tipos de tecnologías y otras medidas técnicas que los gobiernos y los titulares de los derechos utilizan con el fin de contrarrestar los productos TIC falsificados y de baja calidad. En este sentido, se facilitarán ejemplos de tecnologías de identificación y autenticación, sistemas de seguimiento y localización, tecnologías aplicables a la realización de pruebas y la certificación de conformidad, y sistemas de recopilación e intercambio de información, entre otros. </w:t>
            </w:r>
          </w:p>
          <w:p w:rsidR="00AF78DB" w:rsidRPr="00F66EAA" w:rsidRDefault="00AF78DB" w:rsidP="00AF78DB"/>
        </w:tc>
      </w:tr>
      <w:tr w:rsidR="006E7BC2" w:rsidRPr="00F66EAA" w:rsidTr="00A82E6D">
        <w:tc>
          <w:tcPr>
            <w:tcW w:w="2268" w:type="dxa"/>
            <w:shd w:val="clear" w:color="auto" w:fill="auto"/>
          </w:tcPr>
          <w:p w:rsidR="006E7BC2" w:rsidRPr="00F66EAA" w:rsidRDefault="006E7BC2" w:rsidP="00A82E6D">
            <w:r w:rsidRPr="00F66EAA">
              <w:t>12:45-14:00</w:t>
            </w:r>
          </w:p>
        </w:tc>
        <w:tc>
          <w:tcPr>
            <w:tcW w:w="7621" w:type="dxa"/>
            <w:gridSpan w:val="2"/>
            <w:shd w:val="clear" w:color="auto" w:fill="auto"/>
          </w:tcPr>
          <w:p w:rsidR="006E7BC2" w:rsidRPr="00F66EAA" w:rsidRDefault="006E7BC2" w:rsidP="00AF78DB">
            <w:pPr>
              <w:spacing w:after="120"/>
              <w:jc w:val="both"/>
              <w:rPr>
                <w:b/>
                <w:bCs/>
              </w:rPr>
            </w:pPr>
            <w:r w:rsidRPr="00F66EAA">
              <w:rPr>
                <w:b/>
                <w:bCs/>
              </w:rPr>
              <w:t>Almuerzo</w:t>
            </w:r>
          </w:p>
        </w:tc>
      </w:tr>
      <w:tr w:rsidR="006E7BC2" w:rsidRPr="00F66EAA" w:rsidTr="00A82E6D">
        <w:tc>
          <w:tcPr>
            <w:tcW w:w="2268" w:type="dxa"/>
            <w:shd w:val="pct10" w:color="auto" w:fill="auto"/>
          </w:tcPr>
          <w:p w:rsidR="006E7BC2" w:rsidRPr="00F66EAA" w:rsidRDefault="00561B50" w:rsidP="00A82E6D">
            <w:pPr>
              <w:rPr>
                <w:b/>
                <w:bCs/>
              </w:rPr>
            </w:pPr>
            <w:r>
              <w:rPr>
                <w:b/>
                <w:bCs/>
              </w:rPr>
              <w:t>SE</w:t>
            </w:r>
            <w:r w:rsidRPr="00F66EAA">
              <w:rPr>
                <w:b/>
                <w:bCs/>
              </w:rPr>
              <w:t>SIÓN</w:t>
            </w:r>
            <w:r w:rsidR="006E7BC2" w:rsidRPr="00F66EAA">
              <w:rPr>
                <w:b/>
                <w:bCs/>
              </w:rPr>
              <w:t xml:space="preserve"> 5:</w:t>
            </w:r>
          </w:p>
        </w:tc>
        <w:tc>
          <w:tcPr>
            <w:tcW w:w="7621" w:type="dxa"/>
            <w:gridSpan w:val="2"/>
            <w:shd w:val="pct10" w:color="auto" w:fill="auto"/>
          </w:tcPr>
          <w:p w:rsidR="006E7BC2" w:rsidRPr="00F66EAA" w:rsidRDefault="006E7BC2" w:rsidP="00A82E6D">
            <w:pPr>
              <w:jc w:val="both"/>
              <w:rPr>
                <w:b/>
                <w:bCs/>
              </w:rPr>
            </w:pPr>
            <w:r w:rsidRPr="00F66EAA">
              <w:rPr>
                <w:b/>
                <w:bCs/>
              </w:rPr>
              <w:t>Perspectivas de los consumidores y las instituciones académicas</w:t>
            </w:r>
          </w:p>
        </w:tc>
      </w:tr>
      <w:tr w:rsidR="006E7BC2" w:rsidRPr="00F66EAA" w:rsidTr="00A82E6D">
        <w:tc>
          <w:tcPr>
            <w:tcW w:w="2268" w:type="dxa"/>
            <w:shd w:val="clear" w:color="auto" w:fill="auto"/>
          </w:tcPr>
          <w:p w:rsidR="006E7BC2" w:rsidRPr="00F66EAA" w:rsidRDefault="006E7BC2" w:rsidP="00A82E6D">
            <w:r w:rsidRPr="00F66EAA">
              <w:t>14:00-15:30</w:t>
            </w:r>
          </w:p>
        </w:tc>
        <w:tc>
          <w:tcPr>
            <w:tcW w:w="7621" w:type="dxa"/>
            <w:gridSpan w:val="2"/>
            <w:shd w:val="clear" w:color="auto" w:fill="auto"/>
          </w:tcPr>
          <w:p w:rsidR="006E7BC2" w:rsidRDefault="006E7BC2" w:rsidP="00AF78DB">
            <w:r w:rsidRPr="00F66EAA">
              <w:t xml:space="preserve">En esta sesión se presentarán los puntos de vista de las asociaciones de consumidores y las instituciones académicas en materia de lucha contra los productos TIC falsificados y de baja calidad. En concreto, se destacarán las inquietudes comunes y los desafíos a los que se enfrentan los consumidores, se compartirán prácticas idóneas y experiencias notables de asociaciones comerciales, y se identificarán tanto medidas de protección de los consumidores, como áreas clave en las que se habrá de reforzar la eficacia y la coordinación. </w:t>
            </w:r>
          </w:p>
          <w:p w:rsidR="00AF78DB" w:rsidRPr="00F66EAA" w:rsidRDefault="00AF78DB" w:rsidP="00AF78DB"/>
        </w:tc>
      </w:tr>
      <w:tr w:rsidR="006E7BC2" w:rsidRPr="00F66EAA" w:rsidTr="00A82E6D">
        <w:tc>
          <w:tcPr>
            <w:tcW w:w="2268" w:type="dxa"/>
            <w:shd w:val="clear" w:color="auto" w:fill="auto"/>
          </w:tcPr>
          <w:p w:rsidR="006E7BC2" w:rsidRPr="00F66EAA" w:rsidRDefault="006E7BC2" w:rsidP="00A82E6D">
            <w:r w:rsidRPr="00F66EAA">
              <w:t>15:30-16:00</w:t>
            </w:r>
          </w:p>
        </w:tc>
        <w:tc>
          <w:tcPr>
            <w:tcW w:w="7621" w:type="dxa"/>
            <w:gridSpan w:val="2"/>
            <w:shd w:val="clear" w:color="auto" w:fill="auto"/>
          </w:tcPr>
          <w:p w:rsidR="006E7BC2" w:rsidRDefault="006E7BC2" w:rsidP="00AF78DB">
            <w:pPr>
              <w:spacing w:after="120"/>
              <w:jc w:val="both"/>
              <w:rPr>
                <w:b/>
                <w:bCs/>
              </w:rPr>
            </w:pPr>
            <w:r w:rsidRPr="00F66EAA">
              <w:rPr>
                <w:b/>
                <w:bCs/>
              </w:rPr>
              <w:t>Pausa para café</w:t>
            </w:r>
          </w:p>
          <w:p w:rsidR="004A5D96" w:rsidRPr="00F66EAA" w:rsidRDefault="004A5D96" w:rsidP="00AF78DB">
            <w:pPr>
              <w:spacing w:after="120"/>
              <w:jc w:val="both"/>
              <w:rPr>
                <w:b/>
                <w:bCs/>
              </w:rPr>
            </w:pPr>
          </w:p>
        </w:tc>
      </w:tr>
    </w:tbl>
    <w:p w:rsidR="004A5D96" w:rsidRDefault="004A5D96">
      <w:r>
        <w:br w:type="page"/>
      </w:r>
    </w:p>
    <w:tbl>
      <w:tblPr>
        <w:tblW w:w="9889" w:type="dxa"/>
        <w:tblLook w:val="04A0" w:firstRow="1" w:lastRow="0" w:firstColumn="1" w:lastColumn="0" w:noHBand="0" w:noVBand="1"/>
      </w:tblPr>
      <w:tblGrid>
        <w:gridCol w:w="2268"/>
        <w:gridCol w:w="7621"/>
      </w:tblGrid>
      <w:tr w:rsidR="006E7BC2" w:rsidRPr="00F66EAA" w:rsidTr="00A82E6D">
        <w:tc>
          <w:tcPr>
            <w:tcW w:w="2268" w:type="dxa"/>
            <w:shd w:val="pct10" w:color="auto" w:fill="auto"/>
          </w:tcPr>
          <w:p w:rsidR="006E7BC2" w:rsidRPr="00F66EAA" w:rsidRDefault="006E7BC2" w:rsidP="00877854">
            <w:pPr>
              <w:rPr>
                <w:b/>
                <w:bCs/>
              </w:rPr>
            </w:pPr>
            <w:r w:rsidRPr="00F66EAA">
              <w:rPr>
                <w:b/>
                <w:bCs/>
              </w:rPr>
              <w:lastRenderedPageBreak/>
              <w:t>SESIÓN 6:</w:t>
            </w:r>
          </w:p>
        </w:tc>
        <w:tc>
          <w:tcPr>
            <w:tcW w:w="7621" w:type="dxa"/>
            <w:shd w:val="pct10" w:color="auto" w:fill="auto"/>
          </w:tcPr>
          <w:p w:rsidR="006E7BC2" w:rsidRPr="00F66EAA" w:rsidRDefault="006E7BC2" w:rsidP="00877854">
            <w:pPr>
              <w:jc w:val="both"/>
              <w:rPr>
                <w:b/>
                <w:bCs/>
              </w:rPr>
            </w:pPr>
            <w:r w:rsidRPr="00F66EAA">
              <w:rPr>
                <w:b/>
                <w:bCs/>
              </w:rPr>
              <w:t>Normas internacionales y SDO en el marco de la estrategia mundial de lucha contra los productos falsificados y de baja calidad</w:t>
            </w:r>
          </w:p>
        </w:tc>
      </w:tr>
      <w:tr w:rsidR="006E7BC2" w:rsidRPr="00F66EAA" w:rsidTr="00A82E6D">
        <w:tc>
          <w:tcPr>
            <w:tcW w:w="2268" w:type="dxa"/>
            <w:shd w:val="clear" w:color="auto" w:fill="auto"/>
          </w:tcPr>
          <w:p w:rsidR="006E7BC2" w:rsidRPr="00F66EAA" w:rsidRDefault="006E7BC2" w:rsidP="00A82E6D">
            <w:r w:rsidRPr="00F66EAA">
              <w:t>16:00-17:15</w:t>
            </w:r>
          </w:p>
        </w:tc>
        <w:tc>
          <w:tcPr>
            <w:tcW w:w="7621" w:type="dxa"/>
            <w:shd w:val="clear" w:color="auto" w:fill="auto"/>
          </w:tcPr>
          <w:p w:rsidR="006E7BC2" w:rsidRPr="00F66EAA" w:rsidRDefault="006E7BC2" w:rsidP="00864D2D">
            <w:r w:rsidRPr="00F66EAA">
              <w:t>En esta sesión se presentará el papel que desempeñan las normas internacionales y las organizaciones de normalización (SDO) en el marco de la estrategia mundial de lucha contra los productos TIC falsificados y de baja calidad. En concreto, se debatirán las iniciativas, normas, guías y programas internacionales pertinentes de las SDO. Asimismo, se analizará la función de la UIT a la hora de contrarrestar los productos TIC falsificados y de baja calidad a escala mundial, así como de fomentar la cooperación entre todos los interesados. En este contexto, se identificarán medidas específicas que l</w:t>
            </w:r>
            <w:r w:rsidR="00561B50">
              <w:t>a</w:t>
            </w:r>
            <w:r w:rsidRPr="00F66EAA">
              <w:t>s organi</w:t>
            </w:r>
            <w:r w:rsidR="00561B50">
              <w:t>zacione</w:t>
            </w:r>
            <w:r w:rsidRPr="00F66EAA">
              <w:t xml:space="preserve">s de normalización han de adoptar con objeto de elaborar herramientas técnicas; facilitar la compilación y el intercambio de conocimientos, información y prácticas; llevar a cabo campañas de sensibilización; y reforzar la coordinación y la colaboración entre las diversas partes interesadas, entre otras cosas. </w:t>
            </w:r>
          </w:p>
        </w:tc>
      </w:tr>
      <w:tr w:rsidR="006E7BC2" w:rsidRPr="00F66EAA" w:rsidTr="00A82E6D">
        <w:tc>
          <w:tcPr>
            <w:tcW w:w="2268" w:type="dxa"/>
            <w:shd w:val="clear" w:color="auto" w:fill="auto"/>
          </w:tcPr>
          <w:p w:rsidR="006E7BC2" w:rsidRPr="00F66EAA" w:rsidRDefault="006E7BC2" w:rsidP="00A82E6D">
            <w:r w:rsidRPr="00F66EAA">
              <w:t>17:15-17:30</w:t>
            </w:r>
          </w:p>
        </w:tc>
        <w:tc>
          <w:tcPr>
            <w:tcW w:w="7621" w:type="dxa"/>
            <w:shd w:val="clear" w:color="auto" w:fill="auto"/>
          </w:tcPr>
          <w:p w:rsidR="006E7BC2" w:rsidRPr="00F66EAA" w:rsidRDefault="006E7BC2" w:rsidP="00A82E6D">
            <w:pPr>
              <w:jc w:val="both"/>
              <w:rPr>
                <w:b/>
                <w:bCs/>
              </w:rPr>
            </w:pPr>
            <w:r w:rsidRPr="00F66EAA">
              <w:rPr>
                <w:b/>
                <w:bCs/>
              </w:rPr>
              <w:t>Discursos de clausura</w:t>
            </w:r>
          </w:p>
        </w:tc>
      </w:tr>
      <w:tr w:rsidR="006E7BC2" w:rsidRPr="00F66EAA" w:rsidTr="00A82E6D">
        <w:tc>
          <w:tcPr>
            <w:tcW w:w="2268" w:type="dxa"/>
            <w:shd w:val="clear" w:color="auto" w:fill="auto"/>
          </w:tcPr>
          <w:p w:rsidR="006E7BC2" w:rsidRPr="00F66EAA" w:rsidRDefault="006E7BC2" w:rsidP="006B45C6"/>
        </w:tc>
        <w:tc>
          <w:tcPr>
            <w:tcW w:w="7621" w:type="dxa"/>
            <w:shd w:val="clear" w:color="auto" w:fill="auto"/>
          </w:tcPr>
          <w:p w:rsidR="006E7BC2" w:rsidRPr="00F66EAA" w:rsidRDefault="006E7BC2" w:rsidP="00864D2D">
            <w:pPr>
              <w:numPr>
                <w:ilvl w:val="0"/>
                <w:numId w:val="5"/>
              </w:numPr>
              <w:tabs>
                <w:tab w:val="clear" w:pos="794"/>
                <w:tab w:val="clear" w:pos="1191"/>
                <w:tab w:val="clear" w:pos="1588"/>
                <w:tab w:val="clear" w:pos="1985"/>
                <w:tab w:val="left" w:pos="297"/>
              </w:tabs>
              <w:overflowPunct/>
              <w:autoSpaceDE/>
              <w:autoSpaceDN/>
              <w:adjustRightInd/>
              <w:ind w:left="0" w:firstLine="0"/>
              <w:contextualSpacing/>
              <w:textAlignment w:val="auto"/>
            </w:pPr>
            <w:r w:rsidRPr="00F66EAA">
              <w:t xml:space="preserve">Discurso de clausura del Presidente del seminario </w:t>
            </w:r>
          </w:p>
          <w:p w:rsidR="006E7BC2" w:rsidRPr="00F66EAA" w:rsidRDefault="006E7BC2" w:rsidP="00DC2506">
            <w:pPr>
              <w:numPr>
                <w:ilvl w:val="0"/>
                <w:numId w:val="5"/>
              </w:numPr>
              <w:tabs>
                <w:tab w:val="clear" w:pos="794"/>
                <w:tab w:val="clear" w:pos="1191"/>
                <w:tab w:val="clear" w:pos="1588"/>
                <w:tab w:val="clear" w:pos="1985"/>
                <w:tab w:val="left" w:pos="297"/>
              </w:tabs>
              <w:overflowPunct/>
              <w:autoSpaceDE/>
              <w:autoSpaceDN/>
              <w:adjustRightInd/>
              <w:spacing w:before="0"/>
              <w:ind w:left="297" w:hanging="297"/>
              <w:contextualSpacing/>
              <w:textAlignment w:val="auto"/>
            </w:pPr>
            <w:r w:rsidRPr="00F66EAA">
              <w:t>Discursos de clausura del señor Brahima Sanou, Director de la Oficina de Desarrollo de las Telecomunicaciones, y el señor Malcolm Johnson, Director de la Oficina de Normalización de las Telecomunicaciones de la</w:t>
            </w:r>
            <w:r w:rsidR="00DC2506">
              <w:t> </w:t>
            </w:r>
            <w:r w:rsidRPr="00F66EAA">
              <w:t>UIT</w:t>
            </w:r>
          </w:p>
          <w:p w:rsidR="006E7BC2" w:rsidRPr="00F66EAA" w:rsidRDefault="006E7BC2" w:rsidP="006B45C6">
            <w:pPr>
              <w:tabs>
                <w:tab w:val="left" w:pos="297"/>
              </w:tabs>
              <w:ind w:left="297"/>
            </w:pPr>
          </w:p>
        </w:tc>
      </w:tr>
    </w:tbl>
    <w:p w:rsidR="00D13981" w:rsidRPr="00D5643A" w:rsidRDefault="00D13981" w:rsidP="00750EC0">
      <w:pPr>
        <w:keepNext/>
        <w:keepLines/>
        <w:spacing w:before="480" w:after="80"/>
        <w:jc w:val="center"/>
        <w:rPr>
          <w:caps/>
        </w:rPr>
      </w:pPr>
    </w:p>
    <w:p w:rsidR="00D13981" w:rsidRPr="00D5643A" w:rsidRDefault="00D13981">
      <w:pPr>
        <w:tabs>
          <w:tab w:val="clear" w:pos="794"/>
          <w:tab w:val="clear" w:pos="1191"/>
          <w:tab w:val="clear" w:pos="1588"/>
          <w:tab w:val="clear" w:pos="1985"/>
        </w:tabs>
        <w:overflowPunct/>
        <w:autoSpaceDE/>
        <w:autoSpaceDN/>
        <w:adjustRightInd/>
        <w:spacing w:before="0"/>
        <w:textAlignment w:val="auto"/>
        <w:rPr>
          <w:caps/>
        </w:rPr>
      </w:pPr>
      <w:r w:rsidRPr="00D5643A">
        <w:rPr>
          <w:caps/>
        </w:rPr>
        <w:br w:type="page"/>
      </w:r>
    </w:p>
    <w:p w:rsidR="00750EC0" w:rsidRPr="00750EC0" w:rsidRDefault="00750EC0" w:rsidP="00750EC0">
      <w:pPr>
        <w:keepNext/>
        <w:keepLines/>
        <w:spacing w:before="480" w:after="80"/>
        <w:jc w:val="center"/>
        <w:rPr>
          <w:caps/>
          <w:lang w:val="en-US"/>
        </w:rPr>
      </w:pPr>
      <w:r w:rsidRPr="00750EC0">
        <w:rPr>
          <w:caps/>
          <w:lang w:val="en-US"/>
        </w:rPr>
        <w:lastRenderedPageBreak/>
        <w:t>ANNEX 2</w:t>
      </w:r>
    </w:p>
    <w:p w:rsidR="00750EC0" w:rsidRPr="00750EC0" w:rsidRDefault="00750EC0" w:rsidP="00750EC0">
      <w:pPr>
        <w:keepNext/>
        <w:keepLines/>
        <w:spacing w:before="0" w:after="80"/>
        <w:jc w:val="center"/>
        <w:rPr>
          <w:caps/>
          <w:lang w:val="en-US"/>
        </w:rPr>
      </w:pPr>
      <w:r w:rsidRPr="00750EC0">
        <w:rPr>
          <w:caps/>
          <w:lang w:val="en-US"/>
        </w:rPr>
        <w:t>(</w:t>
      </w:r>
      <w:r w:rsidRPr="00750EC0">
        <w:rPr>
          <w:lang w:val="en-US"/>
        </w:rPr>
        <w:t xml:space="preserve">to </w:t>
      </w:r>
      <w:r w:rsidRPr="00750EC0">
        <w:rPr>
          <w:caps/>
          <w:lang w:val="en-US"/>
        </w:rPr>
        <w:t>TSB C</w:t>
      </w:r>
      <w:r w:rsidRPr="00750EC0">
        <w:rPr>
          <w:lang w:val="en-US"/>
        </w:rPr>
        <w:t>ircular</w:t>
      </w:r>
      <w:r w:rsidRPr="00750EC0">
        <w:rPr>
          <w:caps/>
          <w:lang w:val="en-US"/>
        </w:rPr>
        <w:t xml:space="preserve"> 103)</w:t>
      </w:r>
    </w:p>
    <w:p w:rsidR="00750EC0" w:rsidRPr="00750EC0" w:rsidRDefault="00750EC0" w:rsidP="00750EC0">
      <w:pPr>
        <w:keepNext/>
        <w:keepLines/>
        <w:spacing w:before="480"/>
        <w:jc w:val="center"/>
        <w:rPr>
          <w:b/>
          <w:sz w:val="28"/>
          <w:lang w:val="en-US"/>
        </w:rPr>
      </w:pPr>
      <w:r w:rsidRPr="00750EC0">
        <w:rPr>
          <w:b/>
          <w:sz w:val="28"/>
          <w:lang w:val="en-US"/>
        </w:rPr>
        <w:t>Information and Logistics for the Seminar</w:t>
      </w:r>
    </w:p>
    <w:p w:rsidR="00750EC0" w:rsidRPr="00750EC0" w:rsidRDefault="00750EC0" w:rsidP="00750EC0">
      <w:pPr>
        <w:jc w:val="center"/>
        <w:rPr>
          <w:lang w:val="en-US"/>
        </w:rPr>
      </w:pPr>
    </w:p>
    <w:p w:rsidR="00750EC0" w:rsidRPr="00750EC0" w:rsidRDefault="00750EC0" w:rsidP="00864D2D">
      <w:pPr>
        <w:rPr>
          <w:lang w:val="en-US"/>
        </w:rPr>
      </w:pPr>
      <w:r w:rsidRPr="00750EC0">
        <w:rPr>
          <w:lang w:val="en-US"/>
        </w:rPr>
        <w:t>1</w:t>
      </w:r>
      <w:r w:rsidRPr="00750EC0">
        <w:rPr>
          <w:lang w:val="en-US"/>
        </w:rPr>
        <w:tab/>
        <w:t xml:space="preserve">The seminar will take place at ITU Headquarters, Geneva, Switzerland from 17 to 18 November 2014. The seminar will open at </w:t>
      </w:r>
      <w:r w:rsidRPr="00750EC0">
        <w:rPr>
          <w:b/>
          <w:bCs/>
          <w:lang w:val="en-US"/>
        </w:rPr>
        <w:t>1400</w:t>
      </w:r>
      <w:r w:rsidRPr="00750EC0">
        <w:rPr>
          <w:lang w:val="en-US"/>
        </w:rPr>
        <w:t xml:space="preserve"> hours on 17 November 2014. Distribution of badges for registered participants will begin at 1300 on 17 November 2014 at the Montbrillant entrance. Information concerning the meeting room will be displayed on screens at the Montbrillant entrance.</w:t>
      </w:r>
    </w:p>
    <w:p w:rsidR="00750EC0" w:rsidRPr="00750EC0" w:rsidRDefault="00750EC0" w:rsidP="00864D2D">
      <w:pPr>
        <w:rPr>
          <w:lang w:val="en-US"/>
        </w:rPr>
      </w:pPr>
      <w:r w:rsidRPr="00750EC0">
        <w:rPr>
          <w:lang w:val="en-US"/>
        </w:rPr>
        <w:t>2</w:t>
      </w:r>
      <w:r w:rsidRPr="00750EC0">
        <w:rPr>
          <w:lang w:val="en-US"/>
        </w:rPr>
        <w:tab/>
        <w:t>Participation is open to ITU Member States, Sector Members, Associates and Academic Institutions, and to any individual or organization from a country which is a member of ITU. The seminar is free of charge.</w:t>
      </w:r>
    </w:p>
    <w:p w:rsidR="00750EC0" w:rsidRPr="00750EC0" w:rsidRDefault="00750EC0" w:rsidP="00864D2D">
      <w:pPr>
        <w:rPr>
          <w:lang w:val="en-US"/>
        </w:rPr>
      </w:pPr>
      <w:r w:rsidRPr="00750EC0">
        <w:rPr>
          <w:lang w:val="en-US"/>
        </w:rPr>
        <w:t>3</w:t>
      </w:r>
      <w:r w:rsidRPr="00750EC0">
        <w:rPr>
          <w:lang w:val="en-US"/>
        </w:rPr>
        <w:tab/>
        <w:t>ITU will not be providing fellowships for this event.</w:t>
      </w:r>
    </w:p>
    <w:p w:rsidR="00750EC0" w:rsidRPr="00750EC0" w:rsidRDefault="00750EC0" w:rsidP="00864D2D">
      <w:pPr>
        <w:rPr>
          <w:lang w:val="en-US"/>
        </w:rPr>
      </w:pPr>
      <w:r w:rsidRPr="00750EC0">
        <w:rPr>
          <w:lang w:val="en-US"/>
        </w:rPr>
        <w:t>4</w:t>
      </w:r>
      <w:r w:rsidRPr="00750EC0">
        <w:rPr>
          <w:lang w:val="en-US"/>
        </w:rPr>
        <w:tab/>
        <w:t xml:space="preserve">Wireless LAN facilities are available for use by delegates. Detailed information is available at </w:t>
      </w:r>
      <w:hyperlink r:id="rId13" w:history="1">
        <w:r w:rsidRPr="00750EC0">
          <w:rPr>
            <w:rFonts w:eastAsia="SimSun"/>
            <w:color w:val="0000FF"/>
            <w:u w:val="single"/>
            <w:lang w:val="en-US"/>
          </w:rPr>
          <w:t>http://itu.int/ITU-T/edh/faqs-support.html</w:t>
        </w:r>
      </w:hyperlink>
      <w:r w:rsidRPr="00750EC0">
        <w:rPr>
          <w:lang w:val="en-US"/>
        </w:rPr>
        <w:t>.</w:t>
      </w:r>
    </w:p>
    <w:p w:rsidR="00750EC0" w:rsidRPr="00750EC0" w:rsidRDefault="00750EC0" w:rsidP="00864D2D">
      <w:pPr>
        <w:rPr>
          <w:lang w:val="en-US"/>
        </w:rPr>
      </w:pPr>
      <w:r w:rsidRPr="00750EC0">
        <w:rPr>
          <w:lang w:val="en-US"/>
        </w:rPr>
        <w:t>5</w:t>
      </w:r>
      <w:r w:rsidRPr="00750EC0">
        <w:rPr>
          <w:lang w:val="en-US"/>
        </w:rPr>
        <w:tab/>
        <w:t xml:space="preserve">For your convenience, a hotel confirmation form is enclosed as </w:t>
      </w:r>
      <w:r w:rsidRPr="00750EC0">
        <w:rPr>
          <w:b/>
          <w:bCs/>
          <w:lang w:val="en-US"/>
        </w:rPr>
        <w:t>Annex 3</w:t>
      </w:r>
      <w:r w:rsidRPr="00750EC0">
        <w:rPr>
          <w:lang w:val="en-US"/>
        </w:rPr>
        <w:t xml:space="preserve"> (see </w:t>
      </w:r>
      <w:hyperlink r:id="rId14" w:history="1">
        <w:r w:rsidRPr="00750EC0">
          <w:rPr>
            <w:rFonts w:eastAsia="SimSun"/>
            <w:color w:val="0000FF"/>
            <w:u w:val="single"/>
            <w:lang w:val="en-US"/>
          </w:rPr>
          <w:t>http://www.itu.int/travel/</w:t>
        </w:r>
      </w:hyperlink>
      <w:r w:rsidRPr="00750EC0">
        <w:rPr>
          <w:lang w:val="en-US"/>
        </w:rPr>
        <w:t xml:space="preserve"> for the list of hotels).</w:t>
      </w:r>
    </w:p>
    <w:p w:rsidR="00750EC0" w:rsidRPr="00750EC0" w:rsidRDefault="00750EC0" w:rsidP="00864D2D">
      <w:pPr>
        <w:rPr>
          <w:b/>
          <w:bCs/>
          <w:u w:val="single"/>
          <w:lang w:val="en-US"/>
        </w:rPr>
      </w:pPr>
      <w:r w:rsidRPr="00750EC0">
        <w:rPr>
          <w:lang w:val="en-US"/>
        </w:rPr>
        <w:t>6</w:t>
      </w:r>
      <w:r w:rsidRPr="00750EC0">
        <w:rPr>
          <w:lang w:val="en-US"/>
        </w:rPr>
        <w:tab/>
        <w:t>Citizens of some countries are required to obtain a visa in order to enter Switzerland. The visa must be requested at least four (4) weeks before the seminar and obtained from the office (embassy or consulate) representing Switzerland in your country or, if there is no such office in your country, from the one that is closest to the country of departure. If problems are encountered by ITU Member States, Sector Members, Associates or Academic Institutions, ITU can approach the competent Swiss authorities to facilitate the delivery of the visa but only within the above-mentioned period of four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seminar in question, and must be sent to TSB by fax (+41 22 730 5853) or e-mail (</w:t>
      </w:r>
      <w:hyperlink r:id="rId15" w:history="1">
        <w:r w:rsidRPr="00750EC0">
          <w:rPr>
            <w:color w:val="0000FF"/>
            <w:u w:val="single"/>
            <w:lang w:val="en-US"/>
          </w:rPr>
          <w:t>tsbreg@itu.int</w:t>
        </w:r>
      </w:hyperlink>
      <w:r w:rsidRPr="00750EC0">
        <w:rPr>
          <w:lang w:val="en-US"/>
        </w:rPr>
        <w:t xml:space="preserve">), bearing the words “visa request”. </w:t>
      </w:r>
      <w:r w:rsidRPr="00750EC0">
        <w:rPr>
          <w:b/>
          <w:bCs/>
          <w:u w:val="single"/>
          <w:lang w:val="en-US"/>
        </w:rPr>
        <w:t>Please also note that ITU can assist only representatives of ITU Member States, ITU Sector Members, ITU Associates and ITU Academic Institutions.</w:t>
      </w:r>
    </w:p>
    <w:p w:rsidR="00561B50" w:rsidRDefault="00561B50" w:rsidP="00561B50">
      <w:pPr>
        <w:rPr>
          <w:lang w:val="en-US"/>
        </w:rPr>
      </w:pPr>
    </w:p>
    <w:p w:rsidR="009376B2" w:rsidRDefault="009376B2" w:rsidP="00561B50">
      <w:pPr>
        <w:rPr>
          <w:lang w:val="en-US"/>
        </w:rPr>
        <w:sectPr w:rsidR="009376B2" w:rsidSect="00B87E9E">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pPr>
    </w:p>
    <w:p w:rsidR="00D13981" w:rsidRPr="00D5643A" w:rsidRDefault="00D13981">
      <w:pPr>
        <w:tabs>
          <w:tab w:val="clear" w:pos="794"/>
          <w:tab w:val="clear" w:pos="1191"/>
          <w:tab w:val="clear" w:pos="1588"/>
          <w:tab w:val="clear" w:pos="1985"/>
        </w:tabs>
        <w:overflowPunct/>
        <w:autoSpaceDE/>
        <w:autoSpaceDN/>
        <w:adjustRightInd/>
        <w:spacing w:before="0"/>
        <w:textAlignment w:val="auto"/>
        <w:rPr>
          <w:lang w:val="en-US"/>
        </w:rPr>
      </w:pPr>
      <w:r w:rsidRPr="00D5643A">
        <w:rPr>
          <w:lang w:val="en-US"/>
        </w:rPr>
        <w:lastRenderedPageBreak/>
        <w:br w:type="page"/>
      </w:r>
    </w:p>
    <w:p w:rsidR="00750EC0" w:rsidRPr="00750EC0" w:rsidRDefault="00750EC0" w:rsidP="00750EC0">
      <w:pPr>
        <w:tabs>
          <w:tab w:val="clear" w:pos="794"/>
          <w:tab w:val="clear" w:pos="1191"/>
          <w:tab w:val="clear" w:pos="1588"/>
          <w:tab w:val="clear" w:pos="1985"/>
        </w:tabs>
        <w:overflowPunct/>
        <w:autoSpaceDE/>
        <w:autoSpaceDN/>
        <w:adjustRightInd/>
        <w:spacing w:before="0"/>
        <w:jc w:val="center"/>
        <w:textAlignment w:val="auto"/>
        <w:rPr>
          <w:lang w:val="fr-FR"/>
        </w:rPr>
      </w:pPr>
      <w:r w:rsidRPr="00750EC0">
        <w:rPr>
          <w:lang w:val="fr-FR"/>
        </w:rPr>
        <w:lastRenderedPageBreak/>
        <w:t>ANNEX 3</w:t>
      </w:r>
      <w:r w:rsidRPr="00750EC0">
        <w:rPr>
          <w:lang w:val="fr-FR"/>
        </w:rPr>
        <w:br/>
        <w:t>(to TSB Circular 103)</w:t>
      </w:r>
    </w:p>
    <w:p w:rsidR="00750EC0" w:rsidRPr="00750EC0" w:rsidRDefault="00750EC0" w:rsidP="00750EC0">
      <w:pPr>
        <w:spacing w:before="0"/>
        <w:ind w:firstLine="720"/>
        <w:jc w:val="center"/>
        <w:rPr>
          <w:sz w:val="16"/>
          <w:lang w:val="fr-FR"/>
        </w:rPr>
      </w:pPr>
    </w:p>
    <w:p w:rsidR="00750EC0" w:rsidRPr="00750EC0" w:rsidRDefault="00750EC0" w:rsidP="00750EC0">
      <w:pPr>
        <w:spacing w:before="0"/>
        <w:ind w:firstLine="720"/>
        <w:jc w:val="center"/>
        <w:rPr>
          <w:sz w:val="16"/>
          <w:lang w:val="fr-FR"/>
        </w:rPr>
      </w:pPr>
    </w:p>
    <w:tbl>
      <w:tblPr>
        <w:tblW w:w="0" w:type="auto"/>
        <w:jc w:val="center"/>
        <w:tblLayout w:type="fixed"/>
        <w:tblLook w:val="0000" w:firstRow="0" w:lastRow="0" w:firstColumn="0" w:lastColumn="0" w:noHBand="0" w:noVBand="0"/>
      </w:tblPr>
      <w:tblGrid>
        <w:gridCol w:w="9360"/>
      </w:tblGrid>
      <w:tr w:rsidR="00750EC0" w:rsidRPr="00934891" w:rsidTr="00816FF7">
        <w:trPr>
          <w:cantSplit/>
          <w:jc w:val="center"/>
        </w:trPr>
        <w:tc>
          <w:tcPr>
            <w:tcW w:w="9360" w:type="dxa"/>
            <w:tcBorders>
              <w:top w:val="single" w:sz="6" w:space="0" w:color="auto"/>
              <w:left w:val="single" w:sz="6" w:space="0" w:color="auto"/>
              <w:bottom w:val="single" w:sz="6" w:space="0" w:color="auto"/>
              <w:right w:val="single" w:sz="6" w:space="0" w:color="auto"/>
            </w:tcBorders>
          </w:tcPr>
          <w:p w:rsidR="00750EC0" w:rsidRPr="00750EC0" w:rsidRDefault="00750EC0" w:rsidP="00750EC0">
            <w:pPr>
              <w:tabs>
                <w:tab w:val="left" w:pos="1440"/>
                <w:tab w:val="left" w:pos="8647"/>
              </w:tabs>
              <w:spacing w:before="0"/>
              <w:ind w:right="133"/>
              <w:jc w:val="center"/>
              <w:rPr>
                <w:i/>
                <w:sz w:val="20"/>
                <w:lang w:val="en-US"/>
              </w:rPr>
            </w:pPr>
          </w:p>
          <w:p w:rsidR="00750EC0" w:rsidRPr="00750EC0" w:rsidRDefault="00750EC0" w:rsidP="00750EC0">
            <w:pPr>
              <w:tabs>
                <w:tab w:val="left" w:pos="1440"/>
                <w:tab w:val="left" w:pos="8647"/>
              </w:tabs>
              <w:spacing w:before="0"/>
              <w:ind w:right="133"/>
              <w:jc w:val="center"/>
              <w:rPr>
                <w:i/>
                <w:lang w:val="en-US"/>
              </w:rPr>
            </w:pPr>
            <w:r w:rsidRPr="00750EC0">
              <w:rPr>
                <w:i/>
                <w:lang w:val="en-US"/>
              </w:rPr>
              <w:t xml:space="preserve">This confirmation form </w:t>
            </w:r>
            <w:r w:rsidRPr="00750EC0">
              <w:rPr>
                <w:bCs/>
                <w:i/>
                <w:lang w:val="en-US"/>
              </w:rPr>
              <w:t xml:space="preserve">should </w:t>
            </w:r>
            <w:r w:rsidRPr="00750EC0">
              <w:rPr>
                <w:b/>
                <w:i/>
                <w:lang w:val="en-US"/>
              </w:rPr>
              <w:t xml:space="preserve">be sent direct to the hotel </w:t>
            </w:r>
            <w:r w:rsidRPr="00750EC0">
              <w:rPr>
                <w:i/>
                <w:lang w:val="en-US"/>
              </w:rPr>
              <w:t>of your choice</w:t>
            </w:r>
          </w:p>
          <w:p w:rsidR="00750EC0" w:rsidRPr="00750EC0" w:rsidRDefault="00750EC0" w:rsidP="00750EC0">
            <w:pPr>
              <w:spacing w:before="0" w:after="100"/>
              <w:ind w:right="130"/>
              <w:jc w:val="center"/>
              <w:rPr>
                <w:sz w:val="20"/>
                <w:lang w:val="en-US"/>
              </w:rPr>
            </w:pPr>
          </w:p>
        </w:tc>
      </w:tr>
    </w:tbl>
    <w:p w:rsidR="00750EC0" w:rsidRPr="00750EC0" w:rsidRDefault="00750EC0" w:rsidP="00750EC0">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50EC0" w:rsidRPr="00750EC0" w:rsidTr="00816FF7">
        <w:trPr>
          <w:cantSplit/>
          <w:jc w:val="center"/>
        </w:trPr>
        <w:tc>
          <w:tcPr>
            <w:tcW w:w="1291" w:type="dxa"/>
          </w:tcPr>
          <w:p w:rsidR="00750EC0" w:rsidRPr="00750EC0" w:rsidRDefault="00750EC0" w:rsidP="00750EC0">
            <w:pPr>
              <w:tabs>
                <w:tab w:val="center" w:pos="9639"/>
              </w:tabs>
              <w:spacing w:before="57"/>
              <w:ind w:right="-176"/>
              <w:jc w:val="center"/>
              <w:rPr>
                <w:sz w:val="28"/>
                <w:lang w:val="fr-FR"/>
              </w:rPr>
            </w:pPr>
            <w:r w:rsidRPr="00750EC0">
              <w:rPr>
                <w:noProof/>
                <w:lang w:val="en-US"/>
              </w:rPr>
              <w:drawing>
                <wp:inline distT="0" distB="0" distL="0" distR="0" wp14:anchorId="646B359E" wp14:editId="7FF4CD2E">
                  <wp:extent cx="631190" cy="667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c>
          <w:tcPr>
            <w:tcW w:w="7264" w:type="dxa"/>
          </w:tcPr>
          <w:p w:rsidR="00750EC0" w:rsidRPr="00750EC0" w:rsidRDefault="00750EC0" w:rsidP="00750EC0">
            <w:pPr>
              <w:tabs>
                <w:tab w:val="center" w:pos="9639"/>
              </w:tabs>
              <w:ind w:right="-40"/>
              <w:jc w:val="center"/>
              <w:rPr>
                <w:b/>
                <w:bCs/>
                <w:sz w:val="28"/>
                <w:szCs w:val="28"/>
                <w:lang w:val="fr-FR"/>
              </w:rPr>
            </w:pPr>
            <w:r w:rsidRPr="00750EC0">
              <w:rPr>
                <w:sz w:val="26"/>
                <w:lang w:val="fr-FR"/>
              </w:rPr>
              <w:br/>
            </w:r>
            <w:r w:rsidRPr="00750EC0">
              <w:rPr>
                <w:b/>
                <w:bCs/>
                <w:sz w:val="28"/>
                <w:szCs w:val="28"/>
                <w:lang w:val="fr-FR"/>
              </w:rPr>
              <w:t>INTERNATIONAL TELECOMMUNICATION UNION</w:t>
            </w:r>
            <w:r w:rsidRPr="00750EC0">
              <w:rPr>
                <w:b/>
                <w:bCs/>
                <w:sz w:val="28"/>
                <w:szCs w:val="28"/>
                <w:lang w:val="fr-FR"/>
              </w:rPr>
              <w:br/>
            </w:r>
          </w:p>
        </w:tc>
        <w:tc>
          <w:tcPr>
            <w:tcW w:w="1400" w:type="dxa"/>
          </w:tcPr>
          <w:p w:rsidR="00750EC0" w:rsidRPr="00750EC0" w:rsidRDefault="00750EC0" w:rsidP="00750EC0">
            <w:pPr>
              <w:tabs>
                <w:tab w:val="center" w:pos="9639"/>
              </w:tabs>
              <w:spacing w:before="57"/>
              <w:ind w:left="-142" w:right="-74"/>
              <w:jc w:val="center"/>
              <w:rPr>
                <w:sz w:val="28"/>
                <w:lang w:val="fr-FR"/>
              </w:rPr>
            </w:pPr>
            <w:r w:rsidRPr="00750EC0">
              <w:rPr>
                <w:noProof/>
                <w:lang w:val="en-US"/>
              </w:rPr>
              <w:drawing>
                <wp:inline distT="0" distB="0" distL="0" distR="0" wp14:anchorId="6D70554B" wp14:editId="09851A8E">
                  <wp:extent cx="631190" cy="667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r>
    </w:tbl>
    <w:p w:rsidR="00750EC0" w:rsidRPr="00750EC0" w:rsidRDefault="00750EC0" w:rsidP="00750EC0">
      <w:pPr>
        <w:tabs>
          <w:tab w:val="left" w:pos="1440"/>
        </w:tabs>
        <w:spacing w:before="0"/>
        <w:ind w:left="284" w:right="-143"/>
        <w:jc w:val="center"/>
        <w:rPr>
          <w:b/>
          <w:lang w:val="fr-FR"/>
        </w:rPr>
      </w:pPr>
    </w:p>
    <w:p w:rsidR="00750EC0" w:rsidRPr="00750EC0" w:rsidRDefault="00750EC0" w:rsidP="00750EC0">
      <w:pPr>
        <w:tabs>
          <w:tab w:val="center" w:pos="4678"/>
        </w:tabs>
        <w:spacing w:before="0"/>
        <w:ind w:left="284" w:right="-143"/>
        <w:jc w:val="center"/>
        <w:rPr>
          <w:b/>
          <w:bCs/>
          <w:lang w:val="en-US"/>
        </w:rPr>
      </w:pPr>
      <w:r w:rsidRPr="00750EC0">
        <w:rPr>
          <w:b/>
          <w:bCs/>
          <w:lang w:val="en-US"/>
        </w:rPr>
        <w:t>TELECOMMUNICATION STANDARDIZATION SECTOR</w:t>
      </w:r>
      <w:r w:rsidRPr="00750EC0">
        <w:rPr>
          <w:b/>
          <w:bCs/>
          <w:lang w:val="en-US"/>
        </w:rPr>
        <w:br/>
      </w:r>
    </w:p>
    <w:p w:rsidR="00750EC0" w:rsidRPr="00750EC0" w:rsidRDefault="00750EC0" w:rsidP="00750EC0">
      <w:pPr>
        <w:tabs>
          <w:tab w:val="left" w:pos="1440"/>
        </w:tabs>
        <w:spacing w:before="0"/>
        <w:ind w:left="284" w:right="-143"/>
        <w:rPr>
          <w:sz w:val="20"/>
          <w:lang w:val="en-US"/>
        </w:rPr>
      </w:pPr>
    </w:p>
    <w:p w:rsidR="00750EC0" w:rsidRPr="00750EC0" w:rsidRDefault="00750EC0" w:rsidP="00750EC0">
      <w:pPr>
        <w:spacing w:before="0"/>
        <w:jc w:val="center"/>
        <w:rPr>
          <w:b/>
          <w:bCs/>
          <w:i/>
          <w:iCs/>
          <w:sz w:val="20"/>
          <w:lang w:val="en-US"/>
        </w:rPr>
      </w:pPr>
      <w:r w:rsidRPr="00750EC0">
        <w:rPr>
          <w:b/>
          <w:bCs/>
          <w:i/>
          <w:iCs/>
          <w:sz w:val="20"/>
          <w:lang w:val="en-US"/>
        </w:rPr>
        <w:t>“Seminar on combating counterfeit ICT devices”,</w:t>
      </w:r>
    </w:p>
    <w:p w:rsidR="00750EC0" w:rsidRPr="00750EC0" w:rsidRDefault="00750EC0" w:rsidP="00750EC0">
      <w:pPr>
        <w:spacing w:before="0"/>
        <w:jc w:val="center"/>
        <w:rPr>
          <w:i/>
          <w:iCs/>
          <w:sz w:val="20"/>
          <w:lang w:val="en-US"/>
        </w:rPr>
      </w:pPr>
      <w:r w:rsidRPr="00750EC0">
        <w:rPr>
          <w:i/>
          <w:iCs/>
          <w:sz w:val="20"/>
          <w:lang w:val="en-US"/>
        </w:rPr>
        <w:t xml:space="preserve">in Geneva, on </w:t>
      </w:r>
      <w:r w:rsidRPr="00750EC0">
        <w:rPr>
          <w:b/>
          <w:bCs/>
          <w:i/>
          <w:iCs/>
          <w:sz w:val="20"/>
          <w:lang w:val="en-US"/>
        </w:rPr>
        <w:t>17-18 November 2014</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i/>
          <w:sz w:val="20"/>
          <w:lang w:val="en-US"/>
        </w:rPr>
      </w:pPr>
      <w:r w:rsidRPr="00750EC0">
        <w:rPr>
          <w:i/>
          <w:sz w:val="20"/>
          <w:lang w:val="en-US"/>
        </w:rPr>
        <w:t>Confirmation of the reservation made on (date) --------------------------  with (hotel)   -------------------------------</w:t>
      </w:r>
    </w:p>
    <w:p w:rsidR="00750EC0" w:rsidRPr="00750EC0" w:rsidRDefault="00750EC0" w:rsidP="00750EC0">
      <w:pPr>
        <w:tabs>
          <w:tab w:val="left" w:pos="1440"/>
        </w:tabs>
        <w:spacing w:before="0"/>
        <w:ind w:left="284" w:right="515"/>
        <w:rPr>
          <w:i/>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u w:val="single"/>
          <w:lang w:val="en-US"/>
        </w:rPr>
      </w:pPr>
      <w:r w:rsidRPr="00750EC0">
        <w:rPr>
          <w:b/>
          <w:i/>
          <w:u w:val="single"/>
          <w:lang w:val="en-US"/>
        </w:rPr>
        <w:t xml:space="preserve">at the ITU preferential tariff </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i/>
          <w:sz w:val="20"/>
          <w:lang w:val="en-US"/>
        </w:rPr>
      </w:pPr>
      <w:r w:rsidRPr="00750EC0">
        <w:rPr>
          <w:i/>
          <w:sz w:val="20"/>
          <w:lang w:val="en-US"/>
        </w:rPr>
        <w:t>------------ single/double room(s)</w:t>
      </w:r>
    </w:p>
    <w:p w:rsidR="00750EC0" w:rsidRPr="00750EC0" w:rsidRDefault="00750EC0" w:rsidP="00750EC0">
      <w:pPr>
        <w:tabs>
          <w:tab w:val="left" w:pos="1440"/>
        </w:tabs>
        <w:spacing w:before="0"/>
        <w:ind w:left="284" w:right="515"/>
        <w:rPr>
          <w:i/>
          <w:sz w:val="20"/>
          <w:lang w:val="en-US"/>
        </w:rPr>
      </w:pPr>
    </w:p>
    <w:p w:rsidR="00750EC0" w:rsidRPr="00750EC0" w:rsidRDefault="00750EC0" w:rsidP="00750EC0">
      <w:pPr>
        <w:tabs>
          <w:tab w:val="left" w:pos="1440"/>
        </w:tabs>
        <w:spacing w:before="0"/>
        <w:ind w:left="284" w:right="515"/>
        <w:rPr>
          <w:i/>
          <w:sz w:val="20"/>
          <w:lang w:val="en-US"/>
        </w:rPr>
      </w:pPr>
      <w:r w:rsidRPr="00750EC0">
        <w:rPr>
          <w:i/>
          <w:sz w:val="20"/>
          <w:lang w:val="en-US"/>
        </w:rPr>
        <w:t>arriving on (date)-----------------------------  at (time)  ------------- departing on (date)-------------------------------</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750EC0">
        <w:rPr>
          <w:rFonts w:eastAsia="SimSun"/>
          <w:b/>
          <w:bCs/>
          <w:i/>
          <w:iCs/>
          <w:sz w:val="20"/>
          <w:lang w:val="en-US" w:eastAsia="zh-CN"/>
        </w:rPr>
        <w:t xml:space="preserve">GENEVA TRANSPORT CARD: </w:t>
      </w:r>
      <w:r w:rsidRPr="00750EC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50EC0" w:rsidRPr="00750EC0" w:rsidRDefault="00750EC0" w:rsidP="00750EC0">
      <w:pPr>
        <w:tabs>
          <w:tab w:val="left" w:pos="1440"/>
        </w:tabs>
        <w:spacing w:before="0"/>
        <w:ind w:left="284" w:right="515"/>
        <w:rPr>
          <w:sz w:val="20"/>
          <w:lang w:val="en-US"/>
        </w:rPr>
      </w:pPr>
      <w:r w:rsidRPr="00750EC0">
        <w:rPr>
          <w:i/>
          <w:sz w:val="20"/>
          <w:lang w:val="en-US"/>
        </w:rPr>
        <w:t>Family name</w:t>
      </w:r>
      <w:r w:rsidRPr="00750EC0">
        <w:rPr>
          <w:sz w:val="20"/>
          <w:lang w:val="en-US"/>
        </w:rPr>
        <w:t xml:space="preserve">    -----------------------------------------------------------------------------------------------------------------</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r w:rsidRPr="00750EC0">
        <w:rPr>
          <w:i/>
          <w:sz w:val="20"/>
          <w:lang w:val="en-US"/>
        </w:rPr>
        <w:t xml:space="preserve">First name    </w:t>
      </w:r>
      <w:r w:rsidRPr="00750EC0">
        <w:rPr>
          <w:sz w:val="20"/>
          <w:lang w:val="en-US"/>
        </w:rPr>
        <w:t xml:space="preserve">    -----------------------------------------------------------------------------------------------------------------</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i/>
          <w:iCs/>
          <w:sz w:val="20"/>
          <w:lang w:val="en-US"/>
        </w:rPr>
      </w:pPr>
      <w:r w:rsidRPr="00750EC0">
        <w:rPr>
          <w:i/>
          <w:sz w:val="20"/>
          <w:lang w:val="en-US"/>
        </w:rPr>
        <w:t xml:space="preserve">Address        </w:t>
      </w:r>
      <w:r w:rsidRPr="00750EC0">
        <w:rPr>
          <w:sz w:val="20"/>
          <w:lang w:val="en-US"/>
        </w:rPr>
        <w:t xml:space="preserve">    ------------------------------------------------------------------------        </w:t>
      </w:r>
      <w:r w:rsidRPr="00750EC0">
        <w:rPr>
          <w:i/>
          <w:iCs/>
          <w:sz w:val="20"/>
          <w:lang w:val="en-US"/>
        </w:rPr>
        <w:t>Tel: ------------------------------</w:t>
      </w:r>
    </w:p>
    <w:p w:rsidR="00750EC0" w:rsidRPr="00750EC0" w:rsidRDefault="00750EC0" w:rsidP="00750EC0">
      <w:pPr>
        <w:tabs>
          <w:tab w:val="left" w:pos="1440"/>
        </w:tabs>
        <w:spacing w:before="0"/>
        <w:ind w:left="284" w:right="515"/>
        <w:rPr>
          <w:i/>
          <w:iCs/>
          <w:sz w:val="20"/>
          <w:lang w:val="en-US"/>
        </w:rPr>
      </w:pPr>
    </w:p>
    <w:p w:rsidR="00750EC0" w:rsidRPr="00750EC0" w:rsidRDefault="00750EC0" w:rsidP="00750EC0">
      <w:pPr>
        <w:tabs>
          <w:tab w:val="left" w:pos="1440"/>
        </w:tabs>
        <w:spacing w:before="0"/>
        <w:ind w:left="284" w:right="515"/>
        <w:rPr>
          <w:i/>
          <w:iCs/>
          <w:sz w:val="20"/>
          <w:lang w:val="en-US"/>
        </w:rPr>
      </w:pPr>
      <w:r w:rsidRPr="00750EC0">
        <w:rPr>
          <w:i/>
          <w:iCs/>
          <w:sz w:val="20"/>
          <w:lang w:val="en-US"/>
        </w:rPr>
        <w:t>-----------------------------------------------------------------------------------------         Fax: ------------------------------</w:t>
      </w:r>
    </w:p>
    <w:p w:rsidR="00750EC0" w:rsidRPr="00750EC0" w:rsidRDefault="00750EC0" w:rsidP="00750EC0">
      <w:pPr>
        <w:tabs>
          <w:tab w:val="left" w:pos="1440"/>
        </w:tabs>
        <w:spacing w:before="0"/>
        <w:ind w:left="284" w:right="515"/>
        <w:rPr>
          <w:i/>
          <w:iCs/>
          <w:sz w:val="20"/>
          <w:lang w:val="en-US"/>
        </w:rPr>
      </w:pPr>
    </w:p>
    <w:p w:rsidR="00750EC0" w:rsidRPr="00750EC0" w:rsidRDefault="00750EC0" w:rsidP="00750EC0">
      <w:pPr>
        <w:tabs>
          <w:tab w:val="left" w:pos="1440"/>
        </w:tabs>
        <w:spacing w:before="0"/>
        <w:ind w:left="284" w:right="515"/>
        <w:rPr>
          <w:sz w:val="20"/>
          <w:lang w:val="en-US"/>
        </w:rPr>
      </w:pPr>
      <w:r w:rsidRPr="00750EC0">
        <w:rPr>
          <w:i/>
          <w:iCs/>
          <w:sz w:val="20"/>
          <w:lang w:val="en-US"/>
        </w:rPr>
        <w:t>-----------------------------------------------------------------------------------------      E-mail:</w:t>
      </w:r>
      <w:r w:rsidRPr="00750EC0">
        <w:rPr>
          <w:sz w:val="20"/>
          <w:lang w:val="en-US"/>
        </w:rPr>
        <w:t xml:space="preserve"> -----------------------------</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r w:rsidRPr="00750EC0">
        <w:rPr>
          <w:i/>
          <w:sz w:val="20"/>
          <w:lang w:val="en-US"/>
        </w:rPr>
        <w:t>Credit card to guarantee this reservation</w:t>
      </w:r>
      <w:r w:rsidRPr="00750EC0">
        <w:rPr>
          <w:sz w:val="20"/>
          <w:lang w:val="en-US"/>
        </w:rPr>
        <w:t>:        AX/VISA/DINERS/EC  (</w:t>
      </w:r>
      <w:r w:rsidRPr="00750EC0">
        <w:rPr>
          <w:i/>
          <w:iCs/>
          <w:sz w:val="20"/>
          <w:lang w:val="en-US"/>
        </w:rPr>
        <w:t>or</w:t>
      </w:r>
      <w:r w:rsidRPr="00750EC0">
        <w:rPr>
          <w:sz w:val="20"/>
          <w:lang w:val="en-US"/>
        </w:rPr>
        <w:t xml:space="preserve"> </w:t>
      </w:r>
      <w:r w:rsidRPr="00750EC0">
        <w:rPr>
          <w:i/>
          <w:sz w:val="20"/>
          <w:lang w:val="en-US"/>
        </w:rPr>
        <w:t>other) ---------------------------------</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r w:rsidRPr="00750EC0">
        <w:rPr>
          <w:i/>
          <w:iCs/>
          <w:sz w:val="20"/>
          <w:lang w:val="en-US"/>
        </w:rPr>
        <w:t xml:space="preserve">No. </w:t>
      </w:r>
      <w:r w:rsidRPr="00750EC0">
        <w:rPr>
          <w:sz w:val="20"/>
          <w:lang w:val="en-US"/>
        </w:rPr>
        <w:t xml:space="preserve">--------------------------------------------------------         </w:t>
      </w:r>
      <w:r w:rsidRPr="00750EC0">
        <w:rPr>
          <w:i/>
          <w:sz w:val="20"/>
          <w:lang w:val="en-US"/>
        </w:rPr>
        <w:t>valid until</w:t>
      </w:r>
      <w:r w:rsidRPr="00750EC0">
        <w:rPr>
          <w:sz w:val="20"/>
          <w:lang w:val="en-US"/>
        </w:rPr>
        <w:t xml:space="preserve">        ----------------------------------------------</w:t>
      </w: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p>
    <w:p w:rsidR="00750EC0" w:rsidRPr="00750EC0" w:rsidRDefault="00750EC0" w:rsidP="00750EC0">
      <w:pPr>
        <w:tabs>
          <w:tab w:val="left" w:pos="1440"/>
        </w:tabs>
        <w:spacing w:before="0"/>
        <w:ind w:left="284" w:right="515"/>
        <w:rPr>
          <w:sz w:val="20"/>
          <w:lang w:val="en-US"/>
        </w:rPr>
      </w:pPr>
      <w:r w:rsidRPr="00750EC0">
        <w:rPr>
          <w:i/>
          <w:sz w:val="20"/>
          <w:lang w:val="en-US"/>
        </w:rPr>
        <w:t>Date</w:t>
      </w:r>
      <w:r w:rsidRPr="00750EC0">
        <w:rPr>
          <w:sz w:val="20"/>
          <w:lang w:val="en-US"/>
        </w:rPr>
        <w:t xml:space="preserve"> ------------------------------------------------------      </w:t>
      </w:r>
      <w:r w:rsidRPr="00750EC0">
        <w:rPr>
          <w:i/>
          <w:sz w:val="20"/>
          <w:lang w:val="en-US"/>
        </w:rPr>
        <w:t xml:space="preserve">Signature </w:t>
      </w:r>
      <w:r w:rsidRPr="00750EC0">
        <w:rPr>
          <w:sz w:val="20"/>
          <w:lang w:val="en-US"/>
        </w:rPr>
        <w:t xml:space="preserve">       -------------------------------------------------</w:t>
      </w:r>
    </w:p>
    <w:p w:rsidR="00750EC0" w:rsidRDefault="00750EC0" w:rsidP="0032202E">
      <w:pPr>
        <w:pStyle w:val="Reasons"/>
      </w:pPr>
    </w:p>
    <w:p w:rsidR="00750EC0" w:rsidRDefault="00750EC0">
      <w:pPr>
        <w:jc w:val="center"/>
      </w:pPr>
      <w:r>
        <w:t>______________</w:t>
      </w:r>
    </w:p>
    <w:sectPr w:rsidR="00750EC0" w:rsidSect="00B87E9E">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F8" w:rsidRDefault="001A7FF8">
      <w:r>
        <w:separator/>
      </w:r>
    </w:p>
  </w:endnote>
  <w:endnote w:type="continuationSeparator" w:id="0">
    <w:p w:rsidR="001A7FF8" w:rsidRDefault="001A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3A" w:rsidRPr="00015F84" w:rsidRDefault="00D5643A" w:rsidP="00D5643A">
    <w:pPr>
      <w:pStyle w:val="Footer"/>
      <w:rPr>
        <w:lang w:val="fr-CH"/>
      </w:rPr>
    </w:pPr>
    <w:r w:rsidRPr="00015F84">
      <w:rPr>
        <w:lang w:val="fr-CH"/>
      </w:rPr>
      <w:t>I</w:t>
    </w:r>
    <w:r>
      <w:rPr>
        <w:lang w:val="fr-CH"/>
      </w:rPr>
      <w:t>TU-T\BUREAU\CIRC\103S</w:t>
    </w:r>
    <w:r w:rsidRPr="00015F84">
      <w:rPr>
        <w:lang w:val="fr-CH"/>
      </w:rPr>
      <w:t>.DOCX</w:t>
    </w:r>
  </w:p>
  <w:p w:rsidR="00D13981" w:rsidRPr="00D5643A" w:rsidRDefault="00D13981" w:rsidP="00D5643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81" w:rsidRPr="00D13981" w:rsidRDefault="00D13981" w:rsidP="00D1398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rPr>
    </w:pPr>
    <w:r w:rsidRPr="00D13981">
      <w:rPr>
        <w:rFonts w:ascii="Calibri" w:hAnsi="Calibri" w:cs="Calibri"/>
        <w:sz w:val="18"/>
        <w:szCs w:val="18"/>
      </w:rPr>
      <w:t>Unión Internacional de Telecomunicaciones • Place des Nations • CH</w:t>
    </w:r>
    <w:r w:rsidRPr="00D13981">
      <w:rPr>
        <w:rFonts w:ascii="Calibri" w:hAnsi="Calibri" w:cs="Calibri"/>
        <w:sz w:val="18"/>
        <w:szCs w:val="18"/>
      </w:rPr>
      <w:noBreakHyphen/>
      <w:t xml:space="preserve">1211 Ginebra 20 • Suiza </w:t>
    </w:r>
    <w:r w:rsidRPr="00D13981">
      <w:rPr>
        <w:rFonts w:ascii="Calibri" w:hAnsi="Calibri" w:cs="Calibri"/>
        <w:sz w:val="18"/>
        <w:szCs w:val="18"/>
      </w:rPr>
      <w:br/>
      <w:t xml:space="preserve">Tel: +41 22 730 5111 • Fax: +41 22 733 7256 • correo-e: </w:t>
    </w:r>
    <w:hyperlink r:id="rId1" w:history="1">
      <w:r w:rsidRPr="00D13981">
        <w:rPr>
          <w:rFonts w:ascii="Calibri" w:hAnsi="Calibri" w:cs="Calibri"/>
          <w:color w:val="0000FF"/>
          <w:sz w:val="18"/>
          <w:szCs w:val="18"/>
          <w:u w:val="single"/>
        </w:rPr>
        <w:t>itumail@itu.int</w:t>
      </w:r>
    </w:hyperlink>
    <w:r w:rsidRPr="00D13981">
      <w:rPr>
        <w:rFonts w:ascii="Calibri" w:hAnsi="Calibri" w:cs="Calibri"/>
        <w:sz w:val="18"/>
        <w:szCs w:val="18"/>
      </w:rPr>
      <w:t xml:space="preserve"> • </w:t>
    </w:r>
    <w:hyperlink r:id="rId2" w:history="1">
      <w:r w:rsidRPr="00D13981">
        <w:rPr>
          <w:rFonts w:ascii="Calibri" w:hAnsi="Calibri" w:cs="Calibri"/>
          <w:color w:val="0000FF"/>
          <w:sz w:val="18"/>
          <w:szCs w:val="18"/>
          <w:u w:val="single"/>
        </w:rPr>
        <w:t>www.itu.int</w:t>
      </w:r>
    </w:hyperlink>
    <w:r w:rsidRPr="00D13981">
      <w:rPr>
        <w:rFonts w:ascii="Calibri" w:hAnsi="Calibri" w:cs="Calibri"/>
        <w:sz w:val="18"/>
        <w:szCs w:val="18"/>
      </w:rPr>
      <w:t xml:space="preserve"> •</w:t>
    </w:r>
  </w:p>
  <w:p w:rsidR="00D13981" w:rsidRDefault="00D13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81" w:rsidRPr="001E76E5" w:rsidRDefault="00D13981" w:rsidP="001E7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F8" w:rsidRDefault="001A7FF8">
      <w:r>
        <w:t>____________________</w:t>
      </w:r>
    </w:p>
  </w:footnote>
  <w:footnote w:type="continuationSeparator" w:id="0">
    <w:p w:rsidR="001A7FF8" w:rsidRDefault="001A7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036014"/>
      <w:docPartObj>
        <w:docPartGallery w:val="Page Numbers (Top of Page)"/>
        <w:docPartUnique/>
      </w:docPartObj>
    </w:sdtPr>
    <w:sdtEndPr>
      <w:rPr>
        <w:noProof/>
      </w:rPr>
    </w:sdtEndPr>
    <w:sdtContent>
      <w:p w:rsidR="00D13981" w:rsidRDefault="00D13981">
        <w:pPr>
          <w:pStyle w:val="Header"/>
        </w:pPr>
        <w:r>
          <w:fldChar w:fldCharType="begin"/>
        </w:r>
        <w:r>
          <w:instrText xml:space="preserve"> PAGE   \* MERGEFORMAT </w:instrText>
        </w:r>
        <w:r>
          <w:fldChar w:fldCharType="separate"/>
        </w:r>
        <w:r w:rsidR="0034422C">
          <w:rPr>
            <w:noProof/>
          </w:rPr>
          <w:t>9</w:t>
        </w:r>
        <w:r>
          <w:rPr>
            <w:noProof/>
          </w:rPr>
          <w:fldChar w:fldCharType="end"/>
        </w:r>
      </w:p>
    </w:sdtContent>
  </w:sdt>
  <w:p w:rsidR="00D13981" w:rsidRDefault="00D13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F363E5"/>
    <w:multiLevelType w:val="hybridMultilevel"/>
    <w:tmpl w:val="A39E7886"/>
    <w:lvl w:ilvl="0" w:tplc="1CC04AC4">
      <w:start w:val="1"/>
      <w:numFmt w:val="bullet"/>
      <w:lvlText w:val=""/>
      <w:lvlJc w:val="left"/>
      <w:pPr>
        <w:ind w:left="720" w:hanging="360"/>
      </w:pPr>
      <w:rPr>
        <w:rFonts w:ascii="Symbol" w:hAnsi="Symbol" w:hint="default"/>
        <w:lang w:val="es-ES_trad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C2"/>
    <w:rsid w:val="00002529"/>
    <w:rsid w:val="0006542F"/>
    <w:rsid w:val="000C382F"/>
    <w:rsid w:val="001173CC"/>
    <w:rsid w:val="001818AF"/>
    <w:rsid w:val="001A54CC"/>
    <w:rsid w:val="001A7FF8"/>
    <w:rsid w:val="001E76E5"/>
    <w:rsid w:val="00257FB4"/>
    <w:rsid w:val="00303D62"/>
    <w:rsid w:val="00322DFF"/>
    <w:rsid w:val="00335367"/>
    <w:rsid w:val="003405C7"/>
    <w:rsid w:val="0034422C"/>
    <w:rsid w:val="00370C2D"/>
    <w:rsid w:val="003C1B29"/>
    <w:rsid w:val="003D1E8D"/>
    <w:rsid w:val="003D673B"/>
    <w:rsid w:val="003F2855"/>
    <w:rsid w:val="00401C20"/>
    <w:rsid w:val="00404784"/>
    <w:rsid w:val="004A5D96"/>
    <w:rsid w:val="004C4144"/>
    <w:rsid w:val="00510BB7"/>
    <w:rsid w:val="00560F22"/>
    <w:rsid w:val="00561B50"/>
    <w:rsid w:val="005638DF"/>
    <w:rsid w:val="005A01BC"/>
    <w:rsid w:val="005F7919"/>
    <w:rsid w:val="006161A3"/>
    <w:rsid w:val="006969B4"/>
    <w:rsid w:val="006E5A8A"/>
    <w:rsid w:val="006E7BC2"/>
    <w:rsid w:val="00732B0E"/>
    <w:rsid w:val="00750EC0"/>
    <w:rsid w:val="0076173E"/>
    <w:rsid w:val="00781E2A"/>
    <w:rsid w:val="007933A2"/>
    <w:rsid w:val="007F2429"/>
    <w:rsid w:val="00814503"/>
    <w:rsid w:val="008258C2"/>
    <w:rsid w:val="008505BD"/>
    <w:rsid w:val="00850C78"/>
    <w:rsid w:val="00864D2D"/>
    <w:rsid w:val="00866132"/>
    <w:rsid w:val="00867E12"/>
    <w:rsid w:val="008C17AD"/>
    <w:rsid w:val="008C51D1"/>
    <w:rsid w:val="008D02CD"/>
    <w:rsid w:val="00923BF1"/>
    <w:rsid w:val="00934891"/>
    <w:rsid w:val="009376B2"/>
    <w:rsid w:val="0095172A"/>
    <w:rsid w:val="009A0BA0"/>
    <w:rsid w:val="009E0660"/>
    <w:rsid w:val="00A54E47"/>
    <w:rsid w:val="00A81380"/>
    <w:rsid w:val="00AE7093"/>
    <w:rsid w:val="00AF78DB"/>
    <w:rsid w:val="00B41C3C"/>
    <w:rsid w:val="00B422BC"/>
    <w:rsid w:val="00B43F77"/>
    <w:rsid w:val="00B55A3E"/>
    <w:rsid w:val="00B87E9E"/>
    <w:rsid w:val="00B95F0A"/>
    <w:rsid w:val="00B96180"/>
    <w:rsid w:val="00BC2C48"/>
    <w:rsid w:val="00BE0115"/>
    <w:rsid w:val="00BE6B2E"/>
    <w:rsid w:val="00C17AC0"/>
    <w:rsid w:val="00C34772"/>
    <w:rsid w:val="00C5465A"/>
    <w:rsid w:val="00C575BF"/>
    <w:rsid w:val="00D13981"/>
    <w:rsid w:val="00D54642"/>
    <w:rsid w:val="00D5643A"/>
    <w:rsid w:val="00DC2506"/>
    <w:rsid w:val="00DD77C9"/>
    <w:rsid w:val="00DF3538"/>
    <w:rsid w:val="00E02A20"/>
    <w:rsid w:val="00E839B0"/>
    <w:rsid w:val="00E92C09"/>
    <w:rsid w:val="00EB3712"/>
    <w:rsid w:val="00ED7BC4"/>
    <w:rsid w:val="00F14380"/>
    <w:rsid w:val="00F20C77"/>
    <w:rsid w:val="00F6461F"/>
    <w:rsid w:val="00F66EAA"/>
    <w:rsid w:val="00FA1642"/>
    <w:rsid w:val="00FA6AC6"/>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C3D8E43-38EB-48F0-B762-141E4EE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561B5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enumlev1Char">
    <w:name w:val="enumlev1 Char"/>
    <w:link w:val="enumlev1"/>
    <w:rsid w:val="00750EC0"/>
    <w:rPr>
      <w:rFonts w:ascii="Times New Roman" w:hAnsi="Times New Roman"/>
      <w:sz w:val="24"/>
      <w:lang w:val="es-ES_tradnl" w:eastAsia="en-US"/>
    </w:rPr>
  </w:style>
  <w:style w:type="paragraph" w:styleId="BalloonText">
    <w:name w:val="Balloon Text"/>
    <w:basedOn w:val="Normal"/>
    <w:link w:val="BalloonTextChar"/>
    <w:rsid w:val="006161A3"/>
    <w:pPr>
      <w:spacing w:before="0"/>
    </w:pPr>
    <w:rPr>
      <w:rFonts w:ascii="Tahoma" w:hAnsi="Tahoma" w:cs="Tahoma"/>
      <w:sz w:val="16"/>
      <w:szCs w:val="16"/>
    </w:rPr>
  </w:style>
  <w:style w:type="character" w:customStyle="1" w:styleId="BalloonTextChar">
    <w:name w:val="Balloon Text Char"/>
    <w:basedOn w:val="DefaultParagraphFont"/>
    <w:link w:val="BalloonText"/>
    <w:rsid w:val="006161A3"/>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ITU-T/edh/faqs-support.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minar-counterfeiting@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WSHP_counterfei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seminar-counterfeiting@itu.int"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eminar-counterfeiting@itu.int" TargetMode="External"/><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E712-69EA-41D2-A8E4-405DDCAA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9</Pages>
  <Words>2466</Words>
  <Characters>14057</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16491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2014-07-14T08:35:00Z</cp:lastPrinted>
  <dcterms:created xsi:type="dcterms:W3CDTF">2014-07-15T10:11:00Z</dcterms:created>
  <dcterms:modified xsi:type="dcterms:W3CDTF">2014-07-15T10:11:00Z</dcterms:modified>
</cp:coreProperties>
</file>