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7C3D0B" w:rsidRPr="007C3D0B">
        <w:rPr>
          <w:rFonts w:hint="eastAsia"/>
          <w:lang w:eastAsia="zh-CN"/>
        </w:rPr>
        <w:t>2013</w:t>
      </w:r>
      <w:r w:rsidR="007C3D0B" w:rsidRPr="007C3D0B">
        <w:rPr>
          <w:rFonts w:hint="eastAsia"/>
          <w:lang w:eastAsia="zh-CN"/>
        </w:rPr>
        <w:t>年</w:t>
      </w:r>
      <w:r w:rsidR="007C3D0B" w:rsidRPr="007C3D0B">
        <w:rPr>
          <w:rFonts w:hint="eastAsia"/>
          <w:lang w:eastAsia="zh-CN"/>
        </w:rPr>
        <w:t>5</w:t>
      </w:r>
      <w:r w:rsidR="007C3D0B" w:rsidRPr="007C3D0B">
        <w:rPr>
          <w:rFonts w:hint="eastAsia"/>
          <w:lang w:eastAsia="zh-CN"/>
        </w:rPr>
        <w:t>月</w:t>
      </w:r>
      <w:r w:rsidR="007C3D0B" w:rsidRPr="007C3D0B">
        <w:rPr>
          <w:rFonts w:hint="eastAsia"/>
          <w:lang w:eastAsia="zh-CN"/>
        </w:rPr>
        <w:t>3</w:t>
      </w:r>
      <w:r w:rsidR="007C3D0B">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7C3D0B">
            <w:pPr>
              <w:tabs>
                <w:tab w:val="left" w:pos="4111"/>
              </w:tabs>
              <w:spacing w:before="0"/>
              <w:rPr>
                <w:b/>
                <w:szCs w:val="24"/>
                <w:lang w:eastAsia="zh-CN"/>
              </w:rPr>
            </w:pPr>
            <w:r w:rsidRPr="00841612">
              <w:rPr>
                <w:rFonts w:hint="eastAsia"/>
                <w:b/>
                <w:szCs w:val="24"/>
                <w:lang w:eastAsia="zh-CN"/>
              </w:rPr>
              <w:t>电信标准化局第</w:t>
            </w:r>
            <w:r w:rsidR="007C3D0B">
              <w:rPr>
                <w:b/>
                <w:szCs w:val="24"/>
                <w:lang w:eastAsia="zh-CN"/>
              </w:rPr>
              <w:t>24</w:t>
            </w:r>
            <w:r w:rsidRPr="00841612">
              <w:rPr>
                <w:rFonts w:hint="eastAsia"/>
                <w:b/>
                <w:szCs w:val="24"/>
                <w:lang w:eastAsia="zh-CN"/>
              </w:rPr>
              <w:t>号通函</w:t>
            </w:r>
          </w:p>
          <w:p w:rsidR="0063445E" w:rsidRPr="00841612" w:rsidRDefault="007C3D0B" w:rsidP="00956D38">
            <w:pPr>
              <w:tabs>
                <w:tab w:val="left" w:pos="4111"/>
              </w:tabs>
              <w:spacing w:before="0"/>
              <w:rPr>
                <w:b/>
                <w:szCs w:val="24"/>
                <w:lang w:eastAsia="zh-CN"/>
              </w:rPr>
            </w:pPr>
            <w:r w:rsidRPr="007C3D0B">
              <w:rPr>
                <w:szCs w:val="24"/>
                <w:lang w:eastAsia="zh-CN"/>
              </w:rPr>
              <w:t>COM 17/MEU</w:t>
            </w:r>
          </w:p>
          <w:p w:rsidR="005C26FD" w:rsidRPr="00841612" w:rsidRDefault="0063445E" w:rsidP="00841612">
            <w:pPr>
              <w:tabs>
                <w:tab w:val="left" w:pos="4111"/>
              </w:tabs>
              <w:spacing w:before="80"/>
              <w:rPr>
                <w:szCs w:val="24"/>
                <w:lang w:val="en-US" w:eastAsia="zh-CN"/>
              </w:rPr>
            </w:pPr>
            <w:r w:rsidRPr="00841612">
              <w:rPr>
                <w:szCs w:val="24"/>
                <w:lang w:eastAsia="zh-CN"/>
              </w:rPr>
              <w:br/>
            </w:r>
            <w:r w:rsidR="007C3D0B" w:rsidRPr="007C3D0B">
              <w:rPr>
                <w:szCs w:val="24"/>
                <w:lang w:eastAsia="zh-CN"/>
              </w:rPr>
              <w:t>+41 22 730 5866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3528FA" w:rsidP="008C4122">
            <w:pPr>
              <w:tabs>
                <w:tab w:val="left" w:pos="4111"/>
              </w:tabs>
              <w:spacing w:before="360"/>
              <w:rPr>
                <w:lang w:eastAsia="zh-CN"/>
              </w:rPr>
            </w:pPr>
            <w:hyperlink r:id="rId9" w:history="1">
              <w:r w:rsidR="007C3D0B" w:rsidRPr="00137E5D">
                <w:rPr>
                  <w:rStyle w:val="Hyperlink"/>
                  <w:lang w:val="en-US" w:eastAsia="zh-CN"/>
                </w:rPr>
                <w:t>tsbsg17@itu.int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F07A3C">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7C3D0B">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7C3D0B">
              <w:rPr>
                <w:lang w:eastAsia="zh-CN"/>
              </w:rPr>
              <w:t>17</w:t>
            </w:r>
            <w:r>
              <w:rPr>
                <w:rFonts w:hint="eastAsia"/>
                <w:lang w:eastAsia="zh-CN"/>
              </w:rPr>
              <w:t>研究组正副主席；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w:t>
            </w:r>
            <w:bookmarkStart w:id="2" w:name="_GoBack"/>
            <w:bookmarkEnd w:id="2"/>
            <w:r>
              <w:rPr>
                <w:rFonts w:hint="eastAsia"/>
                <w:lang w:eastAsia="zh-CN"/>
              </w:rPr>
              <w:t>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7C3D0B" w:rsidRPr="007C3D0B" w:rsidRDefault="007C3D0B" w:rsidP="007C3D0B">
            <w:pPr>
              <w:tabs>
                <w:tab w:val="left" w:pos="4111"/>
              </w:tabs>
              <w:spacing w:before="0"/>
              <w:ind w:left="57" w:right="28"/>
              <w:rPr>
                <w:b/>
                <w:lang w:eastAsia="zh-CN"/>
              </w:rPr>
            </w:pPr>
            <w:r w:rsidRPr="007C3D0B">
              <w:rPr>
                <w:rFonts w:hint="eastAsia"/>
                <w:b/>
                <w:lang w:eastAsia="zh-CN"/>
              </w:rPr>
              <w:t>第</w:t>
            </w:r>
            <w:r w:rsidRPr="007C3D0B">
              <w:rPr>
                <w:rFonts w:hint="eastAsia"/>
                <w:b/>
                <w:lang w:eastAsia="zh-CN"/>
              </w:rPr>
              <w:t>17</w:t>
            </w:r>
            <w:r w:rsidRPr="007C3D0B">
              <w:rPr>
                <w:rFonts w:hint="eastAsia"/>
                <w:b/>
                <w:lang w:eastAsia="zh-CN"/>
              </w:rPr>
              <w:t>研究组按照世界电信标准化全会（</w:t>
            </w:r>
            <w:r w:rsidRPr="007C3D0B">
              <w:rPr>
                <w:rFonts w:hint="eastAsia"/>
                <w:b/>
                <w:lang w:eastAsia="zh-CN"/>
              </w:rPr>
              <w:t>2012</w:t>
            </w:r>
            <w:r w:rsidRPr="007C3D0B">
              <w:rPr>
                <w:rFonts w:hint="eastAsia"/>
                <w:b/>
                <w:lang w:eastAsia="zh-CN"/>
              </w:rPr>
              <w:t>年，迪拜）</w:t>
            </w:r>
            <w:r>
              <w:rPr>
                <w:b/>
                <w:lang w:val="en-US" w:eastAsia="zh-CN"/>
              </w:rPr>
              <w:br/>
            </w:r>
            <w:r w:rsidRPr="007C3D0B">
              <w:rPr>
                <w:rFonts w:hint="eastAsia"/>
                <w:b/>
                <w:lang w:eastAsia="zh-CN"/>
              </w:rPr>
              <w:t>第</w:t>
            </w:r>
            <w:r w:rsidRPr="007C3D0B">
              <w:rPr>
                <w:rFonts w:hint="eastAsia"/>
                <w:b/>
                <w:lang w:eastAsia="zh-CN"/>
              </w:rPr>
              <w:t>1</w:t>
            </w:r>
            <w:r w:rsidRPr="007C3D0B">
              <w:rPr>
                <w:rFonts w:hint="eastAsia"/>
                <w:b/>
                <w:lang w:eastAsia="zh-CN"/>
              </w:rPr>
              <w:t>号决议第</w:t>
            </w:r>
            <w:r w:rsidRPr="007C3D0B">
              <w:rPr>
                <w:rFonts w:hint="eastAsia"/>
                <w:b/>
                <w:lang w:eastAsia="zh-CN"/>
              </w:rPr>
              <w:t>9</w:t>
            </w:r>
            <w:r w:rsidRPr="007C3D0B">
              <w:rPr>
                <w:rFonts w:hint="eastAsia"/>
                <w:b/>
                <w:lang w:eastAsia="zh-CN"/>
              </w:rPr>
              <w:t>节的规定为批准</w:t>
            </w:r>
            <w:r w:rsidRPr="007C3D0B">
              <w:rPr>
                <w:rFonts w:hint="eastAsia"/>
                <w:b/>
                <w:lang w:eastAsia="zh-CN"/>
              </w:rPr>
              <w:t>ITU-T X.1208</w:t>
            </w:r>
            <w:r w:rsidRPr="007C3D0B">
              <w:rPr>
                <w:rFonts w:hint="eastAsia"/>
                <w:b/>
                <w:lang w:eastAsia="zh-CN"/>
              </w:rPr>
              <w:t>和</w:t>
            </w:r>
            <w:r w:rsidRPr="007C3D0B">
              <w:rPr>
                <w:rFonts w:hint="eastAsia"/>
                <w:b/>
                <w:lang w:eastAsia="zh-CN"/>
              </w:rPr>
              <w:t>X.1255</w:t>
            </w:r>
            <w:r w:rsidRPr="007C3D0B">
              <w:rPr>
                <w:rFonts w:hint="eastAsia"/>
                <w:b/>
                <w:lang w:eastAsia="zh-CN"/>
              </w:rPr>
              <w:t>新建议书草案而召开的会议</w:t>
            </w:r>
          </w:p>
          <w:p w:rsidR="0063445E" w:rsidRDefault="007C3D0B" w:rsidP="007C3D0B">
            <w:pPr>
              <w:tabs>
                <w:tab w:val="left" w:pos="4111"/>
              </w:tabs>
              <w:spacing w:before="0"/>
              <w:ind w:left="57" w:right="28"/>
              <w:rPr>
                <w:lang w:eastAsia="zh-CN"/>
              </w:rPr>
            </w:pPr>
            <w:r w:rsidRPr="007C3D0B">
              <w:rPr>
                <w:rFonts w:hint="eastAsia"/>
                <w:b/>
                <w:lang w:eastAsia="zh-CN"/>
              </w:rPr>
              <w:t>2013</w:t>
            </w:r>
            <w:r w:rsidRPr="007C3D0B">
              <w:rPr>
                <w:rFonts w:hint="eastAsia"/>
                <w:b/>
                <w:lang w:eastAsia="zh-CN"/>
              </w:rPr>
              <w:t>年</w:t>
            </w:r>
            <w:r w:rsidRPr="007C3D0B">
              <w:rPr>
                <w:rFonts w:hint="eastAsia"/>
                <w:b/>
                <w:lang w:eastAsia="zh-CN"/>
              </w:rPr>
              <w:t>9</w:t>
            </w:r>
            <w:r w:rsidRPr="007C3D0B">
              <w:rPr>
                <w:rFonts w:hint="eastAsia"/>
                <w:b/>
                <w:lang w:eastAsia="zh-CN"/>
              </w:rPr>
              <w:t>月</w:t>
            </w:r>
            <w:r w:rsidRPr="007C3D0B">
              <w:rPr>
                <w:rFonts w:hint="eastAsia"/>
                <w:b/>
                <w:lang w:eastAsia="zh-CN"/>
              </w:rPr>
              <w:t>4</w:t>
            </w:r>
            <w:r w:rsidRPr="007C3D0B">
              <w:rPr>
                <w:rFonts w:hint="eastAsia"/>
                <w:b/>
                <w:lang w:eastAsia="zh-CN"/>
              </w:rPr>
              <w:t>日，日内瓦</w:t>
            </w:r>
          </w:p>
        </w:tc>
      </w:tr>
    </w:tbl>
    <w:p w:rsidR="0063445E" w:rsidRDefault="0063445E" w:rsidP="0063445E">
      <w:pPr>
        <w:rPr>
          <w:lang w:eastAsia="zh-CN"/>
        </w:rPr>
      </w:pPr>
      <w:bookmarkStart w:id="3" w:name="StartTyping_E"/>
      <w:bookmarkEnd w:id="3"/>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7C3D0B">
      <w:pPr>
        <w:jc w:val="both"/>
        <w:rPr>
          <w:lang w:eastAsia="zh-CN"/>
        </w:rPr>
      </w:pPr>
      <w:r>
        <w:rPr>
          <w:bCs/>
          <w:lang w:eastAsia="zh-CN"/>
        </w:rPr>
        <w:t>1</w:t>
      </w:r>
      <w:r>
        <w:rPr>
          <w:lang w:eastAsia="zh-CN"/>
        </w:rPr>
        <w:tab/>
      </w:r>
      <w:r w:rsidR="007C3D0B" w:rsidRPr="007C3D0B">
        <w:rPr>
          <w:lang w:eastAsia="zh-CN"/>
        </w:rPr>
        <w:t>应第</w:t>
      </w:r>
      <w:r w:rsidR="007C3D0B" w:rsidRPr="007C3D0B">
        <w:rPr>
          <w:rFonts w:hint="eastAsia"/>
          <w:lang w:eastAsia="zh-CN"/>
        </w:rPr>
        <w:t>17</w:t>
      </w:r>
      <w:r w:rsidR="007C3D0B" w:rsidRPr="007C3D0B">
        <w:rPr>
          <w:lang w:eastAsia="zh-CN"/>
        </w:rPr>
        <w:t>研究组（</w:t>
      </w:r>
      <w:r w:rsidR="007C3D0B" w:rsidRPr="00EA2AF5">
        <w:rPr>
          <w:rFonts w:ascii="STKaiti" w:eastAsia="STKaiti" w:hAnsi="STKaiti" w:hint="eastAsia"/>
          <w:lang w:eastAsia="zh-CN"/>
        </w:rPr>
        <w:t>安全</w:t>
      </w:r>
      <w:r w:rsidR="007C3D0B" w:rsidRPr="007C3D0B">
        <w:rPr>
          <w:lang w:eastAsia="zh-CN"/>
        </w:rPr>
        <w:t>）主席的请求，我荣幸地告知您，该研究组将于</w:t>
      </w:r>
      <w:r w:rsidR="007C3D0B" w:rsidRPr="007C3D0B">
        <w:rPr>
          <w:rFonts w:hint="eastAsia"/>
          <w:lang w:eastAsia="zh-CN"/>
        </w:rPr>
        <w:t>2013</w:t>
      </w:r>
      <w:r w:rsidR="007C3D0B" w:rsidRPr="007C3D0B">
        <w:rPr>
          <w:lang w:eastAsia="zh-CN"/>
        </w:rPr>
        <w:t>年</w:t>
      </w:r>
      <w:r w:rsidR="007C3D0B" w:rsidRPr="007C3D0B">
        <w:rPr>
          <w:rFonts w:hint="eastAsia"/>
          <w:lang w:eastAsia="zh-CN"/>
        </w:rPr>
        <w:t>8</w:t>
      </w:r>
      <w:r w:rsidR="007C3D0B" w:rsidRPr="007C3D0B">
        <w:rPr>
          <w:lang w:eastAsia="zh-CN"/>
        </w:rPr>
        <w:t>月</w:t>
      </w:r>
      <w:r w:rsidR="007C3D0B" w:rsidRPr="007C3D0B">
        <w:rPr>
          <w:rFonts w:hint="eastAsia"/>
          <w:lang w:eastAsia="zh-CN"/>
        </w:rPr>
        <w:t>26</w:t>
      </w:r>
      <w:r w:rsidR="007C3D0B" w:rsidRPr="007C3D0B">
        <w:rPr>
          <w:rFonts w:hint="eastAsia"/>
          <w:lang w:eastAsia="zh-CN"/>
        </w:rPr>
        <w:t>日</w:t>
      </w:r>
      <w:r w:rsidR="007C3D0B" w:rsidRPr="007C3D0B">
        <w:rPr>
          <w:lang w:eastAsia="zh-CN"/>
        </w:rPr>
        <w:t>至</w:t>
      </w:r>
      <w:r w:rsidR="007C3D0B" w:rsidRPr="007C3D0B">
        <w:rPr>
          <w:rFonts w:hint="eastAsia"/>
          <w:lang w:eastAsia="zh-CN"/>
        </w:rPr>
        <w:t>9</w:t>
      </w:r>
      <w:r w:rsidR="007C3D0B" w:rsidRPr="007C3D0B">
        <w:rPr>
          <w:rFonts w:hint="eastAsia"/>
          <w:lang w:eastAsia="zh-CN"/>
        </w:rPr>
        <w:t>月</w:t>
      </w:r>
      <w:r w:rsidR="007C3D0B" w:rsidRPr="007C3D0B">
        <w:rPr>
          <w:rFonts w:hint="eastAsia"/>
          <w:lang w:eastAsia="zh-CN"/>
        </w:rPr>
        <w:t>4</w:t>
      </w:r>
      <w:r w:rsidR="007C3D0B" w:rsidRPr="007C3D0B">
        <w:rPr>
          <w:lang w:eastAsia="zh-CN"/>
        </w:rPr>
        <w:t>日召开会议，并将采用世界电信标准化全会（</w:t>
      </w:r>
      <w:r w:rsidR="007C3D0B" w:rsidRPr="007C3D0B">
        <w:rPr>
          <w:lang w:eastAsia="zh-CN"/>
        </w:rPr>
        <w:t>20</w:t>
      </w:r>
      <w:r w:rsidR="007C3D0B" w:rsidRPr="007C3D0B">
        <w:rPr>
          <w:rFonts w:hint="eastAsia"/>
          <w:lang w:eastAsia="zh-CN"/>
        </w:rPr>
        <w:t>12</w:t>
      </w:r>
      <w:r w:rsidR="007C3D0B" w:rsidRPr="007C3D0B">
        <w:rPr>
          <w:lang w:eastAsia="zh-CN"/>
        </w:rPr>
        <w:t>年，</w:t>
      </w:r>
      <w:r w:rsidR="007C3D0B" w:rsidRPr="007C3D0B">
        <w:rPr>
          <w:rFonts w:hint="eastAsia"/>
          <w:lang w:eastAsia="zh-CN"/>
        </w:rPr>
        <w:t>迪拜</w:t>
      </w:r>
      <w:r w:rsidR="007C3D0B" w:rsidRPr="007C3D0B">
        <w:rPr>
          <w:lang w:eastAsia="zh-CN"/>
        </w:rPr>
        <w:t>）第</w:t>
      </w:r>
      <w:r w:rsidR="007C3D0B" w:rsidRPr="007C3D0B">
        <w:rPr>
          <w:lang w:eastAsia="zh-CN"/>
        </w:rPr>
        <w:t>1</w:t>
      </w:r>
      <w:r w:rsidR="007C3D0B" w:rsidRPr="007C3D0B">
        <w:rPr>
          <w:lang w:eastAsia="zh-CN"/>
        </w:rPr>
        <w:t>号决议第</w:t>
      </w:r>
      <w:r w:rsidR="007C3D0B" w:rsidRPr="007C3D0B">
        <w:rPr>
          <w:lang w:eastAsia="zh-CN"/>
        </w:rPr>
        <w:t>9</w:t>
      </w:r>
      <w:r w:rsidR="007C3D0B" w:rsidRPr="007C3D0B">
        <w:rPr>
          <w:lang w:eastAsia="zh-CN"/>
        </w:rPr>
        <w:t>节规定的程序来批准上述</w:t>
      </w:r>
      <w:r w:rsidR="007C3D0B" w:rsidRPr="007C3D0B">
        <w:rPr>
          <w:bCs/>
          <w:lang w:eastAsia="zh-CN"/>
        </w:rPr>
        <w:t>新建议书草案</w:t>
      </w:r>
      <w:r w:rsidR="007C3D0B" w:rsidRPr="007C3D0B">
        <w:rPr>
          <w:lang w:eastAsia="zh-CN"/>
        </w:rPr>
        <w:t>。</w:t>
      </w:r>
    </w:p>
    <w:p w:rsidR="0063445E" w:rsidRDefault="0063445E" w:rsidP="007C3D0B">
      <w:pPr>
        <w:jc w:val="both"/>
        <w:rPr>
          <w:lang w:eastAsia="zh-CN"/>
        </w:rPr>
      </w:pPr>
      <w:proofErr w:type="gramStart"/>
      <w:r>
        <w:rPr>
          <w:bCs/>
          <w:lang w:eastAsia="zh-CN"/>
        </w:rPr>
        <w:t>2</w:t>
      </w:r>
      <w:r>
        <w:rPr>
          <w:lang w:eastAsia="zh-CN"/>
        </w:rPr>
        <w:tab/>
      </w:r>
      <w:r w:rsidR="007C3D0B" w:rsidRPr="007C3D0B">
        <w:rPr>
          <w:lang w:eastAsia="zh-CN"/>
        </w:rPr>
        <w:t>建议批准的新的</w:t>
      </w:r>
      <w:r w:rsidR="007C3D0B" w:rsidRPr="007C3D0B">
        <w:rPr>
          <w:lang w:eastAsia="zh-CN"/>
        </w:rPr>
        <w:t>ITU-T</w:t>
      </w:r>
      <w:r w:rsidR="007C3D0B" w:rsidRPr="007C3D0B">
        <w:rPr>
          <w:lang w:eastAsia="zh-CN"/>
        </w:rPr>
        <w:t>建议书草案的</w:t>
      </w:r>
      <w:r w:rsidR="007C3D0B" w:rsidRPr="007C3D0B">
        <w:rPr>
          <w:rFonts w:hint="eastAsia"/>
          <w:lang w:eastAsia="zh-CN"/>
        </w:rPr>
        <w:t>标题、</w:t>
      </w:r>
      <w:r w:rsidR="007C3D0B" w:rsidRPr="007C3D0B">
        <w:rPr>
          <w:lang w:eastAsia="zh-CN"/>
        </w:rPr>
        <w:t>摘要及其出处见</w:t>
      </w:r>
      <w:r w:rsidR="007C3D0B" w:rsidRPr="007C3D0B">
        <w:rPr>
          <w:b/>
          <w:bCs/>
          <w:lang w:eastAsia="zh-CN"/>
        </w:rPr>
        <w:t>附件</w:t>
      </w:r>
      <w:r w:rsidR="007C3D0B" w:rsidRPr="007C3D0B">
        <w:rPr>
          <w:b/>
          <w:bCs/>
          <w:lang w:eastAsia="zh-CN"/>
        </w:rPr>
        <w:t>1</w:t>
      </w:r>
      <w:r w:rsidR="007C3D0B" w:rsidRPr="007C3D0B">
        <w:rPr>
          <w:lang w:eastAsia="zh-CN"/>
        </w:rPr>
        <w:t>。</w:t>
      </w:r>
      <w:proofErr w:type="gramEnd"/>
    </w:p>
    <w:p w:rsidR="0063445E" w:rsidRPr="007C3D0B" w:rsidRDefault="0063445E" w:rsidP="007C3D0B">
      <w:pPr>
        <w:jc w:val="both"/>
        <w:rPr>
          <w:lang w:val="en-US" w:eastAsia="zh-CN"/>
        </w:rPr>
      </w:pPr>
      <w:proofErr w:type="gramStart"/>
      <w:r>
        <w:rPr>
          <w:rFonts w:hint="eastAsia"/>
          <w:lang w:eastAsia="zh-CN"/>
        </w:rPr>
        <w:t>3</w:t>
      </w:r>
      <w:r>
        <w:rPr>
          <w:rFonts w:hint="eastAsia"/>
          <w:lang w:eastAsia="zh-CN"/>
        </w:rPr>
        <w:tab/>
      </w:r>
      <w:r w:rsidR="007C3D0B" w:rsidRPr="00E6572A">
        <w:rPr>
          <w:spacing w:val="6"/>
          <w:lang w:eastAsia="zh-CN"/>
        </w:rPr>
        <w:t>所有了解自己或他人持有的专利可能整体或部分地涉及建议批准的（一项或多项）建议书草案内容的国际电联成员国、部门成员、部门准成员或学术机构，均需按照</w:t>
      </w:r>
      <w:r w:rsidR="007C3D0B" w:rsidRPr="007C3D0B">
        <w:rPr>
          <w:lang w:eastAsia="zh-CN"/>
        </w:rPr>
        <w:t>ITU-T/ITU-R/ISO</w:t>
      </w:r>
      <w:r w:rsidR="007C3D0B" w:rsidRPr="007C3D0B">
        <w:rPr>
          <w:lang w:eastAsia="zh-CN"/>
        </w:rPr>
        <w:t>（国际标准化组织）</w:t>
      </w:r>
      <w:r w:rsidR="007C3D0B" w:rsidRPr="007C3D0B">
        <w:rPr>
          <w:lang w:eastAsia="zh-CN"/>
        </w:rPr>
        <w:t>/IEC</w:t>
      </w:r>
      <w:r w:rsidR="007C3D0B" w:rsidRPr="007C3D0B">
        <w:rPr>
          <w:lang w:eastAsia="zh-CN"/>
        </w:rPr>
        <w:t>（国际电工委员会）的共同专利政策，向电信标准化局披露这类信息。</w:t>
      </w:r>
      <w:proofErr w:type="gramEnd"/>
    </w:p>
    <w:p w:rsidR="0063445E" w:rsidRDefault="0063445E" w:rsidP="00486359">
      <w:pPr>
        <w:tabs>
          <w:tab w:val="clear" w:pos="794"/>
          <w:tab w:val="left" w:pos="540"/>
        </w:tabs>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ITU-T</w:t>
      </w:r>
      <w:r>
        <w:rPr>
          <w:rFonts w:hint="eastAsia"/>
          <w:lang w:eastAsia="zh-CN"/>
        </w:rPr>
        <w:t>网站（</w:t>
      </w:r>
      <w:r w:rsidR="003528FA">
        <w:fldChar w:fldCharType="begin"/>
      </w:r>
      <w:r w:rsidR="003528FA">
        <w:instrText xml:space="preserve"> HYPERLINK "http://www.itu.int/itu-t/ipr/" </w:instrText>
      </w:r>
      <w:r w:rsidR="003528FA">
        <w:fldChar w:fldCharType="separate"/>
      </w:r>
      <w:r w:rsidRPr="002A7750">
        <w:rPr>
          <w:rStyle w:val="Hyperlink"/>
        </w:rPr>
        <w:t>www.itu.int/ITU-T/ipr/</w:t>
      </w:r>
      <w:r w:rsidR="003528FA">
        <w:rPr>
          <w:rStyle w:val="Hyperlink"/>
        </w:rPr>
        <w:fldChar w:fldCharType="end"/>
      </w:r>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63445E" w:rsidP="007C3D0B">
      <w:pPr>
        <w:rPr>
          <w:lang w:eastAsia="zh-CN"/>
        </w:rPr>
      </w:pPr>
      <w:r>
        <w:rPr>
          <w:rFonts w:hint="eastAsia"/>
          <w:lang w:eastAsia="zh-CN"/>
        </w:rPr>
        <w:t>4</w:t>
      </w:r>
      <w:r>
        <w:rPr>
          <w:lang w:eastAsia="zh-CN"/>
        </w:rPr>
        <w:tab/>
      </w:r>
      <w:r w:rsidR="007C3D0B" w:rsidRPr="007C3D0B">
        <w:rPr>
          <w:lang w:eastAsia="zh-CN"/>
        </w:rPr>
        <w:t>考虑到第</w:t>
      </w:r>
      <w:r w:rsidR="007C3D0B" w:rsidRPr="007C3D0B">
        <w:rPr>
          <w:lang w:eastAsia="zh-CN"/>
        </w:rPr>
        <w:t>1</w:t>
      </w:r>
      <w:r w:rsidR="007C3D0B" w:rsidRPr="007C3D0B">
        <w:rPr>
          <w:lang w:eastAsia="zh-CN"/>
        </w:rPr>
        <w:t>号决议第</w:t>
      </w:r>
      <w:r w:rsidR="007C3D0B" w:rsidRPr="007C3D0B">
        <w:rPr>
          <w:lang w:eastAsia="zh-CN"/>
        </w:rPr>
        <w:t>9</w:t>
      </w:r>
      <w:r w:rsidR="007C3D0B" w:rsidRPr="007C3D0B">
        <w:rPr>
          <w:lang w:eastAsia="zh-CN"/>
        </w:rPr>
        <w:t>节的规定，请您在</w:t>
      </w:r>
      <w:r w:rsidR="007C3D0B" w:rsidRPr="007C3D0B">
        <w:rPr>
          <w:rFonts w:hint="eastAsia"/>
          <w:b/>
          <w:bCs/>
          <w:lang w:eastAsia="zh-CN"/>
        </w:rPr>
        <w:t>2013</w:t>
      </w:r>
      <w:r w:rsidR="007C3D0B" w:rsidRPr="007C3D0B">
        <w:rPr>
          <w:b/>
          <w:bCs/>
          <w:lang w:eastAsia="zh-CN"/>
        </w:rPr>
        <w:t>年</w:t>
      </w:r>
      <w:r w:rsidR="007C3D0B" w:rsidRPr="007C3D0B">
        <w:rPr>
          <w:rFonts w:hint="eastAsia"/>
          <w:b/>
          <w:bCs/>
          <w:lang w:eastAsia="zh-CN"/>
        </w:rPr>
        <w:t>8</w:t>
      </w:r>
      <w:r w:rsidR="007C3D0B" w:rsidRPr="007C3D0B">
        <w:rPr>
          <w:b/>
          <w:bCs/>
          <w:lang w:eastAsia="zh-CN"/>
        </w:rPr>
        <w:t>月</w:t>
      </w:r>
      <w:r w:rsidR="007C3D0B" w:rsidRPr="007C3D0B">
        <w:rPr>
          <w:rFonts w:hint="eastAsia"/>
          <w:b/>
          <w:bCs/>
          <w:lang w:eastAsia="zh-CN"/>
        </w:rPr>
        <w:t>15</w:t>
      </w:r>
      <w:r w:rsidR="007C3D0B" w:rsidRPr="007C3D0B">
        <w:rPr>
          <w:b/>
          <w:bCs/>
          <w:lang w:eastAsia="zh-CN"/>
        </w:rPr>
        <w:t>日</w:t>
      </w:r>
      <w:r w:rsidR="007C3D0B" w:rsidRPr="007C3D0B">
        <w:rPr>
          <w:lang w:eastAsia="zh-CN"/>
        </w:rPr>
        <w:t>协调世界时</w:t>
      </w:r>
      <w:r w:rsidR="007C3D0B" w:rsidRPr="007C3D0B">
        <w:rPr>
          <w:lang w:eastAsia="zh-CN"/>
        </w:rPr>
        <w:t>24</w:t>
      </w:r>
      <w:r w:rsidR="007C3D0B" w:rsidRPr="007C3D0B">
        <w:rPr>
          <w:lang w:eastAsia="zh-CN"/>
        </w:rPr>
        <w:t>时告知我，贵主管部门是否同意授权第</w:t>
      </w:r>
      <w:r w:rsidR="007C3D0B" w:rsidRPr="007C3D0B">
        <w:rPr>
          <w:rFonts w:hint="eastAsia"/>
          <w:lang w:eastAsia="zh-CN"/>
        </w:rPr>
        <w:t>17</w:t>
      </w:r>
      <w:r w:rsidR="007C3D0B" w:rsidRPr="007C3D0B">
        <w:rPr>
          <w:lang w:eastAsia="zh-CN"/>
        </w:rPr>
        <w:t>研究组在该研究组会议上审议并批准上述新建议书草案。</w:t>
      </w:r>
    </w:p>
    <w:p w:rsidR="0063445E" w:rsidRDefault="007C3D0B" w:rsidP="00841612">
      <w:pPr>
        <w:ind w:firstLine="490"/>
        <w:jc w:val="both"/>
        <w:rPr>
          <w:lang w:eastAsia="zh-CN"/>
        </w:rPr>
      </w:pPr>
      <w:r w:rsidRPr="007C3D0B">
        <w:rPr>
          <w:rFonts w:hint="eastAsia"/>
          <w:lang w:eastAsia="zh-CN"/>
        </w:rPr>
        <w:t>如有成员国认为不应进入审议批准程序，则应阐明其反对原因并提出可能的修改意见，以推动对相关新建议书草案的进一步审议，以便批准。</w:t>
      </w:r>
    </w:p>
    <w:p w:rsidR="0063445E" w:rsidRDefault="0063445E" w:rsidP="007C3D0B">
      <w:pPr>
        <w:jc w:val="both"/>
        <w:rPr>
          <w:lang w:eastAsia="zh-CN"/>
        </w:rPr>
      </w:pPr>
      <w:r>
        <w:rPr>
          <w:rFonts w:hint="eastAsia"/>
          <w:lang w:eastAsia="zh-CN"/>
        </w:rPr>
        <w:lastRenderedPageBreak/>
        <w:t>5</w:t>
      </w:r>
      <w:r>
        <w:rPr>
          <w:lang w:eastAsia="zh-CN"/>
        </w:rPr>
        <w:tab/>
      </w:r>
      <w:r w:rsidR="007C3D0B" w:rsidRPr="007C3D0B">
        <w:rPr>
          <w:lang w:eastAsia="zh-CN"/>
        </w:rPr>
        <w:t>如果</w:t>
      </w:r>
      <w:r w:rsidR="007C3D0B" w:rsidRPr="007C3D0B">
        <w:rPr>
          <w:lang w:eastAsia="zh-CN"/>
        </w:rPr>
        <w:t>70</w:t>
      </w:r>
      <w:r w:rsidR="007C3D0B" w:rsidRPr="007C3D0B">
        <w:rPr>
          <w:rFonts w:hint="eastAsia"/>
          <w:lang w:eastAsia="zh-CN"/>
        </w:rPr>
        <w:t>%</w:t>
      </w:r>
      <w:r w:rsidR="007C3D0B" w:rsidRPr="007C3D0B">
        <w:rPr>
          <w:lang w:eastAsia="zh-CN"/>
        </w:rPr>
        <w:t>以上的成员国在回复中支持在该研究组会议上审议并批准上述新建议书草案，则将于</w:t>
      </w:r>
      <w:r w:rsidR="007C3D0B" w:rsidRPr="007C3D0B">
        <w:rPr>
          <w:rFonts w:hint="eastAsia"/>
          <w:b/>
          <w:lang w:eastAsia="zh-CN"/>
        </w:rPr>
        <w:t>2013</w:t>
      </w:r>
      <w:r w:rsidR="007C3D0B" w:rsidRPr="007C3D0B">
        <w:rPr>
          <w:b/>
          <w:lang w:eastAsia="zh-CN"/>
        </w:rPr>
        <w:t>年</w:t>
      </w:r>
      <w:r w:rsidR="007C3D0B" w:rsidRPr="007C3D0B">
        <w:rPr>
          <w:rFonts w:hint="eastAsia"/>
          <w:b/>
          <w:lang w:eastAsia="zh-CN"/>
        </w:rPr>
        <w:t>9</w:t>
      </w:r>
      <w:r w:rsidR="007C3D0B" w:rsidRPr="007C3D0B">
        <w:rPr>
          <w:b/>
          <w:lang w:eastAsia="zh-CN"/>
        </w:rPr>
        <w:t>月</w:t>
      </w:r>
      <w:r w:rsidR="007C3D0B" w:rsidRPr="007C3D0B">
        <w:rPr>
          <w:rFonts w:hint="eastAsia"/>
          <w:b/>
          <w:lang w:eastAsia="zh-CN"/>
        </w:rPr>
        <w:t>4</w:t>
      </w:r>
      <w:r w:rsidR="007C3D0B" w:rsidRPr="007C3D0B">
        <w:rPr>
          <w:b/>
          <w:lang w:eastAsia="zh-CN"/>
        </w:rPr>
        <w:t>日</w:t>
      </w:r>
      <w:r w:rsidR="007C3D0B" w:rsidRPr="007C3D0B">
        <w:rPr>
          <w:lang w:eastAsia="zh-CN"/>
        </w:rPr>
        <w:t>召开一次全体会议，实施该批准程序。</w:t>
      </w:r>
    </w:p>
    <w:p w:rsidR="007C3D0B" w:rsidRPr="007C3D0B" w:rsidRDefault="007C3D0B" w:rsidP="007C3D0B">
      <w:pPr>
        <w:tabs>
          <w:tab w:val="clear" w:pos="794"/>
          <w:tab w:val="left" w:pos="540"/>
        </w:tabs>
        <w:ind w:firstLineChars="200" w:firstLine="480"/>
        <w:jc w:val="both"/>
        <w:rPr>
          <w:lang w:eastAsia="zh-CN"/>
        </w:rPr>
      </w:pPr>
      <w:r w:rsidRPr="007C3D0B">
        <w:rPr>
          <w:lang w:eastAsia="zh-CN"/>
        </w:rPr>
        <w:t>为此，我邀请贵主管部门派出一名代表参加会议。请</w:t>
      </w:r>
      <w:r w:rsidRPr="007C3D0B">
        <w:rPr>
          <w:b/>
          <w:bCs/>
          <w:lang w:eastAsia="zh-CN"/>
        </w:rPr>
        <w:t>国际电联成员国的主管部门</w:t>
      </w:r>
      <w:r w:rsidRPr="007C3D0B">
        <w:rPr>
          <w:lang w:eastAsia="zh-CN"/>
        </w:rPr>
        <w:t>提供其代表团团长的姓名。如果贵主管部门希望由一家经认可的运营机构、一个科学或工业组织或处理电信问题的另一实体作为代表参加会议，则应按照国际电联《公约》第</w:t>
      </w:r>
      <w:r w:rsidRPr="007C3D0B">
        <w:rPr>
          <w:lang w:eastAsia="zh-CN"/>
        </w:rPr>
        <w:t>19</w:t>
      </w:r>
      <w:r w:rsidRPr="007C3D0B">
        <w:rPr>
          <w:lang w:eastAsia="zh-CN"/>
        </w:rPr>
        <w:t>条第</w:t>
      </w:r>
      <w:r w:rsidRPr="007C3D0B">
        <w:rPr>
          <w:lang w:eastAsia="zh-CN"/>
        </w:rPr>
        <w:t>239</w:t>
      </w:r>
      <w:r w:rsidRPr="007C3D0B">
        <w:rPr>
          <w:lang w:eastAsia="zh-CN"/>
        </w:rPr>
        <w:t>款的规定，将有关情况适时向主任通报。</w:t>
      </w:r>
    </w:p>
    <w:p w:rsidR="0063445E" w:rsidRDefault="0063445E" w:rsidP="007C3D0B">
      <w:pPr>
        <w:jc w:val="both"/>
        <w:rPr>
          <w:lang w:eastAsia="zh-CN"/>
        </w:rPr>
      </w:pPr>
      <w:r>
        <w:rPr>
          <w:rFonts w:hint="eastAsia"/>
          <w:lang w:eastAsia="zh-CN"/>
        </w:rPr>
        <w:t>6</w:t>
      </w:r>
      <w:r>
        <w:rPr>
          <w:lang w:eastAsia="zh-CN"/>
        </w:rPr>
        <w:tab/>
      </w:r>
      <w:r w:rsidR="007C3D0B" w:rsidRPr="007C3D0B">
        <w:rPr>
          <w:lang w:eastAsia="zh-CN"/>
        </w:rPr>
        <w:t>有关第</w:t>
      </w:r>
      <w:r w:rsidR="007C3D0B" w:rsidRPr="007C3D0B">
        <w:rPr>
          <w:rFonts w:hint="eastAsia"/>
          <w:lang w:eastAsia="zh-CN"/>
        </w:rPr>
        <w:t>17</w:t>
      </w:r>
      <w:r w:rsidR="007C3D0B" w:rsidRPr="007C3D0B">
        <w:rPr>
          <w:lang w:eastAsia="zh-CN"/>
        </w:rPr>
        <w:t>研究组会议的议程和所有相关信息将在</w:t>
      </w:r>
      <w:r w:rsidR="007C3D0B" w:rsidRPr="007C3D0B">
        <w:rPr>
          <w:rFonts w:hint="eastAsia"/>
          <w:lang w:eastAsia="zh-CN"/>
        </w:rPr>
        <w:t>未来发布的</w:t>
      </w:r>
      <w:r w:rsidR="007C3D0B" w:rsidRPr="007C3D0B">
        <w:rPr>
          <w:lang w:eastAsia="zh-CN"/>
        </w:rPr>
        <w:t>集体函中提供。</w:t>
      </w:r>
    </w:p>
    <w:p w:rsidR="0063445E" w:rsidRDefault="0063445E" w:rsidP="007C3D0B">
      <w:pPr>
        <w:jc w:val="both"/>
        <w:rPr>
          <w:lang w:eastAsia="zh-CN"/>
        </w:rPr>
      </w:pPr>
      <w:r>
        <w:rPr>
          <w:rFonts w:hint="eastAsia"/>
          <w:lang w:eastAsia="zh-CN"/>
        </w:rPr>
        <w:t>7</w:t>
      </w:r>
      <w:r>
        <w:rPr>
          <w:lang w:eastAsia="zh-CN"/>
        </w:rPr>
        <w:tab/>
      </w:r>
      <w:r w:rsidR="007C3D0B" w:rsidRPr="007C3D0B">
        <w:rPr>
          <w:lang w:eastAsia="zh-CN"/>
        </w:rPr>
        <w:t>会后电信标准化局主任将以通函的形式通报就这几份建议书做出的决定。此信息还将在《国际电联操作公报》中公布。</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CA0F02">
        <w:rPr>
          <w:b/>
          <w:bCs/>
          <w:lang w:val="en-US" w:eastAsia="zh-CN"/>
        </w:rPr>
        <w:t>1</w:t>
      </w:r>
      <w:r w:rsidR="009424FC">
        <w:rPr>
          <w:rFonts w:hint="eastAsia"/>
          <w:b/>
          <w:bCs/>
          <w:lang w:eastAsia="zh-CN"/>
        </w:rPr>
        <w:t>件</w:t>
      </w:r>
    </w:p>
    <w:p w:rsidR="00CA0F02" w:rsidRDefault="00CA0F0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A0F02" w:rsidRPr="00CA0F02" w:rsidRDefault="00CA0F02" w:rsidP="00860755">
      <w:pPr>
        <w:pStyle w:val="AnnexRef"/>
        <w:rPr>
          <w:b/>
          <w:bCs/>
          <w:lang w:eastAsia="zh-CN"/>
        </w:rPr>
      </w:pPr>
      <w:r w:rsidRPr="00CA0F02">
        <w:rPr>
          <w:rFonts w:hint="eastAsia"/>
          <w:b/>
          <w:bCs/>
          <w:lang w:eastAsia="zh-CN"/>
        </w:rPr>
        <w:lastRenderedPageBreak/>
        <w:t>（</w:t>
      </w:r>
      <w:r w:rsidRPr="00CA0F02">
        <w:rPr>
          <w:b/>
          <w:bCs/>
          <w:lang w:eastAsia="zh-CN"/>
        </w:rPr>
        <w:t>电信标准化</w:t>
      </w:r>
      <w:r w:rsidRPr="00CA0F02">
        <w:rPr>
          <w:rFonts w:hint="eastAsia"/>
          <w:b/>
          <w:bCs/>
          <w:lang w:eastAsia="zh-CN"/>
        </w:rPr>
        <w:t>局第</w:t>
      </w:r>
      <w:r w:rsidR="003769BA" w:rsidRPr="00860755">
        <w:rPr>
          <w:rFonts w:hint="eastAsia"/>
          <w:b/>
          <w:bCs/>
          <w:lang w:eastAsia="zh-CN"/>
        </w:rPr>
        <w:t>24</w:t>
      </w:r>
      <w:r w:rsidRPr="00CA0F02">
        <w:rPr>
          <w:b/>
          <w:bCs/>
          <w:lang w:eastAsia="zh-CN"/>
        </w:rPr>
        <w:t>号通函</w:t>
      </w:r>
      <w:r w:rsidRPr="00CA0F02">
        <w:rPr>
          <w:rFonts w:hint="eastAsia"/>
          <w:b/>
          <w:bCs/>
          <w:lang w:eastAsia="zh-CN"/>
        </w:rPr>
        <w:t>）</w:t>
      </w:r>
      <w:r w:rsidRPr="00CA0F02">
        <w:rPr>
          <w:b/>
          <w:bCs/>
          <w:lang w:eastAsia="zh-CN"/>
        </w:rPr>
        <w:br/>
      </w:r>
      <w:r w:rsidRPr="00CA0F02">
        <w:rPr>
          <w:rFonts w:hint="eastAsia"/>
          <w:b/>
          <w:bCs/>
          <w:lang w:eastAsia="zh-CN"/>
        </w:rPr>
        <w:t>附件</w:t>
      </w:r>
      <w:r w:rsidRPr="00CA0F02">
        <w:rPr>
          <w:rFonts w:hint="eastAsia"/>
          <w:b/>
          <w:bCs/>
          <w:lang w:eastAsia="zh-CN"/>
        </w:rPr>
        <w:t>1</w:t>
      </w:r>
    </w:p>
    <w:p w:rsidR="00CA0F02" w:rsidRPr="00CA0F02" w:rsidRDefault="00CA0F02" w:rsidP="00CA0F02">
      <w:pPr>
        <w:pStyle w:val="AnnexTitle"/>
        <w:rPr>
          <w:lang w:eastAsia="zh-CN"/>
        </w:rPr>
      </w:pPr>
      <w:r w:rsidRPr="00CA0F02">
        <w:rPr>
          <w:lang w:eastAsia="zh-CN"/>
        </w:rPr>
        <w:t>案文摘要和</w:t>
      </w:r>
      <w:r w:rsidRPr="00CA0F02">
        <w:rPr>
          <w:rFonts w:hint="eastAsia"/>
          <w:lang w:eastAsia="zh-CN"/>
        </w:rPr>
        <w:t>出</w:t>
      </w:r>
      <w:r w:rsidRPr="00CA0F02">
        <w:rPr>
          <w:lang w:eastAsia="zh-CN"/>
        </w:rPr>
        <w:t>处</w:t>
      </w:r>
    </w:p>
    <w:p w:rsidR="00CA0F02" w:rsidRPr="00CA0F02" w:rsidRDefault="00CA0F02" w:rsidP="00CA0F02">
      <w:pPr>
        <w:pStyle w:val="headingb"/>
        <w:rPr>
          <w:lang w:eastAsia="zh-CN"/>
        </w:rPr>
      </w:pPr>
      <w:r w:rsidRPr="00CA0F02">
        <w:rPr>
          <w:lang w:eastAsia="zh-CN"/>
        </w:rPr>
        <w:t>ITU-T X.1208 (X.csi)</w:t>
      </w:r>
      <w:r w:rsidRPr="00CA0F02">
        <w:rPr>
          <w:rFonts w:hint="eastAsia"/>
          <w:lang w:eastAsia="zh-CN"/>
        </w:rPr>
        <w:t>新建议书草案，网络安全指数指导原则</w:t>
      </w:r>
      <w:r w:rsidRPr="00CA0F02">
        <w:rPr>
          <w:lang w:eastAsia="zh-CN"/>
        </w:rPr>
        <w:br/>
        <w:t>COM 17 – R 4</w:t>
      </w:r>
    </w:p>
    <w:p w:rsidR="00CA0F02" w:rsidRPr="00CA0F02" w:rsidRDefault="00CA0F02" w:rsidP="00CA0F02">
      <w:pPr>
        <w:pStyle w:val="headingb"/>
        <w:rPr>
          <w:lang w:eastAsia="zh-CN"/>
        </w:rPr>
      </w:pPr>
      <w:r w:rsidRPr="00CA0F02">
        <w:rPr>
          <w:rFonts w:hint="eastAsia"/>
          <w:lang w:eastAsia="zh-CN"/>
        </w:rPr>
        <w:t>摘要</w:t>
      </w:r>
    </w:p>
    <w:p w:rsidR="00CA0F02" w:rsidRPr="00CA0F02" w:rsidRDefault="00CA0F02" w:rsidP="00CA0F02">
      <w:pPr>
        <w:ind w:firstLineChars="200" w:firstLine="480"/>
        <w:rPr>
          <w:lang w:eastAsia="zh-CN"/>
        </w:rPr>
      </w:pPr>
      <w:r w:rsidRPr="00CA0F02">
        <w:rPr>
          <w:rFonts w:hint="eastAsia"/>
          <w:lang w:eastAsia="zh-CN"/>
        </w:rPr>
        <w:t>网络安全指数用于衡量网络安全能力水平，以及一个组织、社区或国家的网络安全计划随时间推移的发展情况。</w:t>
      </w:r>
    </w:p>
    <w:p w:rsidR="00CA0F02" w:rsidRPr="00CA0F02" w:rsidRDefault="00CA0F02" w:rsidP="00CA0F02">
      <w:pPr>
        <w:ind w:firstLineChars="200" w:firstLine="480"/>
        <w:rPr>
          <w:lang w:eastAsia="zh-CN"/>
        </w:rPr>
      </w:pPr>
      <w:r w:rsidRPr="00CA0F02">
        <w:rPr>
          <w:rFonts w:hint="eastAsia"/>
          <w:lang w:eastAsia="zh-CN"/>
        </w:rPr>
        <w:t>ITU-T X.1208</w:t>
      </w:r>
      <w:r w:rsidRPr="00CA0F02">
        <w:rPr>
          <w:rFonts w:hint="eastAsia"/>
          <w:lang w:eastAsia="zh-CN"/>
        </w:rPr>
        <w:t>建议书提供有助于制定、选择和落实作为网络安全指数（</w:t>
      </w:r>
      <w:r w:rsidRPr="00CA0F02">
        <w:rPr>
          <w:rFonts w:hint="eastAsia"/>
          <w:lang w:eastAsia="zh-CN"/>
        </w:rPr>
        <w:t>CSI</w:t>
      </w:r>
      <w:r w:rsidRPr="00CA0F02">
        <w:rPr>
          <w:rFonts w:hint="eastAsia"/>
          <w:lang w:eastAsia="zh-CN"/>
        </w:rPr>
        <w:t>）计算依据的措施或指标的指导原则。为达到这一目标，</w:t>
      </w:r>
      <w:r w:rsidRPr="00CA0F02">
        <w:rPr>
          <w:rFonts w:hint="eastAsia"/>
          <w:lang w:eastAsia="zh-CN"/>
        </w:rPr>
        <w:t>ITU-T X.1208</w:t>
      </w:r>
      <w:r w:rsidRPr="00CA0F02">
        <w:rPr>
          <w:rFonts w:hint="eastAsia"/>
          <w:lang w:eastAsia="zh-CN"/>
        </w:rPr>
        <w:t>建议书提供了一系列可能的指标，并描述了用于从不同阶段指标中计算</w:t>
      </w:r>
      <w:r w:rsidRPr="00CA0F02">
        <w:rPr>
          <w:lang w:eastAsia="zh-CN"/>
        </w:rPr>
        <w:t>CSI</w:t>
      </w:r>
      <w:r w:rsidRPr="00CA0F02">
        <w:rPr>
          <w:rFonts w:hint="eastAsia"/>
          <w:lang w:eastAsia="zh-CN"/>
        </w:rPr>
        <w:t>的方法。</w:t>
      </w:r>
    </w:p>
    <w:p w:rsidR="00CA0F02" w:rsidRPr="00CA0F02" w:rsidRDefault="00CA0F02" w:rsidP="00CA0F02">
      <w:pPr>
        <w:pStyle w:val="headingb"/>
        <w:rPr>
          <w:lang w:eastAsia="zh-CN"/>
        </w:rPr>
      </w:pPr>
      <w:r w:rsidRPr="00CA0F02">
        <w:rPr>
          <w:lang w:eastAsia="zh-CN"/>
        </w:rPr>
        <w:t>ITU-T X.1255 (X.</w:t>
      </w:r>
      <w:r w:rsidRPr="00CA0F02">
        <w:rPr>
          <w:rFonts w:hint="eastAsia"/>
          <w:lang w:eastAsia="zh-CN"/>
        </w:rPr>
        <w:t>发现</w:t>
      </w:r>
      <w:proofErr w:type="gramStart"/>
      <w:r w:rsidRPr="00CA0F02">
        <w:rPr>
          <w:lang w:eastAsia="zh-CN"/>
        </w:rPr>
        <w:t>)</w:t>
      </w:r>
      <w:r w:rsidRPr="00CA0F02">
        <w:rPr>
          <w:rFonts w:hint="eastAsia"/>
          <w:lang w:eastAsia="zh-CN"/>
        </w:rPr>
        <w:t>新建议书草案</w:t>
      </w:r>
      <w:proofErr w:type="gramEnd"/>
      <w:r w:rsidRPr="00CA0F02">
        <w:rPr>
          <w:rFonts w:hint="eastAsia"/>
          <w:lang w:eastAsia="zh-CN"/>
        </w:rPr>
        <w:t>，身份管理信息的发现框架</w:t>
      </w:r>
      <w:r w:rsidRPr="00CA0F02">
        <w:rPr>
          <w:lang w:eastAsia="zh-CN"/>
        </w:rPr>
        <w:br/>
      </w:r>
      <w:r w:rsidR="003769BA">
        <w:rPr>
          <w:lang w:eastAsia="zh-CN"/>
        </w:rPr>
        <w:t>COM 17 – R 6</w:t>
      </w:r>
      <w:r w:rsidRPr="00CA0F02">
        <w:rPr>
          <w:rFonts w:hint="eastAsia"/>
          <w:b w:val="0"/>
          <w:bCs/>
          <w:lang w:eastAsia="zh-CN"/>
        </w:rPr>
        <w:t>（</w:t>
      </w:r>
      <w:r w:rsidRPr="00CA0F02">
        <w:rPr>
          <w:rFonts w:ascii="STKaiti" w:eastAsia="STKaiti" w:hAnsi="STKaiti" w:hint="eastAsia"/>
          <w:b w:val="0"/>
          <w:bCs/>
          <w:lang w:eastAsia="zh-CN"/>
        </w:rPr>
        <w:t>将很快在网上提供</w:t>
      </w:r>
      <w:r w:rsidRPr="00CA0F02">
        <w:rPr>
          <w:rFonts w:hint="eastAsia"/>
          <w:b w:val="0"/>
          <w:bCs/>
          <w:lang w:eastAsia="zh-CN"/>
        </w:rPr>
        <w:t>）</w:t>
      </w:r>
    </w:p>
    <w:p w:rsidR="00CA0F02" w:rsidRPr="00CA0F02" w:rsidRDefault="00CA0F02" w:rsidP="00CA0F02">
      <w:pPr>
        <w:pStyle w:val="headingb"/>
        <w:rPr>
          <w:lang w:eastAsia="zh-CN"/>
        </w:rPr>
      </w:pPr>
      <w:r w:rsidRPr="00CA0F02">
        <w:rPr>
          <w:rFonts w:hint="eastAsia"/>
          <w:lang w:eastAsia="zh-CN"/>
        </w:rPr>
        <w:t>摘要</w:t>
      </w:r>
    </w:p>
    <w:p w:rsidR="00CA0F02" w:rsidRPr="00CA0F02" w:rsidRDefault="00CA0F02" w:rsidP="00CA0F02">
      <w:pPr>
        <w:ind w:firstLineChars="200" w:firstLine="480"/>
        <w:rPr>
          <w:lang w:eastAsia="zh-CN"/>
        </w:rPr>
      </w:pPr>
      <w:r w:rsidRPr="00CA0F02">
        <w:rPr>
          <w:rFonts w:hint="eastAsia"/>
          <w:lang w:eastAsia="zh-CN"/>
        </w:rPr>
        <w:t>ITU-T X.1255</w:t>
      </w:r>
      <w:r w:rsidRPr="00CA0F02">
        <w:rPr>
          <w:rFonts w:hint="eastAsia"/>
          <w:lang w:eastAsia="zh-CN"/>
        </w:rPr>
        <w:t>建议书旨在提供一个可以发现身份管理信息的开放体系结构框架。这一</w:t>
      </w:r>
      <w:r w:rsidRPr="00CA0F02">
        <w:rPr>
          <w:lang w:eastAsia="zh-CN"/>
        </w:rPr>
        <w:t>IdM</w:t>
      </w:r>
      <w:r w:rsidRPr="00CA0F02">
        <w:rPr>
          <w:rFonts w:hint="eastAsia"/>
          <w:lang w:eastAsia="zh-CN"/>
        </w:rPr>
        <w:t>信息必然会以不同方式表示，并得到不同信用框架或使用不同元数据方案的其它</w:t>
      </w:r>
      <w:r w:rsidRPr="00CA0F02">
        <w:rPr>
          <w:rFonts w:hint="eastAsia"/>
          <w:lang w:eastAsia="zh-CN"/>
        </w:rPr>
        <w:t>IdM</w:t>
      </w:r>
      <w:r w:rsidRPr="00CA0F02">
        <w:rPr>
          <w:rFonts w:hint="eastAsia"/>
          <w:lang w:eastAsia="zh-CN"/>
        </w:rPr>
        <w:t>系统的支持。例如，这一框架将使在一个</w:t>
      </w:r>
      <w:r w:rsidRPr="00CA0F02">
        <w:rPr>
          <w:rFonts w:hint="eastAsia"/>
          <w:lang w:eastAsia="zh-CN"/>
        </w:rPr>
        <w:t>IdM</w:t>
      </w:r>
      <w:r w:rsidRPr="00CA0F02">
        <w:rPr>
          <w:rFonts w:hint="eastAsia"/>
          <w:lang w:eastAsia="zh-CN"/>
        </w:rPr>
        <w:t>系统环境中运行的实体能够准确破解其它</w:t>
      </w:r>
      <w:r w:rsidRPr="00CA0F02">
        <w:rPr>
          <w:rFonts w:hint="eastAsia"/>
          <w:lang w:eastAsia="zh-CN"/>
        </w:rPr>
        <w:t>IdM</w:t>
      </w:r>
      <w:r w:rsidRPr="00CA0F02">
        <w:rPr>
          <w:rFonts w:hint="eastAsia"/>
          <w:lang w:eastAsia="zh-CN"/>
        </w:rPr>
        <w:t>系统的标识符。如果没有发现这种信息的能力，就要靠用户和机构（或代其运行的程序）确定怎样最有效地为用户、系统资源、信息或其他实体认证适用身份的可信性和真实性。根据这一信息，需要用户或机构确定是否要为此目的依靠一个特定的信任框架，还是其它</w:t>
      </w:r>
      <w:proofErr w:type="spellStart"/>
      <w:r w:rsidRPr="00CA0F02">
        <w:rPr>
          <w:rFonts w:hint="eastAsia"/>
          <w:lang w:eastAsia="zh-CN"/>
        </w:rPr>
        <w:t>IdM</w:t>
      </w:r>
      <w:proofErr w:type="spellEnd"/>
      <w:r>
        <w:rPr>
          <w:rFonts w:hint="eastAsia"/>
          <w:lang w:eastAsia="zh-CN"/>
        </w:rPr>
        <w:t>系统。</w:t>
      </w:r>
      <w:r w:rsidRPr="00CA0F02">
        <w:rPr>
          <w:rFonts w:hint="eastAsia"/>
          <w:lang w:eastAsia="zh-CN"/>
        </w:rPr>
        <w:t>本建议书确定核心框架组成部分包括：</w:t>
      </w:r>
      <w:r w:rsidRPr="00CA0F02">
        <w:rPr>
          <w:rFonts w:hint="eastAsia"/>
          <w:lang w:eastAsia="zh-CN"/>
        </w:rPr>
        <w:t>1</w:t>
      </w:r>
      <w:r w:rsidRPr="00CA0F02">
        <w:rPr>
          <w:rFonts w:hint="eastAsia"/>
          <w:lang w:eastAsia="zh-CN"/>
        </w:rPr>
        <w:t>）数字对象数据模型，</w:t>
      </w:r>
      <w:r w:rsidRPr="00CA0F02">
        <w:rPr>
          <w:rFonts w:hint="eastAsia"/>
          <w:lang w:eastAsia="zh-CN"/>
        </w:rPr>
        <w:t>2</w:t>
      </w:r>
      <w:r w:rsidRPr="00CA0F02">
        <w:rPr>
          <w:rFonts w:hint="eastAsia"/>
          <w:lang w:eastAsia="zh-CN"/>
        </w:rPr>
        <w:t>）数字对象接口协议，</w:t>
      </w:r>
      <w:r w:rsidRPr="00CA0F02">
        <w:rPr>
          <w:rFonts w:hint="eastAsia"/>
          <w:lang w:eastAsia="zh-CN"/>
        </w:rPr>
        <w:t>3</w:t>
      </w:r>
      <w:r w:rsidRPr="00CA0F02">
        <w:rPr>
          <w:rFonts w:hint="eastAsia"/>
          <w:lang w:eastAsia="zh-CN"/>
        </w:rPr>
        <w:t>）一个或多个标识符</w:t>
      </w:r>
      <w:r w:rsidRPr="00CA0F02">
        <w:rPr>
          <w:rFonts w:hint="eastAsia"/>
          <w:lang w:eastAsia="zh-CN"/>
        </w:rPr>
        <w:t>/</w:t>
      </w:r>
      <w:r w:rsidRPr="00CA0F02">
        <w:rPr>
          <w:rFonts w:hint="eastAsia"/>
          <w:lang w:eastAsia="zh-CN"/>
        </w:rPr>
        <w:t>分辨率系统，以及</w:t>
      </w:r>
      <w:r w:rsidRPr="00CA0F02">
        <w:rPr>
          <w:rFonts w:hint="eastAsia"/>
          <w:lang w:eastAsia="zh-CN"/>
        </w:rPr>
        <w:t>4</w:t>
      </w:r>
      <w:r w:rsidRPr="00CA0F02">
        <w:rPr>
          <w:rFonts w:hint="eastAsia"/>
          <w:lang w:eastAsia="zh-CN"/>
        </w:rPr>
        <w:t>）一个或多个元数据注册机构。这些组成部分构成了开放式体系结构的基础。</w:t>
      </w:r>
    </w:p>
    <w:p w:rsidR="00CA0F02" w:rsidRDefault="00CA0F02" w:rsidP="0032202E">
      <w:pPr>
        <w:pStyle w:val="Reasons"/>
        <w:rPr>
          <w:lang w:eastAsia="zh-CN"/>
        </w:rPr>
      </w:pPr>
    </w:p>
    <w:p w:rsidR="00CA0F02" w:rsidRDefault="00CA0F02">
      <w:pPr>
        <w:jc w:val="center"/>
        <w:rPr>
          <w:lang w:eastAsia="zh-CN"/>
        </w:rPr>
      </w:pPr>
      <w:r>
        <w:rPr>
          <w:lang w:eastAsia="zh-CN"/>
        </w:rPr>
        <w:t>______________</w:t>
      </w:r>
    </w:p>
    <w:sectPr w:rsidR="00CA0F02">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0B" w:rsidRDefault="007C3D0B">
      <w:r>
        <w:separator/>
      </w:r>
    </w:p>
  </w:endnote>
  <w:endnote w:type="continuationSeparator" w:id="0">
    <w:p w:rsidR="007C3D0B" w:rsidRDefault="007C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3528FA" w:rsidRDefault="003528FA" w:rsidP="003528FA">
    <w:pPr>
      <w:tabs>
        <w:tab w:val="clear" w:pos="794"/>
        <w:tab w:val="clear" w:pos="1191"/>
        <w:tab w:val="clear" w:pos="1588"/>
        <w:tab w:val="clear" w:pos="1985"/>
        <w:tab w:val="left" w:pos="5954"/>
        <w:tab w:val="right" w:pos="9639"/>
      </w:tabs>
      <w:spacing w:before="0"/>
      <w:rPr>
        <w:rFonts w:eastAsia="Times New Roman"/>
        <w:caps/>
        <w:sz w:val="16"/>
        <w:lang w:val="fr-CH"/>
      </w:rPr>
    </w:pPr>
    <w:r w:rsidRPr="003528FA">
      <w:rPr>
        <w:rFonts w:eastAsia="Times New Roman"/>
        <w:caps/>
        <w:sz w:val="16"/>
        <w:lang w:val="fr-CH"/>
      </w:rPr>
      <w:t>ITU-T\BUREAU\CIRC\024</w:t>
    </w:r>
    <w:r>
      <w:rPr>
        <w:rFonts w:eastAsia="Times New Roman"/>
        <w:caps/>
        <w:sz w:val="16"/>
        <w:lang w:val="fr-CH"/>
      </w:rPr>
      <w:t>C</w:t>
    </w:r>
    <w:r w:rsidRPr="003528FA">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0B" w:rsidRDefault="007C3D0B">
      <w:r>
        <w:separator/>
      </w:r>
    </w:p>
  </w:footnote>
  <w:footnote w:type="continuationSeparator" w:id="0">
    <w:p w:rsidR="007C3D0B" w:rsidRDefault="007C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Header"/>
    </w:pPr>
    <w:r>
      <w:t xml:space="preserve">- </w:t>
    </w:r>
    <w:r>
      <w:fldChar w:fldCharType="begin"/>
    </w:r>
    <w:r>
      <w:instrText>PAGE</w:instrText>
    </w:r>
    <w:r>
      <w:fldChar w:fldCharType="separate"/>
    </w:r>
    <w:r w:rsidR="003528FA">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84370A"/>
    <w:lvl w:ilvl="0">
      <w:start w:val="1"/>
      <w:numFmt w:val="decimal"/>
      <w:lvlText w:val="%1."/>
      <w:lvlJc w:val="left"/>
      <w:pPr>
        <w:tabs>
          <w:tab w:val="num" w:pos="1492"/>
        </w:tabs>
        <w:ind w:left="1492" w:hanging="360"/>
      </w:pPr>
    </w:lvl>
  </w:abstractNum>
  <w:abstractNum w:abstractNumId="1">
    <w:nsid w:val="FFFFFF7D"/>
    <w:multiLevelType w:val="singleLevel"/>
    <w:tmpl w:val="E1B8007C"/>
    <w:lvl w:ilvl="0">
      <w:start w:val="1"/>
      <w:numFmt w:val="decimal"/>
      <w:lvlText w:val="%1."/>
      <w:lvlJc w:val="left"/>
      <w:pPr>
        <w:tabs>
          <w:tab w:val="num" w:pos="1209"/>
        </w:tabs>
        <w:ind w:left="1209" w:hanging="360"/>
      </w:pPr>
    </w:lvl>
  </w:abstractNum>
  <w:abstractNum w:abstractNumId="2">
    <w:nsid w:val="FFFFFF7E"/>
    <w:multiLevelType w:val="singleLevel"/>
    <w:tmpl w:val="F40C2D04"/>
    <w:lvl w:ilvl="0">
      <w:start w:val="1"/>
      <w:numFmt w:val="decimal"/>
      <w:lvlText w:val="%1."/>
      <w:lvlJc w:val="left"/>
      <w:pPr>
        <w:tabs>
          <w:tab w:val="num" w:pos="926"/>
        </w:tabs>
        <w:ind w:left="926" w:hanging="360"/>
      </w:pPr>
    </w:lvl>
  </w:abstractNum>
  <w:abstractNum w:abstractNumId="3">
    <w:nsid w:val="FFFFFF7F"/>
    <w:multiLevelType w:val="singleLevel"/>
    <w:tmpl w:val="85520A3C"/>
    <w:lvl w:ilvl="0">
      <w:start w:val="1"/>
      <w:numFmt w:val="decimal"/>
      <w:lvlText w:val="%1."/>
      <w:lvlJc w:val="left"/>
      <w:pPr>
        <w:tabs>
          <w:tab w:val="num" w:pos="643"/>
        </w:tabs>
        <w:ind w:left="643" w:hanging="360"/>
      </w:pPr>
    </w:lvl>
  </w:abstractNum>
  <w:abstractNum w:abstractNumId="4">
    <w:nsid w:val="FFFFFF80"/>
    <w:multiLevelType w:val="singleLevel"/>
    <w:tmpl w:val="452AEF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3203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1463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4A5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14C950"/>
    <w:lvl w:ilvl="0">
      <w:start w:val="1"/>
      <w:numFmt w:val="decimal"/>
      <w:lvlText w:val="%1."/>
      <w:lvlJc w:val="left"/>
      <w:pPr>
        <w:tabs>
          <w:tab w:val="num" w:pos="360"/>
        </w:tabs>
        <w:ind w:left="360" w:hanging="360"/>
      </w:pPr>
    </w:lvl>
  </w:abstractNum>
  <w:abstractNum w:abstractNumId="9">
    <w:nsid w:val="FFFFFF89"/>
    <w:multiLevelType w:val="singleLevel"/>
    <w:tmpl w:val="83AAAE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0B"/>
    <w:rsid w:val="00027EE3"/>
    <w:rsid w:val="00081BA5"/>
    <w:rsid w:val="00090E72"/>
    <w:rsid w:val="00094C0B"/>
    <w:rsid w:val="000A2484"/>
    <w:rsid w:val="00117471"/>
    <w:rsid w:val="00160A43"/>
    <w:rsid w:val="001B6110"/>
    <w:rsid w:val="00234A9B"/>
    <w:rsid w:val="00282732"/>
    <w:rsid w:val="00284869"/>
    <w:rsid w:val="002E05E3"/>
    <w:rsid w:val="00303A2A"/>
    <w:rsid w:val="003064AD"/>
    <w:rsid w:val="00334A24"/>
    <w:rsid w:val="0034297D"/>
    <w:rsid w:val="003528FA"/>
    <w:rsid w:val="0035674D"/>
    <w:rsid w:val="003769BA"/>
    <w:rsid w:val="003F1CCA"/>
    <w:rsid w:val="00464015"/>
    <w:rsid w:val="00486359"/>
    <w:rsid w:val="005C26FD"/>
    <w:rsid w:val="00627AE8"/>
    <w:rsid w:val="0063445E"/>
    <w:rsid w:val="006D22B1"/>
    <w:rsid w:val="006D42C6"/>
    <w:rsid w:val="007568DA"/>
    <w:rsid w:val="007C3D0B"/>
    <w:rsid w:val="008356F8"/>
    <w:rsid w:val="00841612"/>
    <w:rsid w:val="0084436D"/>
    <w:rsid w:val="00860755"/>
    <w:rsid w:val="008755BC"/>
    <w:rsid w:val="008B2BDA"/>
    <w:rsid w:val="008C4122"/>
    <w:rsid w:val="009128F1"/>
    <w:rsid w:val="009424FC"/>
    <w:rsid w:val="00956D38"/>
    <w:rsid w:val="009727EA"/>
    <w:rsid w:val="00974486"/>
    <w:rsid w:val="009C2FF6"/>
    <w:rsid w:val="00A1090D"/>
    <w:rsid w:val="00A16AB0"/>
    <w:rsid w:val="00B01F79"/>
    <w:rsid w:val="00B56B75"/>
    <w:rsid w:val="00BB5392"/>
    <w:rsid w:val="00BC7AEE"/>
    <w:rsid w:val="00BE339D"/>
    <w:rsid w:val="00C03E87"/>
    <w:rsid w:val="00C6016A"/>
    <w:rsid w:val="00C7008A"/>
    <w:rsid w:val="00C916ED"/>
    <w:rsid w:val="00CA0F02"/>
    <w:rsid w:val="00D16F47"/>
    <w:rsid w:val="00D34F86"/>
    <w:rsid w:val="00E35907"/>
    <w:rsid w:val="00E47AFF"/>
    <w:rsid w:val="00E6572A"/>
    <w:rsid w:val="00EA2AF5"/>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F0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link w:val="Heading3Char"/>
    <w:semiHidden/>
    <w:unhideWhenUsed/>
    <w:qFormat/>
    <w:rsid w:val="00CA0F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A0F0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Title">
    <w:name w:val="Annex_Title"/>
    <w:basedOn w:val="Normal"/>
    <w:next w:val="Normal"/>
    <w:rsid w:val="00CA0F02"/>
    <w:pPr>
      <w:keepNext/>
      <w:keepLines/>
      <w:overflowPunct/>
      <w:autoSpaceDE/>
      <w:autoSpaceDN/>
      <w:adjustRightInd/>
      <w:spacing w:before="240" w:after="280"/>
      <w:jc w:val="center"/>
      <w:textAlignment w:val="auto"/>
    </w:pPr>
    <w:rPr>
      <w:b/>
    </w:rPr>
  </w:style>
  <w:style w:type="character" w:customStyle="1" w:styleId="BodyTextChar">
    <w:name w:val="Body Text Char"/>
    <w:basedOn w:val="DefaultParagraphFont"/>
    <w:link w:val="BodyText"/>
    <w:rsid w:val="00CA0F02"/>
    <w:rPr>
      <w:rFonts w:ascii="Futura Lt BT" w:hAnsi="Futura Lt BT"/>
      <w:sz w:val="18"/>
      <w:lang w:val="fr-FR" w:eastAsia="en-US"/>
    </w:rPr>
  </w:style>
  <w:style w:type="paragraph" w:customStyle="1" w:styleId="AnnexNo">
    <w:name w:val="Annex_No"/>
    <w:basedOn w:val="Normal"/>
    <w:next w:val="Normal"/>
    <w:rsid w:val="00CA0F02"/>
    <w:pPr>
      <w:keepNext/>
      <w:keepLines/>
      <w:spacing w:before="480" w:after="80"/>
      <w:jc w:val="center"/>
    </w:pPr>
    <w:rPr>
      <w:caps/>
      <w:sz w:val="28"/>
    </w:rPr>
  </w:style>
  <w:style w:type="paragraph" w:customStyle="1" w:styleId="headingb">
    <w:name w:val="heading_b"/>
    <w:basedOn w:val="Heading3"/>
    <w:next w:val="Normal"/>
    <w:rsid w:val="00CA0F0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Cs w:val="0"/>
      <w:color w:val="auto"/>
    </w:rPr>
  </w:style>
  <w:style w:type="character" w:customStyle="1" w:styleId="Heading3Char">
    <w:name w:val="Heading 3 Char"/>
    <w:basedOn w:val="DefaultParagraphFont"/>
    <w:link w:val="Heading3"/>
    <w:semiHidden/>
    <w:rsid w:val="00CA0F02"/>
    <w:rPr>
      <w:rFonts w:asciiTheme="majorHAnsi" w:eastAsiaTheme="majorEastAsia" w:hAnsiTheme="majorHAnsi" w:cstheme="majorBidi"/>
      <w:b/>
      <w:bCs/>
      <w:color w:val="4F81BD" w:themeColor="accent1"/>
      <w:sz w:val="24"/>
      <w:lang w:val="en-GB" w:eastAsia="en-US"/>
    </w:rPr>
  </w:style>
  <w:style w:type="paragraph" w:customStyle="1" w:styleId="AnnexRef">
    <w:name w:val="Annex_Ref"/>
    <w:basedOn w:val="Normal"/>
    <w:next w:val="AnnexTitle"/>
    <w:rsid w:val="00860755"/>
    <w:pPr>
      <w:keepNext/>
      <w:keepLines/>
      <w:overflowPunct/>
      <w:autoSpaceDE/>
      <w:autoSpaceDN/>
      <w:adjustRightInd/>
      <w:jc w:val="center"/>
      <w:textAlignment w:val="auto"/>
    </w:pPr>
  </w:style>
  <w:style w:type="character" w:styleId="FollowedHyperlink">
    <w:name w:val="FollowedHyperlink"/>
    <w:basedOn w:val="DefaultParagraphFont"/>
    <w:rsid w:val="00352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F0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link w:val="Heading3Char"/>
    <w:semiHidden/>
    <w:unhideWhenUsed/>
    <w:qFormat/>
    <w:rsid w:val="00CA0F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A0F0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Title">
    <w:name w:val="Annex_Title"/>
    <w:basedOn w:val="Normal"/>
    <w:next w:val="Normal"/>
    <w:rsid w:val="00CA0F02"/>
    <w:pPr>
      <w:keepNext/>
      <w:keepLines/>
      <w:overflowPunct/>
      <w:autoSpaceDE/>
      <w:autoSpaceDN/>
      <w:adjustRightInd/>
      <w:spacing w:before="240" w:after="280"/>
      <w:jc w:val="center"/>
      <w:textAlignment w:val="auto"/>
    </w:pPr>
    <w:rPr>
      <w:b/>
    </w:rPr>
  </w:style>
  <w:style w:type="character" w:customStyle="1" w:styleId="BodyTextChar">
    <w:name w:val="Body Text Char"/>
    <w:basedOn w:val="DefaultParagraphFont"/>
    <w:link w:val="BodyText"/>
    <w:rsid w:val="00CA0F02"/>
    <w:rPr>
      <w:rFonts w:ascii="Futura Lt BT" w:hAnsi="Futura Lt BT"/>
      <w:sz w:val="18"/>
      <w:lang w:val="fr-FR" w:eastAsia="en-US"/>
    </w:rPr>
  </w:style>
  <w:style w:type="paragraph" w:customStyle="1" w:styleId="AnnexNo">
    <w:name w:val="Annex_No"/>
    <w:basedOn w:val="Normal"/>
    <w:next w:val="Normal"/>
    <w:rsid w:val="00CA0F02"/>
    <w:pPr>
      <w:keepNext/>
      <w:keepLines/>
      <w:spacing w:before="480" w:after="80"/>
      <w:jc w:val="center"/>
    </w:pPr>
    <w:rPr>
      <w:caps/>
      <w:sz w:val="28"/>
    </w:rPr>
  </w:style>
  <w:style w:type="paragraph" w:customStyle="1" w:styleId="headingb">
    <w:name w:val="heading_b"/>
    <w:basedOn w:val="Heading3"/>
    <w:next w:val="Normal"/>
    <w:rsid w:val="00CA0F0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Cs w:val="0"/>
      <w:color w:val="auto"/>
    </w:rPr>
  </w:style>
  <w:style w:type="character" w:customStyle="1" w:styleId="Heading3Char">
    <w:name w:val="Heading 3 Char"/>
    <w:basedOn w:val="DefaultParagraphFont"/>
    <w:link w:val="Heading3"/>
    <w:semiHidden/>
    <w:rsid w:val="00CA0F02"/>
    <w:rPr>
      <w:rFonts w:asciiTheme="majorHAnsi" w:eastAsiaTheme="majorEastAsia" w:hAnsiTheme="majorHAnsi" w:cstheme="majorBidi"/>
      <w:b/>
      <w:bCs/>
      <w:color w:val="4F81BD" w:themeColor="accent1"/>
      <w:sz w:val="24"/>
      <w:lang w:val="en-GB" w:eastAsia="en-US"/>
    </w:rPr>
  </w:style>
  <w:style w:type="paragraph" w:customStyle="1" w:styleId="AnnexRef">
    <w:name w:val="Annex_Ref"/>
    <w:basedOn w:val="Normal"/>
    <w:next w:val="AnnexTitle"/>
    <w:rsid w:val="00860755"/>
    <w:pPr>
      <w:keepNext/>
      <w:keepLines/>
      <w:overflowPunct/>
      <w:autoSpaceDE/>
      <w:autoSpaceDN/>
      <w:adjustRightInd/>
      <w:jc w:val="center"/>
      <w:textAlignment w:val="auto"/>
    </w:pPr>
  </w:style>
  <w:style w:type="character" w:styleId="FollowedHyperlink">
    <w:name w:val="FollowedHyperlink"/>
    <w:basedOn w:val="DefaultParagraphFont"/>
    <w:rsid w:val="00352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23</TotalTime>
  <Pages>3</Pages>
  <Words>1450</Words>
  <Characters>436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1883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Norton Viard, Emma</cp:lastModifiedBy>
  <cp:revision>28</cp:revision>
  <cp:lastPrinted>2013-05-07T08:32:00Z</cp:lastPrinted>
  <dcterms:created xsi:type="dcterms:W3CDTF">2013-05-07T08:02:00Z</dcterms:created>
  <dcterms:modified xsi:type="dcterms:W3CDTF">2013-05-10T08:50:00Z</dcterms:modified>
</cp:coreProperties>
</file>