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6D57DB">
        <w:trPr>
          <w:cantSplit/>
        </w:trPr>
        <w:tc>
          <w:tcPr>
            <w:tcW w:w="6426" w:type="dxa"/>
            <w:vAlign w:val="center"/>
          </w:tcPr>
          <w:p w:rsidR="00762160" w:rsidRPr="006D57DB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D57DB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6D57D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6D57DB" w:rsidRDefault="005A22AD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6D57DB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A8504E0" wp14:editId="2C18B601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6D57DB">
        <w:trPr>
          <w:cantSplit/>
        </w:trPr>
        <w:tc>
          <w:tcPr>
            <w:tcW w:w="6426" w:type="dxa"/>
            <w:vAlign w:val="center"/>
          </w:tcPr>
          <w:p w:rsidR="00762160" w:rsidRPr="006D57DB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6D57DB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Pr="006D57DB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6D57DB" w:rsidRDefault="00E643A2" w:rsidP="004D7C25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</w:pPr>
      <w:r w:rsidRPr="006D57DB">
        <w:tab/>
        <w:t xml:space="preserve">Geneva, </w:t>
      </w:r>
      <w:r w:rsidR="00C9012A">
        <w:t>2</w:t>
      </w:r>
      <w:r w:rsidR="00E3596E">
        <w:t>6</w:t>
      </w:r>
      <w:r w:rsidR="00C9012A">
        <w:t xml:space="preserve"> February</w:t>
      </w:r>
      <w:r w:rsidR="00265420" w:rsidRPr="006D57DB">
        <w:t xml:space="preserve"> 20</w:t>
      </w:r>
      <w:r w:rsidR="00152280" w:rsidRPr="006D57DB">
        <w:t>14</w:t>
      </w:r>
    </w:p>
    <w:p w:rsidR="00E643A2" w:rsidRPr="006D57DB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 w:rsidRPr="006D57DB">
        <w:trPr>
          <w:cantSplit/>
          <w:trHeight w:val="340"/>
        </w:trPr>
        <w:tc>
          <w:tcPr>
            <w:tcW w:w="822" w:type="dxa"/>
          </w:tcPr>
          <w:p w:rsidR="00E643A2" w:rsidRPr="006D57D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D57DB"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F4539" w:rsidRPr="006D57DB" w:rsidRDefault="00BF035C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D57DB">
              <w:rPr>
                <w:b/>
              </w:rPr>
              <w:t>Addendum</w:t>
            </w:r>
            <w:r w:rsidR="00EF4539" w:rsidRPr="006D57DB">
              <w:rPr>
                <w:b/>
              </w:rPr>
              <w:t xml:space="preserve"> 1 to</w:t>
            </w:r>
          </w:p>
          <w:p w:rsidR="00E643A2" w:rsidRPr="006D57DB" w:rsidRDefault="00E643A2" w:rsidP="0061717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D57DB">
              <w:rPr>
                <w:b/>
              </w:rPr>
              <w:t xml:space="preserve">TSB Collective letter </w:t>
            </w:r>
            <w:r w:rsidR="00152280" w:rsidRPr="006D57DB">
              <w:rPr>
                <w:b/>
              </w:rPr>
              <w:t>4</w:t>
            </w:r>
            <w:r w:rsidR="00482FB5" w:rsidRPr="006D57DB">
              <w:rPr>
                <w:b/>
              </w:rPr>
              <w:t>/15</w:t>
            </w:r>
          </w:p>
          <w:p w:rsidR="00E643A2" w:rsidRPr="006D57D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Pr="006D57D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Pr="006D57D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RPr="006D57DB">
        <w:trPr>
          <w:cantSplit/>
        </w:trPr>
        <w:tc>
          <w:tcPr>
            <w:tcW w:w="822" w:type="dxa"/>
          </w:tcPr>
          <w:p w:rsidR="00E643A2" w:rsidRPr="006D57DB" w:rsidRDefault="00E643A2" w:rsidP="00571330">
            <w:pPr>
              <w:spacing w:before="10"/>
              <w:ind w:left="57"/>
              <w:rPr>
                <w:sz w:val="22"/>
              </w:rPr>
            </w:pPr>
            <w:r w:rsidRPr="006D57DB">
              <w:rPr>
                <w:sz w:val="22"/>
              </w:rPr>
              <w:t>Tel:</w:t>
            </w:r>
            <w:r w:rsidRPr="006D57DB">
              <w:rPr>
                <w:sz w:val="22"/>
              </w:rPr>
              <w:br/>
              <w:t>Fax:</w:t>
            </w:r>
          </w:p>
          <w:p w:rsidR="00E643A2" w:rsidRPr="006D57DB" w:rsidRDefault="00E643A2" w:rsidP="00571330">
            <w:pPr>
              <w:spacing w:before="60"/>
              <w:ind w:left="57"/>
              <w:rPr>
                <w:sz w:val="22"/>
              </w:rPr>
            </w:pPr>
            <w:r w:rsidRPr="006D57DB">
              <w:rPr>
                <w:sz w:val="22"/>
              </w:rPr>
              <w:t>E-mail:</w:t>
            </w:r>
            <w:r w:rsidRPr="006D57DB"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Pr="006D57DB" w:rsidRDefault="00E643A2" w:rsidP="008D77E7">
            <w:pPr>
              <w:tabs>
                <w:tab w:val="left" w:pos="4111"/>
              </w:tabs>
              <w:spacing w:before="0"/>
              <w:ind w:left="57"/>
            </w:pPr>
            <w:r w:rsidRPr="006D57DB">
              <w:t>+41 22 730</w:t>
            </w:r>
            <w:r w:rsidR="00482FB5" w:rsidRPr="006D57DB">
              <w:t xml:space="preserve"> 5515</w:t>
            </w:r>
            <w:r w:rsidRPr="006D57DB">
              <w:br/>
              <w:t>+41 22 730 5853</w:t>
            </w:r>
            <w:r w:rsidRPr="006D57DB">
              <w:br/>
            </w:r>
            <w:hyperlink r:id="rId10" w:history="1">
              <w:r w:rsidR="008D77E7" w:rsidRPr="006D57DB">
                <w:rPr>
                  <w:rStyle w:val="Hyperlink"/>
                </w:rPr>
                <w:t>tsbsg15@itu.int</w:t>
              </w:r>
            </w:hyperlink>
          </w:p>
          <w:p w:rsidR="00825FC5" w:rsidRPr="006D57DB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B177E5" w:rsidRPr="006D57DB" w:rsidRDefault="00B177E5" w:rsidP="00B177E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 w:rsidRPr="006D57DB">
              <w:t xml:space="preserve">To: </w:t>
            </w:r>
          </w:p>
          <w:p w:rsidR="00B177E5" w:rsidRPr="006D57DB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6D57DB">
              <w:t xml:space="preserve">Administrations of Member States of the Union, </w:t>
            </w:r>
          </w:p>
          <w:p w:rsidR="00B177E5" w:rsidRPr="006D57DB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6D57DB">
              <w:t xml:space="preserve">ITU-T Sector Members, </w:t>
            </w:r>
          </w:p>
          <w:p w:rsidR="00B177E5" w:rsidRPr="006D57DB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6D57DB">
              <w:t>ITU-T Associates participating in the work of Study Group 15, and</w:t>
            </w:r>
          </w:p>
          <w:p w:rsidR="00E643A2" w:rsidRPr="006D57DB" w:rsidRDefault="00B177E5" w:rsidP="00B177E5">
            <w:pPr>
              <w:numPr>
                <w:ilvl w:val="0"/>
                <w:numId w:val="25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contextualSpacing/>
            </w:pPr>
            <w:r w:rsidRPr="006D57DB">
              <w:t xml:space="preserve">ITU-T Academia </w:t>
            </w:r>
          </w:p>
        </w:tc>
      </w:tr>
    </w:tbl>
    <w:p w:rsidR="00E643A2" w:rsidRPr="006D57DB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6D57DB">
        <w:trPr>
          <w:cantSplit/>
          <w:trHeight w:val="680"/>
        </w:trPr>
        <w:tc>
          <w:tcPr>
            <w:tcW w:w="822" w:type="dxa"/>
          </w:tcPr>
          <w:p w:rsidR="00E643A2" w:rsidRPr="006D57D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6D57DB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6D57DB" w:rsidRDefault="00E643A2" w:rsidP="00921B0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6D57DB">
              <w:rPr>
                <w:b/>
                <w:bCs/>
              </w:rPr>
              <w:t xml:space="preserve">Meeting of Study Group </w:t>
            </w:r>
            <w:r w:rsidR="00482FB5" w:rsidRPr="006D57DB">
              <w:rPr>
                <w:b/>
                <w:bCs/>
              </w:rPr>
              <w:t>15</w:t>
            </w:r>
            <w:r w:rsidRPr="006D57DB">
              <w:rPr>
                <w:b/>
                <w:bCs/>
              </w:rPr>
              <w:br/>
              <w:t>Geneva,</w:t>
            </w:r>
            <w:r w:rsidR="00482FB5" w:rsidRPr="006D57DB">
              <w:rPr>
                <w:b/>
                <w:bCs/>
              </w:rPr>
              <w:t xml:space="preserve"> </w:t>
            </w:r>
            <w:r w:rsidR="00843140" w:rsidRPr="006D57DB">
              <w:rPr>
                <w:b/>
                <w:bCs/>
              </w:rPr>
              <w:t>24 March</w:t>
            </w:r>
            <w:r w:rsidR="00D71E22" w:rsidRPr="006D57DB">
              <w:rPr>
                <w:b/>
                <w:bCs/>
              </w:rPr>
              <w:t xml:space="preserve"> </w:t>
            </w:r>
            <w:r w:rsidR="00D71E22" w:rsidRPr="006D57DB">
              <w:rPr>
                <w:lang w:val="en-US"/>
              </w:rPr>
              <w:t xml:space="preserve">– </w:t>
            </w:r>
            <w:r w:rsidR="00152280" w:rsidRPr="006D57DB">
              <w:rPr>
                <w:b/>
                <w:bCs/>
              </w:rPr>
              <w:t>4 April 2014</w:t>
            </w:r>
          </w:p>
        </w:tc>
      </w:tr>
    </w:tbl>
    <w:p w:rsidR="00E643A2" w:rsidRPr="006D57DB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5E715F" w:rsidRPr="006D57DB" w:rsidRDefault="005E715F" w:rsidP="005E715F">
      <w:bookmarkStart w:id="1" w:name="Duties"/>
      <w:bookmarkEnd w:id="1"/>
      <w:r w:rsidRPr="006D57DB">
        <w:t>Dear Sir/Madam,</w:t>
      </w:r>
    </w:p>
    <w:p w:rsidR="009C7A41" w:rsidRPr="006D57DB" w:rsidRDefault="00617175" w:rsidP="00D71E22">
      <w:pPr>
        <w:rPr>
          <w:lang w:val="en-US"/>
        </w:rPr>
      </w:pPr>
      <w:r w:rsidRPr="006D57DB">
        <w:rPr>
          <w:lang w:val="en-US"/>
        </w:rPr>
        <w:t>The following</w:t>
      </w:r>
      <w:r w:rsidR="009C7A41" w:rsidRPr="006D57DB">
        <w:rPr>
          <w:lang w:val="en-US"/>
        </w:rPr>
        <w:t xml:space="preserve"> Work Items under AAP received comments during </w:t>
      </w:r>
      <w:r w:rsidR="00876DB2" w:rsidRPr="006D57DB">
        <w:rPr>
          <w:lang w:val="en-US"/>
        </w:rPr>
        <w:t>Last Call</w:t>
      </w:r>
      <w:r w:rsidRPr="006D57DB">
        <w:rPr>
          <w:lang w:val="en-US"/>
        </w:rPr>
        <w:t xml:space="preserve"> and </w:t>
      </w:r>
      <w:r w:rsidR="009C7A41" w:rsidRPr="006D57DB">
        <w:rPr>
          <w:lang w:val="en-US"/>
        </w:rPr>
        <w:t xml:space="preserve">will be submitted for approval at the </w:t>
      </w:r>
      <w:r w:rsidR="00AD4590" w:rsidRPr="006D57DB">
        <w:rPr>
          <w:lang w:val="en-US"/>
        </w:rPr>
        <w:t xml:space="preserve">meeting of </w:t>
      </w:r>
      <w:r w:rsidRPr="006D57DB">
        <w:rPr>
          <w:lang w:val="en-US"/>
        </w:rPr>
        <w:t xml:space="preserve">Study Group 15 </w:t>
      </w:r>
      <w:r w:rsidR="00AD4590" w:rsidRPr="006D57DB">
        <w:rPr>
          <w:lang w:val="en-US"/>
        </w:rPr>
        <w:t xml:space="preserve">in </w:t>
      </w:r>
      <w:r w:rsidRPr="006D57DB">
        <w:rPr>
          <w:lang w:val="en-US"/>
        </w:rPr>
        <w:t xml:space="preserve">Geneva, </w:t>
      </w:r>
      <w:r w:rsidR="00843140" w:rsidRPr="006D57DB">
        <w:rPr>
          <w:lang w:val="en-US"/>
        </w:rPr>
        <w:t>24 March – 4 April 2014</w:t>
      </w:r>
      <w:r w:rsidR="009C7A41" w:rsidRPr="006D57DB">
        <w:rPr>
          <w:lang w:val="en-US"/>
        </w:rPr>
        <w:t>:</w:t>
      </w:r>
    </w:p>
    <w:p w:rsidR="00843140" w:rsidRPr="006D57DB" w:rsidRDefault="00843140" w:rsidP="00843140">
      <w:r w:rsidRPr="006D57DB">
        <w:rPr>
          <w:b/>
          <w:bCs/>
        </w:rPr>
        <w:t>Recommendation ITU-T G.989.2 (new)</w:t>
      </w:r>
      <w:r w:rsidRPr="006D57DB">
        <w:t xml:space="preserve">, </w:t>
      </w:r>
      <w:r w:rsidRPr="006D57DB">
        <w:rPr>
          <w:i/>
          <w:iCs/>
        </w:rPr>
        <w:t>40-Gigabit-capable passive optical networks 2 (NG-PON2): Physical media dependent (PMD) layer specification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Amendment 5 to Recommendation ITU-T G.993.5 (2010)</w:t>
      </w:r>
      <w:r w:rsidRPr="006D57DB">
        <w:t xml:space="preserve">, </w:t>
      </w:r>
      <w:r w:rsidRPr="006D57DB">
        <w:rPr>
          <w:i/>
          <w:iCs/>
        </w:rPr>
        <w:t>Self-FEXT cancellation (vectoring) for use with VDSL2 transceivers: Amendment 5 - Exchange of transceiver IDs during initialization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Amendment 4 to Recommendation G.994.1 (2012)</w:t>
      </w:r>
      <w:r w:rsidRPr="006D57DB">
        <w:t xml:space="preserve">, </w:t>
      </w:r>
      <w:r w:rsidRPr="006D57DB">
        <w:rPr>
          <w:i/>
          <w:iCs/>
        </w:rPr>
        <w:t xml:space="preserve">Handshake procedures for digital subscriber line transceivers: Amendment 4 - Additional </w:t>
      </w:r>
      <w:proofErr w:type="spellStart"/>
      <w:r w:rsidRPr="006D57DB">
        <w:rPr>
          <w:i/>
          <w:iCs/>
        </w:rPr>
        <w:t>codepoints</w:t>
      </w:r>
      <w:proofErr w:type="spellEnd"/>
      <w:r w:rsidRPr="006D57DB">
        <w:rPr>
          <w:i/>
          <w:iCs/>
        </w:rPr>
        <w:t xml:space="preserve"> for the support of </w:t>
      </w:r>
      <w:proofErr w:type="spellStart"/>
      <w:r w:rsidRPr="006D57DB">
        <w:rPr>
          <w:i/>
          <w:iCs/>
        </w:rPr>
        <w:t>G.fast</w:t>
      </w:r>
      <w:proofErr w:type="spellEnd"/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Amendment 1 to Recommendation ITU-T G.999.1 (2009)</w:t>
      </w:r>
      <w:r w:rsidRPr="006D57DB">
        <w:t xml:space="preserve">, </w:t>
      </w:r>
      <w:r w:rsidRPr="006D57DB">
        <w:rPr>
          <w:i/>
          <w:iCs/>
        </w:rPr>
        <w:t>Interface between the link layer and the physical layer for digital subscriber line (DSL) transceivers: Amendment 1 Extension for upstream flow control over gamma reference point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Recommendation ITU-T G.9701 (new)</w:t>
      </w:r>
      <w:r w:rsidRPr="006D57DB">
        <w:t>, Fast Access to Subscriber Terminals (</w:t>
      </w:r>
      <w:proofErr w:type="spellStart"/>
      <w:r w:rsidRPr="006D57DB">
        <w:t>G.fast</w:t>
      </w:r>
      <w:proofErr w:type="spellEnd"/>
      <w:r w:rsidRPr="006D57DB">
        <w:t>) - Physical layer specification.</w:t>
      </w:r>
    </w:p>
    <w:p w:rsidR="00843140" w:rsidRPr="006D57DB" w:rsidRDefault="00843140" w:rsidP="00843140">
      <w:r w:rsidRPr="006D57DB">
        <w:rPr>
          <w:b/>
          <w:bCs/>
        </w:rPr>
        <w:t>Recommendation ITU-T G.9961 (revised)</w:t>
      </w:r>
      <w:r w:rsidRPr="006D57DB">
        <w:t xml:space="preserve">, </w:t>
      </w:r>
      <w:r w:rsidRPr="006D57DB">
        <w:rPr>
          <w:i/>
          <w:iCs/>
        </w:rPr>
        <w:t>Unified high-speed wire-line based home networking transceivers - Data link layer specification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Amendment 2 to Recommendation ITU-T G.9961 (2010)</w:t>
      </w:r>
      <w:r w:rsidRPr="006D57DB">
        <w:t xml:space="preserve">, </w:t>
      </w:r>
      <w:r w:rsidRPr="006D57DB">
        <w:rPr>
          <w:i/>
          <w:iCs/>
        </w:rPr>
        <w:t>Unified high-speed wire-line based home networking transceivers - Data link layer specification: Amendment 2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Recommendation ITU-T G.9962 (revised)</w:t>
      </w:r>
      <w:r w:rsidRPr="006D57DB">
        <w:t xml:space="preserve">, </w:t>
      </w:r>
      <w:r w:rsidRPr="006D57DB">
        <w:rPr>
          <w:i/>
          <w:iCs/>
        </w:rPr>
        <w:t>Unified high-speed wire-line based home networking transceivers - Management specification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lastRenderedPageBreak/>
        <w:t>Corrigendum 1 to Recommendation ITU-T G.9963 (2011)</w:t>
      </w:r>
      <w:r w:rsidRPr="006D57DB">
        <w:t xml:space="preserve">, </w:t>
      </w:r>
      <w:r w:rsidRPr="006D57DB">
        <w:rPr>
          <w:i/>
          <w:iCs/>
        </w:rPr>
        <w:t>Unified high-speed wire-line based home networking transceivers - Multiple input/multiple output specification: Corrigendum 1</w:t>
      </w:r>
      <w:r w:rsidRPr="006D57DB">
        <w:t>.</w:t>
      </w:r>
    </w:p>
    <w:p w:rsidR="00843140" w:rsidRPr="006D57DB" w:rsidRDefault="00843140" w:rsidP="00843140">
      <w:r w:rsidRPr="006D57DB">
        <w:rPr>
          <w:b/>
          <w:bCs/>
        </w:rPr>
        <w:t>Corrigendum 1 to Recommendation ITU-T G.9972 (2010)</w:t>
      </w:r>
      <w:r w:rsidRPr="006D57DB">
        <w:t xml:space="preserve">, </w:t>
      </w:r>
      <w:r w:rsidRPr="006D57DB">
        <w:rPr>
          <w:i/>
          <w:iCs/>
        </w:rPr>
        <w:t>Coexistence mechanism for wireline home networking transceivers: Corrigendum 1 - Revised definition of coexisting systems categories</w:t>
      </w:r>
      <w:r w:rsidRPr="006D57DB">
        <w:t>.</w:t>
      </w:r>
    </w:p>
    <w:p w:rsidR="00843140" w:rsidRPr="006D57DB" w:rsidRDefault="00843140" w:rsidP="00843140">
      <w:proofErr w:type="gramStart"/>
      <w:r w:rsidRPr="006D57DB">
        <w:rPr>
          <w:b/>
          <w:bCs/>
        </w:rPr>
        <w:t>Recommendation ITU-T G.9979 (new)</w:t>
      </w:r>
      <w:r w:rsidRPr="006D57DB">
        <w:t xml:space="preserve">, </w:t>
      </w:r>
      <w:r w:rsidRPr="006D57DB">
        <w:rPr>
          <w:i/>
          <w:iCs/>
        </w:rPr>
        <w:t>ITU-T Extension to the IEEE 1905.1 2013 Standard</w:t>
      </w:r>
      <w:r w:rsidRPr="006D57DB">
        <w:t>.</w:t>
      </w:r>
      <w:proofErr w:type="gramEnd"/>
    </w:p>
    <w:p w:rsidR="005E715F" w:rsidRPr="006D57DB" w:rsidRDefault="005E715F" w:rsidP="004C6500">
      <w:pPr>
        <w:spacing w:before="240"/>
      </w:pPr>
      <w:bookmarkStart w:id="2" w:name="_GoBack"/>
      <w:bookmarkEnd w:id="2"/>
      <w:r w:rsidRPr="006D57DB">
        <w:t>Yours faithfully,</w:t>
      </w:r>
    </w:p>
    <w:p w:rsidR="009C7A41" w:rsidRPr="006D57DB" w:rsidRDefault="009C7A41" w:rsidP="009C7A41"/>
    <w:p w:rsidR="009C7A41" w:rsidRPr="006D57DB" w:rsidRDefault="009C7A41" w:rsidP="009C7A41"/>
    <w:p w:rsidR="005E715F" w:rsidRDefault="005E715F" w:rsidP="009D10CE">
      <w:pPr>
        <w:ind w:right="91"/>
      </w:pPr>
      <w:r w:rsidRPr="006D57DB">
        <w:rPr>
          <w:lang w:val="en-US"/>
        </w:rPr>
        <w:t>Malcolm Johnson</w:t>
      </w:r>
      <w:r w:rsidRPr="006D57DB">
        <w:br/>
        <w:t>Director of the Telecommunication</w:t>
      </w:r>
      <w:r w:rsidRPr="006D57DB">
        <w:br/>
        <w:t>Standardization Bureau</w:t>
      </w: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sectPr w:rsidR="009D10CE" w:rsidSect="00D96B00">
      <w:headerReference w:type="default" r:id="rId11"/>
      <w:footerReference w:type="default" r:id="rId12"/>
      <w:footerReference w:type="first" r:id="rId13"/>
      <w:type w:val="oddPage"/>
      <w:pgSz w:w="11907" w:h="16727" w:code="9"/>
      <w:pgMar w:top="567" w:right="1089" w:bottom="567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D9" w:rsidRDefault="009126D9">
      <w:r>
        <w:separator/>
      </w:r>
    </w:p>
  </w:endnote>
  <w:endnote w:type="continuationSeparator" w:id="0">
    <w:p w:rsidR="009126D9" w:rsidRDefault="0091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D71E22">
    <w:pPr>
      <w:pStyle w:val="Footer"/>
    </w:pPr>
    <w:r w:rsidRPr="008C212C">
      <w:t>ITU-T\COM-T\COM15\COLL\00</w:t>
    </w:r>
    <w:r w:rsidR="00D71E22">
      <w:t>4</w:t>
    </w:r>
    <w:r>
      <w:t>Add1</w:t>
    </w:r>
    <w:r w:rsidRPr="008C212C"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617175" w:rsidRPr="000C2B02" w:rsidTr="00617175">
      <w:tc>
        <w:tcPr>
          <w:tcW w:w="10149" w:type="dxa"/>
        </w:tcPr>
        <w:p w:rsidR="00617175" w:rsidRPr="000C2B02" w:rsidRDefault="00617175" w:rsidP="000C2B02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 w:rsidRPr="000C2B02">
            <w:rPr>
              <w:sz w:val="18"/>
              <w:lang w:val="fr-FR"/>
            </w:rPr>
            <w:t>Place des Nations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Telephone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r w:rsidRPr="000C2B02">
            <w:rPr>
              <w:sz w:val="18"/>
              <w:lang w:val="fr-FR"/>
            </w:rPr>
            <w:tab/>
            <w:t>+41 22 730 51 11</w:t>
          </w:r>
          <w:r w:rsidRPr="000C2B02">
            <w:rPr>
              <w:sz w:val="18"/>
              <w:lang w:val="fr-FR"/>
            </w:rPr>
            <w:tab/>
          </w:r>
          <w:proofErr w:type="spellStart"/>
          <w:r w:rsidRPr="000C2B02">
            <w:rPr>
              <w:sz w:val="18"/>
              <w:lang w:val="fr-FR"/>
            </w:rPr>
            <w:t>Telex</w:t>
          </w:r>
          <w:proofErr w:type="spellEnd"/>
          <w:r w:rsidRPr="000C2B02">
            <w:rPr>
              <w:sz w:val="18"/>
              <w:lang w:val="fr-FR"/>
            </w:rPr>
            <w:t xml:space="preserve"> 421 000 </w:t>
          </w:r>
          <w:proofErr w:type="spellStart"/>
          <w:r w:rsidRPr="000C2B02">
            <w:rPr>
              <w:sz w:val="18"/>
              <w:lang w:val="fr-FR"/>
            </w:rPr>
            <w:t>uit</w:t>
          </w:r>
          <w:proofErr w:type="spellEnd"/>
          <w:r w:rsidRPr="000C2B02">
            <w:rPr>
              <w:sz w:val="18"/>
              <w:lang w:val="fr-FR"/>
            </w:rPr>
            <w:t xml:space="preserve"> </w:t>
          </w:r>
          <w:proofErr w:type="spellStart"/>
          <w:r w:rsidRPr="000C2B02">
            <w:rPr>
              <w:sz w:val="18"/>
              <w:lang w:val="fr-FR"/>
            </w:rPr>
            <w:t>ch</w:t>
          </w:r>
          <w:proofErr w:type="spellEnd"/>
          <w:r w:rsidRPr="000C2B02">
            <w:rPr>
              <w:sz w:val="18"/>
              <w:lang w:val="fr-FR"/>
            </w:rPr>
            <w:tab/>
            <w:t>E-mail:</w:t>
          </w:r>
          <w:r w:rsidRPr="000C2B02">
            <w:rPr>
              <w:sz w:val="18"/>
              <w:lang w:val="fr-FR"/>
            </w:rPr>
            <w:tab/>
          </w:r>
          <w:hyperlink r:id="rId1" w:history="1">
            <w:r w:rsidRPr="007E24F7">
              <w:rPr>
                <w:rStyle w:val="Hyperlink"/>
                <w:sz w:val="18"/>
                <w:lang w:val="fr-FR"/>
              </w:rPr>
              <w:t>itumail@itu.int</w:t>
            </w:r>
          </w:hyperlink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 w:rsidRPr="000C2B02">
            <w:rPr>
              <w:sz w:val="18"/>
            </w:rPr>
            <w:t>CH-1211 Geneva 20</w:t>
          </w:r>
          <w:r w:rsidRPr="000C2B02">
            <w:rPr>
              <w:sz w:val="18"/>
            </w:rPr>
            <w:tab/>
            <w:t>Telefax</w:t>
          </w:r>
          <w:r w:rsidRPr="000C2B02">
            <w:rPr>
              <w:sz w:val="18"/>
            </w:rPr>
            <w:tab/>
            <w:t>Gr3:</w:t>
          </w:r>
          <w:r w:rsidRPr="000C2B02">
            <w:rPr>
              <w:sz w:val="18"/>
            </w:rPr>
            <w:tab/>
            <w:t>+41 22 733 72 56</w:t>
          </w:r>
          <w:r w:rsidRPr="000C2B02">
            <w:rPr>
              <w:sz w:val="18"/>
            </w:rPr>
            <w:tab/>
            <w:t>Telegram ITU GENEVE</w:t>
          </w:r>
          <w:r w:rsidRPr="000C2B02">
            <w:rPr>
              <w:sz w:val="18"/>
            </w:rPr>
            <w:tab/>
          </w:r>
          <w:r w:rsidR="004D7C25">
            <w:rPr>
              <w:sz w:val="18"/>
            </w:rPr>
            <w:t xml:space="preserve">                </w:t>
          </w:r>
          <w:hyperlink r:id="rId2" w:history="1">
            <w:r w:rsidRPr="005072E3">
              <w:rPr>
                <w:rStyle w:val="Hyperlink"/>
                <w:sz w:val="18"/>
              </w:rPr>
              <w:t>www.itu.int</w:t>
            </w:r>
          </w:hyperlink>
          <w:r>
            <w:rPr>
              <w:sz w:val="18"/>
            </w:rPr>
            <w:t xml:space="preserve"> </w:t>
          </w:r>
        </w:p>
        <w:p w:rsidR="00617175" w:rsidRPr="000C2B02" w:rsidRDefault="00617175" w:rsidP="000C2B02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 w:rsidRPr="000C2B02">
                <w:rPr>
                  <w:sz w:val="18"/>
                </w:rPr>
                <w:t>Switzerland</w:t>
              </w:r>
            </w:smartTag>
          </w:smartTag>
          <w:r w:rsidRPr="000C2B02">
            <w:rPr>
              <w:sz w:val="18"/>
            </w:rPr>
            <w:tab/>
          </w:r>
          <w:r w:rsidRPr="000C2B02">
            <w:rPr>
              <w:sz w:val="18"/>
            </w:rPr>
            <w:tab/>
            <w:t>Gr4:</w:t>
          </w:r>
          <w:r w:rsidRPr="000C2B02">
            <w:rPr>
              <w:sz w:val="18"/>
            </w:rPr>
            <w:tab/>
            <w:t>+41 22 730 65 00</w:t>
          </w:r>
          <w:r w:rsidRPr="000C2B02">
            <w:rPr>
              <w:sz w:val="18"/>
            </w:rPr>
            <w:tab/>
          </w:r>
        </w:p>
      </w:tc>
    </w:tr>
  </w:tbl>
  <w:p w:rsidR="00617175" w:rsidRPr="004C6500" w:rsidRDefault="00617175" w:rsidP="000C2B0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noProof/>
        <w:sz w:val="16"/>
        <w:lang w:val="en-US"/>
      </w:rPr>
    </w:pPr>
  </w:p>
  <w:p w:rsidR="00617175" w:rsidRPr="004C6500" w:rsidRDefault="0061717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D9" w:rsidRDefault="009126D9">
      <w:r>
        <w:t>____________________</w:t>
      </w:r>
    </w:p>
  </w:footnote>
  <w:footnote w:type="continuationSeparator" w:id="0">
    <w:p w:rsidR="009126D9" w:rsidRDefault="0091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75" w:rsidRDefault="00617175" w:rsidP="000C2B02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1B05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241BA"/>
    <w:multiLevelType w:val="hybridMultilevel"/>
    <w:tmpl w:val="E0768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6481"/>
    <w:multiLevelType w:val="hybridMultilevel"/>
    <w:tmpl w:val="35B02038"/>
    <w:lvl w:ilvl="0" w:tplc="E600362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5D11A0"/>
    <w:multiLevelType w:val="hybridMultilevel"/>
    <w:tmpl w:val="4258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2"/>
  </w:num>
  <w:num w:numId="5">
    <w:abstractNumId w:val="22"/>
  </w:num>
  <w:num w:numId="6">
    <w:abstractNumId w:val="18"/>
  </w:num>
  <w:num w:numId="7">
    <w:abstractNumId w:val="17"/>
  </w:num>
  <w:num w:numId="8">
    <w:abstractNumId w:val="14"/>
  </w:num>
  <w:num w:numId="9">
    <w:abstractNumId w:val="7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12"/>
  </w:num>
  <w:num w:numId="15">
    <w:abstractNumId w:val="26"/>
  </w:num>
  <w:num w:numId="16">
    <w:abstractNumId w:val="1"/>
  </w:num>
  <w:num w:numId="17">
    <w:abstractNumId w:val="9"/>
  </w:num>
  <w:num w:numId="18">
    <w:abstractNumId w:val="25"/>
  </w:num>
  <w:num w:numId="19">
    <w:abstractNumId w:val="10"/>
  </w:num>
  <w:num w:numId="20">
    <w:abstractNumId w:val="21"/>
  </w:num>
  <w:num w:numId="21">
    <w:abstractNumId w:val="8"/>
  </w:num>
  <w:num w:numId="22">
    <w:abstractNumId w:val="19"/>
  </w:num>
  <w:num w:numId="23">
    <w:abstractNumId w:val="11"/>
  </w:num>
  <w:num w:numId="24">
    <w:abstractNumId w:val="3"/>
  </w:num>
  <w:num w:numId="25">
    <w:abstractNumId w:val="24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09C1"/>
    <w:rsid w:val="000206E3"/>
    <w:rsid w:val="00030EE4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3185"/>
    <w:rsid w:val="00084D97"/>
    <w:rsid w:val="000877D6"/>
    <w:rsid w:val="0009512F"/>
    <w:rsid w:val="000A2840"/>
    <w:rsid w:val="000C2841"/>
    <w:rsid w:val="000C2B02"/>
    <w:rsid w:val="000D34F9"/>
    <w:rsid w:val="000D42D2"/>
    <w:rsid w:val="000E6752"/>
    <w:rsid w:val="000E68F6"/>
    <w:rsid w:val="000E6B18"/>
    <w:rsid w:val="000F2AD5"/>
    <w:rsid w:val="000F538A"/>
    <w:rsid w:val="001002F6"/>
    <w:rsid w:val="001052BD"/>
    <w:rsid w:val="0011421C"/>
    <w:rsid w:val="00116A72"/>
    <w:rsid w:val="001322EE"/>
    <w:rsid w:val="00134F20"/>
    <w:rsid w:val="00140D55"/>
    <w:rsid w:val="00141E89"/>
    <w:rsid w:val="0014272A"/>
    <w:rsid w:val="00144413"/>
    <w:rsid w:val="00152280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E0E1E"/>
    <w:rsid w:val="001E5809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65420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12B5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47F7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37149"/>
    <w:rsid w:val="00441210"/>
    <w:rsid w:val="00442F4B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C6500"/>
    <w:rsid w:val="004D21A7"/>
    <w:rsid w:val="004D713A"/>
    <w:rsid w:val="004D7C25"/>
    <w:rsid w:val="004E2B2D"/>
    <w:rsid w:val="004E58A7"/>
    <w:rsid w:val="004E6105"/>
    <w:rsid w:val="004F41C5"/>
    <w:rsid w:val="004F5813"/>
    <w:rsid w:val="0050779B"/>
    <w:rsid w:val="0050784E"/>
    <w:rsid w:val="005122A1"/>
    <w:rsid w:val="00512AD9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45EA9"/>
    <w:rsid w:val="005522D4"/>
    <w:rsid w:val="00562D79"/>
    <w:rsid w:val="00564ED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17175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36E1"/>
    <w:rsid w:val="00644079"/>
    <w:rsid w:val="00644C54"/>
    <w:rsid w:val="00646DC2"/>
    <w:rsid w:val="00652183"/>
    <w:rsid w:val="00652D76"/>
    <w:rsid w:val="00655A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57DB"/>
    <w:rsid w:val="006D760E"/>
    <w:rsid w:val="006E5CA7"/>
    <w:rsid w:val="006E7BBC"/>
    <w:rsid w:val="006F0E92"/>
    <w:rsid w:val="006F34EF"/>
    <w:rsid w:val="006F564E"/>
    <w:rsid w:val="006F5F6B"/>
    <w:rsid w:val="00702221"/>
    <w:rsid w:val="00706668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81623"/>
    <w:rsid w:val="007B557B"/>
    <w:rsid w:val="007B5B29"/>
    <w:rsid w:val="007C2E54"/>
    <w:rsid w:val="007C31E0"/>
    <w:rsid w:val="007C68EE"/>
    <w:rsid w:val="007C6C04"/>
    <w:rsid w:val="007D5C68"/>
    <w:rsid w:val="007D6430"/>
    <w:rsid w:val="007D7847"/>
    <w:rsid w:val="007E24F7"/>
    <w:rsid w:val="007E5B85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45BA"/>
    <w:rsid w:val="00825FC5"/>
    <w:rsid w:val="008307CF"/>
    <w:rsid w:val="00834D78"/>
    <w:rsid w:val="00843140"/>
    <w:rsid w:val="00845908"/>
    <w:rsid w:val="00847975"/>
    <w:rsid w:val="00860358"/>
    <w:rsid w:val="00862170"/>
    <w:rsid w:val="00864417"/>
    <w:rsid w:val="00865AA6"/>
    <w:rsid w:val="00867E45"/>
    <w:rsid w:val="00871D02"/>
    <w:rsid w:val="008762EF"/>
    <w:rsid w:val="00876DB2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5A51"/>
    <w:rsid w:val="008C6338"/>
    <w:rsid w:val="008D34E6"/>
    <w:rsid w:val="008D566F"/>
    <w:rsid w:val="008D77E7"/>
    <w:rsid w:val="008E7EA8"/>
    <w:rsid w:val="008F51E6"/>
    <w:rsid w:val="008F5532"/>
    <w:rsid w:val="008F5E4B"/>
    <w:rsid w:val="00902BD5"/>
    <w:rsid w:val="0090478A"/>
    <w:rsid w:val="00910790"/>
    <w:rsid w:val="009126D9"/>
    <w:rsid w:val="00912ADB"/>
    <w:rsid w:val="00921B05"/>
    <w:rsid w:val="00923EDA"/>
    <w:rsid w:val="0093413A"/>
    <w:rsid w:val="00936A9B"/>
    <w:rsid w:val="00936F42"/>
    <w:rsid w:val="00940848"/>
    <w:rsid w:val="0094412C"/>
    <w:rsid w:val="00945A3D"/>
    <w:rsid w:val="00945DBF"/>
    <w:rsid w:val="00947DDC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C7A41"/>
    <w:rsid w:val="009D10CE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726DE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442"/>
    <w:rsid w:val="00AA29A3"/>
    <w:rsid w:val="00AA3F2B"/>
    <w:rsid w:val="00AA45D5"/>
    <w:rsid w:val="00AA4AC4"/>
    <w:rsid w:val="00AB5FFB"/>
    <w:rsid w:val="00AB7594"/>
    <w:rsid w:val="00AC5CFE"/>
    <w:rsid w:val="00AD4590"/>
    <w:rsid w:val="00AD63F7"/>
    <w:rsid w:val="00AE045B"/>
    <w:rsid w:val="00AE1CDD"/>
    <w:rsid w:val="00AE57CB"/>
    <w:rsid w:val="00B00853"/>
    <w:rsid w:val="00B03325"/>
    <w:rsid w:val="00B061F9"/>
    <w:rsid w:val="00B1667C"/>
    <w:rsid w:val="00B177E5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670BA"/>
    <w:rsid w:val="00B73AE2"/>
    <w:rsid w:val="00B8131A"/>
    <w:rsid w:val="00B8146B"/>
    <w:rsid w:val="00B90813"/>
    <w:rsid w:val="00BA4700"/>
    <w:rsid w:val="00BA51A9"/>
    <w:rsid w:val="00BA51E1"/>
    <w:rsid w:val="00BB5106"/>
    <w:rsid w:val="00BB5B2F"/>
    <w:rsid w:val="00BB6706"/>
    <w:rsid w:val="00BB72F3"/>
    <w:rsid w:val="00BC13AB"/>
    <w:rsid w:val="00BC1559"/>
    <w:rsid w:val="00BE6AC6"/>
    <w:rsid w:val="00BF035C"/>
    <w:rsid w:val="00BF3715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0049"/>
    <w:rsid w:val="00C9012A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5409"/>
    <w:rsid w:val="00D26520"/>
    <w:rsid w:val="00D26D90"/>
    <w:rsid w:val="00D332AF"/>
    <w:rsid w:val="00D4601F"/>
    <w:rsid w:val="00D67923"/>
    <w:rsid w:val="00D71E22"/>
    <w:rsid w:val="00D72370"/>
    <w:rsid w:val="00D87E57"/>
    <w:rsid w:val="00D96B00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692D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3596E"/>
    <w:rsid w:val="00E40E8A"/>
    <w:rsid w:val="00E4238E"/>
    <w:rsid w:val="00E43DB9"/>
    <w:rsid w:val="00E47201"/>
    <w:rsid w:val="00E52894"/>
    <w:rsid w:val="00E52AE4"/>
    <w:rsid w:val="00E5565A"/>
    <w:rsid w:val="00E55A3C"/>
    <w:rsid w:val="00E56935"/>
    <w:rsid w:val="00E574AB"/>
    <w:rsid w:val="00E6014D"/>
    <w:rsid w:val="00E62878"/>
    <w:rsid w:val="00E63485"/>
    <w:rsid w:val="00E643A2"/>
    <w:rsid w:val="00E654EB"/>
    <w:rsid w:val="00E675C2"/>
    <w:rsid w:val="00E84700"/>
    <w:rsid w:val="00E86939"/>
    <w:rsid w:val="00E87131"/>
    <w:rsid w:val="00E8743A"/>
    <w:rsid w:val="00E8788E"/>
    <w:rsid w:val="00E87A59"/>
    <w:rsid w:val="00E971CD"/>
    <w:rsid w:val="00EA4E24"/>
    <w:rsid w:val="00EC12B7"/>
    <w:rsid w:val="00EC6E02"/>
    <w:rsid w:val="00EC724B"/>
    <w:rsid w:val="00EC7859"/>
    <w:rsid w:val="00EE1D17"/>
    <w:rsid w:val="00EF4539"/>
    <w:rsid w:val="00F024BD"/>
    <w:rsid w:val="00F03D80"/>
    <w:rsid w:val="00F12D3F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0099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7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file:///C:\Users\clarker\Documents\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EBCF-9443-492E-8BAC-D7F9D658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2468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Aveline, Marion</cp:lastModifiedBy>
  <cp:revision>3</cp:revision>
  <cp:lastPrinted>2014-02-26T11:27:00Z</cp:lastPrinted>
  <dcterms:created xsi:type="dcterms:W3CDTF">2014-02-26T11:26:00Z</dcterms:created>
  <dcterms:modified xsi:type="dcterms:W3CDTF">2014-02-26T11:29:00Z</dcterms:modified>
</cp:coreProperties>
</file>