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3C4DD0">
        <w:t>6 de mayo de 2011</w:t>
      </w:r>
    </w:p>
    <w:p w:rsidR="00C34772" w:rsidRDefault="00C34772" w:rsidP="00303D62">
      <w:pPr>
        <w:spacing w:before="0"/>
      </w:pPr>
    </w:p>
    <w:tbl>
      <w:tblPr>
        <w:tblW w:w="10206" w:type="dxa"/>
        <w:tblInd w:w="8" w:type="dxa"/>
        <w:tblLayout w:type="fixed"/>
        <w:tblCellMar>
          <w:left w:w="0" w:type="dxa"/>
          <w:right w:w="0" w:type="dxa"/>
        </w:tblCellMar>
        <w:tblLook w:val="0000"/>
      </w:tblPr>
      <w:tblGrid>
        <w:gridCol w:w="993"/>
        <w:gridCol w:w="3884"/>
        <w:gridCol w:w="5329"/>
      </w:tblGrid>
      <w:tr w:rsidR="00C34772"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906F98" w:rsidRDefault="00906F98"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C34772" w:rsidRDefault="00C34772" w:rsidP="00C33E2D">
            <w:pPr>
              <w:tabs>
                <w:tab w:val="left" w:pos="4111"/>
              </w:tabs>
              <w:spacing w:before="0"/>
              <w:ind w:left="57"/>
              <w:rPr>
                <w:b/>
              </w:rPr>
            </w:pPr>
            <w:r>
              <w:rPr>
                <w:b/>
              </w:rPr>
              <w:t xml:space="preserve">Circular TSB </w:t>
            </w:r>
            <w:r w:rsidR="00C33E2D">
              <w:rPr>
                <w:b/>
              </w:rPr>
              <w:t>191</w:t>
            </w:r>
          </w:p>
          <w:p w:rsidR="00C34772" w:rsidRDefault="00C33E2D" w:rsidP="00C33E2D">
            <w:pPr>
              <w:tabs>
                <w:tab w:val="left" w:pos="4111"/>
              </w:tabs>
              <w:spacing w:before="0"/>
              <w:ind w:left="57"/>
              <w:rPr>
                <w:b/>
              </w:rPr>
            </w:pPr>
            <w:r>
              <w:t>FG AVA</w:t>
            </w:r>
            <w:r w:rsidR="00C34772">
              <w:t>/</w:t>
            </w:r>
            <w:r>
              <w:t>AG</w:t>
            </w:r>
          </w:p>
          <w:p w:rsidR="00C34772" w:rsidRDefault="00C34772" w:rsidP="00303D62">
            <w:pPr>
              <w:tabs>
                <w:tab w:val="left" w:pos="4111"/>
              </w:tabs>
              <w:spacing w:before="0"/>
              <w:ind w:left="57"/>
            </w:pPr>
          </w:p>
          <w:p w:rsidR="00906F98" w:rsidRDefault="00906F98" w:rsidP="00303D62">
            <w:pPr>
              <w:tabs>
                <w:tab w:val="left" w:pos="4111"/>
              </w:tabs>
              <w:spacing w:before="0"/>
              <w:ind w:left="57"/>
            </w:pPr>
          </w:p>
          <w:p w:rsidR="00C34772" w:rsidRDefault="00C34772" w:rsidP="00303D62">
            <w:pPr>
              <w:tabs>
                <w:tab w:val="left" w:pos="4111"/>
              </w:tabs>
              <w:spacing w:before="0"/>
              <w:ind w:left="57"/>
            </w:pPr>
            <w:r>
              <w:t>+41 22 730</w:t>
            </w:r>
            <w:r w:rsidR="00C33E2D">
              <w:t xml:space="preserve"> 5158</w:t>
            </w:r>
            <w:r>
              <w:br/>
              <w:t>+41 22 730 5853</w:t>
            </w:r>
          </w:p>
        </w:tc>
        <w:tc>
          <w:tcPr>
            <w:tcW w:w="5329" w:type="dxa"/>
          </w:tcPr>
          <w:p w:rsidR="00C34772" w:rsidRDefault="00C34772" w:rsidP="00303D62">
            <w:pPr>
              <w:tabs>
                <w:tab w:val="clear" w:pos="794"/>
                <w:tab w:val="clear" w:pos="1191"/>
                <w:tab w:val="clear" w:pos="1588"/>
                <w:tab w:val="clear" w:pos="1985"/>
                <w:tab w:val="left" w:pos="284"/>
              </w:tabs>
              <w:spacing w:before="0"/>
              <w:ind w:left="284" w:hanging="227"/>
            </w:pPr>
            <w:bookmarkStart w:id="0" w:name="Addressee_S"/>
            <w:bookmarkEnd w:id="0"/>
            <w:r>
              <w:t>-</w:t>
            </w:r>
            <w:r>
              <w:tab/>
              <w:t>A las Administraciones de los Estados Miembros de la Unión</w:t>
            </w:r>
          </w:p>
          <w:p w:rsidR="00C33E2D" w:rsidRDefault="00C33E2D" w:rsidP="00C33E2D">
            <w:pPr>
              <w:tabs>
                <w:tab w:val="clear" w:pos="794"/>
                <w:tab w:val="clear" w:pos="1191"/>
                <w:tab w:val="clear" w:pos="1588"/>
                <w:tab w:val="clear" w:pos="1985"/>
                <w:tab w:val="left" w:pos="284"/>
              </w:tabs>
              <w:spacing w:before="0"/>
              <w:ind w:left="284" w:hanging="227"/>
            </w:pPr>
            <w:r>
              <w:t>-</w:t>
            </w:r>
            <w:r>
              <w:tab/>
              <w:t>A los Miembros del Sector de la UIT</w:t>
            </w:r>
          </w:p>
          <w:p w:rsidR="00C33E2D" w:rsidRDefault="00C33E2D" w:rsidP="00C33E2D">
            <w:pPr>
              <w:tabs>
                <w:tab w:val="clear" w:pos="794"/>
                <w:tab w:val="clear" w:pos="1191"/>
                <w:tab w:val="clear" w:pos="1588"/>
                <w:tab w:val="clear" w:pos="1985"/>
                <w:tab w:val="left" w:pos="284"/>
              </w:tabs>
              <w:spacing w:before="0"/>
              <w:ind w:left="284" w:hanging="227"/>
            </w:pPr>
            <w:r>
              <w:t>-</w:t>
            </w:r>
            <w:r>
              <w:tab/>
              <w:t>A los Asociados de la UIT</w:t>
            </w:r>
          </w:p>
          <w:p w:rsidR="00C33E2D" w:rsidRDefault="00C33E2D" w:rsidP="00C33E2D">
            <w:pPr>
              <w:tabs>
                <w:tab w:val="clear" w:pos="794"/>
                <w:tab w:val="clear" w:pos="1191"/>
                <w:tab w:val="clear" w:pos="1588"/>
                <w:tab w:val="clear" w:pos="1985"/>
                <w:tab w:val="left" w:pos="284"/>
              </w:tabs>
              <w:spacing w:before="0"/>
              <w:ind w:left="284" w:hanging="227"/>
            </w:pPr>
            <w:r w:rsidRPr="00665FBD">
              <w:t>-</w:t>
            </w:r>
            <w:r>
              <w:tab/>
              <w:t xml:space="preserve">A las Instituciones Académicas de la </w:t>
            </w:r>
            <w:r w:rsidRPr="00665FBD">
              <w:t>UIT</w:t>
            </w:r>
          </w:p>
        </w:tc>
      </w:tr>
      <w:tr w:rsidR="00C34772" w:rsidTr="00303D62">
        <w:trPr>
          <w:cantSplit/>
        </w:trPr>
        <w:tc>
          <w:tcPr>
            <w:tcW w:w="993" w:type="dxa"/>
          </w:tcPr>
          <w:p w:rsidR="00C34772" w:rsidRDefault="00C34772" w:rsidP="00303D62">
            <w:pPr>
              <w:tabs>
                <w:tab w:val="left" w:pos="4111"/>
              </w:tabs>
              <w:spacing w:before="10"/>
              <w:ind w:left="57"/>
              <w:rPr>
                <w:sz w:val="22"/>
              </w:rPr>
            </w:pPr>
            <w:r>
              <w:rPr>
                <w:sz w:val="22"/>
              </w:rPr>
              <w:t>Correo-e:</w:t>
            </w:r>
          </w:p>
        </w:tc>
        <w:tc>
          <w:tcPr>
            <w:tcW w:w="3884" w:type="dxa"/>
          </w:tcPr>
          <w:p w:rsidR="00C34772" w:rsidRDefault="00E37E79" w:rsidP="00C33E2D">
            <w:pPr>
              <w:tabs>
                <w:tab w:val="left" w:pos="4111"/>
              </w:tabs>
              <w:spacing w:before="0"/>
              <w:ind w:left="57"/>
            </w:pPr>
            <w:hyperlink r:id="rId9" w:history="1">
              <w:r w:rsidR="00C33E2D" w:rsidRPr="00773D26">
                <w:rPr>
                  <w:rStyle w:val="Hyperlink"/>
                </w:rPr>
                <w:t>tsbfgava@itu.int</w:t>
              </w:r>
            </w:hyperlink>
            <w:r w:rsidR="00C34772">
              <w:t xml:space="preserve"> </w:t>
            </w:r>
          </w:p>
        </w:tc>
        <w:tc>
          <w:tcPr>
            <w:tcW w:w="5329" w:type="dxa"/>
          </w:tcPr>
          <w:p w:rsidR="00C34772" w:rsidRDefault="00C34772" w:rsidP="00303D62">
            <w:pPr>
              <w:tabs>
                <w:tab w:val="left" w:pos="4111"/>
              </w:tabs>
              <w:spacing w:before="0"/>
            </w:pPr>
            <w:r>
              <w:rPr>
                <w:b/>
              </w:rPr>
              <w:t>Copia</w:t>
            </w:r>
            <w:r>
              <w:t>:</w:t>
            </w:r>
          </w:p>
          <w:p w:rsidR="00C34772" w:rsidRDefault="00C34772" w:rsidP="00C33E2D">
            <w:pPr>
              <w:tabs>
                <w:tab w:val="left" w:pos="226"/>
                <w:tab w:val="left" w:pos="4111"/>
              </w:tabs>
              <w:spacing w:before="0"/>
              <w:ind w:left="226" w:hanging="226"/>
            </w:pPr>
            <w:r>
              <w:t>-</w:t>
            </w:r>
            <w:r>
              <w:tab/>
              <w:t>A</w:t>
            </w:r>
            <w:r w:rsidR="00C33E2D">
              <w:t xml:space="preserve"> </w:t>
            </w:r>
            <w:r>
              <w:t>l</w:t>
            </w:r>
            <w:r w:rsidR="00C33E2D">
              <w:t>os</w:t>
            </w:r>
            <w:r>
              <w:t xml:space="preserve"> Presidente</w:t>
            </w:r>
            <w:r w:rsidR="00C33E2D">
              <w:t xml:space="preserve">s </w:t>
            </w:r>
            <w:r>
              <w:t xml:space="preserve">y Vicepresidentes de </w:t>
            </w:r>
            <w:r w:rsidR="00C33E2D">
              <w:t xml:space="preserve">todas las </w:t>
            </w:r>
            <w:r>
              <w:br/>
              <w:t>Comisi</w:t>
            </w:r>
            <w:r w:rsidR="00C33E2D">
              <w:t>o</w:t>
            </w:r>
            <w:r>
              <w:t>n</w:t>
            </w:r>
            <w:r w:rsidR="00C33E2D">
              <w:t>es</w:t>
            </w:r>
            <w:r>
              <w:t xml:space="preserve"> de Estudio </w:t>
            </w:r>
            <w:r w:rsidR="00C33E2D">
              <w:t>del UIT-T</w:t>
            </w:r>
            <w:r w:rsidR="003C4DD0">
              <w:t>;</w:t>
            </w:r>
          </w:p>
          <w:p w:rsidR="00C34772" w:rsidRDefault="00C34772" w:rsidP="00303D62">
            <w:pPr>
              <w:tabs>
                <w:tab w:val="clear" w:pos="794"/>
                <w:tab w:val="clear" w:pos="1191"/>
                <w:tab w:val="clear" w:pos="1588"/>
                <w:tab w:val="clear" w:pos="1985"/>
                <w:tab w:val="left" w:pos="226"/>
                <w:tab w:val="left" w:pos="510"/>
              </w:tabs>
              <w:spacing w:before="0"/>
              <w:ind w:left="226" w:hanging="169"/>
            </w:pPr>
            <w:r>
              <w:t>-</w:t>
            </w:r>
            <w:r>
              <w:tab/>
              <w:t>Al Director de la Oficina de Desarrollo de las Telecomunicaciones;</w:t>
            </w:r>
          </w:p>
          <w:p w:rsidR="00C34772" w:rsidRDefault="00C34772" w:rsidP="00303D62">
            <w:pPr>
              <w:tabs>
                <w:tab w:val="clear" w:pos="794"/>
                <w:tab w:val="clear" w:pos="1191"/>
                <w:tab w:val="clear" w:pos="1588"/>
                <w:tab w:val="clear" w:pos="1985"/>
                <w:tab w:val="left" w:pos="226"/>
                <w:tab w:val="left" w:pos="510"/>
              </w:tabs>
              <w:spacing w:before="0"/>
              <w:ind w:left="226" w:hanging="169"/>
            </w:pPr>
            <w:r>
              <w:t>-</w:t>
            </w:r>
            <w:r>
              <w:tab/>
              <w:t>Al Director de la Oficina de Radiocomunicaciones</w:t>
            </w:r>
          </w:p>
        </w:tc>
      </w:tr>
    </w:tbl>
    <w:p w:rsidR="00C34772" w:rsidRDefault="00C34772" w:rsidP="00303D62"/>
    <w:tbl>
      <w:tblPr>
        <w:tblW w:w="0" w:type="auto"/>
        <w:tblInd w:w="8" w:type="dxa"/>
        <w:tblLayout w:type="fixed"/>
        <w:tblCellMar>
          <w:left w:w="0" w:type="dxa"/>
          <w:right w:w="0" w:type="dxa"/>
        </w:tblCellMar>
        <w:tblLook w:val="0000"/>
      </w:tblPr>
      <w:tblGrid>
        <w:gridCol w:w="822"/>
        <w:gridCol w:w="7116"/>
      </w:tblGrid>
      <w:tr w:rsidR="00C34772" w:rsidTr="00303D62">
        <w:trPr>
          <w:cantSplit/>
        </w:trPr>
        <w:tc>
          <w:tcPr>
            <w:tcW w:w="822" w:type="dxa"/>
          </w:tcPr>
          <w:p w:rsidR="00C34772" w:rsidRDefault="00C34772" w:rsidP="00303D62">
            <w:pPr>
              <w:tabs>
                <w:tab w:val="left" w:pos="4111"/>
              </w:tabs>
              <w:spacing w:before="10"/>
              <w:ind w:left="57"/>
              <w:rPr>
                <w:sz w:val="22"/>
              </w:rPr>
            </w:pPr>
            <w:r>
              <w:rPr>
                <w:sz w:val="22"/>
              </w:rPr>
              <w:t>Asunto:</w:t>
            </w:r>
          </w:p>
        </w:tc>
        <w:tc>
          <w:tcPr>
            <w:tcW w:w="7116" w:type="dxa"/>
          </w:tcPr>
          <w:p w:rsidR="00C34772" w:rsidRDefault="00C33E2D" w:rsidP="00C33E2D">
            <w:pPr>
              <w:tabs>
                <w:tab w:val="left" w:pos="4111"/>
              </w:tabs>
              <w:spacing w:before="0"/>
              <w:rPr>
                <w:b/>
              </w:rPr>
            </w:pPr>
            <w:r>
              <w:rPr>
                <w:b/>
              </w:rPr>
              <w:t>Creación de un nuevo Grupo Temático sobre la accesibilidad a los medios audiovisuales (FG AVA); Primera reunión del FG AVA</w:t>
            </w:r>
            <w:r w:rsidR="00C34772">
              <w:rPr>
                <w:b/>
              </w:rPr>
              <w:br/>
              <w:t xml:space="preserve">Ginebra, </w:t>
            </w:r>
            <w:r>
              <w:rPr>
                <w:b/>
              </w:rPr>
              <w:t>Suiza, 26 de mayo de 2011</w:t>
            </w:r>
          </w:p>
        </w:tc>
      </w:tr>
    </w:tbl>
    <w:p w:rsidR="00C34772" w:rsidRDefault="00C34772" w:rsidP="00303D62">
      <w:bookmarkStart w:id="1" w:name="StartTyping_S"/>
      <w:bookmarkStart w:id="2" w:name="suitetext"/>
      <w:bookmarkStart w:id="3" w:name="text"/>
      <w:bookmarkEnd w:id="1"/>
      <w:bookmarkEnd w:id="2"/>
      <w:bookmarkEnd w:id="3"/>
    </w:p>
    <w:p w:rsidR="00C34772" w:rsidRDefault="00C34772" w:rsidP="00303D62">
      <w:r>
        <w:t>Muy Señora mía/Muy Señor mío:</w:t>
      </w:r>
    </w:p>
    <w:p w:rsidR="00C34772" w:rsidRDefault="007501AF" w:rsidP="009C09A0">
      <w:r>
        <w:t>1</w:t>
      </w:r>
      <w:r>
        <w:tab/>
      </w:r>
      <w:r w:rsidRPr="007501AF">
        <w:t>Me complace anunciarle la creación del Grupo Temático sobre la accesibilidad a los medios audiovisuales (FG AVA) con arreglo al procedimiento estipulado en la cláusula 2.1.2.2 de la Recomendación UIT-T A.7.</w:t>
      </w:r>
    </w:p>
    <w:p w:rsidR="00C34772" w:rsidRDefault="00C34772" w:rsidP="007501AF">
      <w:r>
        <w:rPr>
          <w:bCs/>
        </w:rPr>
        <w:t>2</w:t>
      </w:r>
      <w:r>
        <w:tab/>
      </w:r>
      <w:r w:rsidR="007501AF" w:rsidRPr="007501AF">
        <w:t>El objetivo del Grupo Temático es facilitar el acceso a los medios audiovisuales para las personas con discapacidades. El Grupo Temático alienta a todas las organizaciones de normalización que estudian este tema a participar en el Grupo.</w:t>
      </w:r>
    </w:p>
    <w:p w:rsidR="00C34772" w:rsidRDefault="00C34772" w:rsidP="007501AF">
      <w:r>
        <w:rPr>
          <w:bCs/>
        </w:rPr>
        <w:t>3</w:t>
      </w:r>
      <w:r>
        <w:tab/>
      </w:r>
      <w:r w:rsidR="007501AF" w:rsidRPr="007501AF">
        <w:t xml:space="preserve">El Grupo Temático realizará sus trabajos con arreglo a los procedimientos previstos en la Recomendación UIT-T A.7. La CE 16 será la Comisión rectora. En el </w:t>
      </w:r>
      <w:r w:rsidR="003C4DD0" w:rsidRPr="007501AF">
        <w:rPr>
          <w:b/>
          <w:bCs/>
        </w:rPr>
        <w:t>a</w:t>
      </w:r>
      <w:r w:rsidR="007501AF" w:rsidRPr="007501AF">
        <w:rPr>
          <w:b/>
          <w:bCs/>
        </w:rPr>
        <w:t>nexo 1</w:t>
      </w:r>
      <w:r w:rsidR="007501AF" w:rsidRPr="007501AF">
        <w:t xml:space="preserve"> se reproduce el mandato acordado para el FG AVA. El Sr. Peter Olaf </w:t>
      </w:r>
      <w:proofErr w:type="spellStart"/>
      <w:r w:rsidR="007501AF" w:rsidRPr="007501AF">
        <w:t>Looms</w:t>
      </w:r>
      <w:proofErr w:type="spellEnd"/>
      <w:r w:rsidR="007501AF" w:rsidRPr="007501AF">
        <w:t xml:space="preserve"> (Unión Europea de Radiodifusión y Dinamarca) presidirá el nuevo Grupo Temático y contará con la asistencia de los Vicepresidentes, Sr. Masahito Kawamori (NTT, Japón), Sr. </w:t>
      </w:r>
      <w:proofErr w:type="spellStart"/>
      <w:r w:rsidR="007501AF" w:rsidRPr="007501AF">
        <w:t>Clyde</w:t>
      </w:r>
      <w:proofErr w:type="spellEnd"/>
      <w:r w:rsidR="007501AF" w:rsidRPr="007501AF">
        <w:t xml:space="preserve"> Smith (Turner </w:t>
      </w:r>
      <w:proofErr w:type="spellStart"/>
      <w:r w:rsidR="007501AF" w:rsidRPr="007501AF">
        <w:t>Broadcasting</w:t>
      </w:r>
      <w:proofErr w:type="spellEnd"/>
      <w:r w:rsidR="007501AF" w:rsidRPr="007501AF">
        <w:t xml:space="preserve"> </w:t>
      </w:r>
      <w:proofErr w:type="spellStart"/>
      <w:r w:rsidR="007501AF" w:rsidRPr="007501AF">
        <w:t>System</w:t>
      </w:r>
      <w:proofErr w:type="spellEnd"/>
      <w:r w:rsidR="007501AF" w:rsidRPr="007501AF">
        <w:t xml:space="preserve">, EE.UU.) y Sr. Axel </w:t>
      </w:r>
      <w:proofErr w:type="spellStart"/>
      <w:r w:rsidR="007501AF" w:rsidRPr="007501AF">
        <w:t>Leblois</w:t>
      </w:r>
      <w:proofErr w:type="spellEnd"/>
      <w:r w:rsidR="007501AF" w:rsidRPr="007501AF">
        <w:t xml:space="preserve"> (G3ict). Estoy convencido de que con la creación del Grupo Temático sobre accesibilidad a los medios audiovisuales el UIT-T cumplirá las expectativas de sus Miembros y demostrará su capacidad para abordar los temas que requieren una atención urgente.</w:t>
      </w:r>
    </w:p>
    <w:p w:rsidR="007501AF" w:rsidRDefault="007501AF" w:rsidP="00906F98">
      <w:r>
        <w:t>4</w:t>
      </w:r>
      <w:r>
        <w:tab/>
      </w:r>
      <w:r w:rsidRPr="007501AF">
        <w:t>La participación en el FG AVA está abierta a los Estados Miembros, a los Miembros de Sector, a los Asociados y a las Instituciones Académicas de la UIT. También está abierta a cualquier persona de un país que sea Miembro de la UIT y desee contribuir a los trabajos. Esto incluye a las personas que también sean miembros o representantes de organizaciones de normalización y otros interesados.</w:t>
      </w:r>
    </w:p>
    <w:p w:rsidR="007501AF" w:rsidRDefault="007501AF" w:rsidP="007501AF">
      <w:r>
        <w:t>5</w:t>
      </w:r>
      <w:r>
        <w:tab/>
      </w:r>
      <w:r w:rsidRPr="007501AF">
        <w:t>La primera reunión del FG AVA se celebrará el 26 de mayo de 2011 en la Sede de la UIT, Ginebra, Suiza.</w:t>
      </w:r>
    </w:p>
    <w:p w:rsidR="007501AF" w:rsidRDefault="007501AF">
      <w:pPr>
        <w:tabs>
          <w:tab w:val="clear" w:pos="794"/>
          <w:tab w:val="clear" w:pos="1191"/>
          <w:tab w:val="clear" w:pos="1588"/>
          <w:tab w:val="clear" w:pos="1985"/>
        </w:tabs>
        <w:overflowPunct/>
        <w:autoSpaceDE/>
        <w:autoSpaceDN/>
        <w:adjustRightInd/>
        <w:spacing w:before="0"/>
        <w:textAlignment w:val="auto"/>
      </w:pPr>
      <w:r>
        <w:br w:type="page"/>
      </w:r>
    </w:p>
    <w:p w:rsidR="007501AF" w:rsidRDefault="007501AF" w:rsidP="007501AF">
      <w:r>
        <w:lastRenderedPageBreak/>
        <w:t>6</w:t>
      </w:r>
      <w:r>
        <w:tab/>
      </w:r>
      <w:r w:rsidRPr="00C43843">
        <w:t>Los temas de discusión para la reunión se publicarán en la página web del Grupo Temático:</w:t>
      </w:r>
      <w:r w:rsidRPr="00F93C32">
        <w:t xml:space="preserve"> </w:t>
      </w:r>
      <w:hyperlink r:id="rId10" w:history="1">
        <w:r w:rsidRPr="00F93C32">
          <w:rPr>
            <w:rStyle w:val="Hyperlink"/>
          </w:rPr>
          <w:t>http://itu.int/en/ITU-T/focusgroups/ava</w:t>
        </w:r>
      </w:hyperlink>
      <w:r w:rsidRPr="00F93C32">
        <w:rPr>
          <w:sz w:val="20"/>
        </w:rPr>
        <w:t xml:space="preserve">. </w:t>
      </w:r>
      <w:r w:rsidRPr="00C43843">
        <w:t xml:space="preserve">En el </w:t>
      </w:r>
      <w:r w:rsidRPr="003C4DD0">
        <w:rPr>
          <w:b/>
          <w:bCs/>
        </w:rPr>
        <w:t>anexo 2</w:t>
      </w:r>
      <w:r w:rsidRPr="00C43843">
        <w:t xml:space="preserve"> figura un proyecto de orden del día preparado por la dirección del Grupo Temático. La información relativa a la reunión se publicará en la página web del Grupo Temático</w:t>
      </w:r>
      <w:r w:rsidRPr="00F93C32">
        <w:t>.</w:t>
      </w:r>
    </w:p>
    <w:p w:rsidR="007501AF" w:rsidRDefault="007501AF" w:rsidP="003C4DD0">
      <w:r>
        <w:t>7</w:t>
      </w:r>
      <w:r>
        <w:tab/>
      </w:r>
      <w:r w:rsidRPr="007501AF">
        <w:t>La reunión comenzará a las 09</w:t>
      </w:r>
      <w:r w:rsidR="003C4DD0">
        <w:t>.3</w:t>
      </w:r>
      <w:r w:rsidRPr="007501AF">
        <w:t>0 horas del 26 de mayo de 2011. La inscripción de los participantes se realizará a partir de las 08</w:t>
      </w:r>
      <w:r w:rsidR="003C4DD0">
        <w:t>.</w:t>
      </w:r>
      <w:r w:rsidRPr="007501AF">
        <w:t xml:space="preserve">30 horas en la entrada del edificio </w:t>
      </w:r>
      <w:proofErr w:type="spellStart"/>
      <w:r w:rsidRPr="007501AF">
        <w:t>Montbrillant</w:t>
      </w:r>
      <w:proofErr w:type="spellEnd"/>
      <w:r w:rsidRPr="007501AF">
        <w:t>. Toda la información relativa a las salas de reunión se indicará en las pantallas que se encuentran en las entradas de la Sede de la UIT. No hay cuota de inscripción para participar en esta reunión.</w:t>
      </w:r>
    </w:p>
    <w:p w:rsidR="007501AF" w:rsidRDefault="007501AF" w:rsidP="003C4DD0">
      <w:r>
        <w:t>8</w:t>
      </w:r>
      <w:r>
        <w:tab/>
      </w:r>
      <w:r w:rsidRPr="007501AF">
        <w:t>Los debates se sostendrán exclusivamente en inglés. La reunión del Grupo Temático del</w:t>
      </w:r>
      <w:r w:rsidR="003C4DD0">
        <w:t> </w:t>
      </w:r>
      <w:r w:rsidRPr="007501AF">
        <w:t>26</w:t>
      </w:r>
      <w:r w:rsidR="003C4DD0">
        <w:t> </w:t>
      </w:r>
      <w:r w:rsidRPr="007501AF">
        <w:t>de mayo de 2001 contará con servicio de interpretación al lenguaje de signos y subtítulos. Pueden encontrarse más detalles al respecto en el sitio web del FG AVA.</w:t>
      </w:r>
    </w:p>
    <w:p w:rsidR="007501AF" w:rsidRDefault="007501AF" w:rsidP="007501AF">
      <w:r>
        <w:t>9</w:t>
      </w:r>
      <w:r>
        <w:tab/>
      </w:r>
      <w:r w:rsidRPr="007501AF">
        <w:t>En la página web de los Grupos Temáticos del UIT-T se irá publicando toda la información relativa a este evento, incluidas las disposiciones para la participación a distancia.</w:t>
      </w:r>
    </w:p>
    <w:p w:rsidR="007501AF" w:rsidRDefault="007501AF" w:rsidP="007501AF">
      <w:r>
        <w:t>10</w:t>
      </w:r>
      <w:r>
        <w:tab/>
        <w:t>A fin de</w:t>
      </w:r>
      <w:r w:rsidRPr="007D62AE">
        <w:t xml:space="preserve"> que la TSB pueda tomar las disposiciones necesarias para la organización de la reunión del Grupo Temático, le </w:t>
      </w:r>
      <w:r>
        <w:t>ruego se inscriba</w:t>
      </w:r>
      <w:r w:rsidRPr="007D62AE">
        <w:t xml:space="preserve"> a la mayor brevedad posible </w:t>
      </w:r>
      <w:r>
        <w:t>por medio</w:t>
      </w:r>
      <w:r w:rsidRPr="007D62AE">
        <w:t xml:space="preserve"> del formulario en línea</w:t>
      </w:r>
      <w:r w:rsidRPr="007C17EF">
        <w:t xml:space="preserve"> </w:t>
      </w:r>
      <w:r>
        <w:t>que encontrará en la página web del Grupo Temático</w:t>
      </w:r>
      <w:r w:rsidRPr="007C17EF">
        <w:t xml:space="preserve"> </w:t>
      </w:r>
      <w:r w:rsidRPr="003C4DD0">
        <w:rPr>
          <w:rFonts w:asciiTheme="majorBidi" w:hAnsiTheme="majorBidi" w:cstheme="majorBidi"/>
          <w:szCs w:val="24"/>
        </w:rPr>
        <w:t>(</w:t>
      </w:r>
      <w:hyperlink r:id="rId11" w:history="1">
        <w:r w:rsidRPr="003C4DD0">
          <w:rPr>
            <w:rStyle w:val="Hyperlink"/>
            <w:rFonts w:asciiTheme="majorBidi" w:hAnsiTheme="majorBidi" w:cstheme="majorBidi"/>
            <w:szCs w:val="24"/>
          </w:rPr>
          <w:t>http://itu.int/reg/tsg/3000258</w:t>
        </w:r>
      </w:hyperlink>
      <w:r w:rsidRPr="003C4DD0">
        <w:rPr>
          <w:rFonts w:asciiTheme="majorBidi" w:hAnsiTheme="majorBidi" w:cstheme="majorBidi"/>
          <w:color w:val="1F497D"/>
          <w:szCs w:val="24"/>
        </w:rPr>
        <w:t>)</w:t>
      </w:r>
      <w:r>
        <w:rPr>
          <w:rFonts w:ascii="Calibri" w:hAnsi="Calibri"/>
          <w:color w:val="1F497D"/>
          <w:sz w:val="22"/>
          <w:szCs w:val="22"/>
        </w:rPr>
        <w:t>.</w:t>
      </w:r>
      <w:r w:rsidRPr="007C17EF">
        <w:rPr>
          <w:rFonts w:ascii="Calibri" w:hAnsi="Calibri"/>
          <w:color w:val="1F497D"/>
          <w:sz w:val="22"/>
          <w:szCs w:val="22"/>
        </w:rPr>
        <w:t xml:space="preserve"> </w:t>
      </w:r>
      <w:r w:rsidRPr="007C17EF">
        <w:t>Le ruego que tome nota de que la preinscripción de los participantes en la reunión se lleva a cabo exclusivamente en línea</w:t>
      </w:r>
      <w:r w:rsidRPr="006B33F8">
        <w:t xml:space="preserve">. A fin de que podamos enviarle </w:t>
      </w:r>
      <w:r>
        <w:t xml:space="preserve">la información más reciente sobre la planificación de la reunión, </w:t>
      </w:r>
      <w:r w:rsidRPr="007D62AE">
        <w:t>le rogamos</w:t>
      </w:r>
      <w:r>
        <w:t xml:space="preserve"> indique </w:t>
      </w:r>
      <w:r w:rsidRPr="007D62AE">
        <w:t>su dirección de correo-e en el formulario de inscripción</w:t>
      </w:r>
      <w:r w:rsidRPr="007C17EF">
        <w:t>.</w:t>
      </w:r>
    </w:p>
    <w:p w:rsidR="007501AF" w:rsidRDefault="007501AF" w:rsidP="00C034BE">
      <w:r>
        <w:t>11</w:t>
      </w:r>
      <w:r>
        <w:tab/>
      </w:r>
      <w:r w:rsidR="00C034BE" w:rsidRPr="00C034BE">
        <w:t xml:space="preserve">De acuerdo con el equipo de dirección del Grupo Temático, el plazo para la presentación de documentos destinados a esta primera reunión vence el </w:t>
      </w:r>
      <w:r w:rsidR="00C034BE" w:rsidRPr="00C034BE">
        <w:rPr>
          <w:b/>
          <w:bCs/>
        </w:rPr>
        <w:t>20 de mayo de 2011</w:t>
      </w:r>
      <w:r w:rsidR="00C034BE" w:rsidRPr="00C034BE">
        <w:t>. Rogamos tenga presente que no se utilizarán documentos impresos durante la reunión.</w:t>
      </w:r>
    </w:p>
    <w:p w:rsidR="00C034BE" w:rsidRDefault="00C034BE" w:rsidP="00C034BE">
      <w:r w:rsidRPr="00C034BE">
        <w:t>Los documentos para esta reunión se pondrán a disposición del público y se podrá acceder a ellos a través del navegador de la página web de los Grupos Temáticos del UIT-T.</w:t>
      </w:r>
    </w:p>
    <w:p w:rsidR="00C034BE" w:rsidRDefault="00C034BE" w:rsidP="00C034BE">
      <w:r w:rsidRPr="00C034BE">
        <w:t>Al preparar los documentos, utilice la plantilla básica para documentos de los Grupos Temáticos que encontrará en la página web del Grupo Temático. Los participantes presentarán sus contribuciones al FG AVA en formato electrónico mediante el procedimiento siguiente:</w:t>
      </w:r>
    </w:p>
    <w:p w:rsidR="00C034BE" w:rsidRDefault="00C034BE" w:rsidP="00C034BE">
      <w:pPr>
        <w:pStyle w:val="enumlev1"/>
      </w:pPr>
      <w:r>
        <w:t>–</w:t>
      </w:r>
      <w:r>
        <w:tab/>
      </w:r>
      <w:r w:rsidRPr="007D62AE">
        <w:t>comuníquese con la TSB en la dirección</w:t>
      </w:r>
      <w:r w:rsidRPr="00AA68DE">
        <w:t xml:space="preserve"> </w:t>
      </w:r>
      <w:hyperlink r:id="rId12" w:history="1">
        <w:r w:rsidRPr="00AA68DE">
          <w:rPr>
            <w:rStyle w:val="Hyperlink"/>
          </w:rPr>
          <w:t>tsbfgava@itu.int</w:t>
        </w:r>
      </w:hyperlink>
      <w:r w:rsidRPr="00AA68DE">
        <w:t xml:space="preserve"> </w:t>
      </w:r>
      <w:r w:rsidRPr="007D62AE">
        <w:t>a fin de que se le asigne un número (</w:t>
      </w:r>
      <w:proofErr w:type="spellStart"/>
      <w:r w:rsidRPr="007D62AE">
        <w:t>nnnn</w:t>
      </w:r>
      <w:proofErr w:type="spellEnd"/>
      <w:r w:rsidRPr="007D62AE">
        <w:t>) a cada documento</w:t>
      </w:r>
      <w:r>
        <w:t>;</w:t>
      </w:r>
    </w:p>
    <w:p w:rsidR="00C034BE" w:rsidRDefault="00C034BE" w:rsidP="00C034BE">
      <w:pPr>
        <w:pStyle w:val="enumlev1"/>
      </w:pPr>
      <w:r>
        <w:t>–</w:t>
      </w:r>
      <w:r>
        <w:tab/>
      </w:r>
      <w:r w:rsidRPr="00C034BE">
        <w:t xml:space="preserve">prepare los documentos con el siguiente formato de nombre de archivo: </w:t>
      </w:r>
      <w:proofErr w:type="spellStart"/>
      <w:r w:rsidRPr="00C034BE">
        <w:rPr>
          <w:i/>
          <w:iCs/>
        </w:rPr>
        <w:t>fg</w:t>
      </w:r>
      <w:proofErr w:type="spellEnd"/>
      <w:r w:rsidRPr="00C034BE">
        <w:rPr>
          <w:i/>
          <w:iCs/>
        </w:rPr>
        <w:t>-</w:t>
      </w:r>
      <w:proofErr w:type="spellStart"/>
      <w:r w:rsidRPr="00C034BE">
        <w:rPr>
          <w:i/>
          <w:iCs/>
        </w:rPr>
        <w:t>ava</w:t>
      </w:r>
      <w:proofErr w:type="spellEnd"/>
      <w:r w:rsidRPr="00C034BE">
        <w:rPr>
          <w:i/>
          <w:iCs/>
        </w:rPr>
        <w:t>-i-</w:t>
      </w:r>
      <w:proofErr w:type="spellStart"/>
      <w:r w:rsidRPr="00C034BE">
        <w:rPr>
          <w:i/>
          <w:iCs/>
        </w:rPr>
        <w:t>nnnn</w:t>
      </w:r>
      <w:proofErr w:type="spellEnd"/>
      <w:r w:rsidRPr="00C034BE">
        <w:t xml:space="preserve"> (con la extensión de archivo que corresponda)</w:t>
      </w:r>
      <w:r>
        <w:t>;</w:t>
      </w:r>
    </w:p>
    <w:p w:rsidR="00C034BE" w:rsidRDefault="00C034BE" w:rsidP="00C034BE">
      <w:pPr>
        <w:pStyle w:val="enumlev1"/>
      </w:pPr>
      <w:r>
        <w:t>–</w:t>
      </w:r>
      <w:r>
        <w:tab/>
        <w:t>e</w:t>
      </w:r>
      <w:r w:rsidRPr="00D60CB7">
        <w:t xml:space="preserve">nvíe por correo-e el documento a la dirección </w:t>
      </w:r>
      <w:hyperlink r:id="rId13" w:history="1">
        <w:r w:rsidRPr="00D60CB7">
          <w:rPr>
            <w:rStyle w:val="Hyperlink"/>
          </w:rPr>
          <w:t>tsbfgava@itu.int</w:t>
        </w:r>
      </w:hyperlink>
      <w:r w:rsidRPr="00D60CB7">
        <w:t xml:space="preserve"> o, de preferencia, </w:t>
      </w:r>
      <w:r w:rsidRPr="00B37C2D">
        <w:t>utilizando un cliente FTP, cargue el documento en la carpeta desplegable de documentos situada en la zona FT</w:t>
      </w:r>
      <w:r>
        <w:t>P</w:t>
      </w:r>
      <w:r w:rsidRPr="00B37C2D">
        <w:t xml:space="preserve"> del FG</w:t>
      </w:r>
      <w:r w:rsidRPr="00D60CB7">
        <w:t xml:space="preserve"> </w:t>
      </w:r>
      <w:r w:rsidRPr="00D60CB7">
        <w:rPr>
          <w:rFonts w:eastAsia="MS Mincho"/>
          <w:lang w:eastAsia="ja-JP"/>
        </w:rPr>
        <w:t>AVA</w:t>
      </w:r>
      <w:r w:rsidRPr="00D60CB7">
        <w:t>:</w:t>
      </w:r>
    </w:p>
    <w:p w:rsidR="00C034BE" w:rsidRDefault="00C034BE" w:rsidP="00C034BE">
      <w:pPr>
        <w:pStyle w:val="enumlev1"/>
      </w:pPr>
      <w:r>
        <w:tab/>
      </w:r>
      <w:r w:rsidRPr="00C034BE">
        <w:rPr>
          <w:b/>
          <w:bCs/>
        </w:rPr>
        <w:t xml:space="preserve">Nombre de la computadora central (Host </w:t>
      </w:r>
      <w:proofErr w:type="spellStart"/>
      <w:r w:rsidRPr="00C034BE">
        <w:rPr>
          <w:b/>
          <w:bCs/>
        </w:rPr>
        <w:t>name</w:t>
      </w:r>
      <w:proofErr w:type="spellEnd"/>
      <w:r w:rsidRPr="00C034BE">
        <w:rPr>
          <w:b/>
          <w:bCs/>
        </w:rPr>
        <w:t>):</w:t>
      </w:r>
      <w:r w:rsidRPr="00C034BE">
        <w:t xml:space="preserve"> ifa.itu.int</w:t>
      </w:r>
    </w:p>
    <w:p w:rsidR="00C034BE" w:rsidRPr="00C034BE" w:rsidRDefault="00C034BE" w:rsidP="00C034BE">
      <w:pPr>
        <w:pStyle w:val="enumlev1"/>
      </w:pPr>
      <w:r>
        <w:tab/>
      </w:r>
      <w:r w:rsidRPr="00C034BE">
        <w:rPr>
          <w:b/>
          <w:bCs/>
        </w:rPr>
        <w:t>Trayecto (</w:t>
      </w:r>
      <w:proofErr w:type="spellStart"/>
      <w:r w:rsidRPr="00C034BE">
        <w:rPr>
          <w:b/>
          <w:bCs/>
        </w:rPr>
        <w:t>Path</w:t>
      </w:r>
      <w:proofErr w:type="spellEnd"/>
      <w:r w:rsidRPr="00C034BE">
        <w:rPr>
          <w:b/>
          <w:bCs/>
        </w:rPr>
        <w:t>):</w:t>
      </w:r>
      <w:r w:rsidRPr="00C034BE">
        <w:t xml:space="preserve"> /t/</w:t>
      </w:r>
      <w:proofErr w:type="spellStart"/>
      <w:r w:rsidRPr="00C034BE">
        <w:t>fg</w:t>
      </w:r>
      <w:proofErr w:type="spellEnd"/>
      <w:r w:rsidRPr="00C034BE">
        <w:t>/</w:t>
      </w:r>
      <w:proofErr w:type="spellStart"/>
      <w:r w:rsidRPr="00C034BE">
        <w:t>ava</w:t>
      </w:r>
      <w:proofErr w:type="spellEnd"/>
      <w:r w:rsidRPr="00C034BE">
        <w:t>/</w:t>
      </w:r>
      <w:proofErr w:type="spellStart"/>
      <w:r w:rsidRPr="00C034BE">
        <w:t>docs</w:t>
      </w:r>
      <w:proofErr w:type="spellEnd"/>
      <w:r w:rsidRPr="00C034BE">
        <w:t>/</w:t>
      </w:r>
      <w:proofErr w:type="spellStart"/>
      <w:r w:rsidRPr="00C034BE">
        <w:t>incoming</w:t>
      </w:r>
      <w:proofErr w:type="spellEnd"/>
    </w:p>
    <w:p w:rsidR="00C034BE" w:rsidRDefault="00C034BE" w:rsidP="00C034BE">
      <w:r w:rsidRPr="00D60CB7">
        <w:t xml:space="preserve">Los documentos serán tramitados por la TSB y trasladados a la carpeta correspondiente (lectura solamente): </w:t>
      </w:r>
      <w:hyperlink r:id="rId14" w:history="1">
        <w:r w:rsidRPr="00D60CB7">
          <w:rPr>
            <w:rStyle w:val="Hyperlink"/>
          </w:rPr>
          <w:t>http://ifa.itu.int/t/fg/ava/docs/1</w:t>
        </w:r>
        <w:r w:rsidRPr="00D60CB7">
          <w:rPr>
            <w:rStyle w:val="Hyperlink"/>
            <w:rFonts w:eastAsia="MS Mincho"/>
            <w:lang w:eastAsia="ja-JP"/>
          </w:rPr>
          <w:t>105</w:t>
        </w:r>
        <w:r w:rsidRPr="00D60CB7">
          <w:rPr>
            <w:rStyle w:val="Hyperlink"/>
          </w:rPr>
          <w:t>-</w:t>
        </w:r>
        <w:r w:rsidRPr="00D60CB7">
          <w:rPr>
            <w:rStyle w:val="Hyperlink"/>
            <w:rFonts w:eastAsia="MS Mincho"/>
            <w:lang w:eastAsia="ja-JP"/>
          </w:rPr>
          <w:t>gva</w:t>
        </w:r>
        <w:r w:rsidRPr="00D60CB7">
          <w:rPr>
            <w:rStyle w:val="Hyperlink"/>
          </w:rPr>
          <w:t>/in/</w:t>
        </w:r>
      </w:hyperlink>
      <w:r w:rsidRPr="00D60CB7">
        <w:t>.</w:t>
      </w:r>
    </w:p>
    <w:p w:rsidR="00C034BE" w:rsidRDefault="00C034BE" w:rsidP="00C034BE">
      <w:r>
        <w:t>12</w:t>
      </w:r>
      <w:r>
        <w:tab/>
      </w:r>
      <w:r w:rsidRPr="008E6875">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Pr="008E6875">
        <w:t>alámbrico</w:t>
      </w:r>
      <w:proofErr w:type="spellEnd"/>
      <w:r w:rsidRPr="008E6875">
        <w:t xml:space="preserve"> sigue estando disponible en el edificio </w:t>
      </w:r>
      <w:proofErr w:type="spellStart"/>
      <w:r w:rsidRPr="008E6875">
        <w:t>Montbrillant</w:t>
      </w:r>
      <w:proofErr w:type="spellEnd"/>
      <w:r w:rsidRPr="008E6875">
        <w:t xml:space="preserve"> de la UIT. </w:t>
      </w:r>
      <w:r w:rsidRPr="009B782B">
        <w:t>En la dirección web del UIT-T (</w:t>
      </w:r>
      <w:hyperlink r:id="rId15" w:history="1">
        <w:r w:rsidRPr="009B782B">
          <w:rPr>
            <w:rStyle w:val="Hyperlink"/>
          </w:rPr>
          <w:t>http://www.itu.int/ITU-T/edh/faqs-support.html</w:t>
        </w:r>
      </w:hyperlink>
      <w:r w:rsidRPr="009B782B">
        <w:t>) se puede encontrar información más detallada al respecto.</w:t>
      </w:r>
    </w:p>
    <w:p w:rsidR="00C034BE" w:rsidRDefault="00C034BE" w:rsidP="003C4DD0">
      <w:r>
        <w:t>13</w:t>
      </w:r>
      <w:r>
        <w:tab/>
      </w:r>
      <w:r w:rsidRPr="008E6875">
        <w:t xml:space="preserve">A fin de facilitar sus trámites, podrá encontrar en el </w:t>
      </w:r>
      <w:r w:rsidR="003C4DD0" w:rsidRPr="008E6875">
        <w:rPr>
          <w:b/>
          <w:bCs/>
        </w:rPr>
        <w:t>a</w:t>
      </w:r>
      <w:r w:rsidRPr="008E6875">
        <w:rPr>
          <w:b/>
          <w:bCs/>
        </w:rPr>
        <w:t>nexo 3</w:t>
      </w:r>
      <w:r w:rsidRPr="008E6875">
        <w:t xml:space="preserve"> un formulario de reserv</w:t>
      </w:r>
      <w:r w:rsidR="003C4DD0">
        <w:t>a</w:t>
      </w:r>
      <w:r w:rsidRPr="008E6875">
        <w:t xml:space="preserve"> de hotel.</w:t>
      </w:r>
      <w:r>
        <w:t xml:space="preserve"> </w:t>
      </w:r>
      <w:r w:rsidRPr="008E6875">
        <w:t xml:space="preserve">Véase en la dirección </w:t>
      </w:r>
      <w:hyperlink r:id="rId16" w:history="1">
        <w:r w:rsidRPr="008E6875">
          <w:rPr>
            <w:rStyle w:val="Hyperlink"/>
          </w:rPr>
          <w:t>http://itu.int/travel/</w:t>
        </w:r>
      </w:hyperlink>
      <w:r w:rsidRPr="008E6875">
        <w:t xml:space="preserve"> la lista de hoteles.</w:t>
      </w:r>
    </w:p>
    <w:p w:rsidR="00C034BE" w:rsidRDefault="00C034BE" w:rsidP="00C034BE">
      <w:r>
        <w:t>14</w:t>
      </w:r>
      <w:r>
        <w:tab/>
      </w:r>
      <w:r w:rsidRPr="008E6875">
        <w:t>Si desea información sobre las actividades del FG AVA, p</w:t>
      </w:r>
      <w:r>
        <w:t>óngase en contacto con el Coordinador de Grupos Temáticos de la TSB en la dirección</w:t>
      </w:r>
      <w:r w:rsidRPr="008E6875">
        <w:t xml:space="preserve"> </w:t>
      </w:r>
      <w:hyperlink r:id="rId17" w:history="1">
        <w:r w:rsidRPr="008E6875">
          <w:rPr>
            <w:rStyle w:val="Hyperlink"/>
          </w:rPr>
          <w:t>tsbfgava@itu.int</w:t>
        </w:r>
      </w:hyperlink>
      <w:r w:rsidRPr="008E6875">
        <w:t>.</w:t>
      </w:r>
    </w:p>
    <w:p w:rsidR="00C034BE" w:rsidRDefault="00C034BE" w:rsidP="00C034BE">
      <w:r>
        <w:t>15</w:t>
      </w:r>
      <w:r>
        <w:tab/>
      </w:r>
      <w:r w:rsidRPr="00C034BE">
        <w:t xml:space="preserve">Le recordamos que los ciudadanos procedentes de ciertos países necesitan visado para entrar y permanecer en Suiza. </w:t>
      </w:r>
      <w:r w:rsidRPr="00C034BE">
        <w:rPr>
          <w:b/>
          <w:bCs/>
        </w:rPr>
        <w:t>Ese visado debe solicitarse lo antes posible</w:t>
      </w:r>
      <w:r w:rsidRPr="00C034BE">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cuatro semanas. Toda solicitud al respecto debe especificar:</w:t>
      </w:r>
    </w:p>
    <w:p w:rsidR="00C034BE" w:rsidRDefault="00C034BE" w:rsidP="00C034BE">
      <w:pPr>
        <w:pStyle w:val="enumlev1"/>
      </w:pPr>
      <w:r>
        <w:t>–</w:t>
      </w:r>
      <w:r>
        <w:tab/>
      </w:r>
      <w:r w:rsidRPr="00C034BE">
        <w:t>el nombre, las funciones y la fecha de nacimiento de las personas para las que se solicita el visado;</w:t>
      </w:r>
    </w:p>
    <w:p w:rsidR="00C034BE" w:rsidRDefault="00C034BE" w:rsidP="00C034BE">
      <w:pPr>
        <w:pStyle w:val="enumlev1"/>
      </w:pPr>
      <w:r>
        <w:t>–</w:t>
      </w:r>
      <w:r>
        <w:tab/>
      </w:r>
      <w:r w:rsidRPr="00C034BE">
        <w:t>el número de cada pasaporte, con las fechas de expedición y expiración,</w:t>
      </w:r>
    </w:p>
    <w:p w:rsidR="00C034BE" w:rsidRDefault="00C034BE" w:rsidP="00303D62">
      <w:r w:rsidRPr="007E654A">
        <w:t>y todo ello debe ir acompañado por una copia de la notificación de confirmación de inscripción aprobada para la reunión del UIT</w:t>
      </w:r>
      <w:r w:rsidRPr="007E654A">
        <w:noBreakHyphen/>
        <w:t>T correspondiente, y remitirse a la TSB con la indicación "</w:t>
      </w:r>
      <w:r w:rsidRPr="007E654A">
        <w:rPr>
          <w:b/>
        </w:rPr>
        <w:t>solicitud de visado</w:t>
      </w:r>
      <w:r w:rsidRPr="007E654A">
        <w:t>", por fax</w:t>
      </w:r>
      <w:r>
        <w:t xml:space="preserve"> </w:t>
      </w:r>
      <w:r w:rsidRPr="007E654A">
        <w:t>(+41 22 730 5853) o correo electrónico (</w:t>
      </w:r>
      <w:hyperlink r:id="rId18" w:history="1">
        <w:r w:rsidRPr="007E654A">
          <w:rPr>
            <w:rStyle w:val="Hyperlink"/>
          </w:rPr>
          <w:t>tsbreg@itu.int</w:t>
        </w:r>
      </w:hyperlink>
      <w:r w:rsidRPr="007E654A">
        <w:t>)</w:t>
      </w:r>
      <w:r w:rsidRPr="008E6875">
        <w:t xml:space="preserve">. </w:t>
      </w:r>
      <w:r>
        <w:rPr>
          <w:b/>
          <w:bCs/>
          <w:u w:val="single"/>
        </w:rPr>
        <w:t>Sírvase tomar nota de que la UIT puede ayudar únicamente a los representantes de los Estados Miembros, Miembros de Sector y Asociados de la UIT</w:t>
      </w:r>
      <w:r w:rsidRPr="008E6875">
        <w:rPr>
          <w:b/>
          <w:bCs/>
        </w:rPr>
        <w:t>.</w:t>
      </w:r>
    </w:p>
    <w:p w:rsidR="00C34772" w:rsidRDefault="00C034BE" w:rsidP="003C4DD0">
      <w:pPr>
        <w:spacing w:before="240"/>
        <w:ind w:right="91"/>
      </w:pPr>
      <w:r>
        <w:t>A</w:t>
      </w:r>
      <w:r w:rsidR="00C34772">
        <w:t>tentamente</w:t>
      </w:r>
      <w:r w:rsidR="00B55A3E">
        <w:t>.</w:t>
      </w:r>
    </w:p>
    <w:p w:rsidR="00C34772" w:rsidRDefault="00C34772" w:rsidP="00303D62">
      <w:pPr>
        <w:spacing w:before="1701"/>
        <w:ind w:right="91"/>
      </w:pPr>
      <w:r w:rsidRPr="00B422BC">
        <w:t>Malcolm Johnson</w:t>
      </w:r>
      <w:r>
        <w:br/>
        <w:t>Director de la Oficina de</w:t>
      </w:r>
      <w:r>
        <w:br/>
        <w:t>Normalización de las Telecomunicaciones</w:t>
      </w:r>
    </w:p>
    <w:p w:rsidR="00C34772" w:rsidRDefault="00C34772" w:rsidP="00303D62">
      <w:pPr>
        <w:spacing w:before="400"/>
        <w:ind w:right="91"/>
      </w:pPr>
    </w:p>
    <w:p w:rsidR="00C34772" w:rsidRPr="008505BD" w:rsidRDefault="00C34772" w:rsidP="00303D62">
      <w:pPr>
        <w:rPr>
          <w:bCs/>
        </w:rPr>
      </w:pPr>
      <w:r>
        <w:rPr>
          <w:b/>
        </w:rPr>
        <w:t>Anexo</w:t>
      </w:r>
      <w:r w:rsidR="00C034BE">
        <w:rPr>
          <w:b/>
        </w:rPr>
        <w:t>s</w:t>
      </w:r>
      <w:r>
        <w:rPr>
          <w:b/>
        </w:rPr>
        <w:t xml:space="preserve">: </w:t>
      </w:r>
      <w:r w:rsidR="00C034BE">
        <w:rPr>
          <w:b/>
        </w:rPr>
        <w:t>3</w:t>
      </w:r>
    </w:p>
    <w:p w:rsidR="00C034BE" w:rsidRPr="00906F98" w:rsidRDefault="00C034BE">
      <w:pPr>
        <w:tabs>
          <w:tab w:val="clear" w:pos="794"/>
          <w:tab w:val="clear" w:pos="1191"/>
          <w:tab w:val="clear" w:pos="1588"/>
          <w:tab w:val="clear" w:pos="1985"/>
        </w:tabs>
        <w:overflowPunct/>
        <w:autoSpaceDE/>
        <w:autoSpaceDN/>
        <w:adjustRightInd/>
        <w:spacing w:before="0"/>
        <w:textAlignment w:val="auto"/>
      </w:pPr>
      <w:r w:rsidRPr="00906F98">
        <w:br w:type="page"/>
      </w:r>
    </w:p>
    <w:p w:rsidR="00C034BE" w:rsidRPr="008E6875" w:rsidRDefault="00C034BE" w:rsidP="00C034BE">
      <w:pPr>
        <w:pStyle w:val="Annex"/>
        <w:rPr>
          <w:b/>
          <w:bCs/>
        </w:rPr>
      </w:pPr>
      <w:r w:rsidRPr="008E6875">
        <w:t>ANEXO</w:t>
      </w:r>
      <w:r w:rsidRPr="008E6875">
        <w:rPr>
          <w:b/>
          <w:bCs/>
        </w:rPr>
        <w:t xml:space="preserve"> </w:t>
      </w:r>
      <w:r w:rsidRPr="008E6875">
        <w:t>1</w:t>
      </w:r>
      <w:r w:rsidRPr="008E6875">
        <w:rPr>
          <w:b/>
          <w:bCs/>
        </w:rPr>
        <w:br/>
      </w:r>
      <w:r w:rsidRPr="008E6875">
        <w:t>(</w:t>
      </w:r>
      <w:r w:rsidRPr="008E6875">
        <w:rPr>
          <w:caps w:val="0"/>
        </w:rPr>
        <w:t>a la</w:t>
      </w:r>
      <w:r w:rsidRPr="008E6875">
        <w:t xml:space="preserve"> C</w:t>
      </w:r>
      <w:r w:rsidRPr="008E6875">
        <w:rPr>
          <w:caps w:val="0"/>
        </w:rPr>
        <w:t>ircular</w:t>
      </w:r>
      <w:r w:rsidRPr="008E6875">
        <w:t xml:space="preserve"> TSB 191)</w:t>
      </w:r>
    </w:p>
    <w:p w:rsidR="00C034BE" w:rsidRPr="008E6875" w:rsidRDefault="00C034BE" w:rsidP="00C034BE">
      <w:pPr>
        <w:pStyle w:val="AnnexNotitle"/>
        <w:rPr>
          <w:lang w:eastAsia="en-CA"/>
        </w:rPr>
      </w:pPr>
      <w:r w:rsidRPr="008E6875">
        <w:rPr>
          <w:lang w:eastAsia="en-CA"/>
        </w:rPr>
        <w:t xml:space="preserve">Mandato del Grupo Temático </w:t>
      </w:r>
      <w:r>
        <w:rPr>
          <w:lang w:eastAsia="en-CA"/>
        </w:rPr>
        <w:t xml:space="preserve">del UIT-T </w:t>
      </w:r>
      <w:r w:rsidRPr="008E6875">
        <w:rPr>
          <w:lang w:eastAsia="en-CA"/>
        </w:rPr>
        <w:t xml:space="preserve">sobre accesibilidad </w:t>
      </w:r>
      <w:r>
        <w:rPr>
          <w:lang w:eastAsia="en-CA"/>
        </w:rPr>
        <w:br/>
      </w:r>
      <w:r w:rsidRPr="008E6875">
        <w:rPr>
          <w:lang w:eastAsia="en-CA"/>
        </w:rPr>
        <w:t>a los medios audiovisual</w:t>
      </w:r>
      <w:r>
        <w:rPr>
          <w:lang w:eastAsia="en-CA"/>
        </w:rPr>
        <w:t>e</w:t>
      </w:r>
      <w:r w:rsidRPr="008E6875">
        <w:rPr>
          <w:lang w:eastAsia="en-CA"/>
        </w:rPr>
        <w:t>s</w:t>
      </w:r>
    </w:p>
    <w:p w:rsidR="00C034BE" w:rsidRPr="00C034BE" w:rsidRDefault="00C034BE" w:rsidP="00C034BE">
      <w:pPr>
        <w:pStyle w:val="Heading1"/>
        <w:rPr>
          <w:lang w:eastAsia="en-CA"/>
        </w:rPr>
      </w:pPr>
      <w:r w:rsidRPr="00C034BE">
        <w:rPr>
          <w:lang w:eastAsia="en-CA"/>
        </w:rPr>
        <w:t>1</w:t>
      </w:r>
      <w:r w:rsidRPr="00C034BE">
        <w:rPr>
          <w:lang w:eastAsia="en-CA"/>
        </w:rPr>
        <w:tab/>
        <w:t>Objetivos</w:t>
      </w:r>
    </w:p>
    <w:p w:rsidR="00C034BE" w:rsidRPr="00A41458" w:rsidRDefault="00C034BE" w:rsidP="003C4DD0">
      <w:pPr>
        <w:pStyle w:val="enumlev1"/>
      </w:pPr>
      <w:r>
        <w:t>i)</w:t>
      </w:r>
      <w:r>
        <w:tab/>
      </w:r>
      <w:r w:rsidRPr="00A41458">
        <w:t>Fomentar la disponibilidad y utilización de los servicios de acceso teniendo en cuenta las necesidades de todos los usuarios, haciend</w:t>
      </w:r>
      <w:r w:rsidR="003C4DD0">
        <w:t>o</w:t>
      </w:r>
      <w:r w:rsidRPr="00A41458">
        <w:t xml:space="preserve"> de la </w:t>
      </w:r>
      <w:r w:rsidR="003C4DD0">
        <w:t>"</w:t>
      </w:r>
      <w:r w:rsidRPr="00A41458">
        <w:t>accesibilidad para todos</w:t>
      </w:r>
      <w:r w:rsidR="003C4DD0">
        <w:t>"</w:t>
      </w:r>
      <w:r w:rsidRPr="00A41458">
        <w:t xml:space="preserve"> un principio de diseño universal, de conformidad con la Convención de las Naciones Unidas sobre los Derechos de las Personas con Discapa</w:t>
      </w:r>
      <w:r>
        <w:t>cidad</w:t>
      </w:r>
      <w:r w:rsidRPr="00A41458">
        <w:t>.</w:t>
      </w:r>
    </w:p>
    <w:p w:rsidR="00C034BE" w:rsidRPr="00A41458" w:rsidRDefault="00C034BE" w:rsidP="003C4DD0">
      <w:pPr>
        <w:pStyle w:val="enumlev1"/>
      </w:pPr>
      <w:proofErr w:type="spellStart"/>
      <w:r>
        <w:t>ii</w:t>
      </w:r>
      <w:proofErr w:type="spellEnd"/>
      <w:r>
        <w:t>)</w:t>
      </w:r>
      <w:r>
        <w:tab/>
      </w:r>
      <w:r w:rsidRPr="00A41458">
        <w:t xml:space="preserve">Determinar la mejor manera de involucrar a todos los interesados, incluidos los posibles usuarios, en el desarrollo de sistemas de acceso audiovisual digital. Para los usuarios ha de aplicarse al desarrollo de todo sistema el principio de </w:t>
      </w:r>
      <w:r w:rsidR="003C4DD0">
        <w:t>"</w:t>
      </w:r>
      <w:r w:rsidRPr="00A41458">
        <w:t>nada para nosotros sin nosotros</w:t>
      </w:r>
      <w:r w:rsidR="003C4DD0">
        <w:t>"</w:t>
      </w:r>
      <w:r w:rsidRPr="00A41458">
        <w:t>.</w:t>
      </w:r>
    </w:p>
    <w:p w:rsidR="00C034BE" w:rsidRPr="00A41458" w:rsidRDefault="00C034BE" w:rsidP="00C034BE">
      <w:pPr>
        <w:pStyle w:val="enumlev1"/>
      </w:pPr>
      <w:proofErr w:type="spellStart"/>
      <w:r>
        <w:t>iii</w:t>
      </w:r>
      <w:proofErr w:type="spellEnd"/>
      <w:r>
        <w:t>)</w:t>
      </w:r>
      <w:r>
        <w:tab/>
      </w:r>
      <w:r w:rsidRPr="00A41458">
        <w:t>Identificar las carencias de las especificaciones vigentes que de</w:t>
      </w:r>
      <w:r>
        <w:t>terminan</w:t>
      </w:r>
      <w:r w:rsidRPr="00A41458">
        <w:t xml:space="preserve"> los requisit</w:t>
      </w:r>
      <w:r>
        <w:t>o</w:t>
      </w:r>
      <w:r w:rsidRPr="00A41458">
        <w:t>s de servicio de los sistema</w:t>
      </w:r>
      <w:r>
        <w:t>s definidos por el UIT-R y el UIT-T</w:t>
      </w:r>
      <w:r w:rsidRPr="00A41458">
        <w:t>.</w:t>
      </w:r>
    </w:p>
    <w:p w:rsidR="00C034BE" w:rsidRPr="00A41458" w:rsidRDefault="00C034BE" w:rsidP="00C034BE">
      <w:pPr>
        <w:pStyle w:val="enumlev1"/>
      </w:pPr>
      <w:proofErr w:type="spellStart"/>
      <w:r>
        <w:t>iv</w:t>
      </w:r>
      <w:proofErr w:type="spellEnd"/>
      <w:r>
        <w:t>)</w:t>
      </w:r>
      <w:r>
        <w:tab/>
      </w:r>
      <w:r w:rsidRPr="00A41458">
        <w:t xml:space="preserve">Identificar las dificultades para lograr el </w:t>
      </w:r>
      <w:proofErr w:type="spellStart"/>
      <w:r w:rsidRPr="00A41458">
        <w:t>interfuncionamiento</w:t>
      </w:r>
      <w:proofErr w:type="spellEnd"/>
      <w:r w:rsidRPr="00A41458">
        <w:t xml:space="preserve"> y los requisitos de </w:t>
      </w:r>
      <w:proofErr w:type="spellStart"/>
      <w:r w:rsidRPr="00A41458">
        <w:t>interfuncionamiento</w:t>
      </w:r>
      <w:proofErr w:type="spellEnd"/>
      <w:r w:rsidRPr="00A41458">
        <w:t xml:space="preserve"> de los servicios de acceso. También habrán de estudiarse los mecanismos de prueba y de conformidad de otro tipo.</w:t>
      </w:r>
    </w:p>
    <w:p w:rsidR="00C034BE" w:rsidRPr="00A41458" w:rsidRDefault="00C034BE" w:rsidP="00C034BE">
      <w:pPr>
        <w:pStyle w:val="enumlev1"/>
      </w:pPr>
      <w:r>
        <w:t>v)</w:t>
      </w:r>
      <w:r>
        <w:tab/>
      </w:r>
      <w:r w:rsidRPr="00A41458">
        <w:t>Fomentar activamente la utilización para servicios de acceso de sistemas que cumplen las normas internacionalmente acordadas para una determinada plataforma de entrega.</w:t>
      </w:r>
    </w:p>
    <w:p w:rsidR="00C034BE" w:rsidRPr="00DD5ED7" w:rsidRDefault="00C034BE" w:rsidP="00C034BE">
      <w:pPr>
        <w:pStyle w:val="enumlev1"/>
      </w:pPr>
      <w:r>
        <w:t>vi)</w:t>
      </w:r>
      <w:r>
        <w:tab/>
      </w:r>
      <w:r w:rsidRPr="00DD5ED7">
        <w:t xml:space="preserve">Conocer de primera mano, consultando con las personas con discapacidad y personas con dificultades funcionales resultantes de la edad, los problemas de la vida real. </w:t>
      </w:r>
    </w:p>
    <w:p w:rsidR="00C034BE" w:rsidRPr="00DD5ED7" w:rsidRDefault="00C034BE" w:rsidP="00C034BE">
      <w:pPr>
        <w:pStyle w:val="enumlev1"/>
      </w:pPr>
      <w:proofErr w:type="spellStart"/>
      <w:r>
        <w:t>vii</w:t>
      </w:r>
      <w:proofErr w:type="spellEnd"/>
      <w:r>
        <w:t>)</w:t>
      </w:r>
      <w:r>
        <w:tab/>
      </w:r>
      <w:r w:rsidRPr="00DD5ED7">
        <w:t>Hacer un inventario de los problemas y dificultades relacionados con la aplicaci</w:t>
      </w:r>
      <w:r>
        <w:t>ón de la Convención de las Naciones Unidas sobre los Derechos de las Personas con Discapacidad</w:t>
      </w:r>
      <w:r w:rsidRPr="00DD5ED7">
        <w:t>.</w:t>
      </w:r>
    </w:p>
    <w:p w:rsidR="00C034BE" w:rsidRPr="00DD5ED7" w:rsidRDefault="00C034BE" w:rsidP="00C034BE">
      <w:pPr>
        <w:pStyle w:val="enumlev1"/>
      </w:pPr>
      <w:proofErr w:type="spellStart"/>
      <w:r>
        <w:t>viii</w:t>
      </w:r>
      <w:proofErr w:type="spellEnd"/>
      <w:r>
        <w:t>)</w:t>
      </w:r>
      <w:r>
        <w:tab/>
      </w:r>
      <w:r w:rsidRPr="00DD5ED7">
        <w:t>Formular sugerencias para resolver los problemas relacionados con el acceso, si entran dentro del mandato de la UIT.</w:t>
      </w:r>
    </w:p>
    <w:p w:rsidR="00C034BE" w:rsidRPr="00DD5ED7" w:rsidRDefault="00C034BE" w:rsidP="00C034BE">
      <w:pPr>
        <w:pStyle w:val="enumlev1"/>
      </w:pPr>
      <w:proofErr w:type="spellStart"/>
      <w:r>
        <w:t>ix</w:t>
      </w:r>
      <w:proofErr w:type="spellEnd"/>
      <w:r>
        <w:t>)</w:t>
      </w:r>
      <w:r>
        <w:tab/>
      </w:r>
      <w:r w:rsidRPr="00DD5ED7">
        <w:t xml:space="preserve">Preparar directrices claras para la aplicación de la </w:t>
      </w:r>
      <w:r>
        <w:t>Convención de las Naciones Unidas sobre los Derechos de las Personas con Discapacidad</w:t>
      </w:r>
      <w:r w:rsidRPr="00DD5ED7">
        <w:t xml:space="preserve"> </w:t>
      </w:r>
      <w:r>
        <w:t>a la entrega de medios audiovisuales digitales</w:t>
      </w:r>
      <w:r w:rsidRPr="00DD5ED7">
        <w:t>.</w:t>
      </w:r>
    </w:p>
    <w:p w:rsidR="00C034BE" w:rsidRPr="00DD5ED7" w:rsidRDefault="00C034BE" w:rsidP="009C09A0">
      <w:pPr>
        <w:pStyle w:val="enumlev1"/>
      </w:pPr>
      <w:r>
        <w:t>x)</w:t>
      </w:r>
      <w:r>
        <w:tab/>
      </w:r>
      <w:r w:rsidRPr="00DD5ED7">
        <w:t>Recopilar ejemplos de prácticas idóneas mediante estudios de caso, entre otros, y preparar directrices para la inclusión de</w:t>
      </w:r>
      <w:r w:rsidR="009C09A0">
        <w:t xml:space="preserve"> </w:t>
      </w:r>
      <w:r w:rsidRPr="00DD5ED7">
        <w:t>los servicios de acceso en todos los nuevos dispositivos audiovisuales digitales de usuario.</w:t>
      </w:r>
    </w:p>
    <w:p w:rsidR="00C034BE" w:rsidRPr="00DD5ED7" w:rsidRDefault="00C034BE" w:rsidP="00C034BE">
      <w:pPr>
        <w:pStyle w:val="enumlev1"/>
      </w:pPr>
      <w:r>
        <w:t>xi)</w:t>
      </w:r>
      <w:r>
        <w:tab/>
      </w:r>
      <w:r w:rsidRPr="00DD5ED7">
        <w:t>Formular sugerencias para poner públicamente de manifiesto los problemas ligados a la accesibilidad y los conceptos de diseño universal.</w:t>
      </w:r>
    </w:p>
    <w:p w:rsidR="00C034BE" w:rsidRPr="001D3A90" w:rsidRDefault="00C034BE" w:rsidP="009C09A0">
      <w:pPr>
        <w:pStyle w:val="Heading1"/>
        <w:spacing w:before="360"/>
        <w:rPr>
          <w:lang w:eastAsia="en-CA"/>
        </w:rPr>
      </w:pPr>
      <w:r>
        <w:rPr>
          <w:lang w:eastAsia="en-CA"/>
        </w:rPr>
        <w:t>2</w:t>
      </w:r>
      <w:r>
        <w:rPr>
          <w:lang w:eastAsia="en-CA"/>
        </w:rPr>
        <w:tab/>
        <w:t>Metas</w:t>
      </w:r>
    </w:p>
    <w:p w:rsidR="00C034BE" w:rsidRPr="00DD5ED7" w:rsidRDefault="00C034BE" w:rsidP="00C034BE">
      <w:pPr>
        <w:pStyle w:val="enumlev1"/>
      </w:pPr>
      <w:r>
        <w:t>–</w:t>
      </w:r>
      <w:r>
        <w:tab/>
      </w:r>
      <w:r w:rsidRPr="00DD5ED7">
        <w:t>Fomentar una amplia participación en las labores sobre accesibilidad que lleva a cabo la</w:t>
      </w:r>
      <w:r>
        <w:t> </w:t>
      </w:r>
      <w:r w:rsidRPr="00DD5ED7">
        <w:t>UIT.</w:t>
      </w:r>
    </w:p>
    <w:p w:rsidR="00C034BE" w:rsidRPr="00DD5ED7" w:rsidRDefault="00C034BE" w:rsidP="00C034BE">
      <w:pPr>
        <w:pStyle w:val="enumlev1"/>
      </w:pPr>
      <w:r>
        <w:t>–</w:t>
      </w:r>
      <w:r>
        <w:tab/>
      </w:r>
      <w:r w:rsidRPr="00DD5ED7">
        <w:t>Fomentar la participación de personas con discapacidad.</w:t>
      </w:r>
    </w:p>
    <w:p w:rsidR="00C034BE" w:rsidRPr="00DD5ED7" w:rsidRDefault="00C034BE" w:rsidP="00C034BE">
      <w:pPr>
        <w:pStyle w:val="enumlev1"/>
      </w:pPr>
      <w:r>
        <w:t>–</w:t>
      </w:r>
      <w:r>
        <w:tab/>
      </w:r>
      <w:r w:rsidRPr="00DD5ED7">
        <w:t>Fomentar la participación de las universidades.</w:t>
      </w:r>
    </w:p>
    <w:p w:rsidR="00C034BE" w:rsidRPr="00DD5ED7" w:rsidRDefault="00C034BE" w:rsidP="00C034BE">
      <w:pPr>
        <w:pStyle w:val="enumlev1"/>
      </w:pPr>
      <w:r>
        <w:t>–</w:t>
      </w:r>
      <w:r>
        <w:tab/>
      </w:r>
      <w:r w:rsidRPr="00DD5ED7">
        <w:t>Fomentar la participación de los departamentos de accesibilidad del sector privado.</w:t>
      </w:r>
    </w:p>
    <w:p w:rsidR="00C034BE" w:rsidRPr="00C034BE" w:rsidRDefault="00C034BE" w:rsidP="009C09A0">
      <w:pPr>
        <w:pStyle w:val="Heading1"/>
        <w:spacing w:before="360"/>
        <w:rPr>
          <w:lang w:eastAsia="en-CA"/>
        </w:rPr>
      </w:pPr>
      <w:r w:rsidRPr="00C034BE">
        <w:rPr>
          <w:lang w:eastAsia="en-CA"/>
        </w:rPr>
        <w:t>3</w:t>
      </w:r>
      <w:r w:rsidRPr="00C034BE">
        <w:rPr>
          <w:lang w:eastAsia="en-CA"/>
        </w:rPr>
        <w:tab/>
        <w:t>Relaciones dentro y fuera del UIT-T</w:t>
      </w:r>
    </w:p>
    <w:p w:rsidR="00C034BE" w:rsidRPr="00DD5ED7" w:rsidRDefault="00C034BE" w:rsidP="00C034BE">
      <w:r w:rsidRPr="00DD5ED7">
        <w:t>El Grupo Temático establecerá sus propias relaciones. Se sugiere la siguiente lista no exhaustiva: C26/16, C4/2, CE</w:t>
      </w:r>
      <w:r w:rsidR="009C09A0">
        <w:t xml:space="preserve"> </w:t>
      </w:r>
      <w:r w:rsidRPr="00DD5ED7">
        <w:t>12, CE</w:t>
      </w:r>
      <w:r w:rsidR="009C09A0">
        <w:t xml:space="preserve"> </w:t>
      </w:r>
      <w:r w:rsidRPr="00DD5ED7">
        <w:t>9, JCA-AHF, CE</w:t>
      </w:r>
      <w:r w:rsidR="009C09A0">
        <w:t xml:space="preserve"> </w:t>
      </w:r>
      <w:r w:rsidRPr="00DD5ED7">
        <w:t xml:space="preserve">6 del UIT-R, </w:t>
      </w:r>
      <w:r>
        <w:t>GT</w:t>
      </w:r>
      <w:r w:rsidR="009C09A0">
        <w:t xml:space="preserve"> </w:t>
      </w:r>
      <w:r>
        <w:t>6C de la CE</w:t>
      </w:r>
      <w:r w:rsidR="009C09A0">
        <w:t xml:space="preserve"> </w:t>
      </w:r>
      <w:r>
        <w:t>6 del UIT</w:t>
      </w:r>
      <w:r w:rsidRPr="00DD5ED7">
        <w:t>-R,</w:t>
      </w:r>
      <w:r>
        <w:t xml:space="preserve"> C20/1 de la CE</w:t>
      </w:r>
      <w:r w:rsidR="009C09A0">
        <w:t xml:space="preserve"> </w:t>
      </w:r>
      <w:r>
        <w:t>1 del UIT</w:t>
      </w:r>
      <w:r w:rsidRPr="00DD5ED7">
        <w:t>-D, ISO/</w:t>
      </w:r>
      <w:r>
        <w:t>CEI</w:t>
      </w:r>
      <w:r w:rsidRPr="00DD5ED7">
        <w:t xml:space="preserve"> JTC1 SWG-A, ISO/</w:t>
      </w:r>
      <w:r>
        <w:t>CEI</w:t>
      </w:r>
      <w:r w:rsidRPr="00DD5ED7">
        <w:t xml:space="preserve"> JTC 1 SWG-A, ISO/</w:t>
      </w:r>
      <w:r>
        <w:t>CEI</w:t>
      </w:r>
      <w:r w:rsidRPr="00DD5ED7">
        <w:t xml:space="preserve"> JTC 1/SC 35, W3C/WAI, </w:t>
      </w:r>
      <w:proofErr w:type="spellStart"/>
      <w:r w:rsidRPr="00DD5ED7">
        <w:t>IPForum</w:t>
      </w:r>
      <w:proofErr w:type="spellEnd"/>
      <w:r w:rsidRPr="00DD5ED7">
        <w:t xml:space="preserve">, </w:t>
      </w:r>
      <w:r>
        <w:t>UMR</w:t>
      </w:r>
      <w:r w:rsidRPr="00DD5ED7">
        <w:t xml:space="preserve">, </w:t>
      </w:r>
      <w:r>
        <w:t>UER</w:t>
      </w:r>
      <w:r w:rsidRPr="00DD5ED7">
        <w:t>, ETSI HF.</w:t>
      </w:r>
    </w:p>
    <w:p w:rsidR="00C034BE" w:rsidRPr="00C034BE" w:rsidRDefault="00C034BE" w:rsidP="009C09A0">
      <w:pPr>
        <w:pStyle w:val="Heading1"/>
        <w:spacing w:before="360"/>
        <w:rPr>
          <w:lang w:eastAsia="en-CA"/>
        </w:rPr>
      </w:pPr>
      <w:r w:rsidRPr="00C034BE">
        <w:rPr>
          <w:lang w:eastAsia="en-CA"/>
        </w:rPr>
        <w:t>4</w:t>
      </w:r>
      <w:r w:rsidRPr="00C034BE">
        <w:rPr>
          <w:lang w:eastAsia="en-CA"/>
        </w:rPr>
        <w:tab/>
        <w:t>Resultados</w:t>
      </w:r>
    </w:p>
    <w:p w:rsidR="00C034BE" w:rsidRPr="00DD5ED7" w:rsidRDefault="009C09A0" w:rsidP="009C09A0">
      <w:pPr>
        <w:pStyle w:val="enumlev1"/>
      </w:pPr>
      <w:r>
        <w:t>–</w:t>
      </w:r>
      <w:r>
        <w:tab/>
      </w:r>
      <w:r w:rsidR="00C034BE" w:rsidRPr="00DD5ED7">
        <w:t>Diversos informes en respuesta al mandato expuesto.</w:t>
      </w:r>
    </w:p>
    <w:p w:rsidR="00C034BE" w:rsidRPr="00BA0355" w:rsidRDefault="009C09A0" w:rsidP="009C09A0">
      <w:pPr>
        <w:pStyle w:val="enumlev1"/>
      </w:pPr>
      <w:r>
        <w:t>–</w:t>
      </w:r>
      <w:r>
        <w:tab/>
      </w:r>
      <w:r w:rsidR="00C034BE">
        <w:t>Informe sobre prácticas idóneas</w:t>
      </w:r>
      <w:r w:rsidR="00C034BE" w:rsidRPr="00BA0355">
        <w:t>.</w:t>
      </w:r>
    </w:p>
    <w:p w:rsidR="00C034BE" w:rsidRPr="00DD5ED7" w:rsidRDefault="009C09A0" w:rsidP="009C09A0">
      <w:pPr>
        <w:pStyle w:val="enumlev1"/>
      </w:pPr>
      <w:r>
        <w:t>–</w:t>
      </w:r>
      <w:r>
        <w:tab/>
      </w:r>
      <w:r w:rsidR="00C034BE" w:rsidRPr="00DD5ED7">
        <w:t>Directrices para la aplicación de la Convención de las Naciones Unidas sobre los Derechos de las Personas con Discapacidad</w:t>
      </w:r>
    </w:p>
    <w:p w:rsidR="00C034BE" w:rsidRPr="00DD5ED7" w:rsidRDefault="00C034BE" w:rsidP="009C09A0">
      <w:pPr>
        <w:pStyle w:val="Heading1"/>
        <w:spacing w:before="360"/>
        <w:rPr>
          <w:lang w:eastAsia="en-CA"/>
        </w:rPr>
      </w:pPr>
      <w:r w:rsidRPr="00DD5ED7">
        <w:rPr>
          <w:lang w:eastAsia="en-CA"/>
        </w:rPr>
        <w:t>5</w:t>
      </w:r>
      <w:r w:rsidRPr="00DD5ED7">
        <w:rPr>
          <w:lang w:eastAsia="en-CA"/>
        </w:rPr>
        <w:tab/>
        <w:t>Comisión de Estudio rectora</w:t>
      </w:r>
    </w:p>
    <w:p w:rsidR="00C034BE" w:rsidRPr="00DD5ED7" w:rsidRDefault="00C034BE" w:rsidP="00C034BE">
      <w:r w:rsidRPr="00DD5ED7">
        <w:t>De conformidad con la Recomendación UIT-T A.7, la Comisi</w:t>
      </w:r>
      <w:r>
        <w:t>ón de Estudio rectora será la Comisión de Estudio</w:t>
      </w:r>
      <w:r w:rsidRPr="00DD5ED7">
        <w:t xml:space="preserve"> 16.</w:t>
      </w:r>
    </w:p>
    <w:p w:rsidR="00C034BE" w:rsidRPr="00C034BE" w:rsidRDefault="00C034BE" w:rsidP="009C09A0">
      <w:pPr>
        <w:pStyle w:val="Heading1"/>
        <w:spacing w:before="360"/>
        <w:rPr>
          <w:lang w:eastAsia="en-CA"/>
        </w:rPr>
      </w:pPr>
      <w:r w:rsidRPr="00C034BE">
        <w:rPr>
          <w:lang w:eastAsia="en-CA"/>
        </w:rPr>
        <w:t>6</w:t>
      </w:r>
      <w:r w:rsidRPr="00C034BE">
        <w:rPr>
          <w:lang w:eastAsia="en-CA"/>
        </w:rPr>
        <w:tab/>
        <w:t>Dirección</w:t>
      </w:r>
    </w:p>
    <w:p w:rsidR="00C034BE" w:rsidRPr="00DD5ED7" w:rsidRDefault="00C034BE" w:rsidP="00C034BE">
      <w:r w:rsidRPr="00DD5ED7">
        <w:t xml:space="preserve">Presidente: Sr. Peter Olaf </w:t>
      </w:r>
      <w:proofErr w:type="spellStart"/>
      <w:r w:rsidRPr="00DD5ED7">
        <w:t>Looms</w:t>
      </w:r>
      <w:proofErr w:type="spellEnd"/>
      <w:r w:rsidRPr="00DD5ED7">
        <w:t xml:space="preserve"> </w:t>
      </w:r>
      <w:r w:rsidRPr="00DD5ED7">
        <w:rPr>
          <w:szCs w:val="24"/>
        </w:rPr>
        <w:t>(Unión Europea de Radiodifusión y Dinamarca)</w:t>
      </w:r>
    </w:p>
    <w:p w:rsidR="00C034BE" w:rsidRPr="00DD5ED7" w:rsidRDefault="00C034BE" w:rsidP="00C034BE">
      <w:r w:rsidRPr="00DD5ED7">
        <w:t>Vice</w:t>
      </w:r>
      <w:r>
        <w:t>presidentes</w:t>
      </w:r>
      <w:r w:rsidRPr="00DD5ED7">
        <w:t>:</w:t>
      </w:r>
    </w:p>
    <w:p w:rsidR="00C034BE" w:rsidRPr="00DD5ED7" w:rsidRDefault="009C09A0" w:rsidP="009C09A0">
      <w:pPr>
        <w:pStyle w:val="enumlev1"/>
      </w:pPr>
      <w:r>
        <w:t>–</w:t>
      </w:r>
      <w:r>
        <w:tab/>
      </w:r>
      <w:r w:rsidR="00C034BE" w:rsidRPr="00DD5ED7">
        <w:t>Sr. Masahito Kawamori (NTT, Japón)</w:t>
      </w:r>
    </w:p>
    <w:p w:rsidR="00C034BE" w:rsidRPr="009C09A0" w:rsidRDefault="009C09A0" w:rsidP="009C09A0">
      <w:pPr>
        <w:pStyle w:val="enumlev1"/>
        <w:rPr>
          <w:lang w:val="en-US"/>
        </w:rPr>
      </w:pPr>
      <w:r w:rsidRPr="009C09A0">
        <w:rPr>
          <w:lang w:val="en-US"/>
        </w:rPr>
        <w:t>–</w:t>
      </w:r>
      <w:r w:rsidRPr="009C09A0">
        <w:rPr>
          <w:lang w:val="en-US"/>
        </w:rPr>
        <w:tab/>
      </w:r>
      <w:r w:rsidR="00C034BE" w:rsidRPr="009C09A0">
        <w:rPr>
          <w:lang w:val="en-US"/>
        </w:rPr>
        <w:t>Sr. Clyde Smith (Turner Broadcasting System, EE.UU.)</w:t>
      </w:r>
    </w:p>
    <w:p w:rsidR="00C034BE" w:rsidRPr="00F25B0B" w:rsidRDefault="009C09A0" w:rsidP="009C09A0">
      <w:pPr>
        <w:pStyle w:val="enumlev1"/>
      </w:pPr>
      <w:r>
        <w:t>–</w:t>
      </w:r>
      <w:r>
        <w:tab/>
      </w:r>
      <w:r w:rsidR="00C034BE" w:rsidRPr="009C09A0">
        <w:t xml:space="preserve">Sr. Axel </w:t>
      </w:r>
      <w:proofErr w:type="spellStart"/>
      <w:r w:rsidR="00C034BE" w:rsidRPr="009C09A0">
        <w:t>Leblois</w:t>
      </w:r>
      <w:proofErr w:type="spellEnd"/>
      <w:r w:rsidR="00C034BE" w:rsidRPr="009C09A0">
        <w:t xml:space="preserve"> (G3ict)</w:t>
      </w:r>
    </w:p>
    <w:p w:rsidR="00C034BE" w:rsidRPr="00C034BE" w:rsidRDefault="00C034BE" w:rsidP="009C09A0">
      <w:pPr>
        <w:pStyle w:val="Heading1"/>
        <w:spacing w:before="360"/>
        <w:rPr>
          <w:lang w:eastAsia="en-CA"/>
        </w:rPr>
      </w:pPr>
      <w:r w:rsidRPr="00C034BE">
        <w:rPr>
          <w:lang w:eastAsia="en-CA"/>
        </w:rPr>
        <w:t>7</w:t>
      </w:r>
      <w:r w:rsidRPr="00C034BE">
        <w:rPr>
          <w:lang w:eastAsia="en-CA"/>
        </w:rPr>
        <w:tab/>
        <w:t>Participación</w:t>
      </w:r>
    </w:p>
    <w:p w:rsidR="00C034BE" w:rsidRPr="00BD525C" w:rsidRDefault="00C034BE" w:rsidP="00C034BE">
      <w:pPr>
        <w:rPr>
          <w:lang w:eastAsia="zh-CN"/>
        </w:rPr>
      </w:pPr>
      <w:r w:rsidRPr="00C034BE">
        <w:rPr>
          <w:lang w:eastAsia="zh-CN"/>
        </w:rPr>
        <w:t xml:space="preserve">De conformidad con la cláusula 3 de la Recomendación UIT-T A.7, la participación en el Grupo Temático está abierta a cualquier persona natural de un país Miembro de la UIT. </w:t>
      </w:r>
      <w:r w:rsidRPr="00BD525C">
        <w:rPr>
          <w:lang w:eastAsia="zh-CN"/>
        </w:rPr>
        <w:t>A efectos informativos, se mantendrá una lista de participantes que se transmitirá a la Comisión de Estudio rectora (Comisión de Estudio 16).</w:t>
      </w:r>
    </w:p>
    <w:p w:rsidR="00C034BE" w:rsidRPr="00C034BE" w:rsidRDefault="00C034BE" w:rsidP="009C09A0">
      <w:pPr>
        <w:pStyle w:val="Heading1"/>
        <w:spacing w:before="360"/>
        <w:rPr>
          <w:lang w:eastAsia="en-CA"/>
        </w:rPr>
      </w:pPr>
      <w:r w:rsidRPr="00C034BE">
        <w:rPr>
          <w:lang w:eastAsia="en-CA"/>
        </w:rPr>
        <w:t>8</w:t>
      </w:r>
      <w:r w:rsidRPr="00C034BE">
        <w:rPr>
          <w:lang w:eastAsia="en-CA"/>
        </w:rPr>
        <w:tab/>
        <w:t>Servicios administrativos</w:t>
      </w:r>
    </w:p>
    <w:p w:rsidR="00C034BE" w:rsidRPr="00BD525C" w:rsidRDefault="00C034BE" w:rsidP="003C4DD0">
      <w:pPr>
        <w:rPr>
          <w:lang w:eastAsia="zh-CN"/>
        </w:rPr>
      </w:pPr>
      <w:r w:rsidRPr="00BD525C">
        <w:rPr>
          <w:lang w:eastAsia="zh-CN"/>
        </w:rPr>
        <w:t>La Secretaría de la TSB facilitará el apoyo TIES y las capacidades de sitio web de la Sede de la</w:t>
      </w:r>
      <w:r w:rsidR="003C4DD0">
        <w:rPr>
          <w:lang w:eastAsia="zh-CN"/>
        </w:rPr>
        <w:t> </w:t>
      </w:r>
      <w:r w:rsidRPr="00BD525C">
        <w:rPr>
          <w:lang w:eastAsia="zh-CN"/>
        </w:rPr>
        <w:t>UIT. Cualquier otra ayuda podrá facilitarse de conformidad con la cláusula 5 de la Recomendación</w:t>
      </w:r>
      <w:r w:rsidR="003C4DD0">
        <w:rPr>
          <w:lang w:eastAsia="zh-CN"/>
        </w:rPr>
        <w:t> </w:t>
      </w:r>
      <w:r w:rsidRPr="00BD525C">
        <w:rPr>
          <w:lang w:eastAsia="zh-CN"/>
        </w:rPr>
        <w:t>UIT-T A.7.</w:t>
      </w:r>
    </w:p>
    <w:p w:rsidR="00C034BE" w:rsidRPr="00BD525C" w:rsidRDefault="00C034BE" w:rsidP="009C09A0">
      <w:pPr>
        <w:pStyle w:val="Heading1"/>
        <w:spacing w:before="360"/>
        <w:rPr>
          <w:lang w:eastAsia="en-CA"/>
        </w:rPr>
      </w:pPr>
      <w:r w:rsidRPr="00BD525C">
        <w:rPr>
          <w:lang w:eastAsia="en-CA"/>
        </w:rPr>
        <w:t>9</w:t>
      </w:r>
      <w:r w:rsidRPr="00BD525C">
        <w:rPr>
          <w:lang w:eastAsia="en-CA"/>
        </w:rPr>
        <w:tab/>
        <w:t>Financiación general del Grupo Temático</w:t>
      </w:r>
    </w:p>
    <w:p w:rsidR="00C034BE" w:rsidRPr="00BD525C" w:rsidRDefault="00C034BE" w:rsidP="00C034BE">
      <w:pPr>
        <w:rPr>
          <w:lang w:eastAsia="zh-CN"/>
        </w:rPr>
      </w:pPr>
      <w:r w:rsidRPr="00BD525C">
        <w:rPr>
          <w:lang w:eastAsia="zh-CN"/>
        </w:rPr>
        <w:t>Como se indica en las cláusulas 4 y 10.2 de la Recomendación UIT-T A.7, el Grupo Tem</w:t>
      </w:r>
      <w:r>
        <w:rPr>
          <w:lang w:eastAsia="zh-CN"/>
        </w:rPr>
        <w:t>ático será financiado por sus miembros</w:t>
      </w:r>
      <w:r w:rsidRPr="00BD525C">
        <w:rPr>
          <w:lang w:eastAsia="zh-CN"/>
        </w:rPr>
        <w:t>.</w:t>
      </w:r>
    </w:p>
    <w:p w:rsidR="00C034BE" w:rsidRPr="00C034BE" w:rsidRDefault="00C034BE" w:rsidP="009C09A0">
      <w:pPr>
        <w:pStyle w:val="Heading1"/>
        <w:spacing w:before="360"/>
        <w:rPr>
          <w:lang w:eastAsia="en-CA"/>
        </w:rPr>
      </w:pPr>
      <w:r w:rsidRPr="00C034BE">
        <w:rPr>
          <w:lang w:eastAsia="en-CA"/>
        </w:rPr>
        <w:t>10</w:t>
      </w:r>
      <w:r w:rsidRPr="00C034BE">
        <w:rPr>
          <w:lang w:eastAsia="en-CA"/>
        </w:rPr>
        <w:tab/>
        <w:t>Reuniones</w:t>
      </w:r>
    </w:p>
    <w:p w:rsidR="00C034BE" w:rsidRPr="00BD525C" w:rsidRDefault="00C034BE" w:rsidP="00C034BE">
      <w:pPr>
        <w:rPr>
          <w:lang w:eastAsia="zh-CN"/>
        </w:rPr>
      </w:pPr>
      <w:r w:rsidRPr="00BD525C">
        <w:rPr>
          <w:lang w:eastAsia="zh-CN"/>
        </w:rPr>
        <w:t>El Grupo Temático determinará la frecuencia y el lugar de celebración de sus reuniones, cuyo calendario se publicará lo antes posible. El Grupo Temático deberá, siempre que sea posible, emplear herramientas de colaboración a distancia y planificar sus reuniones en paralelo con las de otros grupos (por ejemplo, Comisiones de Estudio y actividades de investigaci</w:t>
      </w:r>
      <w:r>
        <w:rPr>
          <w:lang w:eastAsia="zh-CN"/>
        </w:rPr>
        <w:t xml:space="preserve">ón). </w:t>
      </w:r>
      <w:r w:rsidRPr="00BD525C">
        <w:rPr>
          <w:lang w:eastAsia="zh-CN"/>
        </w:rPr>
        <w:t>Las reuniones se convocarán por medios electrónicos (por ejemplo, correo-e y sitio web, etc.) como mínimo cuatro semanas antes de su celebración.</w:t>
      </w:r>
    </w:p>
    <w:p w:rsidR="00C034BE" w:rsidRPr="00C034BE" w:rsidRDefault="00C034BE" w:rsidP="009C09A0">
      <w:pPr>
        <w:pStyle w:val="Heading1"/>
        <w:spacing w:before="360"/>
        <w:rPr>
          <w:lang w:eastAsia="en-CA"/>
        </w:rPr>
      </w:pPr>
      <w:r w:rsidRPr="00C034BE">
        <w:rPr>
          <w:lang w:eastAsia="en-CA"/>
        </w:rPr>
        <w:t>11</w:t>
      </w:r>
      <w:r w:rsidRPr="00C034BE">
        <w:rPr>
          <w:lang w:eastAsia="en-CA"/>
        </w:rPr>
        <w:tab/>
        <w:t>Informes intermedios</w:t>
      </w:r>
    </w:p>
    <w:p w:rsidR="00C034BE" w:rsidRPr="003D19F5" w:rsidRDefault="00C034BE" w:rsidP="00C034BE">
      <w:pPr>
        <w:rPr>
          <w:lang w:eastAsia="zh-CN"/>
        </w:rPr>
      </w:pPr>
      <w:r w:rsidRPr="003D19F5">
        <w:rPr>
          <w:lang w:eastAsia="zh-CN"/>
        </w:rPr>
        <w:t>Como prevé la cláusula 11 de la Recomendación UIT-T A.7, el Grupo Temático transmitirá un informe a cada reunión de su Comisión de Estudio rectora (CE</w:t>
      </w:r>
      <w:r w:rsidR="003C4DD0">
        <w:rPr>
          <w:lang w:eastAsia="zh-CN"/>
        </w:rPr>
        <w:t> </w:t>
      </w:r>
      <w:r w:rsidRPr="003D19F5">
        <w:rPr>
          <w:lang w:eastAsia="zh-CN"/>
        </w:rPr>
        <w:t>16), con copia a todas las Comisiones de Estudio interesadas.</w:t>
      </w:r>
    </w:p>
    <w:p w:rsidR="00C034BE" w:rsidRPr="003D19F5" w:rsidRDefault="00C034BE" w:rsidP="009C09A0">
      <w:pPr>
        <w:pStyle w:val="Heading1"/>
        <w:spacing w:before="360"/>
        <w:rPr>
          <w:lang w:eastAsia="en-CA"/>
        </w:rPr>
      </w:pPr>
      <w:r w:rsidRPr="003D19F5">
        <w:rPr>
          <w:lang w:eastAsia="en-CA"/>
        </w:rPr>
        <w:t>12</w:t>
      </w:r>
      <w:r w:rsidRPr="003D19F5">
        <w:rPr>
          <w:lang w:eastAsia="en-CA"/>
        </w:rPr>
        <w:tab/>
        <w:t>Anuncio de la formación del Grupo Tem</w:t>
      </w:r>
      <w:r>
        <w:rPr>
          <w:lang w:eastAsia="en-CA"/>
        </w:rPr>
        <w:t>ático</w:t>
      </w:r>
    </w:p>
    <w:p w:rsidR="00C034BE" w:rsidRPr="003D19F5" w:rsidRDefault="00C034BE" w:rsidP="00C034BE">
      <w:pPr>
        <w:rPr>
          <w:lang w:eastAsia="zh-CN"/>
        </w:rPr>
      </w:pPr>
      <w:r w:rsidRPr="003D19F5">
        <w:rPr>
          <w:lang w:eastAsia="zh-CN"/>
        </w:rPr>
        <w:t>El GANT anunciará la formación del Grupo Temático a través de las publicaciones de la UIT y por otros medios, incluida la comunicación con otras organizaciones y/o expertos, publicaciones t</w:t>
      </w:r>
      <w:r>
        <w:rPr>
          <w:lang w:eastAsia="zh-CN"/>
        </w:rPr>
        <w:t>écnicas y la</w:t>
      </w:r>
      <w:r w:rsidRPr="003D19F5">
        <w:rPr>
          <w:lang w:eastAsia="zh-CN"/>
        </w:rPr>
        <w:t xml:space="preserve"> </w:t>
      </w:r>
      <w:proofErr w:type="spellStart"/>
      <w:r w:rsidRPr="003D19F5">
        <w:rPr>
          <w:i/>
          <w:iCs/>
          <w:lang w:eastAsia="zh-CN"/>
        </w:rPr>
        <w:t>world</w:t>
      </w:r>
      <w:proofErr w:type="spellEnd"/>
      <w:r w:rsidRPr="003D19F5">
        <w:rPr>
          <w:i/>
          <w:iCs/>
          <w:lang w:eastAsia="zh-CN"/>
        </w:rPr>
        <w:t xml:space="preserve"> </w:t>
      </w:r>
      <w:proofErr w:type="spellStart"/>
      <w:r w:rsidRPr="003D19F5">
        <w:rPr>
          <w:i/>
          <w:iCs/>
          <w:lang w:eastAsia="zh-CN"/>
        </w:rPr>
        <w:t>wide</w:t>
      </w:r>
      <w:proofErr w:type="spellEnd"/>
      <w:r w:rsidRPr="003D19F5">
        <w:rPr>
          <w:i/>
          <w:iCs/>
          <w:lang w:eastAsia="zh-CN"/>
        </w:rPr>
        <w:t xml:space="preserve"> web</w:t>
      </w:r>
      <w:r w:rsidRPr="003D19F5">
        <w:rPr>
          <w:lang w:eastAsia="zh-CN"/>
        </w:rPr>
        <w:t>.</w:t>
      </w:r>
    </w:p>
    <w:p w:rsidR="00C034BE" w:rsidRPr="003D19F5" w:rsidRDefault="00C034BE" w:rsidP="009C09A0">
      <w:pPr>
        <w:pStyle w:val="Heading1"/>
        <w:spacing w:before="360"/>
        <w:rPr>
          <w:lang w:eastAsia="en-CA"/>
        </w:rPr>
      </w:pPr>
      <w:r w:rsidRPr="003D19F5">
        <w:rPr>
          <w:lang w:eastAsia="en-CA"/>
        </w:rPr>
        <w:t>13</w:t>
      </w:r>
      <w:r w:rsidRPr="003D19F5">
        <w:rPr>
          <w:lang w:eastAsia="en-CA"/>
        </w:rPr>
        <w:tab/>
        <w:t>Plazos y duración del Grupo Temático</w:t>
      </w:r>
    </w:p>
    <w:p w:rsidR="00C034BE" w:rsidRPr="003D19F5" w:rsidRDefault="00C034BE" w:rsidP="00C034BE">
      <w:pPr>
        <w:rPr>
          <w:lang w:eastAsia="zh-CN"/>
        </w:rPr>
      </w:pPr>
      <w:r w:rsidRPr="003D19F5">
        <w:rPr>
          <w:lang w:eastAsia="zh-CN"/>
        </w:rPr>
        <w:t>El Grupo Temático estará activo durante 18 meses a partir del momento de su creaci</w:t>
      </w:r>
      <w:r>
        <w:rPr>
          <w:lang w:eastAsia="zh-CN"/>
        </w:rPr>
        <w:t>ón</w:t>
      </w:r>
      <w:r w:rsidRPr="003D19F5">
        <w:rPr>
          <w:lang w:eastAsia="zh-CN"/>
        </w:rPr>
        <w:t>.</w:t>
      </w:r>
    </w:p>
    <w:p w:rsidR="00C034BE" w:rsidRPr="003D19F5" w:rsidRDefault="00C034BE" w:rsidP="003C4DD0">
      <w:pPr>
        <w:pStyle w:val="Heading1"/>
        <w:spacing w:before="360"/>
        <w:rPr>
          <w:lang w:eastAsia="en-CA"/>
        </w:rPr>
      </w:pPr>
      <w:r w:rsidRPr="003D19F5">
        <w:rPr>
          <w:lang w:eastAsia="en-CA"/>
        </w:rPr>
        <w:t>14</w:t>
      </w:r>
      <w:r w:rsidRPr="003D19F5">
        <w:rPr>
          <w:lang w:eastAsia="en-CA"/>
        </w:rPr>
        <w:tab/>
        <w:t>Política en materia de patentes</w:t>
      </w:r>
    </w:p>
    <w:p w:rsidR="00C034BE" w:rsidRPr="003D19F5" w:rsidRDefault="00C034BE" w:rsidP="00C034BE">
      <w:pPr>
        <w:rPr>
          <w:lang w:eastAsia="zh-CN"/>
        </w:rPr>
      </w:pPr>
      <w:r w:rsidRPr="003D19F5">
        <w:rPr>
          <w:lang w:eastAsia="zh-CN"/>
        </w:rPr>
        <w:t>El Grupo Temático se ajustará, como prevé la Recomendación UIT-T A.7, a la Pol</w:t>
      </w:r>
      <w:r>
        <w:rPr>
          <w:lang w:eastAsia="zh-CN"/>
        </w:rPr>
        <w:t>ítica Común de Patentes del UIT-T/UIT-R/CEI/ISO</w:t>
      </w:r>
      <w:r w:rsidRPr="003D19F5">
        <w:rPr>
          <w:lang w:eastAsia="zh-CN"/>
        </w:rPr>
        <w:t>.</w:t>
      </w:r>
    </w:p>
    <w:p w:rsidR="00C034BE" w:rsidRPr="003D19F5" w:rsidRDefault="00C034BE" w:rsidP="00C034BE">
      <w:pPr>
        <w:tabs>
          <w:tab w:val="clear" w:pos="794"/>
          <w:tab w:val="clear" w:pos="1191"/>
          <w:tab w:val="clear" w:pos="1588"/>
          <w:tab w:val="clear" w:pos="1985"/>
        </w:tabs>
        <w:overflowPunct/>
        <w:autoSpaceDE/>
        <w:autoSpaceDN/>
        <w:adjustRightInd/>
        <w:spacing w:before="0"/>
        <w:textAlignment w:val="auto"/>
        <w:rPr>
          <w:szCs w:val="24"/>
        </w:rPr>
      </w:pPr>
      <w:r w:rsidRPr="003D19F5">
        <w:rPr>
          <w:szCs w:val="24"/>
        </w:rPr>
        <w:br w:type="page"/>
      </w:r>
    </w:p>
    <w:p w:rsidR="00C034BE" w:rsidRPr="00C034BE" w:rsidRDefault="00C034BE" w:rsidP="00C034BE">
      <w:pPr>
        <w:pStyle w:val="BodyText2"/>
        <w:ind w:right="-52"/>
        <w:jc w:val="center"/>
        <w:rPr>
          <w:b/>
          <w:bCs/>
          <w:szCs w:val="24"/>
          <w:lang w:val="en-US"/>
        </w:rPr>
      </w:pPr>
      <w:r w:rsidRPr="00C034BE">
        <w:rPr>
          <w:szCs w:val="24"/>
          <w:lang w:val="en-US"/>
        </w:rPr>
        <w:t>ANNEX</w:t>
      </w:r>
      <w:r w:rsidRPr="00C034BE">
        <w:rPr>
          <w:b/>
          <w:bCs/>
          <w:szCs w:val="24"/>
          <w:lang w:val="en-US"/>
        </w:rPr>
        <w:t xml:space="preserve"> </w:t>
      </w:r>
      <w:r w:rsidRPr="00C034BE">
        <w:rPr>
          <w:szCs w:val="24"/>
          <w:lang w:val="en-US"/>
        </w:rPr>
        <w:t>2</w:t>
      </w:r>
      <w:r w:rsidRPr="00C034BE">
        <w:rPr>
          <w:b/>
          <w:bCs/>
          <w:szCs w:val="24"/>
          <w:lang w:val="en-US"/>
        </w:rPr>
        <w:br/>
      </w:r>
      <w:r w:rsidRPr="00C034BE">
        <w:rPr>
          <w:szCs w:val="24"/>
          <w:lang w:val="en-US"/>
        </w:rPr>
        <w:t>(to TSB Circular 191)</w:t>
      </w:r>
    </w:p>
    <w:p w:rsidR="00C034BE" w:rsidRDefault="00C034BE" w:rsidP="00C034BE">
      <w:pPr>
        <w:pStyle w:val="NormalWeb"/>
        <w:jc w:val="center"/>
        <w:rPr>
          <w:rFonts w:ascii="Times New Roman" w:hAnsi="Times New Roman"/>
          <w:b/>
          <w:bCs/>
          <w:sz w:val="24"/>
          <w:szCs w:val="24"/>
        </w:rPr>
      </w:pPr>
      <w:r>
        <w:rPr>
          <w:rFonts w:ascii="Times New Roman" w:hAnsi="Times New Roman"/>
          <w:b/>
          <w:bCs/>
          <w:sz w:val="24"/>
          <w:szCs w:val="24"/>
        </w:rPr>
        <w:t>Draft meeting agenda 26 May 2011</w:t>
      </w:r>
    </w:p>
    <w:p w:rsidR="00C034BE" w:rsidRPr="00E01300" w:rsidRDefault="00C034BE" w:rsidP="00C034BE">
      <w:pPr>
        <w:pStyle w:val="NormalWeb"/>
        <w:jc w:val="center"/>
        <w:rPr>
          <w:rFonts w:ascii="Times New Roman" w:hAnsi="Times New Roman"/>
          <w:sz w:val="24"/>
          <w:szCs w:val="24"/>
        </w:rPr>
      </w:pPr>
    </w:p>
    <w:p w:rsidR="00C034BE" w:rsidRPr="00C034BE" w:rsidRDefault="00C034BE" w:rsidP="009C09A0">
      <w:pPr>
        <w:rPr>
          <w:lang w:val="en-US"/>
        </w:rPr>
      </w:pPr>
      <w:r w:rsidRPr="00C034BE">
        <w:rPr>
          <w:lang w:val="en-US"/>
        </w:rPr>
        <w:t>1</w:t>
      </w:r>
      <w:r w:rsidRPr="00C034BE">
        <w:rPr>
          <w:lang w:val="en-US"/>
        </w:rPr>
        <w:tab/>
        <w:t>Welcome, opening of the Focus Group AVA and introductions</w:t>
      </w:r>
    </w:p>
    <w:p w:rsidR="00C034BE" w:rsidRPr="00C034BE" w:rsidRDefault="00C034BE" w:rsidP="009C09A0">
      <w:pPr>
        <w:rPr>
          <w:lang w:val="en-US"/>
        </w:rPr>
      </w:pPr>
      <w:r w:rsidRPr="00C034BE">
        <w:rPr>
          <w:lang w:val="en-US"/>
        </w:rPr>
        <w:t>2</w:t>
      </w:r>
      <w:r w:rsidRPr="00C034BE">
        <w:rPr>
          <w:lang w:val="en-US"/>
        </w:rPr>
        <w:tab/>
        <w:t>Approval of draft agenda and documentation allocation</w:t>
      </w:r>
    </w:p>
    <w:p w:rsidR="00C034BE" w:rsidRPr="00C034BE" w:rsidRDefault="00C034BE" w:rsidP="009C09A0">
      <w:pPr>
        <w:rPr>
          <w:lang w:val="en-US"/>
        </w:rPr>
      </w:pPr>
      <w:r w:rsidRPr="00C034BE">
        <w:rPr>
          <w:lang w:val="en-US"/>
        </w:rPr>
        <w:t>3</w:t>
      </w:r>
      <w:r w:rsidRPr="00C034BE">
        <w:rPr>
          <w:lang w:val="en-US"/>
        </w:rPr>
        <w:tab/>
        <w:t>Presentation of the Terms of Reference</w:t>
      </w:r>
    </w:p>
    <w:p w:rsidR="00C034BE" w:rsidRPr="00C034BE" w:rsidRDefault="00C034BE" w:rsidP="00C034BE">
      <w:pPr>
        <w:rPr>
          <w:lang w:val="en-US"/>
        </w:rPr>
      </w:pPr>
      <w:r w:rsidRPr="00C034BE">
        <w:rPr>
          <w:lang w:val="en-US"/>
        </w:rPr>
        <w:t>4</w:t>
      </w:r>
      <w:r w:rsidRPr="00C034BE">
        <w:rPr>
          <w:lang w:val="en-US"/>
        </w:rPr>
        <w:tab/>
        <w:t>Review of the proposed working methods</w:t>
      </w:r>
    </w:p>
    <w:p w:rsidR="00C034BE" w:rsidRPr="00C034BE" w:rsidRDefault="00C034BE" w:rsidP="00C034BE">
      <w:pPr>
        <w:rPr>
          <w:lang w:val="en-US"/>
        </w:rPr>
      </w:pPr>
      <w:r w:rsidRPr="00C034BE">
        <w:rPr>
          <w:lang w:val="en-US"/>
        </w:rPr>
        <w:t>5</w:t>
      </w:r>
      <w:r w:rsidRPr="00C034BE">
        <w:rPr>
          <w:lang w:val="en-US"/>
        </w:rPr>
        <w:tab/>
        <w:t>Draft work plan</w:t>
      </w:r>
    </w:p>
    <w:p w:rsidR="00C034BE" w:rsidRPr="00C034BE" w:rsidRDefault="00C034BE" w:rsidP="009C09A0">
      <w:pPr>
        <w:rPr>
          <w:lang w:val="en-US"/>
        </w:rPr>
      </w:pPr>
      <w:r w:rsidRPr="00C034BE">
        <w:rPr>
          <w:lang w:val="en-US"/>
        </w:rPr>
        <w:t>6</w:t>
      </w:r>
      <w:r w:rsidRPr="00C034BE">
        <w:rPr>
          <w:lang w:val="en-US"/>
        </w:rPr>
        <w:tab/>
        <w:t>Scoping the term “Audiovisual Media”</w:t>
      </w:r>
    </w:p>
    <w:p w:rsidR="00C034BE" w:rsidRPr="00C034BE" w:rsidRDefault="00C034BE" w:rsidP="009C09A0">
      <w:pPr>
        <w:rPr>
          <w:lang w:val="en-US"/>
        </w:rPr>
      </w:pPr>
      <w:r w:rsidRPr="00C034BE">
        <w:rPr>
          <w:lang w:val="en-US"/>
        </w:rPr>
        <w:t>7</w:t>
      </w:r>
      <w:r w:rsidRPr="00C034BE">
        <w:rPr>
          <w:lang w:val="en-US"/>
        </w:rPr>
        <w:tab/>
        <w:t>Scoping the term “Accessibility”</w:t>
      </w:r>
    </w:p>
    <w:p w:rsidR="00C034BE" w:rsidRPr="00C034BE" w:rsidRDefault="00C034BE" w:rsidP="00C034BE">
      <w:pPr>
        <w:rPr>
          <w:lang w:val="en-US"/>
        </w:rPr>
      </w:pPr>
      <w:r w:rsidRPr="00C034BE">
        <w:rPr>
          <w:lang w:val="en-US"/>
        </w:rPr>
        <w:t>8</w:t>
      </w:r>
      <w:r w:rsidRPr="00C034BE">
        <w:rPr>
          <w:lang w:val="en-US"/>
        </w:rPr>
        <w:tab/>
        <w:t>Organization of the work of the Focus Group AVA</w:t>
      </w:r>
    </w:p>
    <w:p w:rsidR="00C034BE" w:rsidRPr="00C034BE" w:rsidRDefault="00C034BE" w:rsidP="00C034BE">
      <w:pPr>
        <w:rPr>
          <w:lang w:val="en-US"/>
        </w:rPr>
      </w:pPr>
      <w:r w:rsidRPr="00C034BE">
        <w:rPr>
          <w:lang w:val="en-US"/>
        </w:rPr>
        <w:t>9</w:t>
      </w:r>
      <w:r w:rsidRPr="00C034BE">
        <w:rPr>
          <w:lang w:val="en-US"/>
        </w:rPr>
        <w:tab/>
        <w:t>Sponsor and finances of the FG AVA</w:t>
      </w:r>
    </w:p>
    <w:p w:rsidR="00C034BE" w:rsidRPr="00C034BE" w:rsidRDefault="00C034BE" w:rsidP="00C034BE">
      <w:pPr>
        <w:rPr>
          <w:lang w:val="en-US"/>
        </w:rPr>
      </w:pPr>
      <w:r w:rsidRPr="00C034BE">
        <w:rPr>
          <w:lang w:val="en-US"/>
        </w:rPr>
        <w:t>10</w:t>
      </w:r>
      <w:r w:rsidRPr="00C034BE">
        <w:rPr>
          <w:lang w:val="en-US"/>
        </w:rPr>
        <w:tab/>
        <w:t>Plan for the next meetings</w:t>
      </w:r>
    </w:p>
    <w:p w:rsidR="00C034BE" w:rsidRPr="00C034BE" w:rsidRDefault="00C034BE" w:rsidP="009C09A0">
      <w:pPr>
        <w:rPr>
          <w:lang w:val="en-US"/>
        </w:rPr>
      </w:pPr>
      <w:r w:rsidRPr="00C034BE">
        <w:rPr>
          <w:lang w:val="en-US"/>
        </w:rPr>
        <w:t>11</w:t>
      </w:r>
      <w:r w:rsidRPr="00C034BE">
        <w:rPr>
          <w:lang w:val="en-US"/>
        </w:rPr>
        <w:tab/>
        <w:t>Any other business</w:t>
      </w:r>
    </w:p>
    <w:p w:rsidR="00C034BE" w:rsidRPr="00C034BE" w:rsidRDefault="00C034BE" w:rsidP="00C034BE">
      <w:pPr>
        <w:rPr>
          <w:lang w:val="en-US"/>
        </w:rPr>
      </w:pPr>
      <w:r w:rsidRPr="00C034BE">
        <w:rPr>
          <w:lang w:val="en-US"/>
        </w:rPr>
        <w:t>12</w:t>
      </w:r>
      <w:r w:rsidRPr="00C034BE">
        <w:rPr>
          <w:lang w:val="en-US"/>
        </w:rPr>
        <w:tab/>
        <w:t>Meeting Closing</w:t>
      </w:r>
    </w:p>
    <w:p w:rsidR="009C09A0" w:rsidRDefault="009C09A0">
      <w:pPr>
        <w:tabs>
          <w:tab w:val="clear" w:pos="794"/>
          <w:tab w:val="clear" w:pos="1191"/>
          <w:tab w:val="clear" w:pos="1588"/>
          <w:tab w:val="clear" w:pos="1985"/>
        </w:tabs>
        <w:overflowPunct/>
        <w:autoSpaceDE/>
        <w:autoSpaceDN/>
        <w:adjustRightInd/>
        <w:spacing w:before="0"/>
        <w:textAlignment w:val="auto"/>
        <w:rPr>
          <w:lang w:val="en-US"/>
        </w:rPr>
      </w:pPr>
    </w:p>
    <w:p w:rsidR="00C034BE" w:rsidRPr="00C034BE" w:rsidRDefault="00C034BE" w:rsidP="00C034BE">
      <w:pPr>
        <w:rPr>
          <w:lang w:val="en-US"/>
        </w:rPr>
      </w:pPr>
    </w:p>
    <w:p w:rsidR="00C034BE" w:rsidRPr="00C034BE" w:rsidRDefault="00C034BE" w:rsidP="00C034BE">
      <w:pPr>
        <w:ind w:left="1588" w:hanging="1588"/>
        <w:rPr>
          <w:lang w:val="en-US"/>
        </w:rPr>
      </w:pPr>
    </w:p>
    <w:p w:rsidR="003C4DD0" w:rsidRDefault="003C4DD0" w:rsidP="00C034BE">
      <w:pPr>
        <w:tabs>
          <w:tab w:val="clear" w:pos="794"/>
          <w:tab w:val="clear" w:pos="1191"/>
          <w:tab w:val="clear" w:pos="1588"/>
          <w:tab w:val="clear" w:pos="1985"/>
        </w:tabs>
        <w:overflowPunct/>
        <w:autoSpaceDE/>
        <w:autoSpaceDN/>
        <w:adjustRightInd/>
        <w:spacing w:before="0"/>
        <w:jc w:val="center"/>
        <w:textAlignment w:val="auto"/>
        <w:rPr>
          <w:lang w:val="en-US"/>
        </w:rPr>
        <w:sectPr w:rsidR="003C4DD0">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134" w:header="567" w:footer="567" w:gutter="0"/>
          <w:paperSrc w:first="261" w:other="261"/>
          <w:cols w:space="720"/>
          <w:titlePg/>
        </w:sectPr>
      </w:pPr>
      <w:bookmarkStart w:id="4" w:name="Duties"/>
      <w:bookmarkEnd w:id="4"/>
    </w:p>
    <w:p w:rsidR="00C034BE" w:rsidRDefault="00C034BE" w:rsidP="00C034BE">
      <w:pPr>
        <w:tabs>
          <w:tab w:val="clear" w:pos="794"/>
          <w:tab w:val="clear" w:pos="1191"/>
          <w:tab w:val="clear" w:pos="1588"/>
          <w:tab w:val="clear" w:pos="1985"/>
        </w:tabs>
        <w:overflowPunct/>
        <w:autoSpaceDE/>
        <w:autoSpaceDN/>
        <w:adjustRightInd/>
        <w:spacing w:before="0"/>
        <w:jc w:val="center"/>
        <w:textAlignment w:val="auto"/>
        <w:rPr>
          <w:lang w:val="en-US"/>
        </w:rPr>
      </w:pPr>
      <w:r w:rsidRPr="009D775A">
        <w:rPr>
          <w:lang w:val="en-US"/>
        </w:rPr>
        <w:t>ANN</w:t>
      </w:r>
      <w:bookmarkStart w:id="5" w:name="_GoBack"/>
      <w:bookmarkEnd w:id="5"/>
      <w:r w:rsidRPr="009D775A">
        <w:rPr>
          <w:lang w:val="en-US"/>
        </w:rPr>
        <w:t>EX 3</w:t>
      </w:r>
    </w:p>
    <w:p w:rsidR="00C034BE" w:rsidRPr="009D775A" w:rsidRDefault="00C034BE" w:rsidP="00C034BE">
      <w:pPr>
        <w:tabs>
          <w:tab w:val="clear" w:pos="794"/>
          <w:tab w:val="clear" w:pos="1191"/>
          <w:tab w:val="clear" w:pos="1588"/>
          <w:tab w:val="clear" w:pos="1985"/>
        </w:tabs>
        <w:overflowPunct/>
        <w:autoSpaceDE/>
        <w:autoSpaceDN/>
        <w:adjustRightInd/>
        <w:spacing w:before="0"/>
        <w:jc w:val="center"/>
        <w:textAlignment w:val="auto"/>
        <w:rPr>
          <w:lang w:val="en-US"/>
        </w:rPr>
      </w:pPr>
      <w:r w:rsidRPr="009D775A">
        <w:rPr>
          <w:lang w:val="en-US"/>
        </w:rPr>
        <w:t>(to TSB Circular 1</w:t>
      </w:r>
      <w:r>
        <w:rPr>
          <w:lang w:val="en-US"/>
        </w:rPr>
        <w:t>91</w:t>
      </w:r>
      <w:r w:rsidRPr="009D775A">
        <w:rPr>
          <w:lang w:val="en-US"/>
        </w:rPr>
        <w:t>)</w:t>
      </w:r>
    </w:p>
    <w:p w:rsidR="00C034BE" w:rsidRPr="009D775A" w:rsidRDefault="00C034BE" w:rsidP="00C034BE">
      <w:pPr>
        <w:pStyle w:val="LetterStart"/>
        <w:tabs>
          <w:tab w:val="clear" w:pos="1361"/>
          <w:tab w:val="clear" w:pos="1758"/>
          <w:tab w:val="clear" w:pos="2155"/>
          <w:tab w:val="clear" w:pos="2552"/>
          <w:tab w:val="center" w:pos="4962"/>
        </w:tabs>
        <w:spacing w:before="120" w:line="240" w:lineRule="atLeast"/>
        <w:ind w:left="0"/>
        <w:rPr>
          <w:sz w:val="16"/>
          <w:lang w:val="en-US"/>
        </w:rPr>
      </w:pPr>
      <w:r w:rsidRPr="009D775A">
        <w:rPr>
          <w:lang w:val="en-US"/>
        </w:rPr>
        <w:tab/>
      </w:r>
    </w:p>
    <w:tbl>
      <w:tblPr>
        <w:tblW w:w="0" w:type="auto"/>
        <w:jc w:val="center"/>
        <w:tblLayout w:type="fixed"/>
        <w:tblLook w:val="0000"/>
      </w:tblPr>
      <w:tblGrid>
        <w:gridCol w:w="1291"/>
        <w:gridCol w:w="7264"/>
        <w:gridCol w:w="805"/>
        <w:gridCol w:w="595"/>
      </w:tblGrid>
      <w:tr w:rsidR="00C034BE" w:rsidRPr="00906F98" w:rsidTr="00C034BE">
        <w:trPr>
          <w:gridAfter w:val="1"/>
          <w:wAfter w:w="595" w:type="dxa"/>
          <w:cantSplit/>
          <w:jc w:val="center"/>
        </w:trPr>
        <w:tc>
          <w:tcPr>
            <w:tcW w:w="9360" w:type="dxa"/>
            <w:gridSpan w:val="3"/>
            <w:tcBorders>
              <w:top w:val="single" w:sz="6" w:space="0" w:color="auto"/>
              <w:left w:val="single" w:sz="6" w:space="0" w:color="auto"/>
              <w:bottom w:val="single" w:sz="6" w:space="0" w:color="auto"/>
              <w:right w:val="single" w:sz="6" w:space="0" w:color="auto"/>
            </w:tcBorders>
          </w:tcPr>
          <w:p w:rsidR="00C034BE" w:rsidRPr="009D775A" w:rsidRDefault="00C034BE" w:rsidP="00C034BE">
            <w:pPr>
              <w:tabs>
                <w:tab w:val="left" w:pos="1440"/>
                <w:tab w:val="left" w:pos="8647"/>
              </w:tabs>
              <w:spacing w:before="0" w:line="288" w:lineRule="atLeast"/>
              <w:jc w:val="center"/>
              <w:rPr>
                <w:i/>
                <w:sz w:val="20"/>
                <w:lang w:val="en-US"/>
              </w:rPr>
            </w:pPr>
          </w:p>
          <w:p w:rsidR="00C034BE" w:rsidRPr="009D775A" w:rsidRDefault="00C034BE" w:rsidP="00C034BE">
            <w:pPr>
              <w:tabs>
                <w:tab w:val="left" w:pos="1440"/>
                <w:tab w:val="left" w:pos="8647"/>
              </w:tabs>
              <w:spacing w:before="0" w:line="288" w:lineRule="atLeast"/>
              <w:jc w:val="center"/>
              <w:rPr>
                <w:i/>
                <w:szCs w:val="24"/>
                <w:lang w:val="en-US"/>
              </w:rPr>
            </w:pPr>
            <w:r w:rsidRPr="009D775A">
              <w:rPr>
                <w:i/>
                <w:szCs w:val="24"/>
                <w:lang w:val="en-US"/>
              </w:rPr>
              <w:t xml:space="preserve">This confirmation form </w:t>
            </w:r>
            <w:r w:rsidRPr="009D775A">
              <w:rPr>
                <w:b/>
                <w:bCs/>
                <w:i/>
                <w:szCs w:val="24"/>
                <w:lang w:val="en-US"/>
              </w:rPr>
              <w:t xml:space="preserve">should </w:t>
            </w:r>
            <w:r w:rsidRPr="009D775A">
              <w:rPr>
                <w:b/>
                <w:i/>
                <w:szCs w:val="24"/>
                <w:lang w:val="en-US"/>
              </w:rPr>
              <w:t xml:space="preserve">be sent direct </w:t>
            </w:r>
            <w:r w:rsidRPr="009D775A">
              <w:rPr>
                <w:i/>
                <w:szCs w:val="24"/>
                <w:lang w:val="en-US"/>
              </w:rPr>
              <w:t>to the hotel</w:t>
            </w:r>
            <w:r w:rsidRPr="009D775A">
              <w:rPr>
                <w:b/>
                <w:i/>
                <w:szCs w:val="24"/>
                <w:lang w:val="en-US"/>
              </w:rPr>
              <w:t xml:space="preserve"> </w:t>
            </w:r>
            <w:r w:rsidRPr="009D775A">
              <w:rPr>
                <w:i/>
                <w:szCs w:val="24"/>
                <w:lang w:val="en-US"/>
              </w:rPr>
              <w:t>of your choice</w:t>
            </w:r>
          </w:p>
          <w:p w:rsidR="00C034BE" w:rsidRPr="009D775A" w:rsidRDefault="00C034BE" w:rsidP="00C034BE">
            <w:pPr>
              <w:spacing w:before="0" w:after="100" w:line="288" w:lineRule="atLeast"/>
              <w:jc w:val="center"/>
              <w:rPr>
                <w:sz w:val="20"/>
                <w:lang w:val="en-US"/>
              </w:rPr>
            </w:pPr>
          </w:p>
        </w:tc>
      </w:tr>
      <w:tr w:rsidR="00C034BE" w:rsidRPr="009D775A" w:rsidTr="00C034BE">
        <w:trPr>
          <w:cantSplit/>
          <w:jc w:val="center"/>
        </w:trPr>
        <w:tc>
          <w:tcPr>
            <w:tcW w:w="1291" w:type="dxa"/>
          </w:tcPr>
          <w:p w:rsidR="00C034BE" w:rsidRPr="009D775A" w:rsidRDefault="00C034BE" w:rsidP="00C034BE">
            <w:pPr>
              <w:tabs>
                <w:tab w:val="center" w:pos="9639"/>
              </w:tabs>
              <w:spacing w:before="57" w:line="240" w:lineRule="atLeast"/>
              <w:jc w:val="center"/>
              <w:rPr>
                <w:sz w:val="28"/>
                <w:lang w:val="en-US"/>
              </w:rPr>
            </w:pPr>
            <w:r>
              <w:rPr>
                <w:noProof/>
                <w:lang w:val="en-US" w:eastAsia="zh-CN"/>
              </w:rPr>
              <w:drawing>
                <wp:inline distT="0" distB="0" distL="0" distR="0">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C034BE" w:rsidRPr="009D775A" w:rsidRDefault="00C034BE" w:rsidP="00C034BE">
            <w:pPr>
              <w:tabs>
                <w:tab w:val="center" w:pos="9639"/>
              </w:tabs>
              <w:spacing w:line="240" w:lineRule="atLeast"/>
              <w:jc w:val="center"/>
              <w:rPr>
                <w:b/>
                <w:bCs/>
                <w:sz w:val="28"/>
                <w:szCs w:val="28"/>
                <w:lang w:val="en-US"/>
              </w:rPr>
            </w:pPr>
            <w:r w:rsidRPr="009D775A">
              <w:rPr>
                <w:sz w:val="26"/>
                <w:lang w:val="en-US"/>
              </w:rPr>
              <w:br/>
            </w:r>
            <w:r w:rsidRPr="009D775A">
              <w:rPr>
                <w:b/>
                <w:bCs/>
                <w:sz w:val="28"/>
                <w:szCs w:val="28"/>
                <w:lang w:val="en-US"/>
              </w:rPr>
              <w:t>INTERNATIONAL TELECOMMUNICATION UNION</w:t>
            </w:r>
            <w:r w:rsidRPr="009D775A">
              <w:rPr>
                <w:b/>
                <w:bCs/>
                <w:sz w:val="28"/>
                <w:szCs w:val="28"/>
                <w:lang w:val="en-US"/>
              </w:rPr>
              <w:br/>
            </w:r>
          </w:p>
        </w:tc>
        <w:tc>
          <w:tcPr>
            <w:tcW w:w="1400" w:type="dxa"/>
            <w:gridSpan w:val="2"/>
          </w:tcPr>
          <w:p w:rsidR="00C034BE" w:rsidRPr="009D775A" w:rsidRDefault="00C034BE" w:rsidP="00C034BE">
            <w:pPr>
              <w:tabs>
                <w:tab w:val="center" w:pos="9639"/>
              </w:tabs>
              <w:spacing w:before="57" w:line="240" w:lineRule="atLeast"/>
              <w:jc w:val="center"/>
              <w:rPr>
                <w:sz w:val="28"/>
                <w:lang w:val="en-US"/>
              </w:rPr>
            </w:pPr>
            <w:r>
              <w:rPr>
                <w:noProof/>
                <w:lang w:val="en-US" w:eastAsia="zh-CN"/>
              </w:rPr>
              <w:drawing>
                <wp:inline distT="0" distB="0" distL="0" distR="0">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C034BE" w:rsidRPr="009D775A" w:rsidRDefault="00C034BE" w:rsidP="00C034BE">
      <w:pPr>
        <w:tabs>
          <w:tab w:val="left" w:pos="1440"/>
        </w:tabs>
        <w:spacing w:before="0" w:line="240" w:lineRule="atLeast"/>
        <w:jc w:val="center"/>
        <w:rPr>
          <w:b/>
          <w:lang w:val="en-US"/>
        </w:rPr>
      </w:pPr>
    </w:p>
    <w:p w:rsidR="00C034BE" w:rsidRPr="009D775A" w:rsidRDefault="00C034BE" w:rsidP="00C034BE">
      <w:pPr>
        <w:tabs>
          <w:tab w:val="center" w:pos="4678"/>
        </w:tabs>
        <w:spacing w:before="0" w:line="240" w:lineRule="atLeast"/>
        <w:jc w:val="center"/>
        <w:rPr>
          <w:sz w:val="20"/>
          <w:lang w:val="en-US"/>
        </w:rPr>
      </w:pPr>
      <w:r w:rsidRPr="009D775A">
        <w:rPr>
          <w:b/>
          <w:bCs/>
          <w:szCs w:val="24"/>
          <w:lang w:val="en-US"/>
        </w:rPr>
        <w:t>TELECOMMUNICATION STANDARDIZATION SECTOR</w:t>
      </w:r>
      <w:r w:rsidRPr="009D775A">
        <w:rPr>
          <w:b/>
          <w:bCs/>
          <w:szCs w:val="24"/>
          <w:lang w:val="en-US"/>
        </w:rPr>
        <w:br/>
      </w:r>
    </w:p>
    <w:p w:rsidR="00C034BE" w:rsidRPr="009D775A" w:rsidRDefault="00C034BE" w:rsidP="00C034BE">
      <w:pPr>
        <w:tabs>
          <w:tab w:val="left" w:pos="1440"/>
        </w:tabs>
        <w:spacing w:before="0" w:line="240" w:lineRule="atLeast"/>
        <w:rPr>
          <w:sz w:val="20"/>
          <w:lang w:val="en-US"/>
        </w:rPr>
      </w:pPr>
      <w:r>
        <w:rPr>
          <w:i/>
          <w:sz w:val="20"/>
          <w:lang w:val="en-US"/>
        </w:rPr>
        <w:t>FG AVA meeting</w:t>
      </w:r>
      <w:r w:rsidRPr="009D775A">
        <w:rPr>
          <w:i/>
          <w:sz w:val="20"/>
          <w:lang w:val="en-US"/>
        </w:rPr>
        <w:t xml:space="preserve"> -------------------------------------   from    -------------------------  to ----------------------- in Geneva</w:t>
      </w:r>
    </w:p>
    <w:p w:rsidR="00C034BE" w:rsidRPr="009D775A" w:rsidRDefault="00C034BE" w:rsidP="00C034BE">
      <w:pPr>
        <w:tabs>
          <w:tab w:val="left" w:pos="1440"/>
        </w:tabs>
        <w:spacing w:before="0" w:line="240" w:lineRule="atLeast"/>
        <w:rPr>
          <w:sz w:val="20"/>
          <w:lang w:val="en-US"/>
        </w:rPr>
      </w:pPr>
    </w:p>
    <w:p w:rsidR="00C034BE" w:rsidRPr="009D775A" w:rsidRDefault="00C034BE" w:rsidP="00C034BE">
      <w:pPr>
        <w:tabs>
          <w:tab w:val="left" w:pos="1440"/>
        </w:tabs>
        <w:spacing w:before="0" w:line="240" w:lineRule="atLeast"/>
        <w:rPr>
          <w:sz w:val="20"/>
          <w:lang w:val="en-US"/>
        </w:rPr>
      </w:pPr>
      <w:r w:rsidRPr="009D775A">
        <w:rPr>
          <w:i/>
          <w:sz w:val="20"/>
          <w:lang w:val="en-US"/>
        </w:rPr>
        <w:t>Confirmation of the reservation made on (date) -------------------------   with (hotel)   --------------------------------</w:t>
      </w:r>
    </w:p>
    <w:p w:rsidR="00C034BE" w:rsidRPr="009D775A" w:rsidRDefault="00C034BE" w:rsidP="00C034BE">
      <w:pPr>
        <w:tabs>
          <w:tab w:val="left" w:pos="1440"/>
        </w:tabs>
        <w:spacing w:before="0" w:line="240" w:lineRule="atLeast"/>
        <w:rPr>
          <w:sz w:val="20"/>
          <w:lang w:val="en-US"/>
        </w:rPr>
      </w:pPr>
    </w:p>
    <w:p w:rsidR="00C034BE" w:rsidRPr="009D775A" w:rsidRDefault="00C034BE" w:rsidP="00C034BE">
      <w:pPr>
        <w:tabs>
          <w:tab w:val="left" w:pos="1440"/>
        </w:tabs>
        <w:spacing w:before="0" w:line="240" w:lineRule="atLeast"/>
        <w:rPr>
          <w:szCs w:val="24"/>
          <w:u w:val="single"/>
          <w:lang w:val="en-US"/>
        </w:rPr>
      </w:pPr>
      <w:r w:rsidRPr="009D775A">
        <w:rPr>
          <w:b/>
          <w:i/>
          <w:szCs w:val="24"/>
          <w:u w:val="single"/>
          <w:lang w:val="en-US"/>
        </w:rPr>
        <w:t xml:space="preserve">at the ITU preferential tariff </w:t>
      </w:r>
    </w:p>
    <w:p w:rsidR="00C034BE" w:rsidRPr="009D775A" w:rsidRDefault="00C034BE" w:rsidP="00C034BE">
      <w:pPr>
        <w:tabs>
          <w:tab w:val="left" w:pos="1440"/>
        </w:tabs>
        <w:spacing w:before="0" w:line="240" w:lineRule="atLeast"/>
        <w:rPr>
          <w:sz w:val="20"/>
          <w:lang w:val="en-US"/>
        </w:rPr>
      </w:pPr>
    </w:p>
    <w:p w:rsidR="00C034BE" w:rsidRPr="009D775A" w:rsidRDefault="00C034BE" w:rsidP="00C034BE">
      <w:pPr>
        <w:tabs>
          <w:tab w:val="left" w:pos="1440"/>
        </w:tabs>
        <w:spacing w:before="0" w:line="240" w:lineRule="atLeast"/>
        <w:rPr>
          <w:sz w:val="20"/>
          <w:lang w:val="en-US"/>
        </w:rPr>
      </w:pPr>
    </w:p>
    <w:p w:rsidR="00C034BE" w:rsidRPr="009D775A" w:rsidRDefault="00C034BE" w:rsidP="00C034BE">
      <w:pPr>
        <w:tabs>
          <w:tab w:val="left" w:pos="1440"/>
        </w:tabs>
        <w:spacing w:before="0" w:line="240" w:lineRule="atLeast"/>
        <w:rPr>
          <w:i/>
          <w:sz w:val="20"/>
          <w:lang w:val="en-US"/>
        </w:rPr>
      </w:pPr>
      <w:r w:rsidRPr="009D775A">
        <w:rPr>
          <w:i/>
          <w:sz w:val="20"/>
          <w:lang w:val="en-US"/>
        </w:rPr>
        <w:t>------------ single/double room(s)</w:t>
      </w:r>
    </w:p>
    <w:p w:rsidR="00C034BE" w:rsidRPr="009D775A" w:rsidRDefault="00C034BE" w:rsidP="00C034BE">
      <w:pPr>
        <w:tabs>
          <w:tab w:val="left" w:pos="1440"/>
        </w:tabs>
        <w:spacing w:before="0" w:line="240" w:lineRule="atLeast"/>
        <w:rPr>
          <w:i/>
          <w:sz w:val="20"/>
          <w:lang w:val="en-US"/>
        </w:rPr>
      </w:pPr>
    </w:p>
    <w:p w:rsidR="00C034BE" w:rsidRPr="009D775A" w:rsidRDefault="00C034BE" w:rsidP="00C034BE">
      <w:pPr>
        <w:tabs>
          <w:tab w:val="left" w:pos="1440"/>
        </w:tabs>
        <w:spacing w:before="0" w:line="240" w:lineRule="atLeast"/>
        <w:rPr>
          <w:i/>
          <w:sz w:val="20"/>
          <w:lang w:val="en-US"/>
        </w:rPr>
      </w:pPr>
      <w:r w:rsidRPr="009D775A">
        <w:rPr>
          <w:i/>
          <w:sz w:val="20"/>
          <w:lang w:val="en-US"/>
        </w:rPr>
        <w:t>arriving on (date) ---------------------------  at (time)  -------------  departing on (date) -------------------------------</w:t>
      </w:r>
    </w:p>
    <w:p w:rsidR="00C034BE" w:rsidRPr="009D775A" w:rsidRDefault="00C034BE" w:rsidP="00C034BE">
      <w:pPr>
        <w:tabs>
          <w:tab w:val="clear" w:pos="794"/>
          <w:tab w:val="clear" w:pos="1191"/>
          <w:tab w:val="clear" w:pos="1588"/>
          <w:tab w:val="clear" w:pos="1985"/>
        </w:tabs>
        <w:spacing w:before="100" w:beforeAutospacing="1" w:after="100" w:afterAutospacing="1"/>
        <w:outlineLvl w:val="3"/>
        <w:rPr>
          <w:rFonts w:eastAsia="SimSun"/>
          <w:i/>
          <w:iCs/>
          <w:sz w:val="20"/>
          <w:lang w:val="en-US" w:eastAsia="zh-CN"/>
        </w:rPr>
      </w:pPr>
      <w:r w:rsidRPr="009D775A">
        <w:rPr>
          <w:rFonts w:eastAsia="SimSun"/>
          <w:b/>
          <w:bCs/>
          <w:i/>
          <w:iCs/>
          <w:sz w:val="20"/>
          <w:lang w:val="en-US" w:eastAsia="zh-CN"/>
        </w:rPr>
        <w:t xml:space="preserve">GENEVA TRANSPORT CARD: </w:t>
      </w:r>
      <w:r w:rsidRPr="009D775A">
        <w:rPr>
          <w:rFonts w:eastAsia="SimSun"/>
          <w:i/>
          <w:iCs/>
          <w:sz w:val="20"/>
          <w:lang w:val="en-US" w:eastAsia="zh-CN"/>
        </w:rPr>
        <w:t>Hotels and residences in the canton of Geneva now provide a free "Geneva Transport Card" valid for the duration of the stay. This card will give you free access to Geneva public transport, inc</w:t>
      </w:r>
      <w:r>
        <w:rPr>
          <w:rFonts w:eastAsia="SimSun"/>
          <w:i/>
          <w:iCs/>
          <w:sz w:val="20"/>
          <w:lang w:val="en-US" w:eastAsia="zh-CN"/>
        </w:rPr>
        <w:t>l</w:t>
      </w:r>
      <w:r w:rsidRPr="009D775A">
        <w:rPr>
          <w:rFonts w:eastAsia="SimSun"/>
          <w:i/>
          <w:iCs/>
          <w:sz w:val="20"/>
          <w:lang w:val="en-US" w:eastAsia="zh-CN"/>
        </w:rPr>
        <w:t xml:space="preserve">uding buses, trams, boats and trains as far as </w:t>
      </w:r>
      <w:proofErr w:type="spellStart"/>
      <w:r w:rsidRPr="009D775A">
        <w:rPr>
          <w:rFonts w:eastAsia="SimSun"/>
          <w:i/>
          <w:iCs/>
          <w:sz w:val="20"/>
          <w:lang w:val="en-US" w:eastAsia="zh-CN"/>
        </w:rPr>
        <w:t>Versoix</w:t>
      </w:r>
      <w:proofErr w:type="spellEnd"/>
      <w:r w:rsidRPr="009D775A">
        <w:rPr>
          <w:rFonts w:eastAsia="SimSun"/>
          <w:i/>
          <w:iCs/>
          <w:sz w:val="20"/>
          <w:lang w:val="en-US" w:eastAsia="zh-CN"/>
        </w:rPr>
        <w:t xml:space="preserve"> and the airport. </w:t>
      </w:r>
    </w:p>
    <w:p w:rsidR="00C034BE" w:rsidRPr="009D775A" w:rsidRDefault="00C034BE" w:rsidP="00C034BE">
      <w:pPr>
        <w:tabs>
          <w:tab w:val="left" w:pos="1440"/>
        </w:tabs>
        <w:spacing w:before="0" w:line="240" w:lineRule="atLeast"/>
        <w:rPr>
          <w:sz w:val="20"/>
          <w:lang w:val="en-US"/>
        </w:rPr>
      </w:pPr>
      <w:r w:rsidRPr="009D775A">
        <w:rPr>
          <w:i/>
          <w:sz w:val="20"/>
          <w:lang w:val="en-US"/>
        </w:rPr>
        <w:t>Family name</w:t>
      </w:r>
      <w:r w:rsidRPr="009D775A">
        <w:rPr>
          <w:sz w:val="20"/>
          <w:lang w:val="en-US"/>
        </w:rPr>
        <w:t xml:space="preserve">    -------------------------------------------------------------------------------------------------------------------</w:t>
      </w:r>
    </w:p>
    <w:p w:rsidR="00C034BE" w:rsidRPr="009D775A" w:rsidRDefault="00C034BE" w:rsidP="00C034BE">
      <w:pPr>
        <w:tabs>
          <w:tab w:val="left" w:pos="1440"/>
        </w:tabs>
        <w:spacing w:before="0" w:line="240" w:lineRule="atLeast"/>
        <w:rPr>
          <w:sz w:val="20"/>
          <w:lang w:val="en-US"/>
        </w:rPr>
      </w:pPr>
    </w:p>
    <w:p w:rsidR="00C034BE" w:rsidRPr="009D775A" w:rsidRDefault="00C034BE" w:rsidP="00C034BE">
      <w:pPr>
        <w:tabs>
          <w:tab w:val="left" w:pos="1440"/>
        </w:tabs>
        <w:spacing w:before="0" w:line="240" w:lineRule="atLeast"/>
        <w:rPr>
          <w:sz w:val="20"/>
          <w:lang w:val="en-US"/>
        </w:rPr>
      </w:pPr>
      <w:r w:rsidRPr="009D775A">
        <w:rPr>
          <w:i/>
          <w:sz w:val="20"/>
          <w:lang w:val="en-US"/>
        </w:rPr>
        <w:t xml:space="preserve">First name    </w:t>
      </w:r>
      <w:r w:rsidRPr="009D775A">
        <w:rPr>
          <w:sz w:val="20"/>
          <w:lang w:val="en-US"/>
        </w:rPr>
        <w:t xml:space="preserve">    ------------------------------------------------------------------------------------------------------------------</w:t>
      </w:r>
    </w:p>
    <w:p w:rsidR="00C034BE" w:rsidRPr="009D775A" w:rsidRDefault="00C034BE" w:rsidP="00C034BE">
      <w:pPr>
        <w:tabs>
          <w:tab w:val="left" w:pos="1440"/>
        </w:tabs>
        <w:spacing w:before="0" w:line="240" w:lineRule="atLeast"/>
        <w:rPr>
          <w:sz w:val="20"/>
          <w:lang w:val="en-US"/>
        </w:rPr>
      </w:pPr>
    </w:p>
    <w:p w:rsidR="00C034BE" w:rsidRPr="009D775A" w:rsidRDefault="00C034BE" w:rsidP="00C034BE">
      <w:pPr>
        <w:tabs>
          <w:tab w:val="left" w:pos="1440"/>
        </w:tabs>
        <w:spacing w:before="0" w:line="240" w:lineRule="atLeast"/>
        <w:rPr>
          <w:sz w:val="20"/>
          <w:lang w:val="en-US"/>
        </w:rPr>
      </w:pPr>
    </w:p>
    <w:p w:rsidR="00C034BE" w:rsidRPr="009D775A" w:rsidRDefault="00C034BE" w:rsidP="00C034BE">
      <w:pPr>
        <w:tabs>
          <w:tab w:val="left" w:pos="1440"/>
        </w:tabs>
        <w:spacing w:before="0" w:line="240" w:lineRule="atLeast"/>
        <w:rPr>
          <w:i/>
          <w:iCs/>
          <w:sz w:val="20"/>
          <w:lang w:val="en-US"/>
        </w:rPr>
      </w:pPr>
      <w:r w:rsidRPr="009D775A">
        <w:rPr>
          <w:i/>
          <w:sz w:val="20"/>
          <w:lang w:val="en-US"/>
        </w:rPr>
        <w:t xml:space="preserve">Address        </w:t>
      </w:r>
      <w:r w:rsidRPr="009D775A">
        <w:rPr>
          <w:sz w:val="20"/>
          <w:lang w:val="en-US"/>
        </w:rPr>
        <w:t xml:space="preserve">    ------------------------------------------------------------------------        </w:t>
      </w:r>
      <w:r w:rsidRPr="009D775A">
        <w:rPr>
          <w:i/>
          <w:iCs/>
          <w:sz w:val="20"/>
          <w:lang w:val="en-US"/>
        </w:rPr>
        <w:t>Tel: -------------------------------</w:t>
      </w:r>
    </w:p>
    <w:p w:rsidR="00C034BE" w:rsidRPr="009D775A" w:rsidRDefault="00C034BE" w:rsidP="00C034BE">
      <w:pPr>
        <w:tabs>
          <w:tab w:val="left" w:pos="1440"/>
        </w:tabs>
        <w:spacing w:before="0" w:line="240" w:lineRule="atLeast"/>
        <w:rPr>
          <w:i/>
          <w:iCs/>
          <w:sz w:val="20"/>
          <w:lang w:val="en-US"/>
        </w:rPr>
      </w:pPr>
    </w:p>
    <w:p w:rsidR="00C034BE" w:rsidRPr="009D775A" w:rsidRDefault="00C034BE" w:rsidP="00C034BE">
      <w:pPr>
        <w:tabs>
          <w:tab w:val="left" w:pos="1440"/>
        </w:tabs>
        <w:spacing w:before="0" w:line="240" w:lineRule="atLeast"/>
        <w:rPr>
          <w:i/>
          <w:iCs/>
          <w:sz w:val="20"/>
          <w:lang w:val="en-US"/>
        </w:rPr>
      </w:pPr>
      <w:r w:rsidRPr="009D775A">
        <w:rPr>
          <w:i/>
          <w:iCs/>
          <w:sz w:val="20"/>
          <w:lang w:val="en-US"/>
        </w:rPr>
        <w:t>-----------------------------------------------------------------------------------------         Fax: -------------------------------</w:t>
      </w:r>
    </w:p>
    <w:p w:rsidR="00C034BE" w:rsidRPr="009D775A" w:rsidRDefault="00C034BE" w:rsidP="00C034BE">
      <w:pPr>
        <w:tabs>
          <w:tab w:val="left" w:pos="1440"/>
        </w:tabs>
        <w:spacing w:before="0" w:line="240" w:lineRule="atLeast"/>
        <w:rPr>
          <w:i/>
          <w:iCs/>
          <w:sz w:val="20"/>
          <w:lang w:val="en-US"/>
        </w:rPr>
      </w:pPr>
    </w:p>
    <w:p w:rsidR="00C034BE" w:rsidRPr="009D775A" w:rsidRDefault="00C034BE" w:rsidP="00C034BE">
      <w:pPr>
        <w:tabs>
          <w:tab w:val="left" w:pos="1440"/>
        </w:tabs>
        <w:spacing w:before="0" w:line="240" w:lineRule="atLeast"/>
        <w:rPr>
          <w:sz w:val="20"/>
          <w:lang w:val="en-US"/>
        </w:rPr>
      </w:pPr>
      <w:r w:rsidRPr="009D775A">
        <w:rPr>
          <w:i/>
          <w:iCs/>
          <w:sz w:val="20"/>
          <w:lang w:val="en-US"/>
        </w:rPr>
        <w:t>-----------------------------------------------------------------------------------------      E-mail:</w:t>
      </w:r>
      <w:r w:rsidRPr="009D775A">
        <w:rPr>
          <w:sz w:val="20"/>
          <w:lang w:val="en-US"/>
        </w:rPr>
        <w:t xml:space="preserve"> ------------------------------</w:t>
      </w:r>
    </w:p>
    <w:p w:rsidR="00C034BE" w:rsidRPr="009D775A" w:rsidRDefault="00C034BE" w:rsidP="00C034BE">
      <w:pPr>
        <w:tabs>
          <w:tab w:val="left" w:pos="1440"/>
        </w:tabs>
        <w:spacing w:before="0" w:line="240" w:lineRule="atLeast"/>
        <w:rPr>
          <w:sz w:val="20"/>
          <w:lang w:val="en-US"/>
        </w:rPr>
      </w:pPr>
    </w:p>
    <w:p w:rsidR="00C034BE" w:rsidRPr="009D775A" w:rsidRDefault="00C034BE" w:rsidP="00C034BE">
      <w:pPr>
        <w:tabs>
          <w:tab w:val="left" w:pos="1440"/>
        </w:tabs>
        <w:spacing w:before="0" w:line="240" w:lineRule="atLeast"/>
        <w:rPr>
          <w:sz w:val="20"/>
          <w:lang w:val="en-US"/>
        </w:rPr>
      </w:pPr>
    </w:p>
    <w:p w:rsidR="00C034BE" w:rsidRPr="009D775A" w:rsidRDefault="00C034BE" w:rsidP="00C034BE">
      <w:pPr>
        <w:tabs>
          <w:tab w:val="left" w:pos="1440"/>
        </w:tabs>
        <w:spacing w:before="0" w:line="240" w:lineRule="atLeast"/>
        <w:rPr>
          <w:sz w:val="20"/>
          <w:lang w:val="en-US"/>
        </w:rPr>
      </w:pPr>
      <w:r w:rsidRPr="009D775A">
        <w:rPr>
          <w:i/>
          <w:sz w:val="20"/>
          <w:lang w:val="en-US"/>
        </w:rPr>
        <w:t>Credit card to guarantee this reservation</w:t>
      </w:r>
      <w:r w:rsidRPr="009D775A">
        <w:rPr>
          <w:sz w:val="20"/>
          <w:lang w:val="en-US"/>
        </w:rPr>
        <w:t>:        AX/VISA/DINERS/EC  (</w:t>
      </w:r>
      <w:r w:rsidRPr="009D775A">
        <w:rPr>
          <w:i/>
          <w:iCs/>
          <w:sz w:val="20"/>
          <w:lang w:val="en-US"/>
        </w:rPr>
        <w:t>or</w:t>
      </w:r>
      <w:r w:rsidRPr="009D775A">
        <w:rPr>
          <w:sz w:val="20"/>
          <w:lang w:val="en-US"/>
        </w:rPr>
        <w:t xml:space="preserve"> </w:t>
      </w:r>
      <w:r w:rsidRPr="009D775A">
        <w:rPr>
          <w:i/>
          <w:sz w:val="20"/>
          <w:lang w:val="en-US"/>
        </w:rPr>
        <w:t>other) -----------------------------------</w:t>
      </w:r>
    </w:p>
    <w:p w:rsidR="00C034BE" w:rsidRPr="009D775A" w:rsidRDefault="00C034BE" w:rsidP="00C034BE">
      <w:pPr>
        <w:tabs>
          <w:tab w:val="left" w:pos="1440"/>
        </w:tabs>
        <w:spacing w:before="0" w:line="240" w:lineRule="atLeast"/>
        <w:rPr>
          <w:sz w:val="20"/>
          <w:lang w:val="en-US"/>
        </w:rPr>
      </w:pPr>
    </w:p>
    <w:p w:rsidR="00C034BE" w:rsidRPr="009D775A" w:rsidRDefault="00C034BE" w:rsidP="00C034BE">
      <w:pPr>
        <w:tabs>
          <w:tab w:val="left" w:pos="1440"/>
        </w:tabs>
        <w:spacing w:before="0" w:line="240" w:lineRule="atLeast"/>
        <w:rPr>
          <w:sz w:val="20"/>
          <w:lang w:val="en-US"/>
        </w:rPr>
      </w:pPr>
    </w:p>
    <w:p w:rsidR="00C034BE" w:rsidRPr="009D775A" w:rsidRDefault="00C034BE" w:rsidP="00C034BE">
      <w:pPr>
        <w:tabs>
          <w:tab w:val="left" w:pos="1440"/>
        </w:tabs>
        <w:spacing w:before="0" w:line="240" w:lineRule="atLeast"/>
        <w:rPr>
          <w:sz w:val="20"/>
          <w:lang w:val="en-US"/>
        </w:rPr>
      </w:pPr>
      <w:r w:rsidRPr="009D775A">
        <w:rPr>
          <w:i/>
          <w:iCs/>
          <w:sz w:val="20"/>
          <w:lang w:val="en-US"/>
        </w:rPr>
        <w:t xml:space="preserve">No. </w:t>
      </w:r>
      <w:r w:rsidRPr="009D775A">
        <w:rPr>
          <w:sz w:val="20"/>
          <w:lang w:val="en-US"/>
        </w:rPr>
        <w:t xml:space="preserve">--------------------------------------------------------         </w:t>
      </w:r>
      <w:r w:rsidRPr="009D775A">
        <w:rPr>
          <w:i/>
          <w:sz w:val="20"/>
          <w:lang w:val="en-US"/>
        </w:rPr>
        <w:t>valid until</w:t>
      </w:r>
      <w:r w:rsidRPr="009D775A">
        <w:rPr>
          <w:sz w:val="20"/>
          <w:lang w:val="en-US"/>
        </w:rPr>
        <w:t xml:space="preserve">      -------------------------------------------------</w:t>
      </w:r>
    </w:p>
    <w:p w:rsidR="00C034BE" w:rsidRPr="009D775A" w:rsidRDefault="00C034BE" w:rsidP="00C034BE">
      <w:pPr>
        <w:tabs>
          <w:tab w:val="left" w:pos="1440"/>
        </w:tabs>
        <w:spacing w:before="0" w:line="240" w:lineRule="atLeast"/>
        <w:rPr>
          <w:sz w:val="20"/>
          <w:lang w:val="en-US"/>
        </w:rPr>
      </w:pPr>
    </w:p>
    <w:p w:rsidR="00C034BE" w:rsidRPr="009D775A" w:rsidRDefault="00C034BE" w:rsidP="00C034BE">
      <w:pPr>
        <w:tabs>
          <w:tab w:val="left" w:pos="1440"/>
        </w:tabs>
        <w:spacing w:before="0" w:line="240" w:lineRule="atLeast"/>
        <w:rPr>
          <w:sz w:val="20"/>
          <w:lang w:val="en-US"/>
        </w:rPr>
      </w:pPr>
    </w:p>
    <w:p w:rsidR="00C034BE" w:rsidRPr="009D775A" w:rsidRDefault="00C034BE" w:rsidP="00C034BE">
      <w:pPr>
        <w:tabs>
          <w:tab w:val="left" w:pos="1440"/>
        </w:tabs>
        <w:spacing w:before="0" w:line="240" w:lineRule="atLeast"/>
        <w:rPr>
          <w:sz w:val="20"/>
          <w:lang w:val="en-US"/>
        </w:rPr>
      </w:pPr>
      <w:r w:rsidRPr="009D775A">
        <w:rPr>
          <w:i/>
          <w:sz w:val="20"/>
          <w:lang w:val="en-US"/>
        </w:rPr>
        <w:t>Date</w:t>
      </w:r>
      <w:r w:rsidRPr="009D775A">
        <w:rPr>
          <w:sz w:val="20"/>
          <w:lang w:val="en-US"/>
        </w:rPr>
        <w:t xml:space="preserve"> ------------------------------------------------------      </w:t>
      </w:r>
      <w:r w:rsidRPr="009D775A">
        <w:rPr>
          <w:i/>
          <w:sz w:val="20"/>
          <w:lang w:val="en-US"/>
        </w:rPr>
        <w:t xml:space="preserve">Signature </w:t>
      </w:r>
      <w:r w:rsidRPr="009D775A">
        <w:rPr>
          <w:sz w:val="20"/>
          <w:lang w:val="en-US"/>
        </w:rPr>
        <w:t xml:space="preserve">       ---------------------------------------------------</w:t>
      </w:r>
    </w:p>
    <w:p w:rsidR="00C034BE" w:rsidRPr="009D775A" w:rsidRDefault="00C034BE" w:rsidP="00C034BE">
      <w:pPr>
        <w:pStyle w:val="LetterEnd"/>
        <w:spacing w:before="0" w:line="240" w:lineRule="atLeast"/>
        <w:ind w:left="0" w:firstLine="0"/>
        <w:rPr>
          <w:sz w:val="20"/>
          <w:lang w:val="en-US"/>
        </w:rPr>
      </w:pPr>
    </w:p>
    <w:p w:rsidR="00C034BE" w:rsidRPr="001D2B5D" w:rsidRDefault="00C034BE" w:rsidP="00C034BE">
      <w:pPr>
        <w:pStyle w:val="LetterStart"/>
        <w:tabs>
          <w:tab w:val="clear" w:pos="1361"/>
          <w:tab w:val="clear" w:pos="1758"/>
          <w:tab w:val="clear" w:pos="2155"/>
          <w:tab w:val="clear" w:pos="2552"/>
          <w:tab w:val="center" w:pos="4962"/>
        </w:tabs>
        <w:spacing w:before="120" w:line="240" w:lineRule="atLeast"/>
        <w:ind w:left="0"/>
        <w:rPr>
          <w:rFonts w:eastAsia="MS Mincho"/>
          <w:lang w:val="en-US" w:eastAsia="ja-JP"/>
        </w:rPr>
      </w:pPr>
    </w:p>
    <w:p w:rsidR="00401C20" w:rsidRPr="00303D62" w:rsidRDefault="00401C20" w:rsidP="00C34772">
      <w:pPr>
        <w:rPr>
          <w:lang w:val="en-US"/>
        </w:rPr>
      </w:pPr>
    </w:p>
    <w:sectPr w:rsidR="00401C20" w:rsidRPr="00303D62" w:rsidSect="003C4DD0">
      <w:type w:val="oddPage"/>
      <w:pgSz w:w="11907" w:h="16840" w:code="9"/>
      <w:pgMar w:top="1134" w:right="1134" w:bottom="1134" w:left="1134" w:header="567" w:footer="567" w:gutter="0"/>
      <w:paperSrc w:first="261" w:other="26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DD0" w:rsidRDefault="003C4DD0">
      <w:r>
        <w:separator/>
      </w:r>
    </w:p>
  </w:endnote>
  <w:endnote w:type="continuationSeparator" w:id="0">
    <w:p w:rsidR="003C4DD0" w:rsidRDefault="003C4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Malgun Gothic">
    <w:altName w:val="Dotum"/>
    <w:charset w:val="81"/>
    <w:family w:val="swiss"/>
    <w:pitch w:val="variable"/>
    <w:sig w:usb0="00000000"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D9" w:rsidRDefault="003124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DD0" w:rsidRPr="003124D9" w:rsidRDefault="003124D9" w:rsidP="003124D9">
    <w:pPr>
      <w:pStyle w:val="Footer"/>
      <w:rPr>
        <w:szCs w:val="16"/>
      </w:rPr>
    </w:pPr>
    <w:r w:rsidRPr="00C909C4">
      <w:rPr>
        <w:sz w:val="16"/>
        <w:szCs w:val="16"/>
        <w:lang w:val="fr-FR"/>
      </w:rPr>
      <w:t>ITU-T\BUREAU\CIRC\</w:t>
    </w:r>
    <w:r>
      <w:rPr>
        <w:sz w:val="16"/>
        <w:szCs w:val="16"/>
        <w:lang w:val="fr-FR"/>
      </w:rPr>
      <w:t>191S</w:t>
    </w:r>
    <w:r w:rsidRPr="00C909C4">
      <w:rPr>
        <w:sz w:val="16"/>
        <w:szCs w:val="16"/>
        <w:lang w:val="fr-FR"/>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1985"/>
      <w:gridCol w:w="3119"/>
      <w:gridCol w:w="2374"/>
      <w:gridCol w:w="2304"/>
    </w:tblGrid>
    <w:tr w:rsidR="003C4DD0" w:rsidRPr="003D673B">
      <w:tc>
        <w:tcPr>
          <w:tcW w:w="1985" w:type="dxa"/>
          <w:tcBorders>
            <w:top w:val="single" w:sz="6" w:space="0" w:color="auto"/>
            <w:left w:val="nil"/>
            <w:bottom w:val="nil"/>
            <w:right w:val="nil"/>
          </w:tcBorders>
        </w:tcPr>
        <w:p w:rsidR="003C4DD0" w:rsidRDefault="003C4DD0">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3C4DD0" w:rsidRDefault="003C4DD0">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3C4DD0" w:rsidRDefault="003C4DD0">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3C4DD0" w:rsidRDefault="003C4DD0"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3C4DD0">
      <w:tc>
        <w:tcPr>
          <w:tcW w:w="1985" w:type="dxa"/>
        </w:tcPr>
        <w:p w:rsidR="003C4DD0" w:rsidRDefault="003C4DD0">
          <w:pPr>
            <w:pStyle w:val="FirstFooter"/>
            <w:rPr>
              <w:rFonts w:ascii="Futura Lt BT" w:hAnsi="Futura Lt BT"/>
            </w:rPr>
          </w:pPr>
          <w:r>
            <w:rPr>
              <w:rFonts w:ascii="Futura Lt BT" w:hAnsi="Futura Lt BT"/>
            </w:rPr>
            <w:t>CH-1211 Ginebra 20</w:t>
          </w:r>
        </w:p>
      </w:tc>
      <w:tc>
        <w:tcPr>
          <w:tcW w:w="3119" w:type="dxa"/>
        </w:tcPr>
        <w:p w:rsidR="003C4DD0" w:rsidRDefault="003C4DD0">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3C4DD0" w:rsidRDefault="003C4DD0">
          <w:pPr>
            <w:pStyle w:val="FirstFooter"/>
            <w:rPr>
              <w:rFonts w:ascii="Futura Lt BT" w:hAnsi="Futura Lt BT"/>
            </w:rPr>
          </w:pPr>
          <w:r>
            <w:rPr>
              <w:rFonts w:ascii="Futura Lt BT" w:hAnsi="Futura Lt BT"/>
            </w:rPr>
            <w:t>Telegrama ITU GENEVE</w:t>
          </w:r>
        </w:p>
      </w:tc>
      <w:tc>
        <w:tcPr>
          <w:tcW w:w="2304" w:type="dxa"/>
        </w:tcPr>
        <w:p w:rsidR="003C4DD0" w:rsidRDefault="003C4DD0" w:rsidP="008505BD">
          <w:pPr>
            <w:pStyle w:val="FirstFooter"/>
            <w:tabs>
              <w:tab w:val="right" w:pos="1956"/>
            </w:tabs>
            <w:ind w:right="70"/>
            <w:rPr>
              <w:rFonts w:ascii="Futura Lt BT" w:hAnsi="Futura Lt BT"/>
            </w:rPr>
          </w:pPr>
          <w:r>
            <w:rPr>
              <w:rFonts w:ascii="Futura Lt BT" w:hAnsi="Futura Lt BT"/>
            </w:rPr>
            <w:tab/>
            <w:t>www.itu.int</w:t>
          </w:r>
        </w:p>
      </w:tc>
    </w:tr>
    <w:tr w:rsidR="003C4DD0">
      <w:tc>
        <w:tcPr>
          <w:tcW w:w="1985" w:type="dxa"/>
        </w:tcPr>
        <w:p w:rsidR="003C4DD0" w:rsidRDefault="003C4DD0">
          <w:pPr>
            <w:pStyle w:val="FirstFooter"/>
            <w:rPr>
              <w:rFonts w:ascii="Futura Lt BT" w:hAnsi="Futura Lt BT"/>
            </w:rPr>
          </w:pPr>
          <w:r>
            <w:rPr>
              <w:rFonts w:ascii="Futura Lt BT" w:hAnsi="Futura Lt BT"/>
            </w:rPr>
            <w:t>Suiza</w:t>
          </w:r>
        </w:p>
      </w:tc>
      <w:tc>
        <w:tcPr>
          <w:tcW w:w="3119" w:type="dxa"/>
        </w:tcPr>
        <w:p w:rsidR="003C4DD0" w:rsidRDefault="003C4DD0">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3C4DD0" w:rsidRDefault="003C4DD0">
          <w:pPr>
            <w:pStyle w:val="FirstFooter"/>
            <w:rPr>
              <w:rFonts w:ascii="Futura Lt BT" w:hAnsi="Futura Lt BT"/>
            </w:rPr>
          </w:pPr>
        </w:p>
      </w:tc>
      <w:tc>
        <w:tcPr>
          <w:tcW w:w="2304" w:type="dxa"/>
        </w:tcPr>
        <w:p w:rsidR="003C4DD0" w:rsidRDefault="003C4DD0">
          <w:pPr>
            <w:pStyle w:val="FirstFooter"/>
            <w:rPr>
              <w:rFonts w:ascii="Futura Lt BT" w:hAnsi="Futura Lt BT"/>
            </w:rPr>
          </w:pPr>
        </w:p>
      </w:tc>
    </w:tr>
  </w:tbl>
  <w:p w:rsidR="003C4DD0" w:rsidRDefault="003C4DD0" w:rsidP="008505BD">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DD0" w:rsidRDefault="003C4DD0">
      <w:r>
        <w:t>____________________</w:t>
      </w:r>
    </w:p>
  </w:footnote>
  <w:footnote w:type="continuationSeparator" w:id="0">
    <w:p w:rsidR="003C4DD0" w:rsidRDefault="003C4D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D9" w:rsidRDefault="003124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DD0" w:rsidRPr="00303D62" w:rsidRDefault="003C4DD0">
    <w:pPr>
      <w:pStyle w:val="Header"/>
      <w:rPr>
        <w:sz w:val="18"/>
        <w:szCs w:val="18"/>
      </w:rPr>
    </w:pPr>
    <w:r w:rsidRPr="00303D62">
      <w:rPr>
        <w:sz w:val="18"/>
        <w:szCs w:val="18"/>
      </w:rPr>
      <w:t xml:space="preserve">- </w:t>
    </w:r>
    <w:r w:rsidR="00E37E79" w:rsidRPr="00303D62">
      <w:rPr>
        <w:rStyle w:val="PageNumber"/>
        <w:sz w:val="18"/>
        <w:szCs w:val="18"/>
      </w:rPr>
      <w:fldChar w:fldCharType="begin"/>
    </w:r>
    <w:r w:rsidRPr="00303D62">
      <w:rPr>
        <w:rStyle w:val="PageNumber"/>
        <w:sz w:val="18"/>
        <w:szCs w:val="18"/>
      </w:rPr>
      <w:instrText xml:space="preserve"> PAGE </w:instrText>
    </w:r>
    <w:r w:rsidR="00E37E79" w:rsidRPr="00303D62">
      <w:rPr>
        <w:rStyle w:val="PageNumber"/>
        <w:sz w:val="18"/>
        <w:szCs w:val="18"/>
      </w:rPr>
      <w:fldChar w:fldCharType="separate"/>
    </w:r>
    <w:r w:rsidR="00E26E48">
      <w:rPr>
        <w:rStyle w:val="PageNumber"/>
        <w:noProof/>
        <w:sz w:val="18"/>
        <w:szCs w:val="18"/>
      </w:rPr>
      <w:t>9</w:t>
    </w:r>
    <w:r w:rsidR="00E37E79" w:rsidRPr="00303D62">
      <w:rPr>
        <w:rStyle w:val="PageNumber"/>
        <w:sz w:val="18"/>
        <w:szCs w:val="18"/>
      </w:rPr>
      <w:fldChar w:fldCharType="end"/>
    </w:r>
    <w:r w:rsidRPr="00303D62">
      <w:rPr>
        <w:rStyle w:val="PageNumber"/>
        <w:sz w:val="18"/>
        <w:szCs w:val="1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D9" w:rsidRDefault="003124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7270"/>
    <w:multiLevelType w:val="hybridMultilevel"/>
    <w:tmpl w:val="2216076C"/>
    <w:lvl w:ilvl="0" w:tplc="F6247C0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3AC01E23"/>
    <w:multiLevelType w:val="hybridMultilevel"/>
    <w:tmpl w:val="CBC01762"/>
    <w:lvl w:ilvl="0" w:tplc="F6247C0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4EC068FA"/>
    <w:multiLevelType w:val="hybridMultilevel"/>
    <w:tmpl w:val="2B42EA20"/>
    <w:lvl w:ilvl="0" w:tplc="F6247C0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B7241C"/>
    <w:multiLevelType w:val="hybridMultilevel"/>
    <w:tmpl w:val="0EAADF0A"/>
    <w:lvl w:ilvl="0" w:tplc="B38C81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6"/>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
  <w:rsids>
    <w:rsidRoot w:val="00C33E2D"/>
    <w:rsid w:val="00002529"/>
    <w:rsid w:val="000C382F"/>
    <w:rsid w:val="001173CC"/>
    <w:rsid w:val="001A54CC"/>
    <w:rsid w:val="00257FB4"/>
    <w:rsid w:val="002B79FC"/>
    <w:rsid w:val="00303D62"/>
    <w:rsid w:val="003124D9"/>
    <w:rsid w:val="00335367"/>
    <w:rsid w:val="00370C2D"/>
    <w:rsid w:val="003C4DD0"/>
    <w:rsid w:val="003D1E8D"/>
    <w:rsid w:val="003D673B"/>
    <w:rsid w:val="003F2855"/>
    <w:rsid w:val="00401C20"/>
    <w:rsid w:val="004C4144"/>
    <w:rsid w:val="004C5E15"/>
    <w:rsid w:val="006969B4"/>
    <w:rsid w:val="00716588"/>
    <w:rsid w:val="007501AF"/>
    <w:rsid w:val="00781E2A"/>
    <w:rsid w:val="008258C2"/>
    <w:rsid w:val="008505BD"/>
    <w:rsid w:val="00850C78"/>
    <w:rsid w:val="00857B7C"/>
    <w:rsid w:val="008C17AD"/>
    <w:rsid w:val="008D02CD"/>
    <w:rsid w:val="00906F98"/>
    <w:rsid w:val="0095172A"/>
    <w:rsid w:val="009A0BA0"/>
    <w:rsid w:val="009C09A0"/>
    <w:rsid w:val="00A54E47"/>
    <w:rsid w:val="00AE7093"/>
    <w:rsid w:val="00B422BC"/>
    <w:rsid w:val="00B43F77"/>
    <w:rsid w:val="00B55A3E"/>
    <w:rsid w:val="00B95F0A"/>
    <w:rsid w:val="00B96180"/>
    <w:rsid w:val="00C034BE"/>
    <w:rsid w:val="00C17AC0"/>
    <w:rsid w:val="00C33E2D"/>
    <w:rsid w:val="00C34772"/>
    <w:rsid w:val="00C5465A"/>
    <w:rsid w:val="00D54642"/>
    <w:rsid w:val="00DD77C9"/>
    <w:rsid w:val="00E26E48"/>
    <w:rsid w:val="00E37E79"/>
    <w:rsid w:val="00E839B0"/>
    <w:rsid w:val="00E92C09"/>
    <w:rsid w:val="00F6461F"/>
    <w:rsid w:val="00FD2B2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E1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C5E1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4C5E15"/>
    <w:pPr>
      <w:spacing w:before="320"/>
      <w:outlineLvl w:val="1"/>
    </w:pPr>
  </w:style>
  <w:style w:type="paragraph" w:styleId="Heading3">
    <w:name w:val="heading 3"/>
    <w:basedOn w:val="Heading1"/>
    <w:next w:val="Normal"/>
    <w:qFormat/>
    <w:rsid w:val="004C5E15"/>
    <w:pPr>
      <w:spacing w:before="200"/>
      <w:outlineLvl w:val="2"/>
    </w:pPr>
  </w:style>
  <w:style w:type="paragraph" w:styleId="Heading4">
    <w:name w:val="heading 4"/>
    <w:basedOn w:val="Heading3"/>
    <w:next w:val="Normal"/>
    <w:qFormat/>
    <w:rsid w:val="004C5E15"/>
    <w:pPr>
      <w:tabs>
        <w:tab w:val="clear" w:pos="794"/>
        <w:tab w:val="left" w:pos="1191"/>
      </w:tabs>
      <w:ind w:left="993" w:hanging="993"/>
      <w:outlineLvl w:val="3"/>
    </w:pPr>
  </w:style>
  <w:style w:type="paragraph" w:styleId="Heading5">
    <w:name w:val="heading 5"/>
    <w:basedOn w:val="Heading3"/>
    <w:next w:val="Normal"/>
    <w:qFormat/>
    <w:rsid w:val="004C5E15"/>
    <w:pPr>
      <w:tabs>
        <w:tab w:val="clear" w:pos="794"/>
        <w:tab w:val="left" w:pos="1191"/>
      </w:tabs>
      <w:outlineLvl w:val="4"/>
    </w:pPr>
  </w:style>
  <w:style w:type="paragraph" w:styleId="Heading6">
    <w:name w:val="heading 6"/>
    <w:basedOn w:val="Heading3"/>
    <w:next w:val="Normal"/>
    <w:qFormat/>
    <w:rsid w:val="004C5E15"/>
    <w:pPr>
      <w:tabs>
        <w:tab w:val="clear" w:pos="794"/>
        <w:tab w:val="left" w:pos="1191"/>
      </w:tabs>
      <w:outlineLvl w:val="5"/>
    </w:pPr>
  </w:style>
  <w:style w:type="paragraph" w:styleId="Heading7">
    <w:name w:val="heading 7"/>
    <w:basedOn w:val="Heading3"/>
    <w:next w:val="Normal"/>
    <w:qFormat/>
    <w:rsid w:val="004C5E15"/>
    <w:pPr>
      <w:tabs>
        <w:tab w:val="clear" w:pos="794"/>
        <w:tab w:val="left" w:pos="1191"/>
      </w:tabs>
      <w:outlineLvl w:val="6"/>
    </w:pPr>
  </w:style>
  <w:style w:type="paragraph" w:styleId="Heading8">
    <w:name w:val="heading 8"/>
    <w:basedOn w:val="Heading3"/>
    <w:next w:val="Normal"/>
    <w:qFormat/>
    <w:rsid w:val="004C5E15"/>
    <w:pPr>
      <w:tabs>
        <w:tab w:val="clear" w:pos="794"/>
        <w:tab w:val="left" w:pos="1191"/>
      </w:tabs>
      <w:outlineLvl w:val="7"/>
    </w:pPr>
  </w:style>
  <w:style w:type="paragraph" w:styleId="Heading9">
    <w:name w:val="heading 9"/>
    <w:basedOn w:val="Heading3"/>
    <w:next w:val="Normal"/>
    <w:qFormat/>
    <w:rsid w:val="004C5E1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4C5E15"/>
    <w:rPr>
      <w:vertAlign w:val="superscript"/>
    </w:rPr>
  </w:style>
  <w:style w:type="paragraph" w:styleId="TOC8">
    <w:name w:val="toc 8"/>
    <w:basedOn w:val="TOC3"/>
    <w:rsid w:val="004C5E15"/>
  </w:style>
  <w:style w:type="paragraph" w:styleId="TOC7">
    <w:name w:val="toc 7"/>
    <w:basedOn w:val="TOC3"/>
    <w:rsid w:val="004C5E15"/>
  </w:style>
  <w:style w:type="paragraph" w:styleId="TOC6">
    <w:name w:val="toc 6"/>
    <w:basedOn w:val="TOC3"/>
    <w:rsid w:val="004C5E15"/>
  </w:style>
  <w:style w:type="paragraph" w:styleId="TOC5">
    <w:name w:val="toc 5"/>
    <w:basedOn w:val="TOC3"/>
    <w:rsid w:val="004C5E15"/>
  </w:style>
  <w:style w:type="paragraph" w:styleId="TOC4">
    <w:name w:val="toc 4"/>
    <w:basedOn w:val="TOC3"/>
    <w:rsid w:val="004C5E15"/>
  </w:style>
  <w:style w:type="paragraph" w:styleId="TOC3">
    <w:name w:val="toc 3"/>
    <w:basedOn w:val="TOC2"/>
    <w:rsid w:val="004C5E15"/>
    <w:pPr>
      <w:spacing w:before="80"/>
    </w:pPr>
  </w:style>
  <w:style w:type="paragraph" w:styleId="TOC2">
    <w:name w:val="toc 2"/>
    <w:basedOn w:val="TOC1"/>
    <w:rsid w:val="004C5E15"/>
    <w:pPr>
      <w:spacing w:before="120"/>
    </w:pPr>
  </w:style>
  <w:style w:type="paragraph" w:styleId="TOC1">
    <w:name w:val="toc 1"/>
    <w:basedOn w:val="Normal"/>
    <w:rsid w:val="004C5E15"/>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4C5E15"/>
    <w:pPr>
      <w:ind w:left="1698"/>
    </w:pPr>
  </w:style>
  <w:style w:type="paragraph" w:styleId="Index6">
    <w:name w:val="index 6"/>
    <w:basedOn w:val="Normal"/>
    <w:next w:val="Normal"/>
    <w:semiHidden/>
    <w:rsid w:val="004C5E15"/>
    <w:pPr>
      <w:ind w:left="1415"/>
    </w:pPr>
  </w:style>
  <w:style w:type="paragraph" w:styleId="Index5">
    <w:name w:val="index 5"/>
    <w:basedOn w:val="Normal"/>
    <w:next w:val="Normal"/>
    <w:semiHidden/>
    <w:rsid w:val="004C5E15"/>
    <w:pPr>
      <w:ind w:left="1132"/>
    </w:pPr>
  </w:style>
  <w:style w:type="paragraph" w:styleId="Index4">
    <w:name w:val="index 4"/>
    <w:basedOn w:val="Normal"/>
    <w:next w:val="Normal"/>
    <w:semiHidden/>
    <w:rsid w:val="004C5E15"/>
    <w:pPr>
      <w:ind w:left="849"/>
    </w:pPr>
  </w:style>
  <w:style w:type="paragraph" w:styleId="Index3">
    <w:name w:val="index 3"/>
    <w:basedOn w:val="Normal"/>
    <w:next w:val="Normal"/>
    <w:rsid w:val="004C5E15"/>
    <w:pPr>
      <w:ind w:left="566"/>
    </w:pPr>
  </w:style>
  <w:style w:type="paragraph" w:styleId="Index2">
    <w:name w:val="index 2"/>
    <w:basedOn w:val="Normal"/>
    <w:next w:val="Normal"/>
    <w:rsid w:val="004C5E15"/>
    <w:pPr>
      <w:ind w:left="283"/>
    </w:pPr>
  </w:style>
  <w:style w:type="paragraph" w:styleId="Index1">
    <w:name w:val="index 1"/>
    <w:basedOn w:val="Normal"/>
    <w:next w:val="Normal"/>
    <w:rsid w:val="004C5E15"/>
  </w:style>
  <w:style w:type="character" w:styleId="LineNumber">
    <w:name w:val="line number"/>
    <w:basedOn w:val="DefaultParagraphFont"/>
    <w:rsid w:val="004C5E15"/>
  </w:style>
  <w:style w:type="paragraph" w:styleId="IndexHeading">
    <w:name w:val="index heading"/>
    <w:basedOn w:val="Normal"/>
    <w:next w:val="Index1"/>
    <w:semiHidden/>
    <w:rsid w:val="004C5E15"/>
  </w:style>
  <w:style w:type="paragraph" w:styleId="Footer">
    <w:name w:val="footer"/>
    <w:basedOn w:val="Normal"/>
    <w:link w:val="FooterChar"/>
    <w:rsid w:val="004C5E15"/>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4C5E15"/>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sid w:val="004C5E15"/>
    <w:rPr>
      <w:position w:val="6"/>
      <w:sz w:val="16"/>
    </w:rPr>
  </w:style>
  <w:style w:type="paragraph" w:styleId="FootnoteText">
    <w:name w:val="footnote text"/>
    <w:basedOn w:val="Normal"/>
    <w:rsid w:val="004C5E15"/>
    <w:pPr>
      <w:keepLines/>
      <w:tabs>
        <w:tab w:val="left" w:pos="256"/>
      </w:tabs>
      <w:ind w:left="256" w:hanging="256"/>
    </w:pPr>
  </w:style>
  <w:style w:type="paragraph" w:styleId="NormalIndent">
    <w:name w:val="Normal Indent"/>
    <w:basedOn w:val="Normal"/>
    <w:rsid w:val="004C5E15"/>
    <w:pPr>
      <w:ind w:left="794"/>
    </w:pPr>
  </w:style>
  <w:style w:type="paragraph" w:customStyle="1" w:styleId="TableLegend">
    <w:name w:val="Table_Legend"/>
    <w:basedOn w:val="TableText"/>
    <w:rsid w:val="004C5E15"/>
    <w:pPr>
      <w:spacing w:before="120"/>
    </w:pPr>
  </w:style>
  <w:style w:type="paragraph" w:customStyle="1" w:styleId="TableText">
    <w:name w:val="Table_Text"/>
    <w:basedOn w:val="Normal"/>
    <w:rsid w:val="004C5E1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4C5E15"/>
    <w:pPr>
      <w:keepLines/>
      <w:spacing w:before="0"/>
    </w:pPr>
    <w:rPr>
      <w:b/>
      <w:caps w:val="0"/>
    </w:rPr>
  </w:style>
  <w:style w:type="paragraph" w:customStyle="1" w:styleId="Table">
    <w:name w:val="Table_#"/>
    <w:basedOn w:val="Normal"/>
    <w:next w:val="TableTitle"/>
    <w:rsid w:val="004C5E15"/>
    <w:pPr>
      <w:keepNext/>
      <w:spacing w:before="560" w:after="120"/>
      <w:jc w:val="center"/>
    </w:pPr>
    <w:rPr>
      <w:caps/>
    </w:rPr>
  </w:style>
  <w:style w:type="paragraph" w:customStyle="1" w:styleId="enumlev1">
    <w:name w:val="enumlev1"/>
    <w:basedOn w:val="Normal"/>
    <w:rsid w:val="004C5E15"/>
    <w:pPr>
      <w:spacing w:before="80"/>
      <w:ind w:left="794" w:hanging="794"/>
    </w:pPr>
  </w:style>
  <w:style w:type="paragraph" w:customStyle="1" w:styleId="enumlev2">
    <w:name w:val="enumlev2"/>
    <w:basedOn w:val="enumlev1"/>
    <w:rsid w:val="004C5E15"/>
    <w:pPr>
      <w:ind w:left="1191" w:hanging="397"/>
    </w:pPr>
  </w:style>
  <w:style w:type="paragraph" w:customStyle="1" w:styleId="enumlev3">
    <w:name w:val="enumlev3"/>
    <w:basedOn w:val="enumlev2"/>
    <w:rsid w:val="004C5E15"/>
    <w:pPr>
      <w:ind w:left="1588"/>
    </w:pPr>
  </w:style>
  <w:style w:type="paragraph" w:customStyle="1" w:styleId="TableHead">
    <w:name w:val="Table_Head"/>
    <w:basedOn w:val="TableText"/>
    <w:rsid w:val="004C5E15"/>
    <w:pPr>
      <w:keepNext/>
      <w:spacing w:before="80" w:after="80"/>
      <w:jc w:val="center"/>
    </w:pPr>
    <w:rPr>
      <w:b/>
    </w:rPr>
  </w:style>
  <w:style w:type="paragraph" w:customStyle="1" w:styleId="FigureLegend">
    <w:name w:val="Figure_Legend"/>
    <w:basedOn w:val="Normal"/>
    <w:rsid w:val="004C5E1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C5E15"/>
    <w:pPr>
      <w:spacing w:before="480"/>
    </w:pPr>
  </w:style>
  <w:style w:type="paragraph" w:customStyle="1" w:styleId="FigureTitle">
    <w:name w:val="Figure_Title"/>
    <w:basedOn w:val="TableTitle"/>
    <w:next w:val="Normal"/>
    <w:rsid w:val="004C5E15"/>
    <w:pPr>
      <w:keepNext w:val="0"/>
      <w:spacing w:after="480"/>
    </w:pPr>
  </w:style>
  <w:style w:type="paragraph" w:customStyle="1" w:styleId="Annex">
    <w:name w:val="Annex_#"/>
    <w:basedOn w:val="Normal"/>
    <w:next w:val="AnnexRef"/>
    <w:rsid w:val="004C5E15"/>
    <w:pPr>
      <w:keepNext/>
      <w:keepLines/>
      <w:spacing w:before="480" w:after="80"/>
      <w:jc w:val="center"/>
    </w:pPr>
    <w:rPr>
      <w:caps/>
    </w:rPr>
  </w:style>
  <w:style w:type="paragraph" w:customStyle="1" w:styleId="AnnexRef">
    <w:name w:val="Annex_Ref"/>
    <w:basedOn w:val="Normal"/>
    <w:next w:val="AnnexTitle"/>
    <w:rsid w:val="004C5E15"/>
    <w:pPr>
      <w:keepNext/>
      <w:keepLines/>
      <w:jc w:val="center"/>
    </w:pPr>
  </w:style>
  <w:style w:type="paragraph" w:customStyle="1" w:styleId="AnnexTitle">
    <w:name w:val="Annex_Title"/>
    <w:basedOn w:val="Normal"/>
    <w:next w:val="Normal"/>
    <w:rsid w:val="004C5E15"/>
    <w:pPr>
      <w:keepNext/>
      <w:keepLines/>
      <w:spacing w:before="240" w:after="280"/>
      <w:jc w:val="center"/>
    </w:pPr>
    <w:rPr>
      <w:b/>
    </w:rPr>
  </w:style>
  <w:style w:type="paragraph" w:customStyle="1" w:styleId="Appendix">
    <w:name w:val="Appendix_#"/>
    <w:basedOn w:val="Annex"/>
    <w:next w:val="AppendixRef"/>
    <w:rsid w:val="004C5E15"/>
  </w:style>
  <w:style w:type="paragraph" w:customStyle="1" w:styleId="AppendixRef">
    <w:name w:val="Appendix_Ref"/>
    <w:basedOn w:val="AnnexRef"/>
    <w:next w:val="AppendixTitle"/>
    <w:rsid w:val="004C5E15"/>
  </w:style>
  <w:style w:type="paragraph" w:customStyle="1" w:styleId="AppendixTitle">
    <w:name w:val="Appendix_Title"/>
    <w:basedOn w:val="AnnexTitle"/>
    <w:next w:val="Normal"/>
    <w:rsid w:val="004C5E15"/>
  </w:style>
  <w:style w:type="paragraph" w:customStyle="1" w:styleId="RefTitle">
    <w:name w:val="Ref_Title"/>
    <w:basedOn w:val="Normal"/>
    <w:next w:val="RefText"/>
    <w:rsid w:val="004C5E15"/>
    <w:pPr>
      <w:spacing w:before="480"/>
      <w:jc w:val="center"/>
    </w:pPr>
    <w:rPr>
      <w:caps/>
    </w:rPr>
  </w:style>
  <w:style w:type="paragraph" w:customStyle="1" w:styleId="RefText">
    <w:name w:val="Ref_Text"/>
    <w:basedOn w:val="Normal"/>
    <w:rsid w:val="004C5E15"/>
    <w:pPr>
      <w:ind w:left="794" w:hanging="794"/>
    </w:pPr>
  </w:style>
  <w:style w:type="paragraph" w:customStyle="1" w:styleId="Equation">
    <w:name w:val="Equation"/>
    <w:basedOn w:val="Normal"/>
    <w:rsid w:val="004C5E15"/>
    <w:pPr>
      <w:tabs>
        <w:tab w:val="clear" w:pos="1191"/>
        <w:tab w:val="clear" w:pos="1588"/>
        <w:tab w:val="clear" w:pos="1985"/>
        <w:tab w:val="center" w:pos="4876"/>
        <w:tab w:val="right" w:pos="9752"/>
      </w:tabs>
    </w:pPr>
  </w:style>
  <w:style w:type="paragraph" w:customStyle="1" w:styleId="Head">
    <w:name w:val="Head"/>
    <w:basedOn w:val="Normal"/>
    <w:rsid w:val="004C5E1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C5E15"/>
    <w:pPr>
      <w:keepNext/>
      <w:keepLines/>
      <w:spacing w:before="240"/>
      <w:jc w:val="center"/>
    </w:pPr>
    <w:rPr>
      <w:b/>
      <w:caps/>
    </w:rPr>
  </w:style>
  <w:style w:type="paragraph" w:customStyle="1" w:styleId="Normalaftertitle">
    <w:name w:val="Normal after title"/>
    <w:basedOn w:val="Normal"/>
    <w:next w:val="Normal"/>
    <w:rsid w:val="004C5E15"/>
    <w:pPr>
      <w:spacing w:before="320"/>
    </w:pPr>
  </w:style>
  <w:style w:type="paragraph" w:customStyle="1" w:styleId="call">
    <w:name w:val="call"/>
    <w:basedOn w:val="Normal"/>
    <w:next w:val="Normal"/>
    <w:rsid w:val="004C5E15"/>
    <w:pPr>
      <w:keepNext/>
      <w:keepLines/>
      <w:spacing w:before="160"/>
      <w:ind w:left="794"/>
    </w:pPr>
    <w:rPr>
      <w:i/>
    </w:rPr>
  </w:style>
  <w:style w:type="paragraph" w:customStyle="1" w:styleId="Rec">
    <w:name w:val="Rec_#"/>
    <w:basedOn w:val="Normal"/>
    <w:next w:val="RecTitle"/>
    <w:rsid w:val="004C5E15"/>
    <w:pPr>
      <w:keepNext/>
      <w:keepLines/>
      <w:spacing w:before="480"/>
      <w:jc w:val="center"/>
    </w:pPr>
    <w:rPr>
      <w:caps/>
    </w:rPr>
  </w:style>
  <w:style w:type="paragraph" w:customStyle="1" w:styleId="toc0">
    <w:name w:val="toc 0"/>
    <w:basedOn w:val="Normal"/>
    <w:next w:val="TOC1"/>
    <w:rsid w:val="004C5E15"/>
    <w:pPr>
      <w:tabs>
        <w:tab w:val="clear" w:pos="794"/>
        <w:tab w:val="clear" w:pos="1191"/>
        <w:tab w:val="clear" w:pos="1588"/>
        <w:tab w:val="clear" w:pos="1985"/>
        <w:tab w:val="right" w:pos="9781"/>
      </w:tabs>
    </w:pPr>
    <w:rPr>
      <w:b/>
    </w:rPr>
  </w:style>
  <w:style w:type="paragraph" w:styleId="List">
    <w:name w:val="List"/>
    <w:basedOn w:val="Normal"/>
    <w:rsid w:val="004C5E1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C5E1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C5E1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C5E1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4C5E15"/>
    <w:pPr>
      <w:spacing w:before="160"/>
      <w:ind w:left="0" w:firstLine="0"/>
      <w:outlineLvl w:val="9"/>
    </w:pPr>
  </w:style>
  <w:style w:type="paragraph" w:customStyle="1" w:styleId="Keywords">
    <w:name w:val="Keywords"/>
    <w:basedOn w:val="Normal"/>
    <w:rsid w:val="004C5E15"/>
    <w:pPr>
      <w:tabs>
        <w:tab w:val="clear" w:pos="1191"/>
        <w:tab w:val="clear" w:pos="1588"/>
      </w:tabs>
      <w:ind w:left="794" w:hanging="794"/>
    </w:pPr>
  </w:style>
  <w:style w:type="paragraph" w:customStyle="1" w:styleId="ASN1">
    <w:name w:val="ASN.1"/>
    <w:basedOn w:val="Normal"/>
    <w:rsid w:val="004C5E1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C5E1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4C5E15"/>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4C5E15"/>
    <w:pPr>
      <w:tabs>
        <w:tab w:val="left" w:pos="7371"/>
      </w:tabs>
      <w:spacing w:after="560"/>
    </w:pPr>
  </w:style>
  <w:style w:type="paragraph" w:customStyle="1" w:styleId="BodyText">
    <w:name w:val="BodyText"/>
    <w:basedOn w:val="Normal"/>
    <w:rsid w:val="004C5E15"/>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4C5E15"/>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4C5E15"/>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4C5E15"/>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4C5E15"/>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4C5E15"/>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4C5E15"/>
    <w:rPr>
      <w:rFonts w:ascii="CG Times" w:hAnsi="CG Times"/>
      <w:sz w:val="20"/>
    </w:rPr>
  </w:style>
  <w:style w:type="paragraph" w:customStyle="1" w:styleId="ITUbureau">
    <w:name w:val="ITU_bureau"/>
    <w:basedOn w:val="Normal"/>
    <w:rsid w:val="004C5E15"/>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4C5E15"/>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4C5E15"/>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4C5E15"/>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4C5E15"/>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4C5E15"/>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4C5E15"/>
    <w:pPr>
      <w:tabs>
        <w:tab w:val="left" w:pos="1418"/>
        <w:tab w:val="left" w:pos="1985"/>
        <w:tab w:val="left" w:pos="2268"/>
      </w:tabs>
      <w:ind w:firstLine="1304"/>
    </w:pPr>
  </w:style>
  <w:style w:type="paragraph" w:customStyle="1" w:styleId="LetterEnd">
    <w:name w:val="Letter_End"/>
    <w:basedOn w:val="LetterText"/>
    <w:rsid w:val="004C5E15"/>
    <w:pPr>
      <w:tabs>
        <w:tab w:val="clear" w:pos="1418"/>
        <w:tab w:val="clear" w:pos="1985"/>
        <w:tab w:val="clear" w:pos="2268"/>
      </w:tabs>
      <w:ind w:firstLine="851"/>
    </w:pPr>
  </w:style>
  <w:style w:type="paragraph" w:customStyle="1" w:styleId="NormFoot">
    <w:name w:val="Norm_Foot"/>
    <w:basedOn w:val="Normal"/>
    <w:rsid w:val="004C5E15"/>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4C5E15"/>
  </w:style>
  <w:style w:type="paragraph" w:customStyle="1" w:styleId="listitem">
    <w:name w:val="listitem"/>
    <w:basedOn w:val="Normal"/>
    <w:rsid w:val="004C5E15"/>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4C5E15"/>
    <w:pPr>
      <w:spacing w:before="160"/>
      <w:ind w:left="0" w:firstLine="0"/>
      <w:outlineLvl w:val="9"/>
    </w:pPr>
    <w:rPr>
      <w:b w:val="0"/>
      <w:i/>
    </w:rPr>
  </w:style>
  <w:style w:type="paragraph" w:customStyle="1" w:styleId="Qlist">
    <w:name w:val="Qlist"/>
    <w:basedOn w:val="Normal"/>
    <w:rsid w:val="004C5E1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C5E15"/>
    <w:pPr>
      <w:tabs>
        <w:tab w:val="left" w:pos="397"/>
      </w:tabs>
    </w:pPr>
  </w:style>
  <w:style w:type="paragraph" w:customStyle="1" w:styleId="FirstFooter">
    <w:name w:val="FirstFooter"/>
    <w:basedOn w:val="Footer"/>
    <w:rsid w:val="004C5E15"/>
    <w:pPr>
      <w:tabs>
        <w:tab w:val="clear" w:pos="5954"/>
        <w:tab w:val="clear" w:pos="9639"/>
      </w:tabs>
    </w:pPr>
    <w:rPr>
      <w:caps w:val="0"/>
    </w:rPr>
  </w:style>
  <w:style w:type="paragraph" w:styleId="TOC9">
    <w:name w:val="toc 9"/>
    <w:basedOn w:val="TOC3"/>
    <w:semiHidden/>
    <w:rsid w:val="004C5E15"/>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uiPriority w:val="99"/>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uiPriority w:val="99"/>
    <w:rsid w:val="00C34772"/>
    <w:rPr>
      <w:rFonts w:ascii="Times New Roman" w:hAnsi="Times New Roman"/>
      <w:sz w:val="24"/>
      <w:lang w:val="es-ES_tradnl" w:eastAsia="en-US"/>
    </w:rPr>
  </w:style>
  <w:style w:type="paragraph" w:styleId="NormalWeb">
    <w:name w:val="Normal (Web)"/>
    <w:basedOn w:val="Normal"/>
    <w:uiPriority w:val="99"/>
    <w:rsid w:val="00C034B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Malgun Gothic" w:hAnsi="Verdana"/>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uiPriority w:val="99"/>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uiPriority w:val="99"/>
    <w:rsid w:val="00C34772"/>
    <w:rPr>
      <w:rFonts w:ascii="Times New Roman" w:hAnsi="Times New Roman"/>
      <w:sz w:val="24"/>
      <w:lang w:val="es-ES_tradnl" w:eastAsia="en-US"/>
    </w:rPr>
  </w:style>
  <w:style w:type="paragraph" w:styleId="NormalWeb">
    <w:name w:val="Normal (Web)"/>
    <w:basedOn w:val="Normal"/>
    <w:uiPriority w:val="99"/>
    <w:rsid w:val="00C034B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Malgun Gothic" w:hAnsi="Verdana"/>
      <w:sz w:val="18"/>
      <w:szCs w:val="18"/>
      <w:lang w:val="en-US" w:eastAsia="zh-CN"/>
    </w:rPr>
  </w:style>
</w:styles>
</file>

<file path=word/webSettings.xml><?xml version="1.0" encoding="utf-8"?>
<w:webSettings xmlns:r="http://schemas.openxmlformats.org/officeDocument/2006/relationships" xmlns:w="http://schemas.openxmlformats.org/wordprocessingml/2006/main">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fgava@itu.int" TargetMode="External"/><Relationship Id="rId18" Type="http://schemas.openxmlformats.org/officeDocument/2006/relationships/hyperlink" Target="mailto:tsbreg@itu.i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sbfgava@itu.int" TargetMode="External"/><Relationship Id="rId17" Type="http://schemas.openxmlformats.org/officeDocument/2006/relationships/hyperlink" Target="mailto:tsbfgava@itu.int"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itu.int/trave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reg/tsg/3000258"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eader" Target="header3.xml"/><Relationship Id="rId28" Type="http://schemas.microsoft.com/office/2007/relationships/stylesWithEffects" Target="stylesWithEffects.xml"/><Relationship Id="rId10" Type="http://schemas.openxmlformats.org/officeDocument/2006/relationships/hyperlink" Target="http://itu.int/en/ITU-T/focusgroups/av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fgava@itu.int" TargetMode="External"/><Relationship Id="rId14" Type="http://schemas.openxmlformats.org/officeDocument/2006/relationships/hyperlink" Target="http://ifa.itu.int/t/fg/ava/docs/1105-gva/in/"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A1E9C-3868-4608-8A4D-1300BE876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Template>
  <TotalTime>1</TotalTime>
  <Pages>9</Pages>
  <Words>2344</Words>
  <Characters>13862</Characters>
  <Application>Microsoft Office Word</Application>
  <DocSecurity>0</DocSecurity>
  <Lines>115</Lines>
  <Paragraphs>32</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UNIÓN INTERNACIONAL DE TELECOMUNICACIONES</vt:lpstr>
      <vt:lpstr>1	Objetivos</vt:lpstr>
      <vt:lpstr>2	Metas</vt:lpstr>
      <vt:lpstr>3	Relaciones dentro y fuera del UIT-T</vt:lpstr>
      <vt:lpstr>4	Resultados</vt:lpstr>
      <vt:lpstr>5	Comisión de Estudio rectora</vt:lpstr>
      <vt:lpstr>6	Dirección</vt:lpstr>
      <vt:lpstr>7	Participación</vt:lpstr>
      <vt:lpstr>8	Servicios administrativos</vt:lpstr>
      <vt:lpstr>9	Financiación general del Grupo Temático</vt:lpstr>
      <vt:lpstr>10	Reuniones</vt:lpstr>
      <vt:lpstr>11	Informes intermedios</vt:lpstr>
      <vt:lpstr>12	Anuncio de la formación del Grupo Temático</vt:lpstr>
      <vt:lpstr>13	Plazos y duración del Grupo Temático</vt:lpstr>
      <vt:lpstr>14	Política en materia de patentes</vt:lpstr>
    </vt:vector>
  </TitlesOfParts>
  <Company>ITU</Company>
  <LinksUpToDate>false</LinksUpToDate>
  <CharactersWithSpaces>16174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amiguez</dc:creator>
  <cp:keywords/>
  <dc:description/>
  <cp:lastModifiedBy>bettini</cp:lastModifiedBy>
  <cp:revision>2</cp:revision>
  <cp:lastPrinted>2011-05-11T10:02:00Z</cp:lastPrinted>
  <dcterms:created xsi:type="dcterms:W3CDTF">2011-06-03T12:23:00Z</dcterms:created>
  <dcterms:modified xsi:type="dcterms:W3CDTF">2011-06-03T12:23:00Z</dcterms:modified>
</cp:coreProperties>
</file>