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AA5543">
      <w:pPr>
        <w:tabs>
          <w:tab w:val="clear" w:pos="794"/>
          <w:tab w:val="clear" w:pos="1191"/>
          <w:tab w:val="clear" w:pos="1588"/>
          <w:tab w:val="clear" w:pos="1985"/>
          <w:tab w:val="left" w:pos="6480"/>
        </w:tabs>
        <w:rPr>
          <w:szCs w:val="24"/>
          <w:lang w:eastAsia="zh-CN"/>
        </w:rPr>
      </w:pPr>
      <w:r>
        <w:rPr>
          <w:sz w:val="23"/>
          <w:szCs w:val="23"/>
        </w:rPr>
        <w:tab/>
      </w:r>
      <w:r w:rsidR="003B7E3E">
        <w:rPr>
          <w:rFonts w:hint="eastAsia"/>
          <w:sz w:val="23"/>
          <w:szCs w:val="23"/>
          <w:lang w:eastAsia="zh-CN"/>
        </w:rPr>
        <w:t>2010</w:t>
      </w:r>
      <w:r w:rsidR="0033229B" w:rsidRPr="0033229B">
        <w:rPr>
          <w:rFonts w:hint="eastAsia"/>
          <w:szCs w:val="24"/>
          <w:lang w:eastAsia="zh-CN"/>
        </w:rPr>
        <w:t>年</w:t>
      </w:r>
      <w:r w:rsidR="006A736A">
        <w:rPr>
          <w:rFonts w:hint="eastAsia"/>
          <w:szCs w:val="24"/>
          <w:lang w:eastAsia="zh-CN"/>
        </w:rPr>
        <w:t xml:space="preserve"> </w:t>
      </w:r>
      <w:r w:rsidR="003B7E3E">
        <w:rPr>
          <w:rFonts w:hint="eastAsia"/>
          <w:szCs w:val="24"/>
          <w:lang w:eastAsia="zh-CN"/>
        </w:rPr>
        <w:t xml:space="preserve">5 </w:t>
      </w:r>
      <w:r w:rsidR="0033229B" w:rsidRPr="0033229B">
        <w:rPr>
          <w:rFonts w:hint="eastAsia"/>
          <w:szCs w:val="24"/>
          <w:lang w:eastAsia="zh-CN"/>
        </w:rPr>
        <w:t>月</w:t>
      </w:r>
      <w:r w:rsidR="006A736A">
        <w:rPr>
          <w:rFonts w:hint="eastAsia"/>
          <w:szCs w:val="24"/>
          <w:lang w:eastAsia="zh-CN"/>
        </w:rPr>
        <w:t xml:space="preserve"> </w:t>
      </w:r>
      <w:r w:rsidR="003B7E3E">
        <w:rPr>
          <w:rFonts w:hint="eastAsia"/>
          <w:szCs w:val="24"/>
          <w:lang w:eastAsia="zh-CN"/>
        </w:rPr>
        <w:t xml:space="preserve">25 </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E1779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44590C">
            <w:pPr>
              <w:tabs>
                <w:tab w:val="left" w:pos="4111"/>
              </w:tabs>
              <w:spacing w:before="0"/>
              <w:ind w:left="57"/>
              <w:rPr>
                <w:b/>
                <w:lang w:eastAsia="zh-CN"/>
              </w:rPr>
            </w:pPr>
            <w:r>
              <w:rPr>
                <w:rFonts w:ascii="Futura Lt BT" w:hAnsi="Futura Lt BT" w:hint="eastAsia"/>
                <w:b/>
                <w:bCs/>
                <w:iCs/>
                <w:lang w:eastAsia="zh-CN"/>
              </w:rPr>
              <w:t>电信标准化局第</w:t>
            </w:r>
            <w:r w:rsidR="00466AAA">
              <w:rPr>
                <w:rFonts w:hint="eastAsia"/>
                <w:b/>
                <w:lang w:eastAsia="zh-CN"/>
              </w:rPr>
              <w:t>11</w:t>
            </w:r>
            <w:r w:rsidR="0044590C">
              <w:rPr>
                <w:rFonts w:hint="eastAsia"/>
                <w:b/>
                <w:lang w:eastAsia="zh-CN"/>
              </w:rPr>
              <w:t>4</w:t>
            </w:r>
            <w:r>
              <w:rPr>
                <w:rFonts w:ascii="Futura Lt BT" w:hAnsi="Futura Lt BT" w:hint="eastAsia"/>
                <w:b/>
                <w:bCs/>
                <w:iCs/>
                <w:lang w:val="fr-CH" w:eastAsia="zh-CN"/>
              </w:rPr>
              <w:t>号</w:t>
            </w:r>
            <w:r>
              <w:rPr>
                <w:rFonts w:hint="eastAsia"/>
                <w:b/>
                <w:lang w:eastAsia="zh-CN"/>
              </w:rPr>
              <w:t>通函</w:t>
            </w:r>
          </w:p>
          <w:p w:rsidR="00E1779A" w:rsidRDefault="00466AAA" w:rsidP="0044590C">
            <w:pPr>
              <w:tabs>
                <w:tab w:val="left" w:pos="4111"/>
              </w:tabs>
              <w:spacing w:before="0"/>
              <w:ind w:left="57"/>
              <w:rPr>
                <w:bCs/>
                <w:lang w:eastAsia="zh-CN"/>
              </w:rPr>
            </w:pPr>
            <w:r>
              <w:rPr>
                <w:rFonts w:hint="eastAsia"/>
                <w:bCs/>
                <w:lang w:eastAsia="zh-CN"/>
              </w:rPr>
              <w:t xml:space="preserve">FG </w:t>
            </w:r>
            <w:r w:rsidR="0044590C">
              <w:rPr>
                <w:rFonts w:hint="eastAsia"/>
                <w:bCs/>
                <w:lang w:eastAsia="zh-CN"/>
              </w:rPr>
              <w:t>Cloud</w:t>
            </w:r>
            <w:r w:rsidR="00E1779A">
              <w:rPr>
                <w:rFonts w:hint="eastAsia"/>
                <w:bCs/>
                <w:lang w:eastAsia="zh-CN"/>
              </w:rPr>
              <w:t>/</w:t>
            </w:r>
            <w:r w:rsidR="0044590C">
              <w:rPr>
                <w:rFonts w:hint="eastAsia"/>
                <w:bCs/>
                <w:lang w:eastAsia="zh-CN"/>
              </w:rPr>
              <w:t>BGS</w:t>
            </w:r>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44590C">
              <w:rPr>
                <w:rFonts w:hint="eastAsia"/>
                <w:lang w:eastAsia="zh-CN"/>
              </w:rPr>
              <w:t>5994</w:t>
            </w:r>
            <w:r>
              <w:rPr>
                <w:lang w:eastAsia="zh-CN"/>
              </w:rPr>
              <w:br/>
              <w:t>+41 22 730 5853</w:t>
            </w:r>
          </w:p>
          <w:p w:rsidR="00E1779A" w:rsidRDefault="00E1779A" w:rsidP="002A1603">
            <w:pPr>
              <w:tabs>
                <w:tab w:val="left" w:pos="4111"/>
              </w:tabs>
              <w:spacing w:before="0"/>
              <w:ind w:left="57"/>
              <w:rPr>
                <w:b/>
                <w:lang w:eastAsia="zh-CN"/>
              </w:rPr>
            </w:pPr>
          </w:p>
        </w:tc>
        <w:tc>
          <w:tcPr>
            <w:tcW w:w="4536"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F071F6" w:rsidP="001579CD">
            <w:pPr>
              <w:tabs>
                <w:tab w:val="left" w:pos="4111"/>
              </w:tabs>
              <w:spacing w:before="240"/>
              <w:ind w:left="57"/>
              <w:rPr>
                <w:lang w:eastAsia="zh-CN"/>
              </w:rPr>
            </w:pPr>
            <w:hyperlink r:id="rId9" w:history="1">
              <w:r w:rsidR="0044590C" w:rsidRPr="00243D13">
                <w:rPr>
                  <w:rStyle w:val="Hyperlink"/>
                </w:rPr>
                <w:t>tsb</w:t>
              </w:r>
              <w:r w:rsidR="0044590C" w:rsidRPr="00243D13">
                <w:rPr>
                  <w:rStyle w:val="Hyperlink"/>
                  <w:rFonts w:hint="eastAsia"/>
                  <w:lang w:eastAsia="zh-CN"/>
                </w:rPr>
                <w:t>fgcloud</w:t>
              </w:r>
              <w:r w:rsidR="0044590C" w:rsidRPr="00243D13">
                <w:rPr>
                  <w:rStyle w:val="Hyperlink"/>
                </w:rPr>
                <w:t>@itu.int</w:t>
              </w:r>
            </w:hyperlink>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E1779A">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466AAA">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1779A" w:rsidRDefault="00E1779A" w:rsidP="002A1603">
            <w:pPr>
              <w:tabs>
                <w:tab w:val="clear" w:pos="794"/>
                <w:tab w:val="left" w:pos="141"/>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E1779A" w:rsidRDefault="00466AAA" w:rsidP="0044590C">
            <w:pPr>
              <w:tabs>
                <w:tab w:val="left" w:pos="4111"/>
              </w:tabs>
              <w:spacing w:before="0"/>
              <w:ind w:left="57" w:right="28"/>
              <w:rPr>
                <w:b/>
                <w:lang w:eastAsia="zh-CN"/>
              </w:rPr>
            </w:pPr>
            <w:r>
              <w:rPr>
                <w:rFonts w:hint="eastAsia"/>
                <w:b/>
                <w:lang w:eastAsia="zh-CN"/>
              </w:rPr>
              <w:t>建立一个</w:t>
            </w:r>
            <w:r w:rsidR="0044590C">
              <w:rPr>
                <w:rFonts w:hint="eastAsia"/>
                <w:b/>
                <w:lang w:eastAsia="zh-CN"/>
              </w:rPr>
              <w:t>有关云计算的新</w:t>
            </w:r>
            <w:r>
              <w:rPr>
                <w:rFonts w:hint="eastAsia"/>
                <w:b/>
                <w:lang w:eastAsia="zh-CN"/>
              </w:rPr>
              <w:t>焦点组</w:t>
            </w:r>
            <w:r w:rsidR="0073042F">
              <w:rPr>
                <w:rFonts w:hint="eastAsia"/>
                <w:b/>
                <w:lang w:eastAsia="zh-CN"/>
              </w:rPr>
              <w:t>（</w:t>
            </w:r>
            <w:r w:rsidR="00B80E26" w:rsidRPr="00B80E26">
              <w:rPr>
                <w:b/>
                <w:bCs/>
                <w:lang w:eastAsia="zh-CN"/>
              </w:rPr>
              <w:t>FG</w:t>
            </w:r>
            <w:r w:rsidR="00B80E26" w:rsidRPr="00B80E26">
              <w:rPr>
                <w:rFonts w:hint="eastAsia"/>
                <w:b/>
                <w:bCs/>
                <w:lang w:eastAsia="zh-CN"/>
              </w:rPr>
              <w:t xml:space="preserve"> </w:t>
            </w:r>
            <w:r w:rsidR="0044590C">
              <w:rPr>
                <w:rFonts w:hint="eastAsia"/>
                <w:b/>
                <w:bCs/>
                <w:lang w:eastAsia="zh-CN"/>
              </w:rPr>
              <w:t>Cloud</w:t>
            </w:r>
            <w:r w:rsidR="0073042F">
              <w:rPr>
                <w:rFonts w:hint="eastAsia"/>
                <w:b/>
                <w:lang w:eastAsia="zh-CN"/>
              </w:rPr>
              <w:t>）</w:t>
            </w:r>
            <w:r>
              <w:rPr>
                <w:rFonts w:hint="eastAsia"/>
                <w:b/>
                <w:lang w:eastAsia="zh-CN"/>
              </w:rPr>
              <w:t>；</w:t>
            </w:r>
          </w:p>
          <w:p w:rsidR="00E1779A" w:rsidRDefault="0044590C" w:rsidP="00466AAA">
            <w:pPr>
              <w:tabs>
                <w:tab w:val="left" w:pos="4111"/>
              </w:tabs>
              <w:spacing w:before="0"/>
              <w:ind w:left="57"/>
              <w:rPr>
                <w:b/>
                <w:bCs/>
                <w:lang w:eastAsia="zh-CN"/>
              </w:rPr>
            </w:pPr>
            <w:r w:rsidRPr="00B80E26">
              <w:rPr>
                <w:b/>
                <w:bCs/>
                <w:lang w:eastAsia="zh-CN"/>
              </w:rPr>
              <w:t>FG</w:t>
            </w:r>
            <w:r w:rsidRPr="00B80E26">
              <w:rPr>
                <w:rFonts w:hint="eastAsia"/>
                <w:b/>
                <w:bCs/>
                <w:lang w:eastAsia="zh-CN"/>
              </w:rPr>
              <w:t xml:space="preserve"> </w:t>
            </w:r>
            <w:r>
              <w:rPr>
                <w:rFonts w:hint="eastAsia"/>
                <w:b/>
                <w:bCs/>
                <w:lang w:eastAsia="zh-CN"/>
              </w:rPr>
              <w:t>Cloud</w:t>
            </w:r>
            <w:r w:rsidR="00466AAA">
              <w:rPr>
                <w:rFonts w:hint="eastAsia"/>
                <w:b/>
                <w:lang w:eastAsia="zh-CN"/>
              </w:rPr>
              <w:t>第一次会议，</w:t>
            </w:r>
            <w:r w:rsidR="00466AAA">
              <w:rPr>
                <w:rFonts w:hint="eastAsia"/>
                <w:b/>
                <w:lang w:eastAsia="zh-CN"/>
              </w:rPr>
              <w:t>2010</w:t>
            </w:r>
            <w:r w:rsidR="00466AAA">
              <w:rPr>
                <w:rFonts w:hint="eastAsia"/>
                <w:b/>
                <w:lang w:eastAsia="zh-CN"/>
              </w:rPr>
              <w:t>年</w:t>
            </w:r>
            <w:r w:rsidR="00466AAA">
              <w:rPr>
                <w:rFonts w:hint="eastAsia"/>
                <w:b/>
                <w:lang w:eastAsia="zh-CN"/>
              </w:rPr>
              <w:t>6</w:t>
            </w:r>
            <w:r w:rsidR="00466AAA">
              <w:rPr>
                <w:rFonts w:hint="eastAsia"/>
                <w:b/>
                <w:lang w:eastAsia="zh-CN"/>
              </w:rPr>
              <w:t>月</w:t>
            </w:r>
            <w:r w:rsidR="00466AAA">
              <w:rPr>
                <w:rFonts w:hint="eastAsia"/>
                <w:b/>
                <w:lang w:eastAsia="zh-CN"/>
              </w:rPr>
              <w:t>14-16</w:t>
            </w:r>
            <w:r w:rsidR="00466AAA">
              <w:rPr>
                <w:rFonts w:hint="eastAsia"/>
                <w:b/>
                <w:lang w:eastAsia="zh-CN"/>
              </w:rPr>
              <w:t>日</w:t>
            </w:r>
            <w:r w:rsidR="00E1779A">
              <w:rPr>
                <w:rFonts w:hint="eastAsia"/>
                <w:b/>
                <w:lang w:eastAsia="zh-CN"/>
              </w:rPr>
              <w:t>，</w:t>
            </w:r>
            <w:r w:rsidR="00466AAA">
              <w:rPr>
                <w:rFonts w:hint="eastAsia"/>
                <w:b/>
                <w:lang w:eastAsia="zh-CN"/>
              </w:rPr>
              <w:t>瑞士</w:t>
            </w:r>
            <w:r w:rsidR="00E1779A">
              <w:rPr>
                <w:rFonts w:hint="eastAsia"/>
                <w:b/>
                <w:lang w:eastAsia="zh-CN"/>
              </w:rPr>
              <w:t>日内瓦</w:t>
            </w:r>
          </w:p>
        </w:tc>
      </w:tr>
    </w:tbl>
    <w:p w:rsidR="00E1779A" w:rsidRDefault="00E1779A" w:rsidP="00E1779A">
      <w:pPr>
        <w:spacing w:before="160"/>
        <w:ind w:left="-198"/>
        <w:rPr>
          <w:rFonts w:ascii="Century Gothic" w:hAnsi="Century Gothic"/>
          <w:sz w:val="16"/>
          <w:lang w:eastAsia="zh-CN"/>
        </w:rPr>
      </w:pPr>
    </w:p>
    <w:p w:rsidR="00E1779A" w:rsidRDefault="00E1779A" w:rsidP="0073042F">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466AAA" w:rsidRDefault="00E1779A" w:rsidP="00CA4739">
      <w:pPr>
        <w:spacing w:before="240"/>
        <w:ind w:right="-513"/>
        <w:rPr>
          <w:rFonts w:hAnsi="SimSun"/>
          <w:lang w:eastAsia="zh-CN"/>
        </w:rPr>
      </w:pPr>
      <w:bookmarkStart w:id="3" w:name="suitetext"/>
      <w:bookmarkStart w:id="4" w:name="text"/>
      <w:bookmarkEnd w:id="3"/>
      <w:bookmarkEnd w:id="4"/>
      <w:r>
        <w:rPr>
          <w:bCs/>
          <w:lang w:eastAsia="zh-CN"/>
        </w:rPr>
        <w:t>1</w:t>
      </w:r>
      <w:r>
        <w:rPr>
          <w:lang w:eastAsia="zh-CN"/>
        </w:rPr>
        <w:tab/>
      </w:r>
      <w:r w:rsidR="00466AAA" w:rsidRPr="00B02549">
        <w:rPr>
          <w:rFonts w:hAnsi="SimSun"/>
          <w:lang w:eastAsia="zh-CN"/>
        </w:rPr>
        <w:t>我很高兴地宣布：</w:t>
      </w:r>
      <w:r w:rsidR="00B93B18">
        <w:rPr>
          <w:rFonts w:hAnsi="SimSun" w:hint="eastAsia"/>
          <w:lang w:eastAsia="zh-CN"/>
        </w:rPr>
        <w:t>继</w:t>
      </w:r>
      <w:r w:rsidR="009D2BE9" w:rsidRPr="00B02549">
        <w:rPr>
          <w:lang w:eastAsia="zh-CN"/>
        </w:rPr>
        <w:t>ITU-T</w:t>
      </w:r>
      <w:r w:rsidR="009D2BE9" w:rsidRPr="00B02549">
        <w:rPr>
          <w:rFonts w:hAnsi="SimSun"/>
          <w:lang w:eastAsia="zh-CN"/>
        </w:rPr>
        <w:t>电信标准化顾问组</w:t>
      </w:r>
      <w:r w:rsidR="0073042F">
        <w:rPr>
          <w:rFonts w:hAnsi="SimSun"/>
          <w:lang w:eastAsia="zh-CN"/>
        </w:rPr>
        <w:t>（</w:t>
      </w:r>
      <w:r w:rsidR="009D2BE9" w:rsidRPr="00B02549">
        <w:rPr>
          <w:szCs w:val="24"/>
          <w:lang w:eastAsia="zh-CN"/>
        </w:rPr>
        <w:t>TSAG</w:t>
      </w:r>
      <w:r w:rsidR="0073042F">
        <w:rPr>
          <w:rFonts w:hAnsi="SimSun"/>
          <w:lang w:eastAsia="zh-CN"/>
        </w:rPr>
        <w:t>）</w:t>
      </w:r>
      <w:r w:rsidR="009D2BE9">
        <w:rPr>
          <w:rFonts w:hAnsi="SimSun" w:hint="eastAsia"/>
          <w:lang w:eastAsia="zh-CN"/>
        </w:rPr>
        <w:t>于</w:t>
      </w:r>
      <w:r w:rsidR="009D2BE9">
        <w:rPr>
          <w:rFonts w:hAnsi="SimSun" w:hint="eastAsia"/>
          <w:lang w:eastAsia="zh-CN"/>
        </w:rPr>
        <w:t>2010</w:t>
      </w:r>
      <w:r w:rsidR="009D2BE9">
        <w:rPr>
          <w:rFonts w:hAnsi="SimSun" w:hint="eastAsia"/>
          <w:lang w:eastAsia="zh-CN"/>
        </w:rPr>
        <w:t>年</w:t>
      </w:r>
      <w:r w:rsidR="009D2BE9">
        <w:rPr>
          <w:rFonts w:hAnsi="SimSun" w:hint="eastAsia"/>
          <w:lang w:eastAsia="zh-CN"/>
        </w:rPr>
        <w:t>2</w:t>
      </w:r>
      <w:r w:rsidR="009D2BE9">
        <w:rPr>
          <w:rFonts w:hAnsi="SimSun" w:hint="eastAsia"/>
          <w:lang w:eastAsia="zh-CN"/>
        </w:rPr>
        <w:t>月</w:t>
      </w:r>
      <w:r w:rsidR="009D2BE9">
        <w:rPr>
          <w:rFonts w:hAnsi="SimSun" w:hint="eastAsia"/>
          <w:lang w:eastAsia="zh-CN"/>
        </w:rPr>
        <w:t>8-11</w:t>
      </w:r>
      <w:r w:rsidR="009D2BE9">
        <w:rPr>
          <w:rFonts w:hAnsi="SimSun" w:hint="eastAsia"/>
          <w:lang w:eastAsia="zh-CN"/>
        </w:rPr>
        <w:t>日在日内瓦举行的会议上达成的协议，并根据</w:t>
      </w:r>
      <w:r w:rsidR="009D2BE9" w:rsidRPr="00B02549">
        <w:rPr>
          <w:lang w:eastAsia="zh-CN"/>
        </w:rPr>
        <w:t>ITU-T</w:t>
      </w:r>
      <w:r w:rsidR="009D2BE9" w:rsidRPr="009D2BE9">
        <w:rPr>
          <w:lang w:eastAsia="zh-CN"/>
        </w:rPr>
        <w:t xml:space="preserve"> </w:t>
      </w:r>
      <w:r w:rsidR="009D2BE9" w:rsidRPr="00B02549">
        <w:rPr>
          <w:lang w:eastAsia="zh-CN"/>
        </w:rPr>
        <w:t>A.7</w:t>
      </w:r>
      <w:r w:rsidR="009D2BE9" w:rsidRPr="00B02549">
        <w:rPr>
          <w:rFonts w:hAnsi="SimSun"/>
          <w:lang w:eastAsia="zh-CN"/>
        </w:rPr>
        <w:t>建议书</w:t>
      </w:r>
      <w:r w:rsidR="009D2BE9">
        <w:rPr>
          <w:rFonts w:hAnsi="SimSun" w:hint="eastAsia"/>
          <w:lang w:eastAsia="zh-CN"/>
        </w:rPr>
        <w:t>第</w:t>
      </w:r>
      <w:r w:rsidR="009D2BE9">
        <w:rPr>
          <w:rFonts w:hAnsi="SimSun" w:hint="eastAsia"/>
          <w:lang w:eastAsia="zh-CN"/>
        </w:rPr>
        <w:t>2.1.2.2</w:t>
      </w:r>
      <w:r w:rsidR="009D2BE9" w:rsidRPr="00B02549">
        <w:rPr>
          <w:rFonts w:hAnsi="SimSun"/>
          <w:lang w:eastAsia="zh-CN"/>
        </w:rPr>
        <w:t>款的规定，</w:t>
      </w:r>
      <w:r w:rsidR="00466AAA">
        <w:rPr>
          <w:lang w:eastAsia="zh-CN"/>
        </w:rPr>
        <w:t>ITU-T</w:t>
      </w:r>
      <w:r w:rsidR="0044590C">
        <w:rPr>
          <w:rFonts w:hint="eastAsia"/>
          <w:lang w:eastAsia="zh-CN"/>
        </w:rPr>
        <w:t>云计算</w:t>
      </w:r>
      <w:r w:rsidR="009D2BE9">
        <w:rPr>
          <w:rFonts w:hint="eastAsia"/>
          <w:lang w:eastAsia="zh-CN"/>
        </w:rPr>
        <w:t>焦点组</w:t>
      </w:r>
      <w:r w:rsidR="0073042F">
        <w:rPr>
          <w:rFonts w:hAnsi="SimSun"/>
          <w:lang w:eastAsia="zh-CN"/>
        </w:rPr>
        <w:t>（</w:t>
      </w:r>
      <w:r w:rsidR="009D2BE9">
        <w:rPr>
          <w:lang w:eastAsia="zh-CN"/>
        </w:rPr>
        <w:t>FG</w:t>
      </w:r>
      <w:r w:rsidR="009D2BE9">
        <w:rPr>
          <w:rFonts w:hint="eastAsia"/>
          <w:lang w:eastAsia="zh-CN"/>
        </w:rPr>
        <w:t xml:space="preserve"> </w:t>
      </w:r>
      <w:r w:rsidR="0044590C">
        <w:rPr>
          <w:rFonts w:hint="eastAsia"/>
          <w:lang w:eastAsia="zh-CN"/>
        </w:rPr>
        <w:t>Cloud</w:t>
      </w:r>
      <w:r w:rsidR="0073042F">
        <w:rPr>
          <w:rFonts w:hAnsi="SimSun"/>
          <w:lang w:eastAsia="zh-CN"/>
        </w:rPr>
        <w:t>）</w:t>
      </w:r>
      <w:r w:rsidR="0044590C">
        <w:rPr>
          <w:rFonts w:hAnsi="SimSun" w:hint="eastAsia"/>
          <w:lang w:eastAsia="zh-CN"/>
        </w:rPr>
        <w:t>宣告成立</w:t>
      </w:r>
      <w:r w:rsidR="00466AAA" w:rsidRPr="00B02549">
        <w:rPr>
          <w:rFonts w:hAnsi="SimSun"/>
          <w:lang w:eastAsia="zh-CN"/>
        </w:rPr>
        <w:t>。</w:t>
      </w:r>
    </w:p>
    <w:p w:rsidR="009D2BE9" w:rsidRDefault="009D2BE9" w:rsidP="00CA4739">
      <w:pPr>
        <w:spacing w:before="240"/>
        <w:ind w:right="-513"/>
        <w:rPr>
          <w:lang w:eastAsia="zh-CN"/>
        </w:rPr>
      </w:pPr>
      <w:r>
        <w:rPr>
          <w:rFonts w:hint="eastAsia"/>
          <w:lang w:eastAsia="zh-CN"/>
        </w:rPr>
        <w:t>2</w:t>
      </w:r>
      <w:r>
        <w:rPr>
          <w:rFonts w:hint="eastAsia"/>
          <w:lang w:eastAsia="zh-CN"/>
        </w:rPr>
        <w:tab/>
      </w:r>
      <w:r w:rsidR="0044590C">
        <w:rPr>
          <w:rFonts w:hint="eastAsia"/>
          <w:lang w:eastAsia="zh-CN"/>
        </w:rPr>
        <w:t>该焦点组的目标是收集并记录有助于制定建议书的资料和概念，从电信</w:t>
      </w:r>
      <w:r>
        <w:rPr>
          <w:rFonts w:hint="eastAsia"/>
          <w:lang w:eastAsia="zh-CN"/>
        </w:rPr>
        <w:t>角度为</w:t>
      </w:r>
      <w:r w:rsidR="0044590C">
        <w:rPr>
          <w:rFonts w:hint="eastAsia"/>
          <w:lang w:eastAsia="zh-CN"/>
        </w:rPr>
        <w:t>云计算</w:t>
      </w:r>
      <w:r>
        <w:rPr>
          <w:rFonts w:hint="eastAsia"/>
          <w:lang w:eastAsia="zh-CN"/>
        </w:rPr>
        <w:t>提供支持。</w:t>
      </w:r>
      <w:r w:rsidR="007D0A4B">
        <w:rPr>
          <w:rFonts w:hint="eastAsia"/>
          <w:lang w:eastAsia="zh-CN"/>
        </w:rPr>
        <w:t>焦点组还鼓励所有涉及</w:t>
      </w:r>
      <w:r w:rsidR="00B93B18">
        <w:rPr>
          <w:rFonts w:hint="eastAsia"/>
          <w:lang w:eastAsia="zh-CN"/>
        </w:rPr>
        <w:t>云计算</w:t>
      </w:r>
      <w:r w:rsidR="007D0A4B">
        <w:rPr>
          <w:rFonts w:hint="eastAsia"/>
          <w:lang w:eastAsia="zh-CN"/>
        </w:rPr>
        <w:t>的标准化制定机构的参与。</w:t>
      </w:r>
    </w:p>
    <w:p w:rsidR="007D0A4B" w:rsidRPr="00B02549" w:rsidRDefault="007D0A4B" w:rsidP="00CA4739">
      <w:pPr>
        <w:spacing w:before="240"/>
        <w:rPr>
          <w:lang w:eastAsia="zh-CN"/>
        </w:rPr>
      </w:pPr>
      <w:r>
        <w:rPr>
          <w:rFonts w:hint="eastAsia"/>
          <w:lang w:eastAsia="zh-CN"/>
        </w:rPr>
        <w:t>3</w:t>
      </w:r>
      <w:r>
        <w:rPr>
          <w:rFonts w:hint="eastAsia"/>
          <w:lang w:eastAsia="zh-CN"/>
        </w:rPr>
        <w:tab/>
      </w:r>
      <w:r w:rsidR="00B80E26">
        <w:rPr>
          <w:rFonts w:hint="eastAsia"/>
          <w:lang w:eastAsia="zh-CN"/>
        </w:rPr>
        <w:t>该</w:t>
      </w:r>
      <w:r>
        <w:rPr>
          <w:rFonts w:hAnsi="SimSun" w:hint="eastAsia"/>
          <w:lang w:eastAsia="zh-CN"/>
        </w:rPr>
        <w:t>焦点组将</w:t>
      </w:r>
      <w:r w:rsidRPr="00B02549">
        <w:rPr>
          <w:rFonts w:hAnsi="SimSun"/>
          <w:lang w:eastAsia="zh-CN"/>
        </w:rPr>
        <w:t>根据</w:t>
      </w:r>
      <w:r w:rsidRPr="00B02549">
        <w:rPr>
          <w:lang w:eastAsia="zh-CN"/>
        </w:rPr>
        <w:t>ITU-T</w:t>
      </w:r>
      <w:r w:rsidRPr="00B02549">
        <w:rPr>
          <w:rFonts w:hAnsi="SimSun"/>
          <w:lang w:eastAsia="zh-CN"/>
        </w:rPr>
        <w:t>建议书</w:t>
      </w:r>
      <w:r>
        <w:rPr>
          <w:rFonts w:hAnsi="SimSun" w:hint="eastAsia"/>
          <w:lang w:eastAsia="zh-CN"/>
        </w:rPr>
        <w:t>第</w:t>
      </w:r>
      <w:r w:rsidRPr="00B02549">
        <w:rPr>
          <w:lang w:eastAsia="zh-CN"/>
        </w:rPr>
        <w:t>A.7</w:t>
      </w:r>
      <w:r w:rsidRPr="00B02549">
        <w:rPr>
          <w:rFonts w:hAnsi="SimSun"/>
          <w:lang w:eastAsia="zh-CN"/>
        </w:rPr>
        <w:t>款确定的程序运作</w:t>
      </w:r>
      <w:r>
        <w:rPr>
          <w:rFonts w:hAnsi="SimSun" w:hint="eastAsia"/>
          <w:lang w:eastAsia="zh-CN"/>
        </w:rPr>
        <w:t>。</w:t>
      </w:r>
      <w:r w:rsidRPr="00B02549">
        <w:rPr>
          <w:szCs w:val="24"/>
          <w:lang w:eastAsia="zh-CN"/>
        </w:rPr>
        <w:t>TSAG</w:t>
      </w:r>
      <w:r w:rsidRPr="00B02549">
        <w:rPr>
          <w:rFonts w:hAnsi="SimSun"/>
          <w:lang w:eastAsia="zh-CN"/>
        </w:rPr>
        <w:t>将作为母组。经认可的</w:t>
      </w:r>
      <w:r w:rsidR="0044590C">
        <w:rPr>
          <w:lang w:eastAsia="zh-CN"/>
        </w:rPr>
        <w:t>FG</w:t>
      </w:r>
      <w:r w:rsidR="0044590C">
        <w:rPr>
          <w:rFonts w:hint="eastAsia"/>
          <w:lang w:eastAsia="zh-CN"/>
        </w:rPr>
        <w:t xml:space="preserve"> Cloud</w:t>
      </w:r>
      <w:r>
        <w:rPr>
          <w:rFonts w:hint="eastAsia"/>
          <w:lang w:eastAsia="zh-CN"/>
        </w:rPr>
        <w:t>的</w:t>
      </w:r>
      <w:r w:rsidRPr="00B02549">
        <w:rPr>
          <w:rFonts w:hAnsi="SimSun"/>
          <w:lang w:eastAsia="zh-CN"/>
        </w:rPr>
        <w:t>职责范围见</w:t>
      </w:r>
      <w:r w:rsidRPr="00B02549">
        <w:rPr>
          <w:rFonts w:hAnsi="SimSun"/>
          <w:b/>
          <w:bCs/>
          <w:lang w:eastAsia="zh-CN"/>
        </w:rPr>
        <w:t>附件</w:t>
      </w:r>
      <w:r w:rsidRPr="0073042F">
        <w:rPr>
          <w:b/>
          <w:lang w:eastAsia="zh-CN"/>
        </w:rPr>
        <w:t>1</w:t>
      </w:r>
      <w:r w:rsidRPr="00B02549">
        <w:rPr>
          <w:rFonts w:hAnsi="SimSun"/>
          <w:bCs/>
          <w:lang w:eastAsia="zh-CN"/>
        </w:rPr>
        <w:t>。</w:t>
      </w:r>
      <w:r w:rsidR="0044590C" w:rsidRPr="00C83BFC">
        <w:rPr>
          <w:szCs w:val="24"/>
          <w:lang w:val="en-US" w:eastAsia="zh-CN"/>
        </w:rPr>
        <w:t xml:space="preserve">Vladimir </w:t>
      </w:r>
      <w:proofErr w:type="spellStart"/>
      <w:r w:rsidR="0044590C" w:rsidRPr="00C83BFC">
        <w:rPr>
          <w:szCs w:val="24"/>
          <w:lang w:val="en-US" w:eastAsia="zh-CN"/>
        </w:rPr>
        <w:t>Belenkovich</w:t>
      </w:r>
      <w:proofErr w:type="spellEnd"/>
      <w:r>
        <w:rPr>
          <w:rFonts w:hint="eastAsia"/>
          <w:szCs w:val="24"/>
          <w:lang w:val="en-US" w:eastAsia="zh-CN"/>
        </w:rPr>
        <w:t>先生</w:t>
      </w:r>
      <w:r w:rsidR="005A3EF6">
        <w:rPr>
          <w:szCs w:val="24"/>
          <w:lang w:val="en-US" w:eastAsia="zh-CN"/>
        </w:rPr>
        <w:t>（</w:t>
      </w:r>
      <w:r w:rsidR="0044590C">
        <w:rPr>
          <w:rFonts w:hint="eastAsia"/>
          <w:szCs w:val="24"/>
          <w:lang w:val="en-US" w:eastAsia="zh-CN"/>
        </w:rPr>
        <w:t>俄罗斯联邦</w:t>
      </w:r>
      <w:r w:rsidR="0073042F">
        <w:rPr>
          <w:szCs w:val="24"/>
          <w:lang w:val="en-US" w:eastAsia="zh-CN"/>
        </w:rPr>
        <w:t>）</w:t>
      </w:r>
      <w:r>
        <w:rPr>
          <w:rFonts w:hint="eastAsia"/>
          <w:szCs w:val="24"/>
          <w:lang w:val="en-US" w:eastAsia="zh-CN"/>
        </w:rPr>
        <w:t>将担任</w:t>
      </w:r>
      <w:r w:rsidR="00B80E26">
        <w:rPr>
          <w:rFonts w:hint="eastAsia"/>
          <w:szCs w:val="24"/>
          <w:lang w:val="en-US" w:eastAsia="zh-CN"/>
        </w:rPr>
        <w:t>这一</w:t>
      </w:r>
      <w:r>
        <w:rPr>
          <w:rFonts w:hint="eastAsia"/>
          <w:szCs w:val="24"/>
          <w:lang w:val="en-US" w:eastAsia="zh-CN"/>
        </w:rPr>
        <w:t>新焦点组的主席，</w:t>
      </w:r>
      <w:r w:rsidR="0044590C" w:rsidRPr="00C83BFC">
        <w:rPr>
          <w:szCs w:val="24"/>
          <w:lang w:val="en-US" w:eastAsia="zh-CN"/>
        </w:rPr>
        <w:t>Monique Morrow</w:t>
      </w:r>
      <w:r w:rsidR="0044590C">
        <w:rPr>
          <w:rFonts w:hint="eastAsia"/>
          <w:szCs w:val="24"/>
          <w:lang w:val="en-US" w:eastAsia="zh-CN"/>
        </w:rPr>
        <w:t>女士</w:t>
      </w:r>
      <w:r w:rsidR="005A3EF6">
        <w:rPr>
          <w:szCs w:val="24"/>
          <w:lang w:val="en-US" w:eastAsia="zh-CN"/>
        </w:rPr>
        <w:t>（</w:t>
      </w:r>
      <w:r w:rsidR="0044590C">
        <w:rPr>
          <w:rFonts w:hint="eastAsia"/>
          <w:szCs w:val="24"/>
          <w:lang w:val="en-US" w:eastAsia="zh-CN"/>
        </w:rPr>
        <w:t>思科系统公司</w:t>
      </w:r>
      <w:r w:rsidR="005A3EF6">
        <w:rPr>
          <w:szCs w:val="24"/>
          <w:lang w:val="en-US" w:eastAsia="zh-CN"/>
        </w:rPr>
        <w:t>）</w:t>
      </w:r>
      <w:r w:rsidR="0044590C">
        <w:rPr>
          <w:rFonts w:hint="eastAsia"/>
          <w:szCs w:val="24"/>
          <w:lang w:val="en-US" w:eastAsia="zh-CN"/>
        </w:rPr>
        <w:t>以及</w:t>
      </w:r>
      <w:proofErr w:type="spellStart"/>
      <w:r w:rsidR="0044590C" w:rsidRPr="00C83BFC">
        <w:rPr>
          <w:szCs w:val="24"/>
          <w:lang w:val="en-US" w:eastAsia="zh-CN"/>
        </w:rPr>
        <w:t>Jamil</w:t>
      </w:r>
      <w:proofErr w:type="spellEnd"/>
      <w:r w:rsidR="0044590C" w:rsidRPr="00C83BFC">
        <w:rPr>
          <w:szCs w:val="24"/>
          <w:lang w:val="en-US" w:eastAsia="zh-CN"/>
        </w:rPr>
        <w:t xml:space="preserve"> </w:t>
      </w:r>
      <w:proofErr w:type="spellStart"/>
      <w:r w:rsidR="0044590C" w:rsidRPr="00C83BFC">
        <w:rPr>
          <w:szCs w:val="24"/>
          <w:lang w:val="en-US" w:eastAsia="zh-CN"/>
        </w:rPr>
        <w:t>Chawki</w:t>
      </w:r>
      <w:proofErr w:type="spellEnd"/>
      <w:r w:rsidR="0044590C">
        <w:rPr>
          <w:rFonts w:ascii="SimSun" w:hAnsi="SimSun" w:hint="eastAsia"/>
          <w:szCs w:val="24"/>
          <w:lang w:val="en-US" w:eastAsia="zh-CN"/>
        </w:rPr>
        <w:t>先生</w:t>
      </w:r>
      <w:r w:rsidR="005A3EF6">
        <w:rPr>
          <w:rFonts w:eastAsia="MS Mincho" w:hint="eastAsia"/>
          <w:szCs w:val="24"/>
          <w:lang w:val="en-US" w:eastAsia="ja-JP"/>
        </w:rPr>
        <w:t>（</w:t>
      </w:r>
      <w:r w:rsidR="0044590C">
        <w:rPr>
          <w:rFonts w:ascii="SimSun" w:hAnsi="SimSun" w:hint="eastAsia"/>
          <w:szCs w:val="24"/>
          <w:lang w:val="en-US" w:eastAsia="zh-CN"/>
        </w:rPr>
        <w:t>法国电信</w:t>
      </w:r>
      <w:r w:rsidR="0044590C">
        <w:rPr>
          <w:rFonts w:eastAsia="MS Mincho"/>
          <w:szCs w:val="24"/>
          <w:lang w:val="en-US" w:eastAsia="ja-JP"/>
        </w:rPr>
        <w:t xml:space="preserve"> </w:t>
      </w:r>
      <w:r w:rsidR="0044590C">
        <w:rPr>
          <w:rFonts w:eastAsia="MS Mincho" w:hint="eastAsia"/>
          <w:szCs w:val="24"/>
          <w:lang w:val="en-US" w:eastAsia="ja-JP"/>
        </w:rPr>
        <w:t>Orange)</w:t>
      </w:r>
      <w:r w:rsidR="0044590C">
        <w:rPr>
          <w:rFonts w:ascii="SimSun" w:hAnsi="SimSun" w:hint="eastAsia"/>
          <w:szCs w:val="24"/>
          <w:lang w:val="en-US" w:eastAsia="zh-CN"/>
        </w:rPr>
        <w:t>、</w:t>
      </w:r>
      <w:proofErr w:type="spellStart"/>
      <w:r w:rsidR="0044590C" w:rsidRPr="00C83BFC">
        <w:rPr>
          <w:szCs w:val="24"/>
          <w:lang w:val="en-US" w:eastAsia="zh-CN"/>
        </w:rPr>
        <w:t>Kangchan</w:t>
      </w:r>
      <w:proofErr w:type="spellEnd"/>
      <w:r w:rsidR="0044590C" w:rsidRPr="00C83BFC">
        <w:rPr>
          <w:szCs w:val="24"/>
          <w:lang w:val="en-US" w:eastAsia="zh-CN"/>
        </w:rPr>
        <w:t xml:space="preserve"> Lee</w:t>
      </w:r>
      <w:r w:rsidR="0044590C">
        <w:rPr>
          <w:rFonts w:ascii="SimSun" w:hAnsi="SimSun" w:hint="eastAsia"/>
          <w:szCs w:val="24"/>
          <w:lang w:val="en-US" w:eastAsia="zh-CN"/>
        </w:rPr>
        <w:t>先生</w:t>
      </w:r>
      <w:r w:rsidR="005A3EF6">
        <w:rPr>
          <w:rFonts w:eastAsia="MS Mincho" w:hint="eastAsia"/>
          <w:szCs w:val="24"/>
          <w:lang w:val="en-US" w:eastAsia="ja-JP"/>
        </w:rPr>
        <w:t>（</w:t>
      </w:r>
      <w:r w:rsidR="0044590C">
        <w:rPr>
          <w:rFonts w:ascii="SimSun" w:hAnsi="SimSun" w:hint="eastAsia"/>
          <w:szCs w:val="24"/>
          <w:lang w:val="en-US" w:eastAsia="zh-CN"/>
        </w:rPr>
        <w:t>韩国</w:t>
      </w:r>
      <w:r w:rsidR="00F87BB4">
        <w:rPr>
          <w:rFonts w:ascii="Arial" w:hAnsi="Arial" w:cs="Arial"/>
          <w:color w:val="000000"/>
          <w:lang w:eastAsia="zh-CN"/>
        </w:rPr>
        <w:t>电子通信研究</w:t>
      </w:r>
      <w:r w:rsidR="00F87BB4">
        <w:rPr>
          <w:rFonts w:ascii="SimSun" w:hAnsi="SimSun" w:cs="SimSun" w:hint="eastAsia"/>
          <w:color w:val="000000"/>
          <w:lang w:eastAsia="zh-CN"/>
        </w:rPr>
        <w:t>院</w:t>
      </w:r>
      <w:r w:rsidR="00B93B18">
        <w:rPr>
          <w:szCs w:val="24"/>
          <w:lang w:val="en-US" w:eastAsia="zh-CN"/>
        </w:rPr>
        <w:t>）</w:t>
      </w:r>
      <w:r w:rsidR="0044590C">
        <w:rPr>
          <w:rFonts w:ascii="SimSun" w:hAnsi="SimSun" w:hint="eastAsia"/>
          <w:szCs w:val="24"/>
          <w:lang w:val="en-US" w:eastAsia="zh-CN"/>
        </w:rPr>
        <w:t>、</w:t>
      </w:r>
      <w:r w:rsidR="00F87BB4">
        <w:rPr>
          <w:rFonts w:hint="eastAsia"/>
          <w:szCs w:val="24"/>
          <w:lang w:val="en-US" w:eastAsia="zh-CN"/>
        </w:rPr>
        <w:t>李明东</w:t>
      </w:r>
      <w:r w:rsidR="0044590C">
        <w:rPr>
          <w:rFonts w:ascii="SimSun" w:hAnsi="SimSun" w:hint="eastAsia"/>
          <w:szCs w:val="24"/>
          <w:lang w:val="en-US" w:eastAsia="zh-CN"/>
        </w:rPr>
        <w:t>先生</w:t>
      </w:r>
      <w:r w:rsidR="005A3EF6">
        <w:rPr>
          <w:rFonts w:eastAsia="MS Mincho" w:hint="eastAsia"/>
          <w:szCs w:val="24"/>
          <w:lang w:val="en-US" w:eastAsia="ja-JP"/>
        </w:rPr>
        <w:t>（</w:t>
      </w:r>
      <w:r w:rsidR="00F87BB4">
        <w:rPr>
          <w:rFonts w:ascii="SimSun" w:hAnsi="SimSun" w:hint="eastAsia"/>
          <w:szCs w:val="24"/>
          <w:lang w:val="en-US" w:eastAsia="zh-CN"/>
        </w:rPr>
        <w:t>中国中兴通讯公司</w:t>
      </w:r>
      <w:r w:rsidR="00B93B18">
        <w:rPr>
          <w:szCs w:val="24"/>
          <w:lang w:val="en-US" w:eastAsia="zh-CN"/>
        </w:rPr>
        <w:t>）</w:t>
      </w:r>
      <w:r w:rsidR="0044590C">
        <w:rPr>
          <w:rFonts w:ascii="SimSun" w:hAnsi="SimSun" w:hint="eastAsia"/>
          <w:szCs w:val="24"/>
          <w:lang w:val="en-US" w:eastAsia="zh-CN"/>
        </w:rPr>
        <w:t>和</w:t>
      </w:r>
      <w:r w:rsidR="0044590C" w:rsidRPr="00C83BFC">
        <w:rPr>
          <w:szCs w:val="24"/>
          <w:lang w:val="en-US" w:eastAsia="zh-CN"/>
        </w:rPr>
        <w:t xml:space="preserve">Koji </w:t>
      </w:r>
      <w:proofErr w:type="spellStart"/>
      <w:r w:rsidR="0044590C" w:rsidRPr="00C83BFC">
        <w:rPr>
          <w:szCs w:val="24"/>
          <w:lang w:val="en-US" w:eastAsia="zh-CN"/>
        </w:rPr>
        <w:t>Nakao</w:t>
      </w:r>
      <w:proofErr w:type="spellEnd"/>
      <w:r w:rsidR="0044590C">
        <w:rPr>
          <w:rFonts w:ascii="SimSun" w:hAnsi="SimSun" w:hint="eastAsia"/>
          <w:szCs w:val="24"/>
          <w:lang w:val="en-US" w:eastAsia="zh-CN"/>
        </w:rPr>
        <w:t>先生</w:t>
      </w:r>
      <w:r w:rsidR="005A3EF6">
        <w:rPr>
          <w:rFonts w:eastAsia="MS Mincho" w:hint="eastAsia"/>
          <w:szCs w:val="24"/>
          <w:lang w:val="en-US" w:eastAsia="ja-JP"/>
        </w:rPr>
        <w:t>（</w:t>
      </w:r>
      <w:r w:rsidR="0044590C">
        <w:rPr>
          <w:rFonts w:ascii="SimSun" w:hAnsi="SimSun" w:hint="eastAsia"/>
          <w:szCs w:val="24"/>
          <w:lang w:val="en-US" w:eastAsia="zh-CN"/>
        </w:rPr>
        <w:t>日本</w:t>
      </w:r>
      <w:r w:rsidR="0044590C">
        <w:rPr>
          <w:rFonts w:eastAsia="MS Mincho" w:hint="eastAsia"/>
          <w:szCs w:val="24"/>
          <w:lang w:val="en-US" w:eastAsia="ja-JP"/>
        </w:rPr>
        <w:t>KDDI</w:t>
      </w:r>
      <w:r w:rsidR="00F87BB4">
        <w:rPr>
          <w:rFonts w:ascii="SimSun" w:hAnsi="SimSun" w:hint="eastAsia"/>
          <w:szCs w:val="24"/>
          <w:lang w:val="en-US" w:eastAsia="zh-CN"/>
        </w:rPr>
        <w:t>公司</w:t>
      </w:r>
      <w:r w:rsidR="00B93B18">
        <w:rPr>
          <w:szCs w:val="24"/>
          <w:lang w:val="en-US" w:eastAsia="zh-CN"/>
        </w:rPr>
        <w:t>）</w:t>
      </w:r>
      <w:r w:rsidR="00B93B18">
        <w:rPr>
          <w:rFonts w:hint="eastAsia"/>
          <w:szCs w:val="24"/>
          <w:lang w:val="en-US" w:eastAsia="zh-CN"/>
        </w:rPr>
        <w:t>将</w:t>
      </w:r>
      <w:r w:rsidR="00F87BB4">
        <w:rPr>
          <w:rFonts w:ascii="SimSun" w:hAnsi="SimSun" w:hint="eastAsia"/>
          <w:szCs w:val="24"/>
          <w:lang w:val="en-US" w:eastAsia="zh-CN"/>
        </w:rPr>
        <w:t>担任</w:t>
      </w:r>
      <w:r w:rsidR="0044590C">
        <w:rPr>
          <w:rFonts w:hint="eastAsia"/>
          <w:szCs w:val="24"/>
          <w:lang w:val="en-US" w:eastAsia="zh-CN"/>
        </w:rPr>
        <w:t>副主席</w:t>
      </w:r>
      <w:r w:rsidR="00F87BB4">
        <w:rPr>
          <w:rFonts w:hint="eastAsia"/>
          <w:szCs w:val="24"/>
          <w:lang w:val="en-US" w:eastAsia="zh-CN"/>
        </w:rPr>
        <w:t>，</w:t>
      </w:r>
      <w:r>
        <w:rPr>
          <w:rFonts w:hint="eastAsia"/>
          <w:szCs w:val="24"/>
          <w:lang w:val="en-US" w:eastAsia="zh-CN"/>
        </w:rPr>
        <w:t>协助开展工作。</w:t>
      </w:r>
      <w:r w:rsidRPr="00B02549">
        <w:rPr>
          <w:rFonts w:hAnsi="SimSun"/>
          <w:lang w:eastAsia="zh-CN"/>
        </w:rPr>
        <w:t>我坚信</w:t>
      </w:r>
      <w:r>
        <w:rPr>
          <w:rFonts w:hAnsi="SimSun" w:hint="eastAsia"/>
          <w:lang w:eastAsia="zh-CN"/>
        </w:rPr>
        <w:t>，</w:t>
      </w:r>
      <w:r w:rsidRPr="00B02549">
        <w:rPr>
          <w:rFonts w:hAnsi="SimSun"/>
          <w:lang w:eastAsia="zh-CN"/>
        </w:rPr>
        <w:t>通过成立</w:t>
      </w:r>
      <w:r w:rsidR="00F87BB4">
        <w:rPr>
          <w:rFonts w:hAnsi="SimSun" w:hint="eastAsia"/>
          <w:lang w:eastAsia="zh-CN"/>
        </w:rPr>
        <w:t>有关云计算的</w:t>
      </w:r>
      <w:r w:rsidRPr="00B02549">
        <w:rPr>
          <w:rFonts w:hAnsi="SimSun"/>
          <w:lang w:eastAsia="zh-CN"/>
        </w:rPr>
        <w:t>焦点</w:t>
      </w:r>
      <w:r>
        <w:rPr>
          <w:rFonts w:hAnsi="SimSun" w:hint="eastAsia"/>
          <w:lang w:eastAsia="zh-CN"/>
        </w:rPr>
        <w:t>组</w:t>
      </w:r>
      <w:r w:rsidRPr="00B02549">
        <w:rPr>
          <w:rFonts w:hAnsi="SimSun"/>
          <w:lang w:eastAsia="zh-CN"/>
        </w:rPr>
        <w:t>，</w:t>
      </w:r>
      <w:r w:rsidRPr="00B02549">
        <w:rPr>
          <w:lang w:eastAsia="zh-CN"/>
        </w:rPr>
        <w:t>ITU-T</w:t>
      </w:r>
      <w:r w:rsidRPr="00B02549">
        <w:rPr>
          <w:rFonts w:hAnsi="SimSun"/>
          <w:lang w:eastAsia="zh-CN"/>
        </w:rPr>
        <w:t>将能够达到其成员的期望，并展示其解决须快速处理的议题的能力。</w:t>
      </w:r>
    </w:p>
    <w:p w:rsidR="00B80E26" w:rsidRPr="00B02549" w:rsidRDefault="00B80E26" w:rsidP="00CA4739">
      <w:pPr>
        <w:spacing w:before="240"/>
        <w:ind w:right="-28"/>
        <w:rPr>
          <w:lang w:eastAsia="zh-CN"/>
        </w:rPr>
      </w:pPr>
      <w:r>
        <w:rPr>
          <w:rFonts w:hint="eastAsia"/>
          <w:lang w:eastAsia="zh-CN"/>
        </w:rPr>
        <w:t>4</w:t>
      </w:r>
      <w:r>
        <w:rPr>
          <w:rFonts w:hint="eastAsia"/>
          <w:lang w:eastAsia="zh-CN"/>
        </w:rPr>
        <w:tab/>
      </w:r>
      <w:r w:rsidR="00F87BB4">
        <w:rPr>
          <w:lang w:eastAsia="zh-CN"/>
        </w:rPr>
        <w:t>FG Cloud</w:t>
      </w:r>
      <w:r w:rsidRPr="00B02549">
        <w:rPr>
          <w:rFonts w:hAnsi="SimSun"/>
          <w:lang w:eastAsia="zh-CN"/>
        </w:rPr>
        <w:t>对国际电联成员国、部门成员和部门准成员开放，也接纳所有来自国际电联成员国并愿意推进其工作的个人参与，其中还包括相关标准制定机构的成员或代表。</w:t>
      </w:r>
    </w:p>
    <w:p w:rsidR="00531284" w:rsidRDefault="00B80E26" w:rsidP="00CA4739">
      <w:pPr>
        <w:spacing w:before="240"/>
        <w:ind w:right="-513"/>
        <w:rPr>
          <w:rFonts w:hAnsi="SimSun"/>
          <w:bCs/>
          <w:lang w:eastAsia="zh-CN"/>
        </w:rPr>
      </w:pPr>
      <w:r>
        <w:rPr>
          <w:rFonts w:hint="eastAsia"/>
          <w:lang w:eastAsia="zh-CN"/>
        </w:rPr>
        <w:t>5</w:t>
      </w:r>
      <w:r>
        <w:rPr>
          <w:rFonts w:hint="eastAsia"/>
          <w:lang w:eastAsia="zh-CN"/>
        </w:rPr>
        <w:tab/>
      </w:r>
      <w:r w:rsidR="00F87BB4">
        <w:rPr>
          <w:lang w:eastAsia="zh-CN"/>
        </w:rPr>
        <w:t>FG Cloud</w:t>
      </w:r>
      <w:r w:rsidR="0024373C">
        <w:rPr>
          <w:rFonts w:hint="eastAsia"/>
          <w:lang w:eastAsia="zh-CN"/>
        </w:rPr>
        <w:t>的</w:t>
      </w:r>
      <w:r w:rsidR="0024373C" w:rsidRPr="00B02549">
        <w:rPr>
          <w:rFonts w:hAnsi="SimSun"/>
          <w:lang w:eastAsia="zh-CN"/>
        </w:rPr>
        <w:t>首次会议计划于</w:t>
      </w:r>
      <w:r w:rsidR="0024373C" w:rsidRPr="00B02549">
        <w:rPr>
          <w:lang w:eastAsia="zh-CN"/>
        </w:rPr>
        <w:t>20</w:t>
      </w:r>
      <w:r w:rsidR="0024373C">
        <w:rPr>
          <w:rFonts w:hint="eastAsia"/>
          <w:lang w:eastAsia="zh-CN"/>
        </w:rPr>
        <w:t>10</w:t>
      </w:r>
      <w:r w:rsidR="0024373C" w:rsidRPr="00B02549">
        <w:rPr>
          <w:rFonts w:hAnsi="SimSun"/>
          <w:lang w:eastAsia="zh-CN"/>
        </w:rPr>
        <w:t>年</w:t>
      </w:r>
      <w:r w:rsidR="0024373C" w:rsidRPr="00B02549">
        <w:rPr>
          <w:lang w:eastAsia="zh-CN"/>
        </w:rPr>
        <w:t>6</w:t>
      </w:r>
      <w:r w:rsidR="0024373C" w:rsidRPr="00B02549">
        <w:rPr>
          <w:rFonts w:hAnsi="SimSun"/>
          <w:lang w:eastAsia="zh-CN"/>
        </w:rPr>
        <w:t>月</w:t>
      </w:r>
      <w:r w:rsidR="0024373C">
        <w:rPr>
          <w:rFonts w:hint="eastAsia"/>
          <w:lang w:eastAsia="zh-CN"/>
        </w:rPr>
        <w:t>14-16</w:t>
      </w:r>
      <w:r w:rsidR="0024373C" w:rsidRPr="00B02549">
        <w:rPr>
          <w:rFonts w:hAnsi="SimSun"/>
          <w:lang w:eastAsia="zh-CN"/>
        </w:rPr>
        <w:t>日在</w:t>
      </w:r>
      <w:r w:rsidR="0024373C">
        <w:rPr>
          <w:rFonts w:hAnsi="SimSun" w:hint="eastAsia"/>
          <w:lang w:eastAsia="zh-CN"/>
        </w:rPr>
        <w:t>瑞士日内瓦国际电联总部</w:t>
      </w:r>
      <w:r w:rsidR="0024373C" w:rsidRPr="00B02549">
        <w:rPr>
          <w:rFonts w:hAnsi="SimSun"/>
          <w:bCs/>
          <w:lang w:eastAsia="zh-CN"/>
        </w:rPr>
        <w:t>举行。</w:t>
      </w:r>
      <w:r w:rsidR="00F87BB4">
        <w:rPr>
          <w:rFonts w:hAnsi="SimSun" w:hint="eastAsia"/>
          <w:bCs/>
          <w:lang w:eastAsia="zh-CN"/>
        </w:rPr>
        <w:t>智能电网</w:t>
      </w:r>
      <w:r w:rsidR="0024373C">
        <w:rPr>
          <w:rFonts w:hAnsi="SimSun" w:hint="eastAsia"/>
          <w:bCs/>
          <w:lang w:eastAsia="zh-CN"/>
        </w:rPr>
        <w:t>焦点组和</w:t>
      </w:r>
      <w:r w:rsidR="0024373C" w:rsidRPr="00B02549">
        <w:rPr>
          <w:rFonts w:hAnsi="SimSun"/>
          <w:bCs/>
          <w:lang w:eastAsia="zh-CN"/>
        </w:rPr>
        <w:t>未来网</w:t>
      </w:r>
      <w:r w:rsidR="0024373C">
        <w:rPr>
          <w:rFonts w:hAnsi="SimSun" w:hint="eastAsia"/>
          <w:bCs/>
          <w:lang w:eastAsia="zh-CN"/>
        </w:rPr>
        <w:t>络焦点</w:t>
      </w:r>
      <w:r w:rsidR="0024373C" w:rsidRPr="00B02549">
        <w:rPr>
          <w:rFonts w:hAnsi="SimSun"/>
          <w:bCs/>
          <w:lang w:eastAsia="zh-CN"/>
        </w:rPr>
        <w:t>组也将在同时同地召开会议</w:t>
      </w:r>
      <w:r w:rsidR="0024373C">
        <w:rPr>
          <w:rFonts w:hAnsi="SimSun" w:hint="eastAsia"/>
          <w:bCs/>
          <w:lang w:eastAsia="zh-CN"/>
        </w:rPr>
        <w:t>。</w:t>
      </w:r>
    </w:p>
    <w:p w:rsidR="00531284" w:rsidRDefault="00531284">
      <w:pPr>
        <w:tabs>
          <w:tab w:val="clear" w:pos="794"/>
          <w:tab w:val="clear" w:pos="1191"/>
          <w:tab w:val="clear" w:pos="1588"/>
          <w:tab w:val="clear" w:pos="1985"/>
        </w:tabs>
        <w:spacing w:before="0"/>
        <w:rPr>
          <w:rFonts w:hAnsi="SimSun"/>
          <w:bCs/>
          <w:lang w:eastAsia="zh-CN"/>
        </w:rPr>
      </w:pPr>
    </w:p>
    <w:p w:rsidR="00531284" w:rsidRDefault="00531284">
      <w:pPr>
        <w:tabs>
          <w:tab w:val="clear" w:pos="794"/>
          <w:tab w:val="clear" w:pos="1191"/>
          <w:tab w:val="clear" w:pos="1588"/>
          <w:tab w:val="clear" w:pos="1985"/>
        </w:tabs>
        <w:spacing w:before="0"/>
        <w:rPr>
          <w:rFonts w:hAnsi="SimSun"/>
          <w:bCs/>
          <w:lang w:eastAsia="zh-CN"/>
        </w:rPr>
      </w:pPr>
      <w:r>
        <w:rPr>
          <w:rFonts w:hAnsi="SimSun"/>
          <w:bCs/>
          <w:lang w:eastAsia="zh-CN"/>
        </w:rPr>
        <w:br w:type="page"/>
      </w:r>
    </w:p>
    <w:p w:rsidR="0024373C" w:rsidRPr="005474A9" w:rsidRDefault="0024373C" w:rsidP="00CA4739">
      <w:pPr>
        <w:spacing w:before="240"/>
        <w:ind w:right="-513"/>
        <w:rPr>
          <w:w w:val="98"/>
          <w:lang w:eastAsia="zh-CN"/>
        </w:rPr>
      </w:pPr>
      <w:r>
        <w:rPr>
          <w:rFonts w:hAnsi="SimSun" w:hint="eastAsia"/>
          <w:bCs/>
          <w:lang w:eastAsia="zh-CN"/>
        </w:rPr>
        <w:lastRenderedPageBreak/>
        <w:t>6</w:t>
      </w:r>
      <w:r>
        <w:rPr>
          <w:rFonts w:hAnsi="SimSun" w:hint="eastAsia"/>
          <w:bCs/>
          <w:lang w:eastAsia="zh-CN"/>
        </w:rPr>
        <w:tab/>
      </w:r>
      <w:r>
        <w:rPr>
          <w:rFonts w:hAnsi="SimSun" w:hint="eastAsia"/>
          <w:bCs/>
          <w:lang w:eastAsia="zh-CN"/>
        </w:rPr>
        <w:t>会议的讨论项目将发布在焦点组的网页：</w:t>
      </w:r>
      <w:r w:rsidR="00F071F6">
        <w:fldChar w:fldCharType="begin"/>
      </w:r>
      <w:r w:rsidR="00065BEF">
        <w:instrText>HYPERLINK "http://www.itu.int/ITU-T/focusgroups/cloud/"</w:instrText>
      </w:r>
      <w:r w:rsidR="00F071F6">
        <w:fldChar w:fldCharType="separate"/>
      </w:r>
      <w:r w:rsidR="00F87BB4" w:rsidRPr="00243D13">
        <w:rPr>
          <w:rStyle w:val="Hyperlink"/>
        </w:rPr>
        <w:t>http://www.itu.int/ITU-T/focusgroups/</w:t>
      </w:r>
      <w:r w:rsidR="00F87BB4" w:rsidRPr="00243D13">
        <w:rPr>
          <w:rStyle w:val="Hyperlink"/>
          <w:rFonts w:hint="eastAsia"/>
          <w:lang w:eastAsia="zh-CN"/>
        </w:rPr>
        <w:t>cloud</w:t>
      </w:r>
      <w:r w:rsidR="00F87BB4" w:rsidRPr="00243D13">
        <w:rPr>
          <w:rStyle w:val="Hyperlink"/>
        </w:rPr>
        <w:t>/</w:t>
      </w:r>
      <w:r w:rsidR="00F071F6">
        <w:fldChar w:fldCharType="end"/>
      </w:r>
      <w:r>
        <w:rPr>
          <w:rFonts w:hint="eastAsia"/>
          <w:lang w:eastAsia="zh-CN"/>
        </w:rPr>
        <w:t>。焦点</w:t>
      </w:r>
      <w:r w:rsidRPr="005474A9">
        <w:rPr>
          <w:rFonts w:hint="eastAsia"/>
          <w:w w:val="98"/>
          <w:lang w:eastAsia="zh-CN"/>
        </w:rPr>
        <w:t>组管理层拟定的议程草案见</w:t>
      </w:r>
      <w:r w:rsidRPr="005474A9">
        <w:rPr>
          <w:rFonts w:hint="eastAsia"/>
          <w:b/>
          <w:bCs/>
          <w:w w:val="98"/>
          <w:lang w:eastAsia="zh-CN"/>
        </w:rPr>
        <w:t>附件</w:t>
      </w:r>
      <w:r w:rsidRPr="005474A9">
        <w:rPr>
          <w:rFonts w:hint="eastAsia"/>
          <w:b/>
          <w:bCs/>
          <w:w w:val="98"/>
          <w:lang w:eastAsia="zh-CN"/>
        </w:rPr>
        <w:t>2</w:t>
      </w:r>
      <w:r w:rsidRPr="005474A9">
        <w:rPr>
          <w:rFonts w:hint="eastAsia"/>
          <w:w w:val="98"/>
          <w:lang w:eastAsia="zh-CN"/>
        </w:rPr>
        <w:t>。会议相关信息及收到的文稿也将</w:t>
      </w:r>
      <w:r w:rsidRPr="005474A9">
        <w:rPr>
          <w:rFonts w:hAnsi="SimSun" w:hint="eastAsia"/>
          <w:bCs/>
          <w:w w:val="98"/>
          <w:lang w:eastAsia="zh-CN"/>
        </w:rPr>
        <w:t>在焦点组的网页上予以</w:t>
      </w:r>
      <w:r w:rsidRPr="005474A9">
        <w:rPr>
          <w:rFonts w:hint="eastAsia"/>
          <w:w w:val="98"/>
          <w:lang w:eastAsia="zh-CN"/>
        </w:rPr>
        <w:t>发布。</w:t>
      </w:r>
    </w:p>
    <w:p w:rsidR="0024373C" w:rsidRPr="00B02549" w:rsidRDefault="0024373C" w:rsidP="00CA4739">
      <w:pPr>
        <w:pStyle w:val="BodyText2"/>
        <w:tabs>
          <w:tab w:val="clear" w:pos="1191"/>
          <w:tab w:val="left" w:pos="851"/>
        </w:tabs>
        <w:spacing w:before="240"/>
        <w:ind w:right="-28" w:firstLineChars="200" w:firstLine="480"/>
        <w:rPr>
          <w:rFonts w:eastAsia="SimSun"/>
          <w:lang w:eastAsia="zh-CN"/>
        </w:rPr>
      </w:pPr>
      <w:r w:rsidRPr="00B02549">
        <w:rPr>
          <w:rFonts w:eastAsia="SimSun" w:hAnsi="SimSun"/>
          <w:lang w:eastAsia="zh-CN"/>
        </w:rPr>
        <w:t>会议将于</w:t>
      </w:r>
      <w:r>
        <w:rPr>
          <w:rFonts w:eastAsia="SimSun"/>
          <w:lang w:eastAsia="zh-CN"/>
        </w:rPr>
        <w:t>20</w:t>
      </w:r>
      <w:r>
        <w:rPr>
          <w:rFonts w:eastAsia="SimSun" w:hint="eastAsia"/>
          <w:lang w:eastAsia="zh-CN"/>
        </w:rPr>
        <w:t>10</w:t>
      </w:r>
      <w:r w:rsidRPr="00B02549">
        <w:rPr>
          <w:rFonts w:eastAsia="SimSun" w:hAnsi="SimSun"/>
          <w:lang w:eastAsia="zh-CN"/>
        </w:rPr>
        <w:t>年</w:t>
      </w:r>
      <w:r w:rsidRPr="00B02549">
        <w:rPr>
          <w:rFonts w:eastAsia="SimSun"/>
          <w:lang w:eastAsia="zh-CN"/>
        </w:rPr>
        <w:t>6</w:t>
      </w:r>
      <w:r w:rsidRPr="00B02549">
        <w:rPr>
          <w:rFonts w:eastAsia="SimSun" w:hAnsi="SimSun"/>
          <w:lang w:eastAsia="zh-CN"/>
        </w:rPr>
        <w:t>月</w:t>
      </w:r>
      <w:r>
        <w:rPr>
          <w:rFonts w:eastAsia="SimSun" w:hint="eastAsia"/>
          <w:lang w:eastAsia="zh-CN"/>
        </w:rPr>
        <w:t>14</w:t>
      </w:r>
      <w:r w:rsidRPr="00B02549">
        <w:rPr>
          <w:rFonts w:eastAsia="SimSun" w:hAnsi="SimSun"/>
          <w:lang w:eastAsia="zh-CN"/>
        </w:rPr>
        <w:t>日</w:t>
      </w:r>
      <w:r w:rsidRPr="00B02549">
        <w:rPr>
          <w:rFonts w:eastAsia="SimSun"/>
          <w:lang w:eastAsia="zh-CN"/>
        </w:rPr>
        <w:t>09</w:t>
      </w:r>
      <w:r>
        <w:rPr>
          <w:rFonts w:eastAsia="SimSun" w:hint="eastAsia"/>
          <w:lang w:eastAsia="zh-CN"/>
        </w:rPr>
        <w:t>:3</w:t>
      </w:r>
      <w:r>
        <w:rPr>
          <w:rFonts w:eastAsia="SimSun"/>
          <w:lang w:eastAsia="zh-CN"/>
        </w:rPr>
        <w:t>0</w:t>
      </w:r>
      <w:r w:rsidR="005474A9">
        <w:rPr>
          <w:rFonts w:eastAsia="SimSun" w:hAnsi="SimSun" w:hint="eastAsia"/>
          <w:lang w:eastAsia="zh-CN"/>
        </w:rPr>
        <w:t>分</w:t>
      </w:r>
      <w:r w:rsidRPr="00B02549">
        <w:rPr>
          <w:rFonts w:eastAsia="SimSun" w:hAnsi="SimSun"/>
          <w:lang w:eastAsia="zh-CN"/>
        </w:rPr>
        <w:t>开始。</w:t>
      </w:r>
      <w:r w:rsidRPr="00B02549">
        <w:rPr>
          <w:rFonts w:eastAsia="SimSun" w:hAnsi="SimSun"/>
          <w:lang w:val="en-US" w:eastAsia="zh-CN"/>
        </w:rPr>
        <w:t>与会者的注册工作将自</w:t>
      </w:r>
      <w:r w:rsidRPr="00B02549">
        <w:rPr>
          <w:rFonts w:eastAsia="SimSun"/>
          <w:lang w:val="en-US" w:eastAsia="zh-CN"/>
        </w:rPr>
        <w:t>08:30</w:t>
      </w:r>
      <w:r w:rsidR="005474A9">
        <w:rPr>
          <w:rFonts w:eastAsia="SimSun" w:hint="eastAsia"/>
          <w:lang w:val="en-US" w:eastAsia="zh-CN"/>
        </w:rPr>
        <w:t>分</w:t>
      </w:r>
      <w:r w:rsidRPr="00B02549">
        <w:rPr>
          <w:rFonts w:eastAsia="SimSun" w:hAnsi="SimSun"/>
          <w:lang w:val="en-US" w:eastAsia="zh-CN"/>
        </w:rPr>
        <w:t>在</w:t>
      </w:r>
      <w:proofErr w:type="spellStart"/>
      <w:r w:rsidR="0068262A" w:rsidRPr="00E4033E">
        <w:rPr>
          <w:lang w:eastAsia="zh-CN"/>
        </w:rPr>
        <w:t>Montbrillant</w:t>
      </w:r>
      <w:proofErr w:type="spellEnd"/>
      <w:r>
        <w:rPr>
          <w:rFonts w:eastAsia="SimSun" w:hAnsi="SimSun" w:hint="eastAsia"/>
          <w:lang w:val="en-US" w:eastAsia="zh-CN"/>
        </w:rPr>
        <w:t>大楼入口处</w:t>
      </w:r>
      <w:r w:rsidRPr="00B02549">
        <w:rPr>
          <w:rFonts w:eastAsia="SimSun" w:hAnsi="SimSun"/>
          <w:lang w:val="en-US" w:eastAsia="zh-CN"/>
        </w:rPr>
        <w:t>开始。</w:t>
      </w:r>
      <w:r w:rsidR="00F87BB4">
        <w:rPr>
          <w:rFonts w:eastAsia="SimSun" w:hAnsi="SimSun" w:hint="eastAsia"/>
          <w:lang w:val="en-US" w:eastAsia="zh-CN"/>
        </w:rPr>
        <w:t>国际电联总部入口处的电子屏幕</w:t>
      </w:r>
      <w:r w:rsidRPr="00B02549">
        <w:rPr>
          <w:rFonts w:eastAsia="SimSun" w:hAnsi="SimSun"/>
          <w:lang w:val="en-US" w:eastAsia="zh-CN"/>
        </w:rPr>
        <w:t>将显示</w:t>
      </w:r>
      <w:r w:rsidRPr="00B02549">
        <w:rPr>
          <w:rFonts w:eastAsia="SimSun" w:hAnsi="SimSun"/>
          <w:lang w:eastAsia="zh-CN"/>
        </w:rPr>
        <w:t>有关会议厅安排的具体信息。</w:t>
      </w:r>
      <w:r w:rsidR="0068262A">
        <w:rPr>
          <w:rFonts w:eastAsia="SimSun" w:hAnsi="SimSun" w:hint="eastAsia"/>
          <w:lang w:eastAsia="zh-CN"/>
        </w:rPr>
        <w:t>参加本次会议无须交纳注册费。</w:t>
      </w:r>
    </w:p>
    <w:p w:rsidR="00E1779A" w:rsidRPr="005474A9" w:rsidRDefault="00E1779A" w:rsidP="00CA4739">
      <w:pPr>
        <w:spacing w:before="240"/>
        <w:ind w:firstLineChars="200" w:firstLine="480"/>
        <w:rPr>
          <w:lang w:eastAsia="zh-CN"/>
        </w:rPr>
      </w:pPr>
      <w:r w:rsidRPr="005474A9">
        <w:rPr>
          <w:rFonts w:hint="eastAsia"/>
          <w:lang w:eastAsia="zh-CN"/>
        </w:rPr>
        <w:t>讨论将仅用英文进行。</w:t>
      </w:r>
    </w:p>
    <w:p w:rsidR="00800507" w:rsidRPr="005474A9" w:rsidRDefault="005474A9" w:rsidP="00CA4739">
      <w:pPr>
        <w:spacing w:before="240"/>
        <w:ind w:firstLineChars="200" w:firstLine="480"/>
        <w:rPr>
          <w:lang w:eastAsia="zh-CN"/>
        </w:rPr>
      </w:pPr>
      <w:r w:rsidRPr="005474A9">
        <w:rPr>
          <w:rFonts w:hint="eastAsia"/>
          <w:lang w:eastAsia="zh-CN"/>
        </w:rPr>
        <w:t>本次会议文件将可以公开获得</w:t>
      </w:r>
      <w:r w:rsidR="00014361" w:rsidRPr="005474A9">
        <w:rPr>
          <w:rFonts w:hint="eastAsia"/>
          <w:lang w:eastAsia="zh-CN"/>
        </w:rPr>
        <w:t>。</w:t>
      </w:r>
      <w:r w:rsidR="00800507" w:rsidRPr="005474A9">
        <w:rPr>
          <w:lang w:eastAsia="zh-CN"/>
        </w:rPr>
        <w:t>请您在文件编写过程中，使用</w:t>
      </w:r>
      <w:r w:rsidR="00014361" w:rsidRPr="005474A9">
        <w:rPr>
          <w:rFonts w:hint="eastAsia"/>
          <w:lang w:val="en-US" w:eastAsia="zh-CN"/>
        </w:rPr>
        <w:t>焦点组</w:t>
      </w:r>
      <w:r w:rsidR="00800507" w:rsidRPr="005474A9">
        <w:rPr>
          <w:lang w:eastAsia="zh-CN"/>
        </w:rPr>
        <w:t>网页为</w:t>
      </w:r>
      <w:r w:rsidR="00014361" w:rsidRPr="005474A9">
        <w:rPr>
          <w:rFonts w:hint="eastAsia"/>
          <w:lang w:eastAsia="zh-CN"/>
        </w:rPr>
        <w:t>焦点组</w:t>
      </w:r>
      <w:r w:rsidR="00800507" w:rsidRPr="005474A9">
        <w:rPr>
          <w:lang w:eastAsia="zh-CN"/>
        </w:rPr>
        <w:t>文件提供的基本模板。</w:t>
      </w:r>
      <w:r w:rsidR="00F87BB4" w:rsidRPr="005474A9">
        <w:rPr>
          <w:rFonts w:hint="eastAsia"/>
          <w:lang w:eastAsia="zh-CN"/>
        </w:rPr>
        <w:t>与会者应</w:t>
      </w:r>
      <w:r w:rsidR="00014361" w:rsidRPr="005474A9">
        <w:rPr>
          <w:rFonts w:hint="eastAsia"/>
          <w:lang w:eastAsia="zh-CN"/>
        </w:rPr>
        <w:t>采用</w:t>
      </w:r>
      <w:r w:rsidR="00F87BB4" w:rsidRPr="005474A9">
        <w:rPr>
          <w:rFonts w:hint="eastAsia"/>
          <w:lang w:eastAsia="zh-CN"/>
        </w:rPr>
        <w:t>如下</w:t>
      </w:r>
      <w:r w:rsidR="00014361" w:rsidRPr="005474A9">
        <w:rPr>
          <w:rFonts w:hint="eastAsia"/>
          <w:lang w:eastAsia="zh-CN"/>
        </w:rPr>
        <w:t>电子方式向电信标准化局</w:t>
      </w:r>
      <w:r w:rsidR="00800507" w:rsidRPr="005474A9">
        <w:rPr>
          <w:lang w:eastAsia="zh-CN"/>
        </w:rPr>
        <w:t>提交</w:t>
      </w:r>
      <w:r w:rsidR="00014361" w:rsidRPr="005474A9">
        <w:rPr>
          <w:rFonts w:hint="eastAsia"/>
          <w:lang w:eastAsia="zh-CN"/>
        </w:rPr>
        <w:t>有关</w:t>
      </w:r>
      <w:r w:rsidR="00F87BB4" w:rsidRPr="005474A9">
        <w:rPr>
          <w:lang w:eastAsia="zh-CN"/>
        </w:rPr>
        <w:t>FG Cloud</w:t>
      </w:r>
      <w:r w:rsidR="00014361" w:rsidRPr="005474A9">
        <w:rPr>
          <w:rFonts w:hint="eastAsia"/>
          <w:lang w:eastAsia="zh-CN"/>
        </w:rPr>
        <w:t>的输入文件：</w:t>
      </w:r>
    </w:p>
    <w:p w:rsidR="00014361" w:rsidRPr="00226C24" w:rsidRDefault="00531284" w:rsidP="00CA4739">
      <w:pPr>
        <w:tabs>
          <w:tab w:val="left" w:pos="1418"/>
          <w:tab w:val="left" w:pos="1702"/>
          <w:tab w:val="left" w:pos="2160"/>
        </w:tabs>
        <w:spacing w:before="240"/>
        <w:ind w:right="92"/>
        <w:rPr>
          <w:lang w:val="en-US" w:eastAsia="zh-CN"/>
        </w:rPr>
      </w:pPr>
      <w:r w:rsidRPr="00531284">
        <w:rPr>
          <w:lang w:val="en-US" w:eastAsia="zh-CN"/>
        </w:rPr>
        <w:t>–</w:t>
      </w:r>
      <w:r w:rsidR="00014361">
        <w:rPr>
          <w:rFonts w:hint="eastAsia"/>
          <w:lang w:val="en-US" w:eastAsia="zh-CN"/>
        </w:rPr>
        <w:tab/>
      </w:r>
      <w:r w:rsidR="00014361">
        <w:rPr>
          <w:rFonts w:hint="eastAsia"/>
          <w:lang w:val="en-US" w:eastAsia="zh-CN"/>
        </w:rPr>
        <w:t>通过</w:t>
      </w:r>
      <w:r w:rsidR="00F071F6">
        <w:fldChar w:fldCharType="begin"/>
      </w:r>
      <w:r w:rsidR="00065BEF">
        <w:rPr>
          <w:lang w:eastAsia="zh-CN"/>
        </w:rPr>
        <w:instrText>HYPERLINK "mailto:tsbfgscloud@itu.int"</w:instrText>
      </w:r>
      <w:r w:rsidR="00F071F6">
        <w:fldChar w:fldCharType="separate"/>
      </w:r>
      <w:r w:rsidR="00F87BB4" w:rsidRPr="00243D13">
        <w:rPr>
          <w:rStyle w:val="Hyperlink"/>
          <w:lang w:val="en-US" w:eastAsia="zh-CN"/>
        </w:rPr>
        <w:t>tsbfgs</w:t>
      </w:r>
      <w:r w:rsidR="00F87BB4" w:rsidRPr="00243D13">
        <w:rPr>
          <w:rStyle w:val="Hyperlink"/>
          <w:rFonts w:hint="eastAsia"/>
          <w:lang w:val="en-US" w:eastAsia="zh-CN"/>
        </w:rPr>
        <w:t>cloud</w:t>
      </w:r>
      <w:r w:rsidR="00F87BB4" w:rsidRPr="00243D13">
        <w:rPr>
          <w:rStyle w:val="Hyperlink"/>
          <w:lang w:val="en-US" w:eastAsia="zh-CN"/>
        </w:rPr>
        <w:t>@itu.int</w:t>
      </w:r>
      <w:r w:rsidR="00F071F6">
        <w:fldChar w:fldCharType="end"/>
      </w:r>
      <w:r w:rsidR="00014361">
        <w:rPr>
          <w:lang w:val="en-US" w:eastAsia="zh-CN"/>
        </w:rPr>
        <w:t xml:space="preserve"> </w:t>
      </w:r>
      <w:r w:rsidR="00014361">
        <w:rPr>
          <w:rFonts w:hint="eastAsia"/>
          <w:lang w:val="en-US" w:eastAsia="zh-CN"/>
        </w:rPr>
        <w:t>联系</w:t>
      </w:r>
      <w:r w:rsidR="003B7E3E">
        <w:rPr>
          <w:rFonts w:hint="eastAsia"/>
          <w:lang w:eastAsia="zh-CN"/>
        </w:rPr>
        <w:t>电信标准化局</w:t>
      </w:r>
      <w:r w:rsidR="00014361">
        <w:rPr>
          <w:rFonts w:hint="eastAsia"/>
          <w:lang w:val="en-US" w:eastAsia="zh-CN"/>
        </w:rPr>
        <w:t>，以</w:t>
      </w:r>
      <w:r w:rsidR="00CB555F">
        <w:rPr>
          <w:rFonts w:hint="eastAsia"/>
          <w:lang w:val="en-US" w:eastAsia="zh-CN"/>
        </w:rPr>
        <w:t>获得</w:t>
      </w:r>
      <w:r w:rsidR="00014361">
        <w:rPr>
          <w:rFonts w:hint="eastAsia"/>
          <w:lang w:val="en-US" w:eastAsia="zh-CN"/>
        </w:rPr>
        <w:t>每份文件的</w:t>
      </w:r>
      <w:r w:rsidR="00CB555F">
        <w:rPr>
          <w:rFonts w:hint="eastAsia"/>
          <w:lang w:val="en-US" w:eastAsia="zh-CN"/>
        </w:rPr>
        <w:t>编号</w:t>
      </w:r>
      <w:r w:rsidR="005A3EF6">
        <w:rPr>
          <w:lang w:val="en-US" w:eastAsia="zh-CN"/>
        </w:rPr>
        <w:t>（</w:t>
      </w:r>
      <w:proofErr w:type="spellStart"/>
      <w:r w:rsidR="00014361">
        <w:rPr>
          <w:lang w:val="en-US" w:eastAsia="zh-CN"/>
        </w:rPr>
        <w:t>nnnn</w:t>
      </w:r>
      <w:proofErr w:type="spellEnd"/>
      <w:r w:rsidR="0073042F">
        <w:rPr>
          <w:lang w:val="en-US" w:eastAsia="zh-CN"/>
        </w:rPr>
        <w:t>）</w:t>
      </w:r>
    </w:p>
    <w:p w:rsidR="00014361" w:rsidRDefault="00531284" w:rsidP="00CA4739">
      <w:pPr>
        <w:tabs>
          <w:tab w:val="left" w:pos="1418"/>
          <w:tab w:val="left" w:pos="1702"/>
          <w:tab w:val="left" w:pos="2160"/>
        </w:tabs>
        <w:spacing w:before="240"/>
        <w:ind w:right="92"/>
        <w:rPr>
          <w:lang w:val="en-US" w:eastAsia="zh-CN"/>
        </w:rPr>
      </w:pPr>
      <w:r w:rsidRPr="00531284">
        <w:rPr>
          <w:lang w:val="en-US" w:eastAsia="zh-CN"/>
        </w:rPr>
        <w:t>–</w:t>
      </w:r>
      <w:r w:rsidR="00014361" w:rsidRPr="00226C24">
        <w:rPr>
          <w:lang w:val="en-US"/>
        </w:rPr>
        <w:tab/>
      </w:r>
      <w:r w:rsidR="005474A9">
        <w:rPr>
          <w:rFonts w:hint="eastAsia"/>
          <w:lang w:val="en-US" w:eastAsia="zh-CN"/>
        </w:rPr>
        <w:t>采用</w:t>
      </w:r>
      <w:r w:rsidR="00014361">
        <w:rPr>
          <w:rFonts w:hint="eastAsia"/>
          <w:lang w:val="en-US" w:eastAsia="zh-CN"/>
        </w:rPr>
        <w:t>下述文档名称编制文件：</w:t>
      </w:r>
      <w:r w:rsidR="00014361" w:rsidRPr="00226C24">
        <w:rPr>
          <w:lang w:val="en-US"/>
        </w:rPr>
        <w:t>FG-</w:t>
      </w:r>
      <w:r w:rsidR="00F87BB4">
        <w:rPr>
          <w:rFonts w:hint="eastAsia"/>
          <w:lang w:val="en-US" w:eastAsia="zh-CN"/>
        </w:rPr>
        <w:t>Cloud</w:t>
      </w:r>
      <w:r w:rsidR="00014361" w:rsidRPr="00226C24">
        <w:rPr>
          <w:lang w:val="en-US"/>
        </w:rPr>
        <w:t>-I-</w:t>
      </w:r>
      <w:proofErr w:type="spellStart"/>
      <w:r w:rsidR="00014361" w:rsidRPr="00226C24">
        <w:rPr>
          <w:lang w:val="en-US"/>
        </w:rPr>
        <w:t>nnnn</w:t>
      </w:r>
      <w:proofErr w:type="spellEnd"/>
      <w:r w:rsidR="005A3EF6">
        <w:rPr>
          <w:rFonts w:hint="eastAsia"/>
          <w:lang w:val="en-US" w:eastAsia="zh-CN"/>
        </w:rPr>
        <w:t>（</w:t>
      </w:r>
      <w:r w:rsidR="00CB555F">
        <w:rPr>
          <w:rFonts w:hint="eastAsia"/>
          <w:lang w:val="en-US" w:eastAsia="zh-CN"/>
        </w:rPr>
        <w:t>加上适当的文档扩展名</w:t>
      </w:r>
      <w:r w:rsidR="0073042F">
        <w:rPr>
          <w:rFonts w:hint="eastAsia"/>
          <w:lang w:val="en-US" w:eastAsia="zh-CN"/>
        </w:rPr>
        <w:t>）</w:t>
      </w:r>
    </w:p>
    <w:p w:rsidR="00CA4739" w:rsidRDefault="00531284" w:rsidP="00CA4739">
      <w:pPr>
        <w:tabs>
          <w:tab w:val="left" w:pos="1418"/>
          <w:tab w:val="left" w:pos="1702"/>
          <w:tab w:val="left" w:pos="2160"/>
        </w:tabs>
        <w:spacing w:before="240"/>
        <w:ind w:right="92"/>
        <w:rPr>
          <w:lang w:val="en-US" w:eastAsia="zh-CN"/>
        </w:rPr>
      </w:pPr>
      <w:r w:rsidRPr="00531284">
        <w:rPr>
          <w:lang w:val="en-US" w:eastAsia="zh-CN"/>
        </w:rPr>
        <w:t>–</w:t>
      </w:r>
      <w:r w:rsidR="00014361">
        <w:rPr>
          <w:lang w:val="en-US"/>
        </w:rPr>
        <w:tab/>
      </w:r>
      <w:r w:rsidR="00CB555F">
        <w:rPr>
          <w:rFonts w:hint="eastAsia"/>
          <w:lang w:val="en-US" w:eastAsia="zh-CN"/>
        </w:rPr>
        <w:t>使用</w:t>
      </w:r>
      <w:r w:rsidR="00CB555F">
        <w:rPr>
          <w:lang w:val="en-US"/>
        </w:rPr>
        <w:t>FTP</w:t>
      </w:r>
      <w:r w:rsidR="00CB555F">
        <w:rPr>
          <w:rFonts w:hint="eastAsia"/>
          <w:lang w:val="en-US" w:eastAsia="zh-CN"/>
        </w:rPr>
        <w:t>客户端，将文件上传至</w:t>
      </w:r>
      <w:r w:rsidR="00F87BB4">
        <w:rPr>
          <w:lang w:val="en-US"/>
        </w:rPr>
        <w:t>FG Cloud</w:t>
      </w:r>
      <w:r w:rsidR="00CB555F">
        <w:rPr>
          <w:lang w:val="en-US"/>
        </w:rPr>
        <w:t xml:space="preserve"> FTP</w:t>
      </w:r>
      <w:r w:rsidR="00CB555F">
        <w:rPr>
          <w:rFonts w:hint="eastAsia"/>
          <w:lang w:val="en-US" w:eastAsia="zh-CN"/>
        </w:rPr>
        <w:t>区域的文件投入文件夹</w:t>
      </w:r>
    </w:p>
    <w:p w:rsidR="00CA4739" w:rsidRDefault="00014361" w:rsidP="00CA4739">
      <w:pPr>
        <w:tabs>
          <w:tab w:val="left" w:pos="1418"/>
          <w:tab w:val="left" w:pos="1702"/>
          <w:tab w:val="left" w:pos="2160"/>
        </w:tabs>
        <w:ind w:right="91"/>
        <w:rPr>
          <w:lang w:val="en-US" w:eastAsia="zh-CN"/>
        </w:rPr>
      </w:pPr>
      <w:r>
        <w:rPr>
          <w:lang w:val="en-US"/>
        </w:rPr>
        <w:tab/>
      </w:r>
      <w:r w:rsidR="005474A9" w:rsidRPr="005474A9">
        <w:rPr>
          <w:bCs/>
          <w:szCs w:val="22"/>
          <w:lang w:val="en-US"/>
        </w:rPr>
        <w:t>•</w:t>
      </w:r>
      <w:r w:rsidR="005474A9" w:rsidRPr="002A4A8E">
        <w:rPr>
          <w:bCs/>
          <w:szCs w:val="22"/>
          <w:lang w:val="en-US"/>
        </w:rPr>
        <w:tab/>
      </w:r>
      <w:r w:rsidR="00CB555F">
        <w:rPr>
          <w:rFonts w:hint="eastAsia"/>
          <w:b/>
          <w:bCs/>
          <w:lang w:val="en-US" w:eastAsia="zh-CN"/>
        </w:rPr>
        <w:t>主机名：</w:t>
      </w:r>
      <w:r>
        <w:rPr>
          <w:lang w:val="en-US"/>
        </w:rPr>
        <w:t>ifa.itu.int</w:t>
      </w:r>
    </w:p>
    <w:p w:rsidR="005474A9" w:rsidRDefault="00014361" w:rsidP="00CA4739">
      <w:pPr>
        <w:tabs>
          <w:tab w:val="left" w:pos="1418"/>
          <w:tab w:val="left" w:pos="1702"/>
          <w:tab w:val="left" w:pos="2160"/>
        </w:tabs>
        <w:ind w:right="91"/>
        <w:rPr>
          <w:lang w:val="en-US" w:eastAsia="zh-CN"/>
        </w:rPr>
      </w:pPr>
      <w:r>
        <w:rPr>
          <w:lang w:val="en-US"/>
        </w:rPr>
        <w:tab/>
      </w:r>
      <w:r w:rsidR="005474A9" w:rsidRPr="002A4A8E">
        <w:rPr>
          <w:bCs/>
          <w:szCs w:val="22"/>
          <w:lang w:val="en-US"/>
        </w:rPr>
        <w:t>•</w:t>
      </w:r>
      <w:r w:rsidR="005474A9" w:rsidRPr="002A4A8E">
        <w:rPr>
          <w:bCs/>
          <w:szCs w:val="22"/>
          <w:lang w:val="en-US"/>
        </w:rPr>
        <w:tab/>
      </w:r>
      <w:r w:rsidR="00CB555F">
        <w:rPr>
          <w:rFonts w:hint="eastAsia"/>
          <w:b/>
          <w:bCs/>
          <w:lang w:val="en-US" w:eastAsia="zh-CN"/>
        </w:rPr>
        <w:t>路径：</w:t>
      </w:r>
      <w:r w:rsidRPr="00CA37FA">
        <w:rPr>
          <w:lang w:val="en-US"/>
        </w:rPr>
        <w:t>/t/</w:t>
      </w:r>
      <w:proofErr w:type="spellStart"/>
      <w:r w:rsidRPr="00CA37FA">
        <w:rPr>
          <w:lang w:val="en-US"/>
        </w:rPr>
        <w:t>fg</w:t>
      </w:r>
      <w:proofErr w:type="spellEnd"/>
      <w:r w:rsidRPr="00CA37FA">
        <w:rPr>
          <w:lang w:val="en-US"/>
        </w:rPr>
        <w:t>/</w:t>
      </w:r>
      <w:r w:rsidR="00F87BB4">
        <w:rPr>
          <w:rFonts w:hint="eastAsia"/>
          <w:lang w:val="en-US" w:eastAsia="zh-CN"/>
        </w:rPr>
        <w:t>cloud</w:t>
      </w:r>
      <w:r>
        <w:rPr>
          <w:lang w:val="en-US"/>
        </w:rPr>
        <w:t>/docs/incoming</w:t>
      </w:r>
    </w:p>
    <w:p w:rsidR="00014361" w:rsidRPr="00531284" w:rsidRDefault="00CB555F" w:rsidP="00CA4739">
      <w:pPr>
        <w:spacing w:before="240"/>
        <w:ind w:firstLineChars="200" w:firstLine="480"/>
        <w:rPr>
          <w:lang w:eastAsia="zh-CN"/>
        </w:rPr>
      </w:pPr>
      <w:r>
        <w:rPr>
          <w:rFonts w:hint="eastAsia"/>
          <w:lang w:val="en-US" w:eastAsia="zh-CN"/>
        </w:rPr>
        <w:t>注意：可用下述网页浏览器阅读文件投入箱内的文件：</w:t>
      </w:r>
      <w:r w:rsidR="00014361">
        <w:rPr>
          <w:lang w:val="en-US" w:eastAsia="zh-CN"/>
        </w:rPr>
        <w:t xml:space="preserve"> </w:t>
      </w:r>
      <w:hyperlink r:id="rId10" w:history="1">
        <w:r w:rsidR="00F87BB4" w:rsidRPr="00243D13">
          <w:rPr>
            <w:rStyle w:val="Hyperlink"/>
            <w:lang w:val="en-US" w:eastAsia="zh-CN"/>
          </w:rPr>
          <w:t>http://ifa.itu.int/t/fg/</w:t>
        </w:r>
        <w:r w:rsidR="00F87BB4" w:rsidRPr="00243D13">
          <w:rPr>
            <w:rStyle w:val="Hyperlink"/>
            <w:rFonts w:hint="eastAsia"/>
            <w:lang w:val="en-US" w:eastAsia="zh-CN"/>
          </w:rPr>
          <w:t>cloud</w:t>
        </w:r>
        <w:r w:rsidR="00F87BB4" w:rsidRPr="00243D13">
          <w:rPr>
            <w:rStyle w:val="Hyperlink"/>
            <w:lang w:val="en-US" w:eastAsia="zh-CN"/>
          </w:rPr>
          <w:t>/docs/incoming/</w:t>
        </w:r>
      </w:hyperlink>
      <w:r w:rsidR="00531284">
        <w:rPr>
          <w:rFonts w:hint="eastAsia"/>
          <w:lang w:eastAsia="zh-CN"/>
        </w:rPr>
        <w:t>。</w:t>
      </w:r>
    </w:p>
    <w:p w:rsidR="00014361" w:rsidRDefault="00F87BB4" w:rsidP="00CA4739">
      <w:pPr>
        <w:spacing w:before="240"/>
        <w:ind w:firstLineChars="200" w:firstLine="480"/>
        <w:rPr>
          <w:lang w:val="en-US" w:eastAsia="zh-CN"/>
        </w:rPr>
      </w:pPr>
      <w:r>
        <w:rPr>
          <w:rFonts w:hAnsi="SimSun" w:hint="eastAsia"/>
          <w:lang w:eastAsia="zh-CN"/>
        </w:rPr>
        <w:t>电信标准化局</w:t>
      </w:r>
      <w:r>
        <w:rPr>
          <w:rFonts w:hint="eastAsia"/>
          <w:lang w:val="en-US" w:eastAsia="zh-CN"/>
        </w:rPr>
        <w:t>将对文件进行</w:t>
      </w:r>
      <w:r w:rsidR="00CB555F">
        <w:rPr>
          <w:rFonts w:hint="eastAsia"/>
          <w:lang w:val="en-US" w:eastAsia="zh-CN"/>
        </w:rPr>
        <w:t>处理，然后移动至相关的只读文件夹：</w:t>
      </w:r>
      <w:hyperlink r:id="rId11" w:history="1">
        <w:r w:rsidRPr="00243D13">
          <w:rPr>
            <w:rStyle w:val="Hyperlink"/>
            <w:lang w:val="en-US"/>
          </w:rPr>
          <w:t>http://ifa.itu.int/t/fg/</w:t>
        </w:r>
        <w:r w:rsidRPr="00243D13">
          <w:rPr>
            <w:rStyle w:val="Hyperlink"/>
            <w:rFonts w:hint="eastAsia"/>
            <w:lang w:val="en-US" w:eastAsia="zh-CN"/>
          </w:rPr>
          <w:t>cloud</w:t>
        </w:r>
        <w:r w:rsidRPr="00243D13">
          <w:rPr>
            <w:rStyle w:val="Hyperlink"/>
            <w:lang w:val="en-US"/>
          </w:rPr>
          <w:t>/docs/1006-gva/in/</w:t>
        </w:r>
      </w:hyperlink>
      <w:r w:rsidR="00531284">
        <w:rPr>
          <w:rFonts w:hint="eastAsia"/>
          <w:lang w:eastAsia="zh-CN"/>
        </w:rPr>
        <w:t>。</w:t>
      </w:r>
    </w:p>
    <w:p w:rsidR="00014361" w:rsidRPr="00014361" w:rsidRDefault="003B7E3E" w:rsidP="00CA4739">
      <w:pPr>
        <w:spacing w:before="240"/>
        <w:ind w:firstLineChars="200" w:firstLine="480"/>
        <w:rPr>
          <w:lang w:val="en-US" w:eastAsia="zh-CN"/>
        </w:rPr>
      </w:pPr>
      <w:r>
        <w:rPr>
          <w:rFonts w:hint="eastAsia"/>
          <w:lang w:val="en-US" w:eastAsia="zh-CN"/>
        </w:rPr>
        <w:t>经焦点组管理层同意，首次会议的文件提交截止时间为</w:t>
      </w:r>
      <w:r w:rsidRPr="00F87BB4">
        <w:rPr>
          <w:rFonts w:hint="eastAsia"/>
          <w:b/>
          <w:bCs/>
          <w:lang w:val="en-US" w:eastAsia="zh-CN"/>
        </w:rPr>
        <w:t>2010</w:t>
      </w:r>
      <w:r w:rsidRPr="00F87BB4">
        <w:rPr>
          <w:rFonts w:hint="eastAsia"/>
          <w:b/>
          <w:bCs/>
          <w:lang w:val="en-US" w:eastAsia="zh-CN"/>
        </w:rPr>
        <w:t>年</w:t>
      </w:r>
      <w:r w:rsidRPr="00F87BB4">
        <w:rPr>
          <w:rFonts w:hint="eastAsia"/>
          <w:b/>
          <w:bCs/>
          <w:lang w:val="en-US" w:eastAsia="zh-CN"/>
        </w:rPr>
        <w:t>6</w:t>
      </w:r>
      <w:r w:rsidRPr="00F87BB4">
        <w:rPr>
          <w:rFonts w:hint="eastAsia"/>
          <w:b/>
          <w:bCs/>
          <w:lang w:val="en-US" w:eastAsia="zh-CN"/>
        </w:rPr>
        <w:t>月</w:t>
      </w:r>
      <w:r w:rsidRPr="00F87BB4">
        <w:rPr>
          <w:rFonts w:hint="eastAsia"/>
          <w:b/>
          <w:bCs/>
          <w:lang w:val="en-US" w:eastAsia="zh-CN"/>
        </w:rPr>
        <w:t>7</w:t>
      </w:r>
      <w:r w:rsidRPr="00F87BB4">
        <w:rPr>
          <w:rFonts w:hint="eastAsia"/>
          <w:b/>
          <w:bCs/>
          <w:lang w:val="en-US" w:eastAsia="zh-CN"/>
        </w:rPr>
        <w:t>日</w:t>
      </w:r>
      <w:r>
        <w:rPr>
          <w:rFonts w:hint="eastAsia"/>
          <w:lang w:val="en-US" w:eastAsia="zh-CN"/>
        </w:rPr>
        <w:t>。请注意，本次会议将是一次无纸会议。</w:t>
      </w:r>
    </w:p>
    <w:p w:rsidR="002F3D1A" w:rsidRPr="00C868BD" w:rsidRDefault="00E1779A" w:rsidP="00CA4739">
      <w:pPr>
        <w:tabs>
          <w:tab w:val="clear" w:pos="794"/>
          <w:tab w:val="clear" w:pos="1191"/>
          <w:tab w:val="left" w:pos="798"/>
          <w:tab w:val="left" w:pos="993"/>
        </w:tabs>
        <w:overflowPunct w:val="0"/>
        <w:autoSpaceDE w:val="0"/>
        <w:autoSpaceDN w:val="0"/>
        <w:adjustRightInd w:val="0"/>
        <w:spacing w:before="240"/>
        <w:textAlignment w:val="baseline"/>
        <w:rPr>
          <w:szCs w:val="24"/>
          <w:lang w:eastAsia="zh-CN"/>
        </w:rPr>
      </w:pPr>
      <w:r w:rsidRPr="00E1779A">
        <w:rPr>
          <w:rFonts w:hint="eastAsia"/>
          <w:lang w:val="en-US" w:eastAsia="zh-CN"/>
        </w:rPr>
        <w:t>7</w:t>
      </w:r>
      <w:r w:rsidRPr="00E1779A">
        <w:rPr>
          <w:rFonts w:hint="eastAsia"/>
          <w:lang w:val="en-US" w:eastAsia="zh-CN"/>
        </w:rPr>
        <w:tab/>
      </w:r>
      <w:r w:rsidRPr="00E1779A">
        <w:rPr>
          <w:rFonts w:hint="eastAsia"/>
          <w:lang w:val="en-US" w:eastAsia="zh-CN"/>
        </w:rPr>
        <w:t>国际电联的主要会议厅和日内瓦国际会议中心</w:t>
      </w:r>
      <w:r w:rsidR="0073042F">
        <w:rPr>
          <w:rFonts w:hint="eastAsia"/>
          <w:lang w:val="en-US" w:eastAsia="zh-CN"/>
        </w:rPr>
        <w:t>（</w:t>
      </w:r>
      <w:r w:rsidRPr="00E1779A">
        <w:rPr>
          <w:rFonts w:hint="eastAsia"/>
          <w:lang w:val="en-US" w:eastAsia="zh-CN"/>
        </w:rPr>
        <w:t>CICG</w:t>
      </w:r>
      <w:r w:rsidR="0073042F">
        <w:rPr>
          <w:rFonts w:hint="eastAsia"/>
          <w:lang w:val="en-US" w:eastAsia="zh-CN"/>
        </w:rPr>
        <w:t>）</w:t>
      </w:r>
      <w:r w:rsidRPr="00E1779A">
        <w:rPr>
          <w:rFonts w:hint="eastAsia"/>
          <w:lang w:val="en-US" w:eastAsia="zh-CN"/>
        </w:rPr>
        <w:t>内均设有无线局域网设施，供代表使用。国际电联</w:t>
      </w:r>
      <w:proofErr w:type="spellStart"/>
      <w:r w:rsidRPr="00E1779A">
        <w:rPr>
          <w:lang w:val="en-US" w:eastAsia="zh-CN"/>
        </w:rPr>
        <w:t>Montbrillant</w:t>
      </w:r>
      <w:proofErr w:type="spellEnd"/>
      <w:r w:rsidRPr="00E1779A">
        <w:rPr>
          <w:rFonts w:hint="eastAsia"/>
          <w:lang w:val="en-US" w:eastAsia="zh-CN"/>
        </w:rPr>
        <w:t>办公楼内继续提供有线网络接入。详细信息见</w:t>
      </w:r>
      <w:r w:rsidRPr="00E1779A">
        <w:rPr>
          <w:rFonts w:hint="eastAsia"/>
          <w:lang w:val="en-US" w:eastAsia="zh-CN"/>
        </w:rPr>
        <w:t>ITU-T</w:t>
      </w:r>
      <w:r w:rsidRPr="00E1779A">
        <w:rPr>
          <w:rFonts w:hint="eastAsia"/>
          <w:lang w:val="en-US" w:eastAsia="zh-CN"/>
        </w:rPr>
        <w:t>网站</w:t>
      </w:r>
      <w:r w:rsidR="0073042F">
        <w:rPr>
          <w:rFonts w:hint="eastAsia"/>
          <w:szCs w:val="24"/>
          <w:lang w:eastAsia="zh-CN"/>
        </w:rPr>
        <w:t>（</w:t>
      </w:r>
      <w:hyperlink r:id="rId12" w:history="1">
        <w:r w:rsidRPr="00C868BD">
          <w:rPr>
            <w:rStyle w:val="Hyperlink"/>
            <w:szCs w:val="24"/>
            <w:lang w:eastAsia="zh-CN"/>
          </w:rPr>
          <w:t>http://www.itu.int/ITU-T/edh/faqs-support.html</w:t>
        </w:r>
      </w:hyperlink>
      <w:r w:rsidR="0073042F">
        <w:rPr>
          <w:rFonts w:hint="eastAsia"/>
          <w:szCs w:val="24"/>
          <w:lang w:eastAsia="zh-CN"/>
        </w:rPr>
        <w:t>）</w:t>
      </w:r>
      <w:r w:rsidRPr="00C868BD">
        <w:rPr>
          <w:rFonts w:hint="eastAsia"/>
          <w:szCs w:val="24"/>
          <w:lang w:eastAsia="zh-CN"/>
        </w:rPr>
        <w:t>。</w:t>
      </w:r>
    </w:p>
    <w:p w:rsidR="00E1779A" w:rsidRDefault="00E1779A" w:rsidP="00CA4739">
      <w:pPr>
        <w:spacing w:before="240"/>
        <w:rPr>
          <w:lang w:eastAsia="zh-CN"/>
        </w:rPr>
      </w:pPr>
      <w:r>
        <w:rPr>
          <w:rFonts w:hint="eastAsia"/>
          <w:lang w:eastAsia="zh-CN"/>
        </w:rPr>
        <w:t>8</w:t>
      </w:r>
      <w:r>
        <w:rPr>
          <w:rFonts w:hint="eastAsia"/>
          <w:lang w:eastAsia="zh-CN"/>
        </w:rPr>
        <w:tab/>
      </w:r>
      <w:r>
        <w:rPr>
          <w:rFonts w:hint="eastAsia"/>
          <w:b/>
          <w:bCs/>
          <w:szCs w:val="23"/>
          <w:lang w:eastAsia="zh-CN"/>
        </w:rPr>
        <w:t>附件</w:t>
      </w:r>
      <w:r w:rsidR="003B7E3E">
        <w:rPr>
          <w:rFonts w:hint="eastAsia"/>
          <w:b/>
          <w:bCs/>
          <w:szCs w:val="23"/>
          <w:lang w:eastAsia="zh-CN"/>
        </w:rPr>
        <w:t>3</w:t>
      </w:r>
      <w:r>
        <w:rPr>
          <w:rFonts w:hint="eastAsia"/>
          <w:szCs w:val="23"/>
          <w:lang w:eastAsia="zh-CN"/>
        </w:rPr>
        <w:t>中有一份酒店确认单</w:t>
      </w:r>
      <w:r w:rsidR="0073042F">
        <w:rPr>
          <w:rFonts w:hint="eastAsia"/>
          <w:szCs w:val="23"/>
          <w:lang w:eastAsia="zh-CN"/>
        </w:rPr>
        <w:t>（</w:t>
      </w:r>
      <w:r>
        <w:rPr>
          <w:rFonts w:hint="eastAsia"/>
          <w:szCs w:val="23"/>
          <w:lang w:eastAsia="zh-CN"/>
        </w:rPr>
        <w:t>酒店清单见</w:t>
      </w:r>
      <w:hyperlink r:id="rId13" w:history="1">
        <w:r w:rsidRPr="006609BF">
          <w:rPr>
            <w:rStyle w:val="Hyperlink"/>
            <w:szCs w:val="23"/>
            <w:lang w:eastAsia="zh-CN"/>
          </w:rPr>
          <w:t>http://www.itu.int/travel/</w:t>
        </w:r>
      </w:hyperlink>
      <w:r w:rsidR="0073042F">
        <w:rPr>
          <w:rFonts w:hint="eastAsia"/>
          <w:szCs w:val="23"/>
          <w:lang w:eastAsia="zh-CN"/>
        </w:rPr>
        <w:t>）</w:t>
      </w:r>
      <w:r>
        <w:rPr>
          <w:rFonts w:hint="eastAsia"/>
          <w:szCs w:val="23"/>
          <w:lang w:val="en-US" w:eastAsia="zh-CN"/>
        </w:rPr>
        <w:t>，</w:t>
      </w:r>
      <w:r>
        <w:rPr>
          <w:rFonts w:hint="eastAsia"/>
          <w:szCs w:val="23"/>
          <w:lang w:eastAsia="zh-CN"/>
        </w:rPr>
        <w:t>供参考。</w:t>
      </w:r>
    </w:p>
    <w:p w:rsidR="00E1779A" w:rsidRPr="00180EF1" w:rsidRDefault="00E1779A" w:rsidP="00CA4739">
      <w:pPr>
        <w:tabs>
          <w:tab w:val="left" w:pos="1418"/>
          <w:tab w:val="left" w:pos="1702"/>
          <w:tab w:val="left" w:pos="2160"/>
        </w:tabs>
        <w:spacing w:before="240"/>
        <w:ind w:right="-96"/>
        <w:jc w:val="both"/>
        <w:rPr>
          <w:b/>
          <w:bCs/>
          <w:lang w:eastAsia="zh-CN"/>
        </w:rPr>
      </w:pPr>
      <w:r>
        <w:rPr>
          <w:lang w:eastAsia="zh-CN"/>
        </w:rPr>
        <w:t>9</w:t>
      </w:r>
      <w:r>
        <w:rPr>
          <w:lang w:eastAsia="zh-CN"/>
        </w:rPr>
        <w:tab/>
      </w:r>
      <w:r w:rsidR="003B7E3E">
        <w:rPr>
          <w:rFonts w:hint="eastAsia"/>
          <w:lang w:eastAsia="zh-CN"/>
        </w:rPr>
        <w:t>为便于电信标准化局就焦点组会议</w:t>
      </w:r>
      <w:r>
        <w:rPr>
          <w:rFonts w:hint="eastAsia"/>
          <w:lang w:eastAsia="zh-CN"/>
        </w:rPr>
        <w:t>的组织做出必要安排，我希望您能通过</w:t>
      </w:r>
      <w:hyperlink r:id="rId14" w:history="1">
        <w:r w:rsidR="00F64032" w:rsidRPr="0072134C">
          <w:rPr>
            <w:rStyle w:val="Hyperlink"/>
            <w:lang w:eastAsia="zh-CN"/>
          </w:rPr>
          <w:t>http://www.itu.int/</w:t>
        </w:r>
        <w:r w:rsidR="00F64032" w:rsidRPr="0072134C">
          <w:rPr>
            <w:rStyle w:val="Hyperlink"/>
            <w:lang w:eastAsia="zh-CN"/>
          </w:rPr>
          <w:t>I</w:t>
        </w:r>
        <w:r w:rsidR="00F64032" w:rsidRPr="0072134C">
          <w:rPr>
            <w:rStyle w:val="Hyperlink"/>
            <w:lang w:eastAsia="zh-CN"/>
          </w:rPr>
          <w:t>TU-T/focusgroups/</w:t>
        </w:r>
        <w:r w:rsidR="00F64032" w:rsidRPr="0072134C">
          <w:rPr>
            <w:rStyle w:val="Hyperlink"/>
            <w:rFonts w:hint="eastAsia"/>
            <w:lang w:eastAsia="zh-CN"/>
          </w:rPr>
          <w:t>cloud</w:t>
        </w:r>
        <w:r w:rsidR="00F64032" w:rsidRPr="0072134C">
          <w:rPr>
            <w:rStyle w:val="Hyperlink"/>
            <w:lang w:eastAsia="zh-CN"/>
          </w:rPr>
          <w:t>/</w:t>
        </w:r>
      </w:hyperlink>
      <w:r w:rsidR="00F64032">
        <w:rPr>
          <w:lang w:eastAsia="zh-CN"/>
        </w:rPr>
        <w:t xml:space="preserve"> </w:t>
      </w:r>
      <w:r>
        <w:rPr>
          <w:rFonts w:hint="eastAsia"/>
          <w:lang w:eastAsia="zh-CN"/>
        </w:rPr>
        <w:t>网址</w:t>
      </w:r>
      <w:r>
        <w:rPr>
          <w:rFonts w:hint="eastAsia"/>
          <w:lang w:val="en-US" w:eastAsia="zh-CN"/>
        </w:rPr>
        <w:t>以</w:t>
      </w:r>
      <w:r>
        <w:rPr>
          <w:rFonts w:hint="eastAsia"/>
          <w:lang w:eastAsia="zh-CN"/>
        </w:rPr>
        <w:t>在线形式向电信标准化局尽早、但</w:t>
      </w:r>
      <w:r>
        <w:rPr>
          <w:rFonts w:hint="eastAsia"/>
          <w:b/>
          <w:bCs/>
          <w:lang w:eastAsia="zh-CN"/>
        </w:rPr>
        <w:t>不迟于</w:t>
      </w:r>
      <w:r w:rsidR="003B7E3E">
        <w:rPr>
          <w:rFonts w:hint="eastAsia"/>
          <w:b/>
          <w:bCs/>
          <w:lang w:eastAsia="zh-CN"/>
        </w:rPr>
        <w:t>2010</w:t>
      </w:r>
      <w:r w:rsidR="003B7E3E">
        <w:rPr>
          <w:rFonts w:hint="eastAsia"/>
          <w:b/>
          <w:bCs/>
          <w:lang w:eastAsia="zh-CN"/>
        </w:rPr>
        <w:t>年</w:t>
      </w:r>
      <w:r w:rsidR="003B7E3E">
        <w:rPr>
          <w:rFonts w:hint="eastAsia"/>
          <w:b/>
          <w:bCs/>
          <w:lang w:eastAsia="zh-CN"/>
        </w:rPr>
        <w:t>6</w:t>
      </w:r>
      <w:r w:rsidR="003B7E3E">
        <w:rPr>
          <w:rFonts w:hint="eastAsia"/>
          <w:b/>
          <w:bCs/>
          <w:lang w:eastAsia="zh-CN"/>
        </w:rPr>
        <w:t>月</w:t>
      </w:r>
      <w:r w:rsidR="003B7E3E">
        <w:rPr>
          <w:rFonts w:hint="eastAsia"/>
          <w:b/>
          <w:bCs/>
          <w:lang w:eastAsia="zh-CN"/>
        </w:rPr>
        <w:t>1</w:t>
      </w:r>
      <w:r w:rsidR="003B7E3E">
        <w:rPr>
          <w:rFonts w:hint="eastAsia"/>
          <w:b/>
          <w:bCs/>
          <w:lang w:eastAsia="zh-CN"/>
        </w:rPr>
        <w:t>日</w:t>
      </w:r>
      <w:r>
        <w:rPr>
          <w:rFonts w:hint="eastAsia"/>
          <w:lang w:eastAsia="zh-CN"/>
        </w:rPr>
        <w:t>进行注册。</w:t>
      </w:r>
      <w:r>
        <w:rPr>
          <w:rFonts w:hint="eastAsia"/>
          <w:b/>
          <w:bCs/>
          <w:lang w:eastAsia="zh-CN"/>
        </w:rPr>
        <w:t>请注意，</w:t>
      </w:r>
      <w:r w:rsidR="005A3EF6">
        <w:rPr>
          <w:rFonts w:hint="eastAsia"/>
          <w:b/>
          <w:bCs/>
          <w:lang w:eastAsia="zh-CN"/>
        </w:rPr>
        <w:t>会议</w:t>
      </w:r>
      <w:r>
        <w:rPr>
          <w:rFonts w:hint="eastAsia"/>
          <w:b/>
          <w:bCs/>
          <w:lang w:eastAsia="zh-CN"/>
        </w:rPr>
        <w:t>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p>
    <w:p w:rsidR="00531284" w:rsidRDefault="00E1779A" w:rsidP="00CA4739">
      <w:pPr>
        <w:tabs>
          <w:tab w:val="left" w:pos="1418"/>
          <w:tab w:val="left" w:pos="1702"/>
          <w:tab w:val="left" w:pos="2160"/>
        </w:tabs>
        <w:spacing w:before="240"/>
        <w:ind w:right="92"/>
        <w:jc w:val="both"/>
        <w:rPr>
          <w:lang w:eastAsia="zh-CN"/>
        </w:rPr>
      </w:pPr>
      <w:r>
        <w:rPr>
          <w:rFonts w:hint="eastAsia"/>
          <w:lang w:eastAsia="zh-CN"/>
        </w:rPr>
        <w:t>10</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在此提醒您，一些国家的公民需要获得签证才能入境瑞士并在此逗留。</w:t>
      </w:r>
      <w:r w:rsidRPr="00F62F25">
        <w:rPr>
          <w:rFonts w:hint="eastAsia"/>
          <w:b/>
          <w:lang w:eastAsia="zh-CN"/>
        </w:rPr>
        <w:t>签证必须</w:t>
      </w:r>
      <w:r w:rsidR="003B7E3E">
        <w:rPr>
          <w:rFonts w:hint="eastAsia"/>
          <w:b/>
          <w:lang w:eastAsia="zh-CN"/>
        </w:rPr>
        <w:t>尽早</w:t>
      </w:r>
      <w:r w:rsidRPr="00531284">
        <w:rPr>
          <w:rFonts w:hint="eastAsia"/>
          <w:bCs/>
          <w:lang w:eastAsia="zh-CN"/>
        </w:rPr>
        <w:t>至少向驻贵国的瑞士代表机构</w:t>
      </w:r>
      <w:r w:rsidR="0073042F" w:rsidRPr="00531284">
        <w:rPr>
          <w:rFonts w:hint="eastAsia"/>
          <w:bCs/>
          <w:lang w:eastAsia="zh-CN"/>
        </w:rPr>
        <w:t>（</w:t>
      </w:r>
      <w:r w:rsidRPr="00531284">
        <w:rPr>
          <w:rFonts w:hint="eastAsia"/>
          <w:bCs/>
          <w:lang w:eastAsia="zh-CN"/>
        </w:rPr>
        <w:t>使馆或领事馆</w:t>
      </w:r>
      <w:r w:rsidR="0073042F" w:rsidRPr="00531284">
        <w:rPr>
          <w:rFonts w:hint="eastAsia"/>
          <w:bCs/>
          <w:lang w:eastAsia="zh-CN"/>
        </w:rPr>
        <w:t>）</w:t>
      </w:r>
      <w:r w:rsidRPr="00F62F25">
        <w:rPr>
          <w:rFonts w:hint="eastAsia"/>
          <w:b/>
          <w:lang w:eastAsia="zh-CN"/>
        </w:rPr>
        <w:t>申请</w:t>
      </w:r>
      <w:r w:rsidRPr="00531284">
        <w:rPr>
          <w:rFonts w:hint="eastAsia"/>
          <w:bCs/>
          <w:lang w:eastAsia="zh-CN"/>
        </w:rPr>
        <w:t>，并随后领取。</w:t>
      </w:r>
      <w:r>
        <w:rPr>
          <w:rFonts w:hint="eastAsia"/>
          <w:lang w:eastAsia="zh-CN"/>
        </w:rPr>
        <w:t>如贵国没有此类机构，则请向驻离贵国最近的国家的此类机构申请并领取。</w:t>
      </w:r>
    </w:p>
    <w:p w:rsidR="00531284" w:rsidRDefault="00531284">
      <w:pPr>
        <w:tabs>
          <w:tab w:val="clear" w:pos="794"/>
          <w:tab w:val="clear" w:pos="1191"/>
          <w:tab w:val="clear" w:pos="1588"/>
          <w:tab w:val="clear" w:pos="1985"/>
        </w:tabs>
        <w:spacing w:before="0"/>
        <w:rPr>
          <w:lang w:eastAsia="zh-CN"/>
        </w:rPr>
      </w:pPr>
    </w:p>
    <w:p w:rsidR="00531284" w:rsidRDefault="00531284">
      <w:pPr>
        <w:tabs>
          <w:tab w:val="clear" w:pos="794"/>
          <w:tab w:val="clear" w:pos="1191"/>
          <w:tab w:val="clear" w:pos="1588"/>
          <w:tab w:val="clear" w:pos="1985"/>
        </w:tabs>
        <w:spacing w:before="0"/>
        <w:rPr>
          <w:lang w:eastAsia="zh-CN"/>
        </w:rPr>
      </w:pPr>
      <w:r>
        <w:rPr>
          <w:lang w:eastAsia="zh-CN"/>
        </w:rPr>
        <w:br w:type="page"/>
      </w:r>
    </w:p>
    <w:p w:rsidR="00E1779A" w:rsidRPr="00C868BD" w:rsidRDefault="00E1779A" w:rsidP="00F87BB4">
      <w:pPr>
        <w:overflowPunct w:val="0"/>
        <w:autoSpaceDE w:val="0"/>
        <w:autoSpaceDN w:val="0"/>
        <w:adjustRightInd w:val="0"/>
        <w:ind w:firstLineChars="200" w:firstLine="480"/>
        <w:textAlignment w:val="baseline"/>
        <w:rPr>
          <w:lang w:val="en-US"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w:t>
      </w:r>
      <w:r w:rsidRPr="00A17C5B">
        <w:rPr>
          <w:rFonts w:hint="eastAsia"/>
          <w:b/>
          <w:bCs/>
          <w:lang w:eastAsia="zh-CN"/>
        </w:rPr>
        <w:t>、部门成员或部门准成员</w:t>
      </w:r>
      <w:r>
        <w:rPr>
          <w:rFonts w:hint="eastAsia"/>
          <w:szCs w:val="23"/>
          <w:lang w:eastAsia="zh-CN"/>
        </w:rPr>
        <w:t>遇到了问题，国际电联可根据他们向电信标准化局提出的正式请求与相关瑞士当局接触，</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330293">
        <w:rPr>
          <w:rFonts w:hint="eastAsia"/>
          <w:lang w:eastAsia="zh-CN"/>
        </w:rPr>
        <w:t>四</w:t>
      </w:r>
      <w:r>
        <w:rPr>
          <w:rFonts w:hint="eastAsia"/>
          <w:lang w:eastAsia="zh-CN"/>
        </w:rPr>
        <w:t>个星期内办理</w:t>
      </w:r>
      <w:r w:rsidRPr="00C868BD">
        <w:rPr>
          <w:rFonts w:hint="eastAsia"/>
          <w:lang w:eastAsia="zh-CN"/>
        </w:rPr>
        <w:t>。</w:t>
      </w:r>
      <w:r>
        <w:rPr>
          <w:rFonts w:hint="eastAsia"/>
          <w:lang w:eastAsia="zh-CN"/>
        </w:rPr>
        <w:t>此类请求</w:t>
      </w:r>
      <w:r w:rsidRPr="00C868BD">
        <w:rPr>
          <w:rFonts w:hint="eastAsia"/>
          <w:lang w:eastAsia="zh-CN"/>
        </w:rPr>
        <w:t>必须</w:t>
      </w:r>
      <w:r w:rsidRPr="00C842D2">
        <w:rPr>
          <w:szCs w:val="24"/>
          <w:lang w:eastAsia="zh-CN"/>
        </w:rPr>
        <w:t>通过您所代表的主管部门或公司发出的正式信函</w:t>
      </w:r>
      <w:r>
        <w:rPr>
          <w:rFonts w:hint="eastAsia"/>
          <w:szCs w:val="24"/>
          <w:lang w:eastAsia="zh-CN"/>
        </w:rPr>
        <w:t>提出。</w:t>
      </w:r>
      <w:r w:rsidRPr="00C842D2">
        <w:rPr>
          <w:szCs w:val="24"/>
          <w:lang w:eastAsia="zh-CN"/>
        </w:rPr>
        <w:t>该函必须</w:t>
      </w:r>
      <w:r w:rsidRPr="00C868BD">
        <w:rPr>
          <w:rFonts w:hint="eastAsia"/>
          <w:lang w:eastAsia="zh-CN"/>
        </w:rPr>
        <w:t>说明</w:t>
      </w:r>
      <w:r>
        <w:rPr>
          <w:rFonts w:hint="eastAsia"/>
          <w:lang w:eastAsia="zh-CN"/>
        </w:rPr>
        <w:t>申请签证人员的姓名和职务、出生日期、护照号码以及护照颁发日期和截止日期，并需</w:t>
      </w:r>
      <w:r w:rsidRPr="00C868BD">
        <w:rPr>
          <w:rFonts w:hint="eastAsia"/>
          <w:lang w:eastAsia="zh-CN"/>
        </w:rPr>
        <w:t>附有一</w:t>
      </w:r>
      <w:r>
        <w:rPr>
          <w:rFonts w:hint="eastAsia"/>
          <w:lang w:eastAsia="zh-CN"/>
        </w:rPr>
        <w:t>份经</w:t>
      </w:r>
      <w:r w:rsidR="00F87BB4">
        <w:rPr>
          <w:rFonts w:hint="eastAsia"/>
          <w:lang w:eastAsia="zh-CN"/>
        </w:rPr>
        <w:t>批准的</w:t>
      </w:r>
      <w:r w:rsidRPr="00C868BD">
        <w:rPr>
          <w:spacing w:val="-10"/>
          <w:szCs w:val="24"/>
          <w:lang w:eastAsia="zh-CN"/>
        </w:rPr>
        <w:t>ITU-T</w:t>
      </w:r>
      <w:r w:rsidR="00F87BB4">
        <w:rPr>
          <w:rFonts w:hint="eastAsia"/>
          <w:lang w:eastAsia="zh-CN"/>
        </w:rPr>
        <w:t>相关会议</w:t>
      </w:r>
      <w:r>
        <w:rPr>
          <w:rFonts w:hint="eastAsia"/>
          <w:lang w:eastAsia="zh-CN"/>
        </w:rPr>
        <w:t>注册确认通知</w:t>
      </w:r>
      <w:r w:rsidRPr="00C868BD">
        <w:rPr>
          <w:rFonts w:hint="eastAsia"/>
          <w:lang w:eastAsia="zh-CN"/>
        </w:rPr>
        <w:t>，而且必须通过传真</w:t>
      </w:r>
      <w:r w:rsidR="0073042F">
        <w:rPr>
          <w:rFonts w:hint="eastAsia"/>
          <w:lang w:eastAsia="zh-CN"/>
        </w:rPr>
        <w:t>（</w:t>
      </w:r>
      <w:r w:rsidRPr="00C868BD">
        <w:rPr>
          <w:rFonts w:hint="eastAsia"/>
          <w:lang w:eastAsia="zh-CN"/>
        </w:rPr>
        <w:t>传真号码：</w:t>
      </w:r>
      <w:r w:rsidRPr="00C868BD">
        <w:rPr>
          <w:rFonts w:hint="eastAsia"/>
          <w:lang w:eastAsia="zh-CN"/>
        </w:rPr>
        <w:t>+41 22 730 5853</w:t>
      </w:r>
      <w:r w:rsidR="0073042F">
        <w:rPr>
          <w:rFonts w:hint="eastAsia"/>
          <w:lang w:eastAsia="zh-CN"/>
        </w:rPr>
        <w:t>）</w:t>
      </w:r>
      <w:r w:rsidRPr="00C868BD">
        <w:rPr>
          <w:rFonts w:hint="eastAsia"/>
          <w:lang w:eastAsia="zh-CN"/>
        </w:rPr>
        <w:t>或电子邮件</w:t>
      </w:r>
      <w:r w:rsidR="0073042F">
        <w:rPr>
          <w:rFonts w:hint="eastAsia"/>
          <w:lang w:eastAsia="zh-CN"/>
        </w:rPr>
        <w:t>（</w:t>
      </w:r>
      <w:hyperlink r:id="rId15" w:history="1">
        <w:r w:rsidRPr="00BC75EE">
          <w:rPr>
            <w:rStyle w:val="Hyperlink"/>
            <w:rFonts w:hint="eastAsia"/>
            <w:lang w:eastAsia="zh-CN"/>
          </w:rPr>
          <w:t>tsbre</w:t>
        </w:r>
        <w:r w:rsidRPr="00BC75EE">
          <w:rPr>
            <w:rStyle w:val="Hyperlink"/>
            <w:rFonts w:hint="eastAsia"/>
            <w:lang w:eastAsia="zh-CN"/>
          </w:rPr>
          <w:t>g</w:t>
        </w:r>
        <w:r w:rsidRPr="00BC75EE">
          <w:rPr>
            <w:rStyle w:val="Hyperlink"/>
            <w:rFonts w:hint="eastAsia"/>
            <w:lang w:eastAsia="zh-CN"/>
          </w:rPr>
          <w:t>@itu.int</w:t>
        </w:r>
      </w:hyperlink>
      <w:r w:rsidR="0073042F">
        <w:rPr>
          <w:rFonts w:hint="eastAsia"/>
          <w:lang w:eastAsia="zh-CN"/>
        </w:rPr>
        <w:t>）</w:t>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0073042F">
        <w:rPr>
          <w:rFonts w:hint="eastAsia"/>
          <w:lang w:eastAsia="zh-CN"/>
        </w:rPr>
        <w:t>（</w:t>
      </w:r>
      <w:r>
        <w:rPr>
          <w:rFonts w:hint="eastAsia"/>
          <w:lang w:eastAsia="zh-CN"/>
        </w:rPr>
        <w:t>“</w:t>
      </w:r>
      <w:r w:rsidRPr="00C868BD">
        <w:rPr>
          <w:rFonts w:hint="eastAsia"/>
          <w:b/>
          <w:lang w:eastAsia="zh-CN"/>
        </w:rPr>
        <w:t>签证申请</w:t>
      </w:r>
      <w:r>
        <w:rPr>
          <w:rFonts w:hint="eastAsia"/>
          <w:lang w:eastAsia="zh-CN"/>
        </w:rPr>
        <w:t>”</w:t>
      </w:r>
      <w:r w:rsidR="0073042F">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另请注意，国际电联仅能向国际电联成员国、国际电联部门成员或国际电联部门准成员的代表提供帮助。</w:t>
      </w:r>
    </w:p>
    <w:p w:rsidR="00E1779A" w:rsidRPr="008C763B" w:rsidRDefault="00E1779A" w:rsidP="00E1779A">
      <w:pPr>
        <w:tabs>
          <w:tab w:val="left" w:pos="1418"/>
          <w:tab w:val="left" w:pos="1702"/>
          <w:tab w:val="left" w:pos="2160"/>
        </w:tabs>
        <w:spacing w:before="100" w:after="20"/>
        <w:ind w:right="92"/>
        <w:jc w:val="both"/>
        <w:rPr>
          <w:szCs w:val="23"/>
          <w:lang w:val="en-US" w:eastAsia="zh-CN"/>
        </w:rPr>
      </w:pPr>
    </w:p>
    <w:p w:rsidR="00E1779A" w:rsidRDefault="00E1779A" w:rsidP="00E1779A">
      <w:pPr>
        <w:tabs>
          <w:tab w:val="left" w:pos="1418"/>
          <w:tab w:val="left" w:pos="1702"/>
          <w:tab w:val="left" w:pos="2160"/>
        </w:tabs>
        <w:spacing w:before="100" w:after="20"/>
        <w:ind w:right="92"/>
        <w:jc w:val="both"/>
        <w:rPr>
          <w:szCs w:val="23"/>
          <w:lang w:eastAsia="zh-CN"/>
        </w:rPr>
      </w:pPr>
    </w:p>
    <w:p w:rsidR="00E1779A" w:rsidRDefault="00E1779A" w:rsidP="002A1603">
      <w:pPr>
        <w:tabs>
          <w:tab w:val="left" w:pos="1418"/>
          <w:tab w:val="left" w:pos="1702"/>
          <w:tab w:val="left" w:pos="2160"/>
        </w:tabs>
        <w:overflowPunct w:val="0"/>
        <w:autoSpaceDE w:val="0"/>
        <w:autoSpaceDN w:val="0"/>
        <w:adjustRightInd w:val="0"/>
        <w:ind w:firstLineChars="200" w:firstLine="48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E1779A">
      <w:pPr>
        <w:tabs>
          <w:tab w:val="left" w:pos="1418"/>
          <w:tab w:val="left" w:pos="1702"/>
          <w:tab w:val="left" w:pos="2160"/>
        </w:tabs>
        <w:spacing w:before="240" w:after="20"/>
        <w:ind w:right="91"/>
        <w:rPr>
          <w:b/>
          <w:bCs/>
          <w:lang w:eastAsia="zh-CN"/>
        </w:rPr>
      </w:pPr>
    </w:p>
    <w:p w:rsidR="00E1779A" w:rsidRDefault="00E1779A" w:rsidP="00E1779A">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3B7E3E">
        <w:rPr>
          <w:rFonts w:hint="eastAsia"/>
          <w:b/>
          <w:bCs/>
          <w:lang w:val="en-US" w:eastAsia="zh-CN"/>
        </w:rPr>
        <w:t>3</w:t>
      </w:r>
      <w:r w:rsidR="002A1603">
        <w:rPr>
          <w:rFonts w:hint="eastAsia"/>
          <w:b/>
          <w:bCs/>
          <w:lang w:eastAsia="zh-CN"/>
        </w:rPr>
        <w:t xml:space="preserve">  </w:t>
      </w:r>
      <w:r>
        <w:rPr>
          <w:rFonts w:hint="eastAsia"/>
          <w:b/>
          <w:bCs/>
          <w:lang w:eastAsia="zh-CN"/>
        </w:rPr>
        <w:t>件</w:t>
      </w:r>
    </w:p>
    <w:p w:rsidR="002F3D1A" w:rsidRDefault="002F3D1A"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A407BE" w:rsidRDefault="00A407BE" w:rsidP="00C868BD">
      <w:pPr>
        <w:pStyle w:val="LetterStart"/>
        <w:tabs>
          <w:tab w:val="clear" w:pos="1361"/>
          <w:tab w:val="clear" w:pos="1758"/>
          <w:tab w:val="clear" w:pos="2155"/>
          <w:tab w:val="clear" w:pos="2552"/>
          <w:tab w:val="center" w:pos="4962"/>
        </w:tabs>
        <w:spacing w:before="120" w:line="240" w:lineRule="atLeast"/>
        <w:rPr>
          <w:lang w:eastAsia="zh-CN"/>
        </w:rPr>
      </w:pPr>
    </w:p>
    <w:p w:rsidR="002634C2" w:rsidRDefault="002634C2">
      <w:pPr>
        <w:tabs>
          <w:tab w:val="clear" w:pos="794"/>
          <w:tab w:val="clear" w:pos="1191"/>
          <w:tab w:val="clear" w:pos="1588"/>
          <w:tab w:val="clear" w:pos="1985"/>
        </w:tabs>
        <w:spacing w:before="0"/>
        <w:rPr>
          <w:lang w:eastAsia="zh-CN"/>
        </w:rPr>
      </w:pPr>
      <w:r>
        <w:rPr>
          <w:lang w:eastAsia="zh-CN"/>
        </w:rPr>
        <w:br w:type="page"/>
      </w:r>
    </w:p>
    <w:p w:rsidR="002634C2" w:rsidRDefault="002634C2">
      <w:pPr>
        <w:tabs>
          <w:tab w:val="clear" w:pos="794"/>
          <w:tab w:val="clear" w:pos="1191"/>
          <w:tab w:val="clear" w:pos="1588"/>
          <w:tab w:val="clear" w:pos="1985"/>
        </w:tabs>
        <w:spacing w:before="0"/>
        <w:rPr>
          <w:lang w:eastAsia="zh-CN"/>
        </w:rPr>
      </w:pPr>
    </w:p>
    <w:p w:rsidR="002634C2" w:rsidRPr="002B65CB" w:rsidRDefault="002634C2" w:rsidP="002634C2">
      <w:pPr>
        <w:pStyle w:val="BodyText2"/>
        <w:ind w:right="-52"/>
        <w:jc w:val="center"/>
        <w:rPr>
          <w:rFonts w:asciiTheme="majorBidi" w:hAnsiTheme="majorBidi" w:cstheme="majorBidi"/>
          <w:b/>
          <w:bCs/>
          <w:szCs w:val="24"/>
        </w:rPr>
      </w:pPr>
      <w:r w:rsidRPr="002B65CB">
        <w:rPr>
          <w:rFonts w:asciiTheme="majorBidi" w:hAnsiTheme="majorBidi" w:cstheme="majorBidi"/>
          <w:szCs w:val="24"/>
        </w:rPr>
        <w:t>ANNEX</w:t>
      </w:r>
      <w:r w:rsidRPr="002B65CB">
        <w:rPr>
          <w:rFonts w:asciiTheme="majorBidi" w:hAnsiTheme="majorBidi" w:cstheme="majorBidi"/>
          <w:b/>
          <w:bCs/>
          <w:szCs w:val="24"/>
        </w:rPr>
        <w:t xml:space="preserve"> </w:t>
      </w:r>
      <w:r w:rsidRPr="002B65CB">
        <w:rPr>
          <w:rFonts w:asciiTheme="majorBidi" w:hAnsiTheme="majorBidi" w:cstheme="majorBidi"/>
          <w:szCs w:val="24"/>
        </w:rPr>
        <w:t>1</w:t>
      </w:r>
      <w:r w:rsidRPr="002B65CB">
        <w:rPr>
          <w:rFonts w:asciiTheme="majorBidi" w:hAnsiTheme="majorBidi" w:cstheme="majorBidi"/>
          <w:b/>
          <w:bCs/>
          <w:szCs w:val="24"/>
        </w:rPr>
        <w:br/>
      </w:r>
      <w:r w:rsidRPr="002B65CB">
        <w:rPr>
          <w:rFonts w:asciiTheme="majorBidi" w:hAnsiTheme="majorBidi" w:cstheme="majorBidi"/>
          <w:szCs w:val="24"/>
        </w:rPr>
        <w:t xml:space="preserve">(to TSB Circular </w:t>
      </w:r>
      <w:r>
        <w:rPr>
          <w:rFonts w:asciiTheme="majorBidi" w:hAnsiTheme="majorBidi" w:cstheme="majorBidi"/>
          <w:szCs w:val="24"/>
        </w:rPr>
        <w:t>114</w:t>
      </w:r>
      <w:r w:rsidRPr="002B65CB">
        <w:rPr>
          <w:rFonts w:asciiTheme="majorBidi" w:hAnsiTheme="majorBidi" w:cstheme="majorBidi"/>
          <w:szCs w:val="24"/>
        </w:rPr>
        <w:t>)</w:t>
      </w:r>
    </w:p>
    <w:p w:rsidR="002634C2" w:rsidRPr="002B65CB" w:rsidRDefault="002634C2" w:rsidP="002634C2">
      <w:pPr>
        <w:pStyle w:val="NormalWeb"/>
        <w:jc w:val="center"/>
        <w:rPr>
          <w:rFonts w:asciiTheme="majorBidi" w:hAnsiTheme="majorBidi" w:cstheme="majorBidi"/>
          <w:sz w:val="24"/>
          <w:szCs w:val="24"/>
        </w:rPr>
      </w:pPr>
      <w:r w:rsidRPr="002B65CB">
        <w:rPr>
          <w:rFonts w:asciiTheme="majorBidi" w:hAnsiTheme="majorBidi" w:cstheme="majorBidi"/>
          <w:b/>
          <w:bCs/>
          <w:sz w:val="24"/>
          <w:szCs w:val="24"/>
        </w:rPr>
        <w:t>Terms of Ref</w:t>
      </w:r>
      <w:r>
        <w:rPr>
          <w:rFonts w:asciiTheme="majorBidi" w:hAnsiTheme="majorBidi" w:cstheme="majorBidi"/>
          <w:b/>
          <w:bCs/>
          <w:sz w:val="24"/>
          <w:szCs w:val="24"/>
        </w:rPr>
        <w:t>erence of ITU-T Focus Group on C</w:t>
      </w:r>
      <w:r w:rsidRPr="002B65CB">
        <w:rPr>
          <w:rFonts w:asciiTheme="majorBidi" w:hAnsiTheme="majorBidi" w:cstheme="majorBidi"/>
          <w:b/>
          <w:bCs/>
          <w:sz w:val="24"/>
          <w:szCs w:val="24"/>
        </w:rPr>
        <w:t xml:space="preserve">loud </w:t>
      </w:r>
      <w:r>
        <w:rPr>
          <w:rFonts w:asciiTheme="majorBidi" w:hAnsiTheme="majorBidi" w:cstheme="majorBidi"/>
          <w:b/>
          <w:bCs/>
          <w:sz w:val="24"/>
          <w:szCs w:val="24"/>
        </w:rPr>
        <w:t>C</w:t>
      </w:r>
      <w:r w:rsidRPr="002B65CB">
        <w:rPr>
          <w:rFonts w:asciiTheme="majorBidi" w:hAnsiTheme="majorBidi" w:cstheme="majorBidi"/>
          <w:b/>
          <w:bCs/>
          <w:sz w:val="24"/>
          <w:szCs w:val="24"/>
        </w:rPr>
        <w:t>omputing</w:t>
      </w:r>
      <w:r>
        <w:rPr>
          <w:rFonts w:asciiTheme="majorBidi" w:hAnsiTheme="majorBidi" w:cstheme="majorBidi"/>
          <w:b/>
          <w:bCs/>
          <w:sz w:val="24"/>
          <w:szCs w:val="24"/>
        </w:rPr>
        <w:t xml:space="preserve"> </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lang w:val="en-US" w:eastAsia="ko-KR"/>
        </w:rPr>
      </w:pPr>
      <w:r w:rsidRPr="00B90896">
        <w:rPr>
          <w:b/>
          <w:lang w:val="en-US" w:eastAsia="ko-KR"/>
        </w:rPr>
        <w:t>Scope</w:t>
      </w:r>
    </w:p>
    <w:p w:rsidR="002634C2" w:rsidRPr="00B90896" w:rsidRDefault="002634C2" w:rsidP="002634C2">
      <w:pPr>
        <w:widowControl w:val="0"/>
        <w:spacing w:after="120" w:line="240" w:lineRule="atLeast"/>
        <w:jc w:val="both"/>
        <w:rPr>
          <w:lang w:val="en-US" w:eastAsia="ko-KR"/>
        </w:rPr>
      </w:pPr>
      <w:r w:rsidRPr="00B90896">
        <w:rPr>
          <w:lang w:val="en-US" w:eastAsia="ko-KR"/>
        </w:rPr>
        <w:t>The Focus Group, established in accordance with Recommendation ITU-T A.7 will, from the standardization view points and within the competences of ITU-T,</w:t>
      </w:r>
      <w:r>
        <w:rPr>
          <w:lang w:val="en-US" w:eastAsia="ko-KR"/>
        </w:rPr>
        <w:t xml:space="preserve"> </w:t>
      </w:r>
      <w:r w:rsidRPr="008B3BF5">
        <w:rPr>
          <w:lang w:val="en-US" w:eastAsia="ko-KR"/>
        </w:rPr>
        <w:t>contribute with the telecommunication aspects</w:t>
      </w:r>
      <w:r>
        <w:rPr>
          <w:lang w:val="en-US" w:eastAsia="ko-KR"/>
        </w:rPr>
        <w:t>,</w:t>
      </w:r>
      <w:r w:rsidRPr="008B3BF5">
        <w:rPr>
          <w:lang w:val="en-US" w:eastAsia="ko-KR"/>
        </w:rPr>
        <w:t xml:space="preserve"> i.e. the transport via telecommunications networks, security aspects o</w:t>
      </w:r>
      <w:r>
        <w:rPr>
          <w:lang w:val="en-US" w:eastAsia="ko-KR"/>
        </w:rPr>
        <w:t>f</w:t>
      </w:r>
      <w:r w:rsidRPr="008B3BF5">
        <w:rPr>
          <w:lang w:val="en-US" w:eastAsia="ko-KR"/>
        </w:rPr>
        <w:t xml:space="preserve"> telecommunications, service requirements</w:t>
      </w:r>
      <w:r>
        <w:rPr>
          <w:lang w:val="en-US" w:eastAsia="ko-KR"/>
        </w:rPr>
        <w:t>,</w:t>
      </w:r>
      <w:r w:rsidRPr="008B3BF5">
        <w:rPr>
          <w:lang w:val="en-US" w:eastAsia="ko-KR"/>
        </w:rPr>
        <w:t xml:space="preserve"> etc.</w:t>
      </w:r>
      <w:r>
        <w:rPr>
          <w:lang w:val="en-US" w:eastAsia="ko-KR"/>
        </w:rPr>
        <w:t>,</w:t>
      </w:r>
      <w:r w:rsidRPr="008B3BF5">
        <w:rPr>
          <w:lang w:val="en-US" w:eastAsia="ko-KR"/>
        </w:rPr>
        <w:t xml:space="preserve"> in order to support services/applications of “cloud computing” making use of telecommunication networks</w:t>
      </w:r>
      <w:r>
        <w:rPr>
          <w:lang w:val="en-US" w:eastAsia="ko-KR"/>
        </w:rPr>
        <w:t>; specifically:</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0" w:line="276" w:lineRule="auto"/>
        <w:jc w:val="both"/>
        <w:rPr>
          <w:lang w:val="en-US" w:eastAsia="ko-KR"/>
        </w:rPr>
      </w:pPr>
      <w:r w:rsidRPr="00B90896">
        <w:rPr>
          <w:lang w:val="en-US" w:eastAsia="ko-KR"/>
        </w:rPr>
        <w:t>identify potential impacts on standards development and priorities for standards needed to promote and facilitate telecommunication/ICT support for cloud computing</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0" w:line="276" w:lineRule="auto"/>
        <w:jc w:val="both"/>
        <w:rPr>
          <w:lang w:val="en-US" w:eastAsia="ko-KR"/>
        </w:rPr>
      </w:pPr>
      <w:r w:rsidRPr="00B90896">
        <w:rPr>
          <w:lang w:val="en-US" w:eastAsia="ko-KR"/>
        </w:rPr>
        <w:t>investigate the need for future study items for fixed and mobile networks in the scope of ITU</w:t>
      </w:r>
      <w:r>
        <w:rPr>
          <w:lang w:val="en-US" w:eastAsia="ko-KR"/>
        </w:rPr>
        <w:noBreakHyphen/>
      </w:r>
      <w:r w:rsidRPr="00B90896">
        <w:rPr>
          <w:lang w:val="en-US" w:eastAsia="ko-KR"/>
        </w:rPr>
        <w:t>T</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0" w:line="276" w:lineRule="auto"/>
        <w:jc w:val="both"/>
        <w:rPr>
          <w:lang w:val="en-US" w:eastAsia="ko-KR"/>
        </w:rPr>
      </w:pPr>
      <w:r>
        <w:rPr>
          <w:lang w:val="en-US" w:eastAsia="ko-KR"/>
        </w:rPr>
        <w:t>analyze which components would benefit most from interoperability and standardization</w:t>
      </w:r>
    </w:p>
    <w:p w:rsidR="002634C2" w:rsidRDefault="002634C2" w:rsidP="002634C2">
      <w:pPr>
        <w:widowControl w:val="0"/>
        <w:numPr>
          <w:ilvl w:val="0"/>
          <w:numId w:val="4"/>
        </w:numPr>
        <w:tabs>
          <w:tab w:val="clear" w:pos="1191"/>
          <w:tab w:val="clear" w:pos="1588"/>
          <w:tab w:val="clear" w:pos="1985"/>
        </w:tabs>
        <w:autoSpaceDE w:val="0"/>
        <w:autoSpaceDN w:val="0"/>
        <w:adjustRightInd w:val="0"/>
        <w:spacing w:before="0" w:line="276" w:lineRule="auto"/>
        <w:jc w:val="both"/>
        <w:rPr>
          <w:lang w:val="en-US" w:eastAsia="ko-KR"/>
        </w:rPr>
      </w:pPr>
      <w:r w:rsidRPr="00B90896">
        <w:rPr>
          <w:lang w:val="en-US" w:eastAsia="ko-KR"/>
        </w:rPr>
        <w:t>familiarize ITU-T and standardization communities with emerging attributes and challenges of telecommunication/ICT support for cloud computing</w:t>
      </w:r>
    </w:p>
    <w:p w:rsidR="002634C2" w:rsidRPr="004D507A" w:rsidRDefault="002634C2" w:rsidP="002634C2">
      <w:pPr>
        <w:widowControl w:val="0"/>
        <w:numPr>
          <w:ilvl w:val="0"/>
          <w:numId w:val="4"/>
        </w:numPr>
        <w:tabs>
          <w:tab w:val="clear" w:pos="1191"/>
          <w:tab w:val="clear" w:pos="1588"/>
          <w:tab w:val="clear" w:pos="1985"/>
        </w:tabs>
        <w:autoSpaceDE w:val="0"/>
        <w:autoSpaceDN w:val="0"/>
        <w:adjustRightInd w:val="0"/>
        <w:spacing w:before="0" w:line="276" w:lineRule="auto"/>
        <w:jc w:val="both"/>
        <w:rPr>
          <w:lang w:val="en-US" w:eastAsia="ko-KR"/>
        </w:rPr>
      </w:pPr>
      <w:r>
        <w:rPr>
          <w:lang w:val="en-US" w:eastAsia="ko-KR"/>
        </w:rPr>
        <w:t>analyze the rate of change for cloud computing attributes, functions and features for the purpose of assessing the appropriate timing of standardization of telecommunication/ICT in support of cloud computing</w:t>
      </w:r>
    </w:p>
    <w:p w:rsidR="002634C2" w:rsidRPr="00B90896" w:rsidRDefault="002634C2" w:rsidP="002634C2">
      <w:pPr>
        <w:rPr>
          <w:szCs w:val="22"/>
          <w:lang w:val="en-US" w:eastAsia="ko-KR"/>
        </w:rPr>
      </w:pPr>
      <w:r w:rsidRPr="00B90896">
        <w:rPr>
          <w:szCs w:val="22"/>
          <w:lang w:val="en-US" w:eastAsia="ko-KR"/>
        </w:rPr>
        <w:t>The Focus Group will collaborate with worldwide cloud computing communities (e.g., research institutes, forums, academia) including other SDOs and consortia.</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lang w:val="en-US" w:eastAsia="ko-KR"/>
        </w:rPr>
      </w:pPr>
      <w:r w:rsidRPr="00B90896">
        <w:rPr>
          <w:b/>
          <w:lang w:val="en-US" w:eastAsia="ko-KR"/>
        </w:rPr>
        <w:t>Rationale</w:t>
      </w:r>
    </w:p>
    <w:p w:rsidR="002634C2" w:rsidRPr="00B90896" w:rsidRDefault="002634C2" w:rsidP="002634C2">
      <w:pPr>
        <w:widowControl w:val="0"/>
        <w:spacing w:after="120" w:line="240" w:lineRule="atLeast"/>
        <w:jc w:val="both"/>
        <w:rPr>
          <w:lang w:val="en-US" w:eastAsia="ko-KR"/>
        </w:rPr>
      </w:pPr>
      <w:r w:rsidRPr="00B90896">
        <w:rPr>
          <w:lang w:val="en-US" w:eastAsia="ko-KR"/>
        </w:rPr>
        <w:t>According to the agreement of the fourth World Telecommunication Policy Forum (Lisbon, 2009) and the October 2009 meeting of the high level industry representatives (WTSA Resolution 68), ITU-T study groups were invited to accelerate their work related to cloud and grid computing, noting that increased services and applications using cloud and grid computing may result in the need for new levels of flexibility in networks to accommodate unforeseen and elastic demands. Also, a recently published ITU-T Technology Watch Report titled “Distributed Computing: Utilities, Grids and Clouds” describes the advent of clouds and grids, the applications they enable, and their potential impact on future standardization.</w:t>
      </w:r>
    </w:p>
    <w:p w:rsidR="002634C2" w:rsidRDefault="002634C2" w:rsidP="002634C2">
      <w:pPr>
        <w:widowControl w:val="0"/>
        <w:spacing w:after="120" w:line="240" w:lineRule="atLeast"/>
        <w:jc w:val="both"/>
        <w:rPr>
          <w:lang w:val="en-US" w:eastAsia="ko-KR"/>
        </w:rPr>
      </w:pPr>
      <w:r w:rsidRPr="00AC0191">
        <w:rPr>
          <w:lang w:val="en-US" w:eastAsia="ko-KR"/>
        </w:rPr>
        <w:t>Cloud computing involves a new "as a Service" delivery models for:</w:t>
      </w:r>
    </w:p>
    <w:p w:rsidR="002634C2" w:rsidRDefault="002634C2" w:rsidP="002634C2">
      <w:pPr>
        <w:pStyle w:val="ListParagraph"/>
        <w:widowControl w:val="0"/>
        <w:numPr>
          <w:ilvl w:val="0"/>
          <w:numId w:val="6"/>
        </w:numPr>
        <w:overflowPunct w:val="0"/>
        <w:autoSpaceDE w:val="0"/>
        <w:autoSpaceDN w:val="0"/>
        <w:adjustRightInd w:val="0"/>
        <w:spacing w:after="120" w:line="240" w:lineRule="atLeast"/>
        <w:jc w:val="both"/>
        <w:textAlignment w:val="baseline"/>
        <w:rPr>
          <w:lang w:val="en-US" w:eastAsia="ko-KR"/>
        </w:rPr>
      </w:pPr>
      <w:r w:rsidRPr="009323A1">
        <w:rPr>
          <w:lang w:val="en-US" w:eastAsia="ko-KR"/>
        </w:rPr>
        <w:t>Infrastructure "</w:t>
      </w:r>
      <w:proofErr w:type="spellStart"/>
      <w:r w:rsidRPr="009323A1">
        <w:rPr>
          <w:lang w:val="en-US" w:eastAsia="ko-KR"/>
        </w:rPr>
        <w:t>IaaS</w:t>
      </w:r>
      <w:proofErr w:type="spellEnd"/>
      <w:r w:rsidRPr="009323A1">
        <w:rPr>
          <w:lang w:val="en-US" w:eastAsia="ko-KR"/>
        </w:rPr>
        <w:t>" (virtualization, data center, servers, storage, networking...)</w:t>
      </w:r>
    </w:p>
    <w:p w:rsidR="002634C2" w:rsidRDefault="002634C2" w:rsidP="002634C2">
      <w:pPr>
        <w:pStyle w:val="ListParagraph"/>
        <w:widowControl w:val="0"/>
        <w:numPr>
          <w:ilvl w:val="0"/>
          <w:numId w:val="6"/>
        </w:numPr>
        <w:overflowPunct w:val="0"/>
        <w:autoSpaceDE w:val="0"/>
        <w:autoSpaceDN w:val="0"/>
        <w:adjustRightInd w:val="0"/>
        <w:spacing w:after="120" w:line="240" w:lineRule="atLeast"/>
        <w:jc w:val="both"/>
        <w:textAlignment w:val="baseline"/>
        <w:rPr>
          <w:lang w:val="en-US" w:eastAsia="ko-KR"/>
        </w:rPr>
      </w:pPr>
      <w:r w:rsidRPr="009323A1">
        <w:rPr>
          <w:lang w:val="en-US" w:eastAsia="ko-KR"/>
        </w:rPr>
        <w:t>Platforms "</w:t>
      </w:r>
      <w:proofErr w:type="spellStart"/>
      <w:r w:rsidRPr="009323A1">
        <w:rPr>
          <w:lang w:val="en-US" w:eastAsia="ko-KR"/>
        </w:rPr>
        <w:t>PaaS</w:t>
      </w:r>
      <w:proofErr w:type="spellEnd"/>
      <w:r w:rsidRPr="009323A1">
        <w:rPr>
          <w:lang w:val="en-US" w:eastAsia="ko-KR"/>
        </w:rPr>
        <w:t>" (on demand management, information system, security...)</w:t>
      </w:r>
    </w:p>
    <w:p w:rsidR="002634C2" w:rsidRPr="009323A1" w:rsidRDefault="002634C2" w:rsidP="002634C2">
      <w:pPr>
        <w:pStyle w:val="ListParagraph"/>
        <w:widowControl w:val="0"/>
        <w:numPr>
          <w:ilvl w:val="0"/>
          <w:numId w:val="6"/>
        </w:numPr>
        <w:overflowPunct w:val="0"/>
        <w:autoSpaceDE w:val="0"/>
        <w:autoSpaceDN w:val="0"/>
        <w:adjustRightInd w:val="0"/>
        <w:spacing w:after="120" w:line="240" w:lineRule="atLeast"/>
        <w:jc w:val="both"/>
        <w:textAlignment w:val="baseline"/>
        <w:rPr>
          <w:lang w:val="en-US" w:eastAsia="ko-KR"/>
        </w:rPr>
      </w:pPr>
      <w:r w:rsidRPr="009323A1">
        <w:rPr>
          <w:lang w:val="en-US" w:eastAsia="ko-KR"/>
        </w:rPr>
        <w:t>Software "</w:t>
      </w:r>
      <w:proofErr w:type="spellStart"/>
      <w:r w:rsidRPr="009323A1">
        <w:rPr>
          <w:lang w:val="en-US" w:eastAsia="ko-KR"/>
        </w:rPr>
        <w:t>SaaS</w:t>
      </w:r>
      <w:proofErr w:type="spellEnd"/>
      <w:r w:rsidRPr="009323A1">
        <w:rPr>
          <w:lang w:val="en-US" w:eastAsia="ko-KR"/>
        </w:rPr>
        <w:t>" (applications...)</w:t>
      </w:r>
    </w:p>
    <w:p w:rsidR="002634C2" w:rsidRPr="00B90896" w:rsidRDefault="002634C2" w:rsidP="002634C2">
      <w:pPr>
        <w:widowControl w:val="0"/>
        <w:spacing w:after="120" w:line="240" w:lineRule="atLeast"/>
        <w:jc w:val="both"/>
        <w:rPr>
          <w:lang w:val="en-US" w:eastAsia="ko-KR"/>
        </w:rPr>
      </w:pPr>
      <w:r w:rsidRPr="00B90896">
        <w:rPr>
          <w:lang w:val="en-US" w:eastAsia="ko-KR"/>
        </w:rPr>
        <w:t>Cloud computing may offer several key benefits that effectively relate to economics. Applications might be deployed faster and simpler without upfront capital costs for servers and storage. For this reason, many enterprises, governments and network/service providers in the world are now considering to adopt cloud computing into their services in order to provide more efficient and cost effective network services.</w:t>
      </w:r>
    </w:p>
    <w:p w:rsidR="002634C2" w:rsidRPr="00B90896" w:rsidRDefault="002634C2" w:rsidP="002634C2">
      <w:pPr>
        <w:widowControl w:val="0"/>
        <w:spacing w:after="120" w:line="240" w:lineRule="atLeast"/>
        <w:jc w:val="both"/>
        <w:rPr>
          <w:lang w:val="en-US" w:eastAsia="ko-KR"/>
        </w:rPr>
      </w:pPr>
      <w:r>
        <w:rPr>
          <w:lang w:val="en-US" w:eastAsia="ko-KR"/>
        </w:rPr>
        <w:t>T</w:t>
      </w:r>
      <w:r w:rsidRPr="00B90896">
        <w:rPr>
          <w:lang w:val="en-US" w:eastAsia="ko-KR"/>
        </w:rPr>
        <w:t xml:space="preserve">he Focus Group will </w:t>
      </w:r>
      <w:r>
        <w:rPr>
          <w:lang w:val="en-US" w:eastAsia="ko-KR"/>
        </w:rPr>
        <w:t>i</w:t>
      </w:r>
      <w:r w:rsidRPr="00B90896">
        <w:rPr>
          <w:lang w:val="en-US" w:eastAsia="ko-KR"/>
        </w:rPr>
        <w:t>nteract with these various activities</w:t>
      </w:r>
      <w:r>
        <w:rPr>
          <w:lang w:val="en-US" w:eastAsia="ko-KR"/>
        </w:rPr>
        <w:t xml:space="preserve"> in order to</w:t>
      </w:r>
      <w:r w:rsidRPr="00B90896">
        <w:rPr>
          <w:lang w:val="en-US" w:eastAsia="ko-KR"/>
        </w:rPr>
        <w:t xml:space="preserve"> familiarize ITU-T with emerging aspects of cloud computing</w:t>
      </w:r>
      <w:r>
        <w:rPr>
          <w:lang w:val="en-US" w:eastAsia="ko-KR"/>
        </w:rPr>
        <w:t>,</w:t>
      </w:r>
      <w:r w:rsidRPr="00B90896">
        <w:rPr>
          <w:lang w:val="en-US" w:eastAsia="ko-KR"/>
        </w:rPr>
        <w:t xml:space="preserve"> in particular with the view of possible requirements on telecommunication/ICT.</w:t>
      </w:r>
    </w:p>
    <w:p w:rsidR="002634C2" w:rsidRDefault="002634C2" w:rsidP="002634C2">
      <w:pPr>
        <w:widowControl w:val="0"/>
        <w:spacing w:after="120" w:line="240" w:lineRule="atLeast"/>
        <w:jc w:val="both"/>
        <w:rPr>
          <w:lang w:val="en-US" w:eastAsia="zh-CN"/>
        </w:rPr>
      </w:pPr>
      <w:r w:rsidRPr="00B90896">
        <w:rPr>
          <w:lang w:val="en-US" w:eastAsia="ko-KR"/>
        </w:rPr>
        <w:t>It is to be noted that already there are many examples of cloud computing service offerings available.</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line="276" w:lineRule="auto"/>
        <w:jc w:val="both"/>
        <w:rPr>
          <w:b/>
          <w:bCs/>
          <w:lang w:val="en-US" w:eastAsia="ko-KR"/>
        </w:rPr>
      </w:pPr>
      <w:r w:rsidRPr="00B90896">
        <w:rPr>
          <w:b/>
          <w:lang w:val="en-US" w:eastAsia="ko-KR"/>
        </w:rPr>
        <w:t>FG</w:t>
      </w:r>
      <w:r w:rsidRPr="00B90896">
        <w:rPr>
          <w:b/>
          <w:bCs/>
          <w:lang w:val="en-US" w:eastAsia="ko-KR"/>
        </w:rPr>
        <w:t xml:space="preserve"> objective</w:t>
      </w:r>
    </w:p>
    <w:p w:rsidR="002634C2" w:rsidRPr="00B90896" w:rsidRDefault="002634C2" w:rsidP="002634C2">
      <w:pPr>
        <w:widowControl w:val="0"/>
        <w:spacing w:before="60" w:after="120" w:line="240" w:lineRule="atLeast"/>
        <w:jc w:val="both"/>
        <w:rPr>
          <w:lang w:val="en-US" w:eastAsia="ko-KR"/>
        </w:rPr>
      </w:pPr>
      <w:r w:rsidRPr="00B90896">
        <w:rPr>
          <w:lang w:val="en-US" w:eastAsia="ko-KR"/>
        </w:rPr>
        <w:t>The objective of the Focus Group is to collect and document information and concepts</w:t>
      </w:r>
      <w:r>
        <w:rPr>
          <w:lang w:val="en-US" w:eastAsia="ko-KR"/>
        </w:rPr>
        <w:t xml:space="preserve"> </w:t>
      </w:r>
      <w:r w:rsidRPr="00B90896">
        <w:rPr>
          <w:lang w:val="en-US" w:eastAsia="ko-KR"/>
        </w:rPr>
        <w:t>that would be helpful for developing Recommendations to support cloud computing services/applications from a telecommunication/ICT perspective. To achieve this objective, the Focus Group will</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60" w:line="0" w:lineRule="atLeast"/>
        <w:jc w:val="both"/>
        <w:rPr>
          <w:lang w:val="en-US" w:eastAsia="ko-KR"/>
        </w:rPr>
      </w:pPr>
      <w:r>
        <w:rPr>
          <w:lang w:val="en-US" w:eastAsia="ko-KR"/>
        </w:rPr>
        <w:t>u</w:t>
      </w:r>
      <w:r w:rsidRPr="00B90896">
        <w:rPr>
          <w:lang w:val="en-US" w:eastAsia="ko-KR"/>
        </w:rPr>
        <w:t>pdate living list of standards bodies, forums and consortia dealing with aspects of “cloud computing”</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60" w:line="0" w:lineRule="atLeast"/>
        <w:jc w:val="both"/>
        <w:rPr>
          <w:lang w:val="en-US" w:eastAsia="ko-KR"/>
        </w:rPr>
      </w:pPr>
      <w:r w:rsidRPr="00B90896">
        <w:rPr>
          <w:lang w:val="en-US" w:eastAsia="ko-KR"/>
        </w:rPr>
        <w:t>gather new ideas relevant to and identify potential study areas to support cloud computing</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60" w:line="0" w:lineRule="atLeast"/>
        <w:ind w:left="806" w:hanging="403"/>
        <w:jc w:val="both"/>
        <w:rPr>
          <w:lang w:val="en-US" w:eastAsia="ko-KR"/>
        </w:rPr>
      </w:pPr>
      <w:r w:rsidRPr="00B90896">
        <w:rPr>
          <w:lang w:val="en-US" w:eastAsia="ko-KR"/>
        </w:rPr>
        <w:t>collect visions and value propositions for cloud computing in terms of telecommunication/ICT</w:t>
      </w:r>
    </w:p>
    <w:p w:rsidR="002634C2" w:rsidRDefault="002634C2" w:rsidP="002634C2">
      <w:pPr>
        <w:widowControl w:val="0"/>
        <w:numPr>
          <w:ilvl w:val="0"/>
          <w:numId w:val="4"/>
        </w:numPr>
        <w:tabs>
          <w:tab w:val="clear" w:pos="1191"/>
          <w:tab w:val="clear" w:pos="1588"/>
          <w:tab w:val="clear" w:pos="1985"/>
        </w:tabs>
        <w:autoSpaceDE w:val="0"/>
        <w:autoSpaceDN w:val="0"/>
        <w:adjustRightInd w:val="0"/>
        <w:spacing w:before="60" w:line="0" w:lineRule="atLeast"/>
        <w:jc w:val="both"/>
        <w:rPr>
          <w:lang w:val="en-US" w:eastAsia="ko-KR"/>
        </w:rPr>
      </w:pPr>
      <w:r w:rsidRPr="00B90896">
        <w:rPr>
          <w:lang w:val="en-US" w:eastAsia="ko-KR"/>
        </w:rPr>
        <w:t xml:space="preserve">provide terminology and taxonomy for cloud computing </w:t>
      </w:r>
      <w:r>
        <w:rPr>
          <w:lang w:val="en-US" w:eastAsia="ko-KR"/>
        </w:rPr>
        <w:t>and reuse existing terminology and taxonomy as far as possible</w:t>
      </w:r>
    </w:p>
    <w:p w:rsidR="002634C2" w:rsidRPr="004D507A" w:rsidRDefault="002634C2" w:rsidP="002634C2">
      <w:pPr>
        <w:widowControl w:val="0"/>
        <w:numPr>
          <w:ilvl w:val="0"/>
          <w:numId w:val="4"/>
        </w:numPr>
        <w:tabs>
          <w:tab w:val="clear" w:pos="1191"/>
          <w:tab w:val="clear" w:pos="1588"/>
          <w:tab w:val="clear" w:pos="1985"/>
        </w:tabs>
        <w:autoSpaceDE w:val="0"/>
        <w:autoSpaceDN w:val="0"/>
        <w:adjustRightInd w:val="0"/>
        <w:spacing w:before="60" w:line="0" w:lineRule="atLeast"/>
        <w:jc w:val="both"/>
        <w:rPr>
          <w:lang w:val="en-US" w:eastAsia="ko-KR"/>
        </w:rPr>
      </w:pPr>
      <w:r>
        <w:rPr>
          <w:lang w:val="en-US" w:eastAsia="ko-KR"/>
        </w:rPr>
        <w:t>assess stability and timing of cloud computing implications on telecommunication/ICT networking requirements</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60" w:line="0" w:lineRule="atLeast"/>
        <w:ind w:left="806" w:hanging="403"/>
        <w:jc w:val="both"/>
        <w:rPr>
          <w:lang w:val="en-US" w:eastAsia="ko-KR"/>
        </w:rPr>
      </w:pPr>
      <w:r w:rsidRPr="00B90896">
        <w:rPr>
          <w:lang w:val="en-US" w:eastAsia="ko-KR"/>
        </w:rPr>
        <w:t>analyze telecommunication/ICT networking requirements functions and capabilities to support cloud computing services/applications.</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60" w:line="0" w:lineRule="atLeast"/>
        <w:jc w:val="both"/>
        <w:rPr>
          <w:lang w:val="en-US" w:eastAsia="ko-KR"/>
        </w:rPr>
      </w:pPr>
      <w:r w:rsidRPr="00B90896">
        <w:rPr>
          <w:lang w:val="en-US" w:eastAsia="ko-KR"/>
        </w:rPr>
        <w:t>suggest future ITU-T study items and related actions</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60" w:line="0" w:lineRule="atLeast"/>
        <w:jc w:val="both"/>
        <w:rPr>
          <w:lang w:val="en-US" w:eastAsia="ko-KR"/>
        </w:rPr>
      </w:pPr>
      <w:r w:rsidRPr="00B90896">
        <w:rPr>
          <w:lang w:val="en-US" w:eastAsia="ko-KR"/>
        </w:rPr>
        <w:t>identify potential impacts on standards development within the scope of the ITU-T, e.g.</w:t>
      </w:r>
      <w:r>
        <w:rPr>
          <w:lang w:val="en-US" w:eastAsia="ko-KR"/>
        </w:rPr>
        <w:t>,</w:t>
      </w:r>
      <w:r w:rsidRPr="00B90896">
        <w:rPr>
          <w:lang w:val="en-US" w:eastAsia="ko-KR"/>
        </w:rPr>
        <w:t xml:space="preserve"> for</w:t>
      </w:r>
    </w:p>
    <w:p w:rsidR="002634C2" w:rsidRPr="00B90896" w:rsidRDefault="002634C2" w:rsidP="002634C2">
      <w:pPr>
        <w:widowControl w:val="0"/>
        <w:spacing w:before="60"/>
        <w:ind w:left="1134"/>
        <w:jc w:val="both"/>
        <w:rPr>
          <w:rStyle w:val="apple-converted-space"/>
          <w:color w:val="000000"/>
          <w:szCs w:val="13"/>
          <w:lang w:eastAsia="ko-KR"/>
        </w:rPr>
      </w:pPr>
      <w:r w:rsidRPr="00B90896">
        <w:rPr>
          <w:rStyle w:val="apple-style-span"/>
          <w:color w:val="000000"/>
          <w:szCs w:val="13"/>
        </w:rPr>
        <w:t>–</w:t>
      </w:r>
      <w:r w:rsidRPr="00B90896">
        <w:rPr>
          <w:rStyle w:val="apple-style-span"/>
          <w:color w:val="000000"/>
          <w:szCs w:val="13"/>
        </w:rPr>
        <w:tab/>
        <w:t>NGN</w:t>
      </w:r>
      <w:r w:rsidRPr="00B90896">
        <w:rPr>
          <w:rStyle w:val="apple-style-span"/>
          <w:color w:val="000000"/>
          <w:szCs w:val="13"/>
          <w:lang w:eastAsia="ko-KR"/>
        </w:rPr>
        <w:t xml:space="preserve"> including mobile and overlaying platforms</w:t>
      </w:r>
      <w:r w:rsidRPr="00B90896">
        <w:rPr>
          <w:rStyle w:val="apple-style-span"/>
          <w:color w:val="000000"/>
          <w:szCs w:val="13"/>
        </w:rPr>
        <w:t xml:space="preserve"> </w:t>
      </w:r>
    </w:p>
    <w:p w:rsidR="002634C2" w:rsidRPr="00B90896" w:rsidRDefault="002634C2" w:rsidP="002634C2">
      <w:pPr>
        <w:widowControl w:val="0"/>
        <w:spacing w:before="0"/>
        <w:ind w:left="1134"/>
        <w:jc w:val="both"/>
        <w:rPr>
          <w:rStyle w:val="apple-converted-space"/>
          <w:color w:val="000000"/>
          <w:szCs w:val="13"/>
          <w:lang w:eastAsia="ko-KR"/>
        </w:rPr>
      </w:pPr>
      <w:r w:rsidRPr="00B90896">
        <w:rPr>
          <w:rStyle w:val="apple-style-span"/>
          <w:color w:val="000000"/>
          <w:szCs w:val="13"/>
        </w:rPr>
        <w:t>–</w:t>
      </w:r>
      <w:r w:rsidRPr="00B90896">
        <w:rPr>
          <w:rStyle w:val="apple-style-span"/>
          <w:color w:val="000000"/>
          <w:szCs w:val="13"/>
        </w:rPr>
        <w:tab/>
        <w:t xml:space="preserve">Transport layer technologies </w:t>
      </w:r>
    </w:p>
    <w:p w:rsidR="002634C2" w:rsidRPr="00B90896" w:rsidRDefault="002634C2" w:rsidP="002634C2">
      <w:pPr>
        <w:widowControl w:val="0"/>
        <w:spacing w:before="0"/>
        <w:ind w:left="1134"/>
        <w:jc w:val="both"/>
        <w:rPr>
          <w:rStyle w:val="apple-converted-space"/>
          <w:color w:val="000000"/>
          <w:sz w:val="2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 xml:space="preserve">Terminals and application aspects over </w:t>
      </w:r>
      <w:r w:rsidRPr="00B90896">
        <w:rPr>
          <w:rStyle w:val="apple-converted-space"/>
          <w:szCs w:val="13"/>
          <w:lang w:eastAsia="ko-KR"/>
        </w:rPr>
        <w:t>integrated broadband cable and television</w:t>
      </w:r>
      <w:r w:rsidRPr="00B90896">
        <w:rPr>
          <w:rStyle w:val="apple-converted-space"/>
          <w:color w:val="000000"/>
          <w:szCs w:val="13"/>
          <w:lang w:eastAsia="ko-KR"/>
        </w:rPr>
        <w:t xml:space="preserve"> networks</w:t>
      </w:r>
      <w:r w:rsidRPr="00B90896">
        <w:rPr>
          <w:rStyle w:val="apple-converted-space"/>
          <w:color w:val="000000"/>
          <w:sz w:val="20"/>
          <w:szCs w:val="13"/>
          <w:lang w:eastAsia="ko-KR"/>
        </w:rPr>
        <w:t xml:space="preserve"> </w:t>
      </w:r>
    </w:p>
    <w:p w:rsidR="002634C2" w:rsidRPr="00B90896" w:rsidRDefault="002634C2" w:rsidP="002634C2">
      <w:pPr>
        <w:widowControl w:val="0"/>
        <w:spacing w:before="0"/>
        <w:ind w:left="1134"/>
        <w:jc w:val="both"/>
        <w:rPr>
          <w:rStyle w:val="apple-converted-space"/>
          <w:color w:val="000000"/>
          <w:szCs w:val="13"/>
          <w:lang w:eastAsia="ko-KR"/>
        </w:rPr>
      </w:pPr>
      <w:r w:rsidRPr="00B90896">
        <w:rPr>
          <w:rStyle w:val="apple-style-span"/>
          <w:color w:val="000000"/>
          <w:szCs w:val="13"/>
        </w:rPr>
        <w:t>–</w:t>
      </w:r>
      <w:r w:rsidRPr="00B90896">
        <w:rPr>
          <w:rStyle w:val="apple-style-span"/>
          <w:color w:val="000000"/>
          <w:szCs w:val="13"/>
        </w:rPr>
        <w:tab/>
        <w:t>ICT and climate change</w:t>
      </w:r>
    </w:p>
    <w:p w:rsidR="002634C2" w:rsidRPr="00B90896" w:rsidRDefault="002634C2" w:rsidP="002634C2">
      <w:pPr>
        <w:widowControl w:val="0"/>
        <w:spacing w:before="0"/>
        <w:ind w:left="1134"/>
        <w:jc w:val="both"/>
        <w:rPr>
          <w:rStyle w:val="apple-converted-space"/>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Management and control including s</w:t>
      </w:r>
      <w:r w:rsidRPr="00B90896">
        <w:rPr>
          <w:rStyle w:val="apple-converted-space"/>
          <w:color w:val="000000"/>
          <w:szCs w:val="13"/>
        </w:rPr>
        <w:t xml:space="preserve">ignalling </w:t>
      </w:r>
    </w:p>
    <w:p w:rsidR="002634C2" w:rsidRPr="00B90896" w:rsidRDefault="002634C2" w:rsidP="002634C2">
      <w:pPr>
        <w:widowControl w:val="0"/>
        <w:spacing w:before="0"/>
        <w:ind w:left="1134"/>
        <w:jc w:val="both"/>
        <w:rPr>
          <w:rStyle w:val="apple-converted-space"/>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 xml:space="preserve">Interface of networks and </w:t>
      </w:r>
      <w:r w:rsidRPr="00B90896">
        <w:rPr>
          <w:rStyle w:val="apple-converted-space"/>
          <w:color w:val="000000"/>
          <w:szCs w:val="13"/>
        </w:rPr>
        <w:t xml:space="preserve">Interoperability </w:t>
      </w:r>
    </w:p>
    <w:p w:rsidR="002634C2" w:rsidRPr="00B90896" w:rsidRDefault="002634C2" w:rsidP="002634C2">
      <w:pPr>
        <w:widowControl w:val="0"/>
        <w:spacing w:before="0"/>
        <w:ind w:left="1134"/>
        <w:jc w:val="both"/>
        <w:rPr>
          <w:rStyle w:val="apple-converted-space"/>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r>
      <w:proofErr w:type="spellStart"/>
      <w:r w:rsidRPr="00B90896">
        <w:rPr>
          <w:rStyle w:val="apple-converted-space"/>
          <w:color w:val="000000"/>
          <w:szCs w:val="13"/>
          <w:lang w:eastAsia="ko-KR"/>
        </w:rPr>
        <w:t>QoS</w:t>
      </w:r>
      <w:proofErr w:type="spellEnd"/>
      <w:r w:rsidRPr="00B90896">
        <w:rPr>
          <w:rStyle w:val="apple-converted-space"/>
          <w:color w:val="000000"/>
          <w:szCs w:val="13"/>
          <w:lang w:eastAsia="ko-KR"/>
        </w:rPr>
        <w:t xml:space="preserve"> and </w:t>
      </w:r>
      <w:r w:rsidRPr="00B90896">
        <w:rPr>
          <w:rStyle w:val="apple-converted-space"/>
          <w:color w:val="000000"/>
          <w:szCs w:val="13"/>
        </w:rPr>
        <w:t>security</w:t>
      </w:r>
    </w:p>
    <w:p w:rsidR="002634C2" w:rsidRPr="00B90896" w:rsidRDefault="002634C2" w:rsidP="002634C2">
      <w:pPr>
        <w:widowControl w:val="0"/>
        <w:spacing w:before="0"/>
        <w:ind w:left="1134"/>
        <w:jc w:val="both"/>
        <w:rPr>
          <w:rStyle w:val="apple-converted-space"/>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Distributed media-rich processing and intelligent media coding</w:t>
      </w:r>
    </w:p>
    <w:p w:rsidR="002634C2" w:rsidRPr="00B90896" w:rsidRDefault="002634C2" w:rsidP="002634C2">
      <w:pPr>
        <w:widowControl w:val="0"/>
        <w:spacing w:before="0"/>
        <w:ind w:left="1134"/>
        <w:jc w:val="both"/>
        <w:rPr>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 xml:space="preserve">Identity </w:t>
      </w:r>
      <w:r>
        <w:rPr>
          <w:rStyle w:val="apple-converted-space"/>
          <w:color w:val="000000"/>
          <w:szCs w:val="13"/>
          <w:lang w:eastAsia="ko-KR"/>
        </w:rPr>
        <w:t>m</w:t>
      </w:r>
      <w:r w:rsidRPr="00B90896">
        <w:rPr>
          <w:rStyle w:val="apple-converted-space"/>
          <w:color w:val="000000"/>
          <w:szCs w:val="13"/>
          <w:lang w:eastAsia="ko-KR"/>
        </w:rPr>
        <w:t>anagement</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lang w:val="en-US" w:eastAsia="ko-KR"/>
        </w:rPr>
        <w:t>Relations</w:t>
      </w:r>
      <w:r w:rsidRPr="00B90896">
        <w:rPr>
          <w:b/>
          <w:bCs/>
          <w:lang w:val="en-US" w:eastAsia="ko-KR"/>
        </w:rPr>
        <w:t xml:space="preserve"> within and outside ITU-T</w:t>
      </w:r>
    </w:p>
    <w:p w:rsidR="002634C2" w:rsidRPr="00B90896" w:rsidRDefault="002634C2" w:rsidP="002634C2">
      <w:pPr>
        <w:widowControl w:val="0"/>
        <w:spacing w:after="120" w:line="240" w:lineRule="atLeast"/>
        <w:jc w:val="both"/>
        <w:rPr>
          <w:lang w:val="en-US" w:eastAsia="ko-KR"/>
        </w:rPr>
      </w:pPr>
      <w:r w:rsidRPr="00B90896">
        <w:rPr>
          <w:lang w:val="en-US" w:eastAsia="ko-KR"/>
        </w:rPr>
        <w:t xml:space="preserve">The FG should work in close collaboration with all ITU-T study groups (e.g., through collocated meetings, see clause 11), for instance on the coordination of respective work </w:t>
      </w:r>
      <w:proofErr w:type="spellStart"/>
      <w:r w:rsidRPr="00B90896">
        <w:rPr>
          <w:lang w:val="en-US" w:eastAsia="ko-KR"/>
        </w:rPr>
        <w:t>programmes</w:t>
      </w:r>
      <w:proofErr w:type="spellEnd"/>
      <w:r w:rsidRPr="00B90896">
        <w:rPr>
          <w:lang w:val="en-US" w:eastAsia="ko-KR"/>
        </w:rPr>
        <w:t xml:space="preserve"> in order to avoid duplication and overlap of work, and on the coordination of seminars and workshops according to Recommendation ITU-T A.31.</w:t>
      </w:r>
    </w:p>
    <w:p w:rsidR="002634C2" w:rsidRPr="00B90896" w:rsidRDefault="002634C2" w:rsidP="002634C2">
      <w:pPr>
        <w:widowControl w:val="0"/>
        <w:spacing w:after="120" w:line="240" w:lineRule="atLeast"/>
        <w:jc w:val="both"/>
        <w:rPr>
          <w:lang w:val="en-US" w:eastAsia="ko-KR"/>
        </w:rPr>
      </w:pPr>
      <w:r w:rsidRPr="00B90896">
        <w:rPr>
          <w:lang w:val="en-US" w:eastAsia="ko-KR"/>
        </w:rPr>
        <w:t>The FG will also cooperate and coordinate its work with the other ITU sectors (ITU-R, ITU-D), and with other relevant bodies outside ITU-T (universities, research institutes, SDOs, forums/consortia, regulators, policy-makers) in accordance with Recommendation ITU-T A.7.</w:t>
      </w:r>
    </w:p>
    <w:p w:rsidR="002634C2" w:rsidRPr="00B90896" w:rsidRDefault="002634C2" w:rsidP="002634C2">
      <w:pPr>
        <w:widowControl w:val="0"/>
        <w:spacing w:line="276" w:lineRule="auto"/>
        <w:rPr>
          <w:lang w:val="en-US" w:eastAsia="ko-KR"/>
        </w:rPr>
      </w:pPr>
      <w:r w:rsidRPr="00B90896">
        <w:rPr>
          <w:lang w:val="en-US" w:eastAsia="ko-KR"/>
        </w:rPr>
        <w:t>Special attention will be paid to collaboration with SDOs and the cloud computing sector.</w:t>
      </w:r>
      <w:r w:rsidRPr="00B90896">
        <w:rPr>
          <w:lang w:val="en-US" w:eastAsia="ko-KR"/>
        </w:rPr>
        <w:br/>
      </w:r>
      <w:r>
        <w:rPr>
          <w:lang w:val="en-US" w:eastAsia="ko-KR"/>
        </w:rPr>
        <w:t>ISO/IEC/</w:t>
      </w:r>
      <w:r w:rsidRPr="00B90896">
        <w:rPr>
          <w:lang w:val="en-US" w:eastAsia="ko-KR"/>
        </w:rPr>
        <w:t>JTC</w:t>
      </w:r>
      <w:r>
        <w:rPr>
          <w:lang w:val="en-US" w:eastAsia="ko-KR"/>
        </w:rPr>
        <w:t xml:space="preserve"> </w:t>
      </w:r>
      <w:r w:rsidRPr="00B90896">
        <w:rPr>
          <w:lang w:val="en-US" w:eastAsia="ko-KR"/>
        </w:rPr>
        <w:t>1/SC</w:t>
      </w:r>
      <w:r>
        <w:rPr>
          <w:lang w:val="en-US" w:eastAsia="ko-KR"/>
        </w:rPr>
        <w:t xml:space="preserve"> </w:t>
      </w:r>
      <w:r w:rsidRPr="00B90896">
        <w:rPr>
          <w:lang w:val="en-US" w:eastAsia="ko-KR"/>
        </w:rPr>
        <w:t xml:space="preserve">38/Study Group on </w:t>
      </w:r>
      <w:r>
        <w:rPr>
          <w:lang w:val="en-US" w:eastAsia="ko-KR"/>
        </w:rPr>
        <w:t>Cloud C</w:t>
      </w:r>
      <w:r w:rsidRPr="00B90896">
        <w:rPr>
          <w:lang w:val="en-US" w:eastAsia="ko-KR"/>
        </w:rPr>
        <w:t>omputing is of particular relevance for this Focus Group.</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lang w:val="en-US" w:eastAsia="ko-KR"/>
        </w:rPr>
        <w:t>Specific</w:t>
      </w:r>
      <w:r w:rsidRPr="00B90896">
        <w:rPr>
          <w:b/>
          <w:bCs/>
          <w:lang w:val="en-US" w:eastAsia="ko-KR"/>
        </w:rPr>
        <w:t xml:space="preserve"> tasks and deliverables</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0"/>
        <w:ind w:left="806" w:hanging="403"/>
        <w:jc w:val="both"/>
        <w:rPr>
          <w:lang w:val="en-US" w:eastAsia="ko-KR"/>
        </w:rPr>
      </w:pPr>
      <w:r w:rsidRPr="00B90896">
        <w:rPr>
          <w:lang w:val="en-US" w:eastAsia="ko-KR"/>
        </w:rPr>
        <w:t>Benefits of cloud computing from telecommunication/ICT perspectives</w:t>
      </w:r>
    </w:p>
    <w:p w:rsidR="002634C2" w:rsidRPr="00760AC7" w:rsidRDefault="002634C2" w:rsidP="002634C2">
      <w:pPr>
        <w:widowControl w:val="0"/>
        <w:numPr>
          <w:ilvl w:val="0"/>
          <w:numId w:val="4"/>
        </w:numPr>
        <w:tabs>
          <w:tab w:val="clear" w:pos="799"/>
          <w:tab w:val="clear" w:pos="1191"/>
          <w:tab w:val="clear" w:pos="1588"/>
          <w:tab w:val="clear" w:pos="1985"/>
        </w:tabs>
        <w:spacing w:before="0"/>
        <w:ind w:left="806" w:hanging="403"/>
        <w:jc w:val="both"/>
        <w:rPr>
          <w:lang w:val="en-US" w:eastAsia="ko-KR"/>
        </w:rPr>
      </w:pPr>
      <w:r w:rsidRPr="00760AC7">
        <w:rPr>
          <w:lang w:val="en-US" w:eastAsia="ko-KR"/>
        </w:rPr>
        <w:t>Gap analysis of ITU-T standards for telecommunication/ICT to support cloud computing</w:t>
      </w:r>
    </w:p>
    <w:p w:rsidR="002634C2" w:rsidRDefault="002634C2" w:rsidP="002634C2">
      <w:pPr>
        <w:widowControl w:val="0"/>
        <w:numPr>
          <w:ilvl w:val="0"/>
          <w:numId w:val="4"/>
        </w:numPr>
        <w:tabs>
          <w:tab w:val="clear" w:pos="1191"/>
          <w:tab w:val="clear" w:pos="1588"/>
          <w:tab w:val="clear" w:pos="1985"/>
        </w:tabs>
        <w:autoSpaceDE w:val="0"/>
        <w:autoSpaceDN w:val="0"/>
        <w:adjustRightInd w:val="0"/>
        <w:spacing w:before="0"/>
        <w:ind w:left="806" w:hanging="403"/>
        <w:jc w:val="both"/>
        <w:rPr>
          <w:lang w:val="en-US" w:eastAsia="ko-KR"/>
        </w:rPr>
      </w:pPr>
      <w:r w:rsidRPr="00B90896">
        <w:rPr>
          <w:lang w:val="en-US" w:eastAsia="ko-KR"/>
        </w:rPr>
        <w:t>Collect and summarize vision and value propositions of cloud computing with a focus on telecommunication/ICT aspects</w:t>
      </w:r>
    </w:p>
    <w:p w:rsidR="002634C2" w:rsidRDefault="002634C2" w:rsidP="002634C2">
      <w:pPr>
        <w:widowControl w:val="0"/>
        <w:numPr>
          <w:ilvl w:val="0"/>
          <w:numId w:val="4"/>
        </w:numPr>
        <w:tabs>
          <w:tab w:val="clear" w:pos="1191"/>
          <w:tab w:val="clear" w:pos="1588"/>
          <w:tab w:val="clear" w:pos="1985"/>
        </w:tabs>
        <w:autoSpaceDE w:val="0"/>
        <w:autoSpaceDN w:val="0"/>
        <w:adjustRightInd w:val="0"/>
        <w:spacing w:before="0"/>
        <w:ind w:left="806" w:hanging="403"/>
        <w:jc w:val="both"/>
        <w:rPr>
          <w:lang w:val="en-US" w:eastAsia="ko-KR"/>
        </w:rPr>
      </w:pPr>
      <w:r w:rsidRPr="00AC0191">
        <w:rPr>
          <w:lang w:val="en-US" w:eastAsia="ko-KR"/>
        </w:rPr>
        <w:t xml:space="preserve">Leverage expertise within the ITU-T in building telecom networks to take advantage of cloud concepts and capabilities </w:t>
      </w:r>
    </w:p>
    <w:p w:rsidR="002634C2" w:rsidRDefault="002634C2" w:rsidP="002634C2">
      <w:pPr>
        <w:tabs>
          <w:tab w:val="clear" w:pos="794"/>
          <w:tab w:val="clear" w:pos="1191"/>
          <w:tab w:val="clear" w:pos="1588"/>
          <w:tab w:val="clear" w:pos="1985"/>
        </w:tabs>
        <w:spacing w:before="0"/>
      </w:pPr>
      <w:r>
        <w:br w:type="page"/>
      </w:r>
    </w:p>
    <w:p w:rsidR="002634C2" w:rsidRPr="006C367A" w:rsidRDefault="002634C2" w:rsidP="002634C2">
      <w:pPr>
        <w:widowControl w:val="0"/>
        <w:numPr>
          <w:ilvl w:val="0"/>
          <w:numId w:val="4"/>
        </w:numPr>
        <w:tabs>
          <w:tab w:val="clear" w:pos="1191"/>
          <w:tab w:val="clear" w:pos="1588"/>
          <w:tab w:val="clear" w:pos="1985"/>
        </w:tabs>
        <w:autoSpaceDE w:val="0"/>
        <w:autoSpaceDN w:val="0"/>
        <w:adjustRightInd w:val="0"/>
        <w:spacing w:before="0"/>
        <w:ind w:left="806" w:hanging="403"/>
        <w:jc w:val="both"/>
        <w:rPr>
          <w:szCs w:val="24"/>
          <w:lang w:val="en-US" w:eastAsia="zh-CN"/>
        </w:rPr>
      </w:pPr>
      <w:r>
        <w:t>Contribute in this regard to the studies undertaken in response to WTSA Resolution 73 (ICTs and Climate Change) and Council Resolution 1307 (ICTs and Climate Change).</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0"/>
        <w:ind w:left="806" w:hanging="403"/>
        <w:jc w:val="both"/>
        <w:rPr>
          <w:lang w:val="en-US" w:eastAsia="ko-KR"/>
        </w:rPr>
      </w:pPr>
      <w:r w:rsidRPr="00B90896">
        <w:rPr>
          <w:lang w:val="en-US" w:eastAsia="ko-KR"/>
        </w:rPr>
        <w:t>Terminology and taxonomy and to develop new definition when necessary</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0"/>
        <w:ind w:left="806" w:hanging="403"/>
        <w:jc w:val="both"/>
        <w:rPr>
          <w:lang w:val="en-US" w:eastAsia="ko-KR"/>
        </w:rPr>
      </w:pPr>
      <w:r w:rsidRPr="00B90896">
        <w:rPr>
          <w:lang w:val="en-US" w:eastAsia="ko-KR"/>
        </w:rPr>
        <w:t>Analysis of telecommunication/ICT networking requirements functions and capabilities to support cloud computing services/applications (for both fixed and mobile)</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0"/>
        <w:ind w:left="806" w:hanging="403"/>
        <w:jc w:val="both"/>
        <w:rPr>
          <w:lang w:val="en-US" w:eastAsia="ko-KR"/>
        </w:rPr>
      </w:pPr>
      <w:r w:rsidRPr="00B90896">
        <w:rPr>
          <w:lang w:val="en-US" w:eastAsia="ko-KR"/>
        </w:rPr>
        <w:t>Use cases of services and reference models for telecommunication/ICT to support cloud computing</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0"/>
        <w:ind w:left="806" w:hanging="403"/>
        <w:jc w:val="both"/>
        <w:rPr>
          <w:lang w:val="en-US" w:eastAsia="ko-KR"/>
        </w:rPr>
      </w:pPr>
      <w:r w:rsidRPr="00B90896">
        <w:rPr>
          <w:lang w:val="en-US" w:eastAsia="ko-KR"/>
        </w:rPr>
        <w:t>Roadmap to guide further developments of relevant ITU-T Recommendations.</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lang w:val="en-US" w:eastAsia="ko-KR"/>
        </w:rPr>
        <w:t>Parent group</w:t>
      </w:r>
    </w:p>
    <w:p w:rsidR="002634C2" w:rsidRPr="00B90896" w:rsidRDefault="002634C2" w:rsidP="002634C2">
      <w:pPr>
        <w:widowControl w:val="0"/>
        <w:spacing w:after="120" w:line="240" w:lineRule="atLeast"/>
        <w:jc w:val="both"/>
        <w:rPr>
          <w:lang w:val="en-US" w:eastAsia="ko-KR"/>
        </w:rPr>
      </w:pPr>
      <w:r>
        <w:rPr>
          <w:lang w:val="en-US" w:eastAsia="ko-KR"/>
        </w:rPr>
        <w:t>T</w:t>
      </w:r>
      <w:r w:rsidRPr="00B90896">
        <w:rPr>
          <w:lang w:val="en-US" w:eastAsia="ko-KR"/>
        </w:rPr>
        <w:t>he parent group is TSAG.</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lang w:val="en-US" w:eastAsia="ko-KR"/>
        </w:rPr>
        <w:t>Leadership</w:t>
      </w:r>
    </w:p>
    <w:p w:rsidR="002634C2" w:rsidRPr="00B90896" w:rsidRDefault="002634C2" w:rsidP="002634C2">
      <w:pPr>
        <w:widowControl w:val="0"/>
        <w:spacing w:after="120" w:line="240" w:lineRule="atLeast"/>
        <w:jc w:val="both"/>
        <w:rPr>
          <w:lang w:val="en-US" w:eastAsia="ko-KR"/>
        </w:rPr>
      </w:pPr>
      <w:r>
        <w:rPr>
          <w:lang w:val="en-US" w:eastAsia="ko-KR"/>
        </w:rPr>
        <w:t>S</w:t>
      </w:r>
      <w:r w:rsidRPr="00B90896">
        <w:rPr>
          <w:lang w:val="en-US" w:eastAsia="ko-KR"/>
        </w:rPr>
        <w:t>ee clause 2.3 of Recommendation ITU-T A.7</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lang w:val="en-US" w:eastAsia="ko-KR"/>
        </w:rPr>
        <w:t>Participation</w:t>
      </w:r>
    </w:p>
    <w:p w:rsidR="002634C2" w:rsidRPr="00B90896" w:rsidRDefault="002634C2" w:rsidP="002634C2">
      <w:pPr>
        <w:widowControl w:val="0"/>
        <w:spacing w:after="120" w:line="240" w:lineRule="atLeast"/>
        <w:jc w:val="both"/>
        <w:rPr>
          <w:lang w:val="en-US" w:eastAsia="ko-KR"/>
        </w:rPr>
      </w:pPr>
      <w:r w:rsidRPr="00B90896">
        <w:rPr>
          <w:lang w:val="en-US" w:eastAsia="ko-KR"/>
        </w:rPr>
        <w:t>See clause 3 of Recommendation ITU-T A.7. A list of participants will be maintained for reference purposes and reported to the parent group.</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lang w:val="en-US" w:eastAsia="ko-KR"/>
        </w:rPr>
        <w:t>Administrative</w:t>
      </w:r>
      <w:r w:rsidRPr="00B90896">
        <w:rPr>
          <w:b/>
          <w:bCs/>
          <w:lang w:val="en-US" w:eastAsia="ko-KR"/>
        </w:rPr>
        <w:t xml:space="preserve"> support</w:t>
      </w:r>
    </w:p>
    <w:p w:rsidR="002634C2" w:rsidRPr="00B90896" w:rsidRDefault="002634C2" w:rsidP="002634C2">
      <w:pPr>
        <w:widowControl w:val="0"/>
        <w:spacing w:line="276" w:lineRule="auto"/>
        <w:rPr>
          <w:lang w:val="en-US" w:eastAsia="ko-KR"/>
        </w:rPr>
      </w:pPr>
      <w:r w:rsidRPr="00B90896">
        <w:rPr>
          <w:lang w:val="en-US" w:eastAsia="ko-KR"/>
        </w:rPr>
        <w:t xml:space="preserve">See clause </w:t>
      </w:r>
      <w:smartTag w:uri="urn:schemas-microsoft-com:office:smarttags" w:element="PersonName">
        <w:r w:rsidRPr="00B90896">
          <w:rPr>
            <w:lang w:val="en-US" w:eastAsia="ko-KR"/>
          </w:rPr>
          <w:t>5</w:t>
        </w:r>
      </w:smartTag>
      <w:r w:rsidRPr="00B90896">
        <w:rPr>
          <w:lang w:val="en-US" w:eastAsia="ko-KR"/>
        </w:rPr>
        <w:t xml:space="preserve"> of Recommendation ITU-T A.7.</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lang w:val="en-US" w:eastAsia="ko-KR"/>
        </w:rPr>
        <w:t>General</w:t>
      </w:r>
      <w:r w:rsidRPr="00B90896">
        <w:rPr>
          <w:b/>
          <w:bCs/>
          <w:lang w:val="en-US" w:eastAsia="ko-KR"/>
        </w:rPr>
        <w:t xml:space="preserve"> financing of the FG</w:t>
      </w:r>
    </w:p>
    <w:p w:rsidR="002634C2" w:rsidRPr="00B90896" w:rsidRDefault="002634C2" w:rsidP="002634C2">
      <w:pPr>
        <w:widowControl w:val="0"/>
        <w:spacing w:line="276" w:lineRule="auto"/>
        <w:rPr>
          <w:lang w:val="en-US" w:eastAsia="ko-KR"/>
        </w:rPr>
      </w:pPr>
      <w:r w:rsidRPr="00B90896">
        <w:rPr>
          <w:lang w:val="en-US" w:eastAsia="ko-KR"/>
        </w:rPr>
        <w:t xml:space="preserve">See clauses </w:t>
      </w:r>
      <w:smartTag w:uri="urn:schemas-microsoft-com:office:smarttags" w:element="PersonName">
        <w:r w:rsidRPr="00B90896">
          <w:rPr>
            <w:lang w:val="en-US" w:eastAsia="ko-KR"/>
          </w:rPr>
          <w:t>4</w:t>
        </w:r>
      </w:smartTag>
      <w:r w:rsidRPr="00B90896">
        <w:rPr>
          <w:lang w:val="en-US" w:eastAsia="ko-KR"/>
        </w:rPr>
        <w:t xml:space="preserve"> and 10.2 of Recommendation ITU-T A.7.</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bCs/>
          <w:lang w:val="en-US" w:eastAsia="ko-KR"/>
        </w:rPr>
        <w:t>Meetings</w:t>
      </w:r>
    </w:p>
    <w:p w:rsidR="002634C2" w:rsidRPr="00B90896" w:rsidRDefault="002634C2" w:rsidP="002634C2">
      <w:pPr>
        <w:widowControl w:val="0"/>
        <w:spacing w:after="120" w:line="240" w:lineRule="atLeast"/>
        <w:jc w:val="both"/>
        <w:rPr>
          <w:lang w:val="en-US" w:eastAsia="ko-KR"/>
        </w:rPr>
      </w:pPr>
      <w:r w:rsidRPr="00B90896">
        <w:rPr>
          <w:lang w:val="en-US" w:eastAsia="ko-KR"/>
        </w:rPr>
        <w:t>The frequency and location of meetings will be determined by the Focus Group and the overall meetings plan should be announced as soon as possible. The Focus Group should use remote collaboration tools to the maximum extent, and collocation with existing meetings (e.g.</w:t>
      </w:r>
      <w:r>
        <w:rPr>
          <w:lang w:val="en-US" w:eastAsia="ko-KR"/>
        </w:rPr>
        <w:t>,</w:t>
      </w:r>
      <w:r w:rsidRPr="00B90896">
        <w:rPr>
          <w:lang w:val="en-US" w:eastAsia="ko-KR"/>
        </w:rPr>
        <w:t xml:space="preserve"> study groups and research activities). The meetings will be announced by electronic means (e.g., e-mail and website, etc.) at least </w:t>
      </w:r>
      <w:smartTag w:uri="urn:schemas-microsoft-com:office:smarttags" w:element="PersonName">
        <w:r w:rsidRPr="00B90896">
          <w:rPr>
            <w:lang w:val="en-US" w:eastAsia="ko-KR"/>
          </w:rPr>
          <w:t>4</w:t>
        </w:r>
      </w:smartTag>
      <w:r w:rsidRPr="00B90896">
        <w:rPr>
          <w:lang w:val="en-US" w:eastAsia="ko-KR"/>
        </w:rPr>
        <w:t xml:space="preserve"> weeks in advance.</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bCs/>
          <w:lang w:val="en-US" w:eastAsia="ko-KR"/>
        </w:rPr>
        <w:t>Technical Contributions</w:t>
      </w:r>
    </w:p>
    <w:p w:rsidR="002634C2" w:rsidRPr="00B90896" w:rsidRDefault="002634C2" w:rsidP="002634C2">
      <w:pPr>
        <w:widowControl w:val="0"/>
        <w:spacing w:after="120" w:line="240" w:lineRule="atLeast"/>
        <w:jc w:val="both"/>
        <w:rPr>
          <w:lang w:val="en-US" w:eastAsia="ko-KR"/>
        </w:rPr>
      </w:pPr>
      <w:r w:rsidRPr="00B90896">
        <w:rPr>
          <w:lang w:val="en-US" w:eastAsia="ko-KR"/>
        </w:rPr>
        <w:t>Technical contributions are to be submitted at least 10 calendar days before the meeting takes place.</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bCs/>
          <w:lang w:val="en-US" w:eastAsia="ko-KR"/>
        </w:rPr>
        <w:t>Working language</w:t>
      </w:r>
    </w:p>
    <w:p w:rsidR="002634C2" w:rsidRPr="00B90896" w:rsidRDefault="002634C2" w:rsidP="002634C2">
      <w:pPr>
        <w:widowControl w:val="0"/>
        <w:spacing w:after="120" w:line="240" w:lineRule="atLeast"/>
        <w:jc w:val="both"/>
        <w:outlineLvl w:val="0"/>
        <w:rPr>
          <w:lang w:val="en-US" w:eastAsia="ko-KR"/>
        </w:rPr>
      </w:pPr>
      <w:r w:rsidRPr="00B90896">
        <w:rPr>
          <w:lang w:val="en-US" w:eastAsia="ko-KR"/>
        </w:rPr>
        <w:t>The working language will be English.</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bCs/>
          <w:lang w:val="en-US" w:eastAsia="ko-KR"/>
        </w:rPr>
        <w:t>Approval of deliverables</w:t>
      </w:r>
    </w:p>
    <w:p w:rsidR="002634C2" w:rsidRPr="00B90896" w:rsidRDefault="002634C2" w:rsidP="002634C2">
      <w:pPr>
        <w:widowControl w:val="0"/>
        <w:spacing w:after="120" w:line="240" w:lineRule="atLeast"/>
        <w:jc w:val="both"/>
        <w:outlineLvl w:val="0"/>
        <w:rPr>
          <w:lang w:val="en-US" w:eastAsia="ko-KR"/>
        </w:rPr>
      </w:pPr>
      <w:r w:rsidRPr="00B90896">
        <w:rPr>
          <w:lang w:val="en-US" w:eastAsia="ko-KR"/>
        </w:rPr>
        <w:t>Approval of deliverables will be taken by consensus.</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bCs/>
          <w:lang w:val="en-US" w:eastAsia="ko-KR"/>
        </w:rPr>
        <w:t>Working guidelines</w:t>
      </w:r>
    </w:p>
    <w:p w:rsidR="002634C2" w:rsidRPr="00B90896" w:rsidRDefault="002634C2" w:rsidP="002634C2">
      <w:pPr>
        <w:widowControl w:val="0"/>
        <w:spacing w:after="120" w:line="240" w:lineRule="atLeast"/>
        <w:jc w:val="both"/>
        <w:rPr>
          <w:lang w:val="en-US" w:eastAsia="ko-KR"/>
        </w:rPr>
      </w:pPr>
      <w:r w:rsidRPr="00B90896">
        <w:rPr>
          <w:lang w:val="en-US" w:eastAsia="ko-KR"/>
        </w:rPr>
        <w:t xml:space="preserve">Working procedures will follow the procedures of </w:t>
      </w:r>
      <w:proofErr w:type="spellStart"/>
      <w:r w:rsidRPr="00B90896">
        <w:rPr>
          <w:lang w:val="en-US" w:eastAsia="ko-KR"/>
        </w:rPr>
        <w:t>Rapporteur</w:t>
      </w:r>
      <w:proofErr w:type="spellEnd"/>
      <w:r w:rsidRPr="00B90896">
        <w:rPr>
          <w:lang w:val="en-US" w:eastAsia="ko-KR"/>
        </w:rPr>
        <w:t xml:space="preserve"> meetings. No additional working guidelines are defined. </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bCs/>
          <w:lang w:val="en-US" w:eastAsia="ko-KR"/>
        </w:rPr>
        <w:t>Progress reports</w:t>
      </w:r>
    </w:p>
    <w:p w:rsidR="0092249F" w:rsidRDefault="002634C2" w:rsidP="002634C2">
      <w:pPr>
        <w:widowControl w:val="0"/>
        <w:spacing w:after="120" w:line="240" w:lineRule="atLeast"/>
        <w:jc w:val="both"/>
        <w:rPr>
          <w:lang w:val="en-US" w:eastAsia="ko-KR"/>
        </w:rPr>
      </w:pPr>
      <w:r w:rsidRPr="00B90896">
        <w:rPr>
          <w:lang w:val="en-US" w:eastAsia="ko-KR"/>
        </w:rPr>
        <w:t>See clause 11 of Recommendation ITU-T A.7.</w:t>
      </w:r>
    </w:p>
    <w:p w:rsidR="0092249F" w:rsidRDefault="0092249F">
      <w:pPr>
        <w:tabs>
          <w:tab w:val="clear" w:pos="794"/>
          <w:tab w:val="clear" w:pos="1191"/>
          <w:tab w:val="clear" w:pos="1588"/>
          <w:tab w:val="clear" w:pos="1985"/>
        </w:tabs>
        <w:spacing w:before="0"/>
        <w:rPr>
          <w:lang w:val="en-US" w:eastAsia="ko-KR"/>
        </w:rPr>
      </w:pPr>
      <w:r>
        <w:rPr>
          <w:lang w:val="en-US" w:eastAsia="ko-KR"/>
        </w:rPr>
        <w:br w:type="page"/>
      </w:r>
    </w:p>
    <w:p w:rsidR="002634C2" w:rsidRDefault="002634C2" w:rsidP="002634C2">
      <w:pPr>
        <w:widowControl w:val="0"/>
        <w:spacing w:after="120" w:line="240" w:lineRule="atLeast"/>
        <w:jc w:val="both"/>
        <w:rPr>
          <w:lang w:val="en-US" w:eastAsia="ko-KR"/>
        </w:rPr>
      </w:pP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bCs/>
          <w:lang w:val="en-US" w:eastAsia="ko-KR"/>
        </w:rPr>
        <w:t>Announcement of Focus Group formation</w:t>
      </w:r>
    </w:p>
    <w:p w:rsidR="002634C2" w:rsidRPr="00B90896" w:rsidRDefault="002634C2" w:rsidP="002634C2">
      <w:pPr>
        <w:widowControl w:val="0"/>
        <w:spacing w:after="120" w:line="240" w:lineRule="atLeast"/>
        <w:jc w:val="both"/>
        <w:rPr>
          <w:lang w:val="en-US" w:eastAsia="ko-KR"/>
        </w:rPr>
      </w:pPr>
      <w:r w:rsidRPr="00B90896">
        <w:rPr>
          <w:lang w:val="en-US" w:eastAsia="ko-KR"/>
        </w:rPr>
        <w:t xml:space="preserve">The formation of the Focus Group will be announced by TSAG via ITU publications and other means, including communication with the other organizations and/or experts, technical journals and the </w:t>
      </w:r>
      <w:r>
        <w:rPr>
          <w:lang w:val="en-US" w:eastAsia="ko-KR"/>
        </w:rPr>
        <w:t>W</w:t>
      </w:r>
      <w:r w:rsidRPr="00B90896">
        <w:rPr>
          <w:lang w:val="en-US" w:eastAsia="ko-KR"/>
        </w:rPr>
        <w:t xml:space="preserve">orld </w:t>
      </w:r>
      <w:r>
        <w:rPr>
          <w:lang w:val="en-US" w:eastAsia="ko-KR"/>
        </w:rPr>
        <w:t>W</w:t>
      </w:r>
      <w:r w:rsidRPr="00B90896">
        <w:rPr>
          <w:lang w:val="en-US" w:eastAsia="ko-KR"/>
        </w:rPr>
        <w:t xml:space="preserve">ide </w:t>
      </w:r>
      <w:r>
        <w:rPr>
          <w:lang w:val="en-US" w:eastAsia="ko-KR"/>
        </w:rPr>
        <w:t>W</w:t>
      </w:r>
      <w:r w:rsidRPr="00B90896">
        <w:rPr>
          <w:lang w:val="en-US" w:eastAsia="ko-KR"/>
        </w:rPr>
        <w:t>eb.</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bCs/>
          <w:lang w:val="en-US" w:eastAsia="ko-KR"/>
        </w:rPr>
        <w:t>Milestones and duration of the FG</w:t>
      </w:r>
    </w:p>
    <w:p w:rsidR="002634C2" w:rsidRPr="00B90896" w:rsidRDefault="002634C2" w:rsidP="002634C2">
      <w:pPr>
        <w:widowControl w:val="0"/>
        <w:spacing w:after="120" w:line="240" w:lineRule="atLeast"/>
        <w:jc w:val="both"/>
        <w:rPr>
          <w:lang w:val="en-US" w:eastAsia="ko-KR"/>
        </w:rPr>
      </w:pPr>
      <w:r w:rsidRPr="00B90896">
        <w:rPr>
          <w:lang w:val="en-US" w:eastAsia="ko-KR"/>
        </w:rPr>
        <w:t>The Focus Group lifetime is one year from the 1st meeting.</w:t>
      </w:r>
    </w:p>
    <w:p w:rsidR="002634C2" w:rsidRPr="00B90896" w:rsidRDefault="002634C2" w:rsidP="002634C2">
      <w:pPr>
        <w:widowControl w:val="0"/>
        <w:spacing w:after="120" w:line="240" w:lineRule="atLeast"/>
        <w:jc w:val="both"/>
        <w:rPr>
          <w:lang w:val="en-US" w:eastAsia="ko-KR"/>
        </w:rPr>
      </w:pPr>
      <w:r w:rsidRPr="00B90896">
        <w:rPr>
          <w:lang w:val="en-US" w:eastAsia="ko-KR"/>
        </w:rPr>
        <w:t>The following milestones are proposed:</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0" w:line="276" w:lineRule="auto"/>
        <w:jc w:val="both"/>
        <w:rPr>
          <w:lang w:val="en-US" w:eastAsia="ko-KR"/>
        </w:rPr>
      </w:pPr>
      <w:r w:rsidRPr="00B90896">
        <w:rPr>
          <w:lang w:val="en-US" w:eastAsia="ko-KR"/>
        </w:rPr>
        <w:t>Holding of the first Focus Group meeting (14-16 June 2010)</w:t>
      </w:r>
    </w:p>
    <w:p w:rsidR="002634C2" w:rsidRPr="00B90896" w:rsidRDefault="002634C2" w:rsidP="002634C2">
      <w:pPr>
        <w:widowControl w:val="0"/>
        <w:numPr>
          <w:ilvl w:val="0"/>
          <w:numId w:val="4"/>
        </w:numPr>
        <w:tabs>
          <w:tab w:val="clear" w:pos="1191"/>
          <w:tab w:val="clear" w:pos="1588"/>
          <w:tab w:val="clear" w:pos="1985"/>
        </w:tabs>
        <w:autoSpaceDE w:val="0"/>
        <w:autoSpaceDN w:val="0"/>
        <w:adjustRightInd w:val="0"/>
        <w:spacing w:before="0" w:line="276" w:lineRule="auto"/>
        <w:jc w:val="both"/>
        <w:rPr>
          <w:lang w:val="en-US" w:eastAsia="ko-KR"/>
        </w:rPr>
      </w:pPr>
      <w:r w:rsidRPr="00B90896">
        <w:rPr>
          <w:lang w:val="en-US" w:eastAsia="ko-KR"/>
        </w:rPr>
        <w:t xml:space="preserve">Presentation of the first draft of the deliverables as identified in clause </w:t>
      </w:r>
      <w:smartTag w:uri="urn:schemas-microsoft-com:office:smarttags" w:element="PersonName">
        <w:r w:rsidRPr="00B90896">
          <w:rPr>
            <w:lang w:val="en-US" w:eastAsia="ko-KR"/>
          </w:rPr>
          <w:t>5</w:t>
        </w:r>
      </w:smartTag>
      <w:r w:rsidRPr="00B90896">
        <w:rPr>
          <w:lang w:val="en-US" w:eastAsia="ko-KR"/>
        </w:rPr>
        <w:t xml:space="preserve"> at the TSAG meeting 8-11 February 2011</w:t>
      </w:r>
    </w:p>
    <w:p w:rsidR="002634C2" w:rsidRPr="00B90896" w:rsidRDefault="002634C2" w:rsidP="002634C2">
      <w:pPr>
        <w:widowControl w:val="0"/>
        <w:numPr>
          <w:ilvl w:val="0"/>
          <w:numId w:val="5"/>
        </w:numPr>
        <w:tabs>
          <w:tab w:val="clear" w:pos="794"/>
          <w:tab w:val="clear" w:pos="1191"/>
          <w:tab w:val="clear" w:pos="1588"/>
          <w:tab w:val="clear" w:pos="1985"/>
        </w:tabs>
        <w:autoSpaceDE w:val="0"/>
        <w:autoSpaceDN w:val="0"/>
        <w:adjustRightInd w:val="0"/>
        <w:spacing w:after="120" w:line="276" w:lineRule="auto"/>
        <w:jc w:val="both"/>
        <w:rPr>
          <w:b/>
          <w:bCs/>
          <w:lang w:val="en-US" w:eastAsia="ko-KR"/>
        </w:rPr>
      </w:pPr>
      <w:r w:rsidRPr="00B90896">
        <w:rPr>
          <w:b/>
          <w:bCs/>
          <w:lang w:val="en-US" w:eastAsia="ko-KR"/>
        </w:rPr>
        <w:t>Patent Policy</w:t>
      </w:r>
    </w:p>
    <w:p w:rsidR="002634C2" w:rsidRPr="00B90896" w:rsidRDefault="002634C2" w:rsidP="002634C2">
      <w:pPr>
        <w:widowControl w:val="0"/>
        <w:spacing w:after="120" w:line="240" w:lineRule="atLeast"/>
        <w:jc w:val="both"/>
        <w:rPr>
          <w:lang w:val="en-US" w:eastAsia="ko-KR"/>
        </w:rPr>
      </w:pPr>
      <w:r w:rsidRPr="00B90896">
        <w:rPr>
          <w:lang w:val="en-US" w:eastAsia="ko-KR"/>
        </w:rPr>
        <w:t>See clause 9 of Recommendation ITU-T A.7.</w:t>
      </w:r>
    </w:p>
    <w:p w:rsidR="002634C2" w:rsidRPr="00F4158A" w:rsidRDefault="002634C2" w:rsidP="002634C2"/>
    <w:p w:rsidR="002634C2" w:rsidRDefault="002634C2" w:rsidP="002634C2">
      <w:pPr>
        <w:tabs>
          <w:tab w:val="clear" w:pos="794"/>
          <w:tab w:val="clear" w:pos="1191"/>
          <w:tab w:val="clear" w:pos="1588"/>
          <w:tab w:val="clear" w:pos="1985"/>
        </w:tabs>
        <w:spacing w:before="0"/>
        <w:rPr>
          <w:b/>
          <w:bCs/>
        </w:rPr>
      </w:pPr>
      <w:r>
        <w:rPr>
          <w:b/>
          <w:bCs/>
        </w:rPr>
        <w:br w:type="page"/>
      </w:r>
    </w:p>
    <w:p w:rsidR="002634C2" w:rsidRPr="002B65CB" w:rsidRDefault="002634C2" w:rsidP="002634C2">
      <w:pPr>
        <w:pStyle w:val="BodyText2"/>
        <w:ind w:right="-52"/>
        <w:jc w:val="center"/>
        <w:rPr>
          <w:rFonts w:asciiTheme="majorBidi" w:hAnsiTheme="majorBidi" w:cstheme="majorBidi"/>
          <w:b/>
          <w:bCs/>
          <w:szCs w:val="24"/>
        </w:rPr>
      </w:pPr>
      <w:r w:rsidRPr="002B65CB">
        <w:rPr>
          <w:rFonts w:asciiTheme="majorBidi" w:hAnsiTheme="majorBidi" w:cstheme="majorBidi"/>
          <w:szCs w:val="24"/>
        </w:rPr>
        <w:t>ANNEX</w:t>
      </w:r>
      <w:r w:rsidRPr="002B65CB">
        <w:rPr>
          <w:rFonts w:asciiTheme="majorBidi" w:hAnsiTheme="majorBidi" w:cstheme="majorBidi"/>
          <w:b/>
          <w:bCs/>
          <w:szCs w:val="24"/>
        </w:rPr>
        <w:t xml:space="preserve"> </w:t>
      </w:r>
      <w:r>
        <w:rPr>
          <w:rFonts w:asciiTheme="majorBidi" w:hAnsiTheme="majorBidi" w:cstheme="majorBidi"/>
          <w:szCs w:val="24"/>
        </w:rPr>
        <w:t>2</w:t>
      </w:r>
      <w:r w:rsidRPr="002B65CB">
        <w:rPr>
          <w:rFonts w:asciiTheme="majorBidi" w:hAnsiTheme="majorBidi" w:cstheme="majorBidi"/>
          <w:b/>
          <w:bCs/>
          <w:szCs w:val="24"/>
        </w:rPr>
        <w:br/>
      </w:r>
      <w:r w:rsidRPr="002B65CB">
        <w:rPr>
          <w:rFonts w:asciiTheme="majorBidi" w:hAnsiTheme="majorBidi" w:cstheme="majorBidi"/>
          <w:szCs w:val="24"/>
        </w:rPr>
        <w:t xml:space="preserve">(to TSB Circular </w:t>
      </w:r>
      <w:r>
        <w:rPr>
          <w:rFonts w:asciiTheme="majorBidi" w:hAnsiTheme="majorBidi" w:cstheme="majorBidi"/>
          <w:szCs w:val="24"/>
        </w:rPr>
        <w:t>114</w:t>
      </w:r>
      <w:r w:rsidRPr="002B65CB">
        <w:rPr>
          <w:rFonts w:asciiTheme="majorBidi" w:hAnsiTheme="majorBidi" w:cstheme="majorBidi"/>
          <w:szCs w:val="24"/>
        </w:rPr>
        <w:t>)</w:t>
      </w:r>
    </w:p>
    <w:p w:rsidR="002634C2" w:rsidRDefault="002634C2" w:rsidP="002634C2">
      <w:pPr>
        <w:pStyle w:val="NormalWeb"/>
        <w:jc w:val="center"/>
        <w:rPr>
          <w:rFonts w:asciiTheme="majorBidi" w:hAnsiTheme="majorBidi" w:cstheme="majorBidi"/>
          <w:b/>
          <w:bCs/>
          <w:sz w:val="24"/>
          <w:szCs w:val="24"/>
        </w:rPr>
      </w:pPr>
      <w:r>
        <w:rPr>
          <w:rFonts w:asciiTheme="majorBidi" w:hAnsiTheme="majorBidi" w:cstheme="majorBidi"/>
          <w:b/>
          <w:bCs/>
          <w:sz w:val="24"/>
          <w:szCs w:val="24"/>
        </w:rPr>
        <w:t>Draft meeting agenda</w:t>
      </w:r>
    </w:p>
    <w:p w:rsidR="002634C2" w:rsidRPr="00E01300" w:rsidRDefault="002634C2" w:rsidP="002634C2">
      <w:pPr>
        <w:pStyle w:val="NormalWeb"/>
        <w:jc w:val="center"/>
        <w:rPr>
          <w:rFonts w:asciiTheme="majorBidi" w:hAnsiTheme="majorBidi" w:cstheme="majorBidi"/>
          <w:sz w:val="24"/>
          <w:szCs w:val="24"/>
        </w:rPr>
      </w:pPr>
    </w:p>
    <w:p w:rsidR="002634C2" w:rsidRPr="00E01300" w:rsidRDefault="002634C2" w:rsidP="002634C2">
      <w:pPr>
        <w:pStyle w:val="NormalWeb"/>
        <w:numPr>
          <w:ilvl w:val="0"/>
          <w:numId w:val="3"/>
        </w:numPr>
        <w:rPr>
          <w:rFonts w:asciiTheme="majorBidi" w:hAnsiTheme="majorBidi" w:cstheme="majorBidi"/>
          <w:sz w:val="24"/>
          <w:szCs w:val="24"/>
        </w:rPr>
      </w:pPr>
      <w:r w:rsidRPr="00E01300">
        <w:rPr>
          <w:rFonts w:asciiTheme="majorBidi" w:hAnsiTheme="majorBidi" w:cstheme="majorBidi"/>
          <w:sz w:val="24"/>
          <w:szCs w:val="24"/>
        </w:rPr>
        <w:t>Leadership position</w:t>
      </w:r>
      <w:r>
        <w:rPr>
          <w:rFonts w:asciiTheme="majorBidi" w:hAnsiTheme="majorBidi" w:cstheme="majorBidi"/>
          <w:sz w:val="24"/>
          <w:szCs w:val="24"/>
        </w:rPr>
        <w:t>s</w:t>
      </w:r>
      <w:r w:rsidRPr="00E01300">
        <w:rPr>
          <w:rFonts w:asciiTheme="majorBidi" w:hAnsiTheme="majorBidi" w:cstheme="majorBidi"/>
          <w:sz w:val="24"/>
          <w:szCs w:val="24"/>
        </w:rPr>
        <w:t>: FG management panel</w:t>
      </w:r>
    </w:p>
    <w:p w:rsidR="002634C2" w:rsidRPr="00E01300" w:rsidRDefault="002634C2" w:rsidP="002634C2">
      <w:pPr>
        <w:pStyle w:val="NormalWeb"/>
        <w:numPr>
          <w:ilvl w:val="0"/>
          <w:numId w:val="3"/>
        </w:numPr>
        <w:rPr>
          <w:rFonts w:asciiTheme="majorBidi" w:hAnsiTheme="majorBidi" w:cstheme="majorBidi"/>
          <w:sz w:val="24"/>
          <w:szCs w:val="24"/>
        </w:rPr>
      </w:pPr>
      <w:r w:rsidRPr="00E01300">
        <w:rPr>
          <w:rFonts w:asciiTheme="majorBidi" w:hAnsiTheme="majorBidi" w:cstheme="majorBidi"/>
          <w:sz w:val="24"/>
          <w:szCs w:val="24"/>
        </w:rPr>
        <w:t>Working methods</w:t>
      </w:r>
    </w:p>
    <w:p w:rsidR="002634C2" w:rsidRPr="00E01300" w:rsidRDefault="002634C2" w:rsidP="002634C2">
      <w:pPr>
        <w:pStyle w:val="NormalWeb"/>
        <w:numPr>
          <w:ilvl w:val="0"/>
          <w:numId w:val="3"/>
        </w:numPr>
        <w:rPr>
          <w:rFonts w:asciiTheme="majorBidi" w:hAnsiTheme="majorBidi" w:cstheme="majorBidi"/>
          <w:sz w:val="24"/>
          <w:szCs w:val="24"/>
        </w:rPr>
      </w:pPr>
      <w:r w:rsidRPr="00E01300">
        <w:rPr>
          <w:rFonts w:asciiTheme="majorBidi" w:hAnsiTheme="majorBidi" w:cstheme="majorBidi"/>
          <w:sz w:val="24"/>
          <w:szCs w:val="24"/>
        </w:rPr>
        <w:t>Tools</w:t>
      </w:r>
    </w:p>
    <w:p w:rsidR="002634C2" w:rsidRPr="00E01300" w:rsidRDefault="002634C2" w:rsidP="002634C2">
      <w:pPr>
        <w:pStyle w:val="NormalWeb"/>
        <w:numPr>
          <w:ilvl w:val="0"/>
          <w:numId w:val="3"/>
        </w:numPr>
        <w:rPr>
          <w:rFonts w:asciiTheme="majorBidi" w:hAnsiTheme="majorBidi" w:cstheme="majorBidi"/>
          <w:sz w:val="24"/>
          <w:szCs w:val="24"/>
        </w:rPr>
      </w:pPr>
      <w:r w:rsidRPr="00E01300">
        <w:rPr>
          <w:rFonts w:asciiTheme="majorBidi" w:hAnsiTheme="majorBidi" w:cstheme="majorBidi"/>
          <w:sz w:val="24"/>
          <w:szCs w:val="24"/>
        </w:rPr>
        <w:t>Focus group structure</w:t>
      </w:r>
    </w:p>
    <w:p w:rsidR="002634C2" w:rsidRPr="00E01300" w:rsidRDefault="002634C2" w:rsidP="002634C2">
      <w:pPr>
        <w:pStyle w:val="NormalWeb"/>
        <w:numPr>
          <w:ilvl w:val="0"/>
          <w:numId w:val="3"/>
        </w:numPr>
        <w:rPr>
          <w:rFonts w:asciiTheme="majorBidi" w:hAnsiTheme="majorBidi" w:cstheme="majorBidi"/>
          <w:sz w:val="24"/>
          <w:szCs w:val="24"/>
        </w:rPr>
      </w:pPr>
      <w:r w:rsidRPr="00E01300">
        <w:rPr>
          <w:rFonts w:asciiTheme="majorBidi" w:hAnsiTheme="majorBidi" w:cstheme="majorBidi"/>
          <w:sz w:val="24"/>
          <w:szCs w:val="24"/>
        </w:rPr>
        <w:t>Relationships</w:t>
      </w:r>
    </w:p>
    <w:p w:rsidR="002634C2" w:rsidRPr="00E01300" w:rsidRDefault="002634C2" w:rsidP="002634C2">
      <w:pPr>
        <w:pStyle w:val="NormalWeb"/>
        <w:numPr>
          <w:ilvl w:val="0"/>
          <w:numId w:val="3"/>
        </w:numPr>
        <w:rPr>
          <w:rFonts w:asciiTheme="majorBidi" w:hAnsiTheme="majorBidi" w:cstheme="majorBidi"/>
          <w:sz w:val="24"/>
          <w:szCs w:val="24"/>
        </w:rPr>
      </w:pPr>
      <w:r w:rsidRPr="00E01300">
        <w:rPr>
          <w:rFonts w:asciiTheme="majorBidi" w:hAnsiTheme="majorBidi" w:cstheme="majorBidi"/>
          <w:sz w:val="24"/>
          <w:szCs w:val="24"/>
        </w:rPr>
        <w:t>Review of contributions</w:t>
      </w:r>
    </w:p>
    <w:p w:rsidR="002634C2" w:rsidRPr="00E01300" w:rsidRDefault="002634C2" w:rsidP="002634C2">
      <w:pPr>
        <w:pStyle w:val="NormalWeb"/>
        <w:numPr>
          <w:ilvl w:val="0"/>
          <w:numId w:val="3"/>
        </w:numPr>
        <w:rPr>
          <w:rFonts w:asciiTheme="majorBidi" w:hAnsiTheme="majorBidi" w:cstheme="majorBidi"/>
          <w:sz w:val="24"/>
          <w:szCs w:val="24"/>
        </w:rPr>
      </w:pPr>
      <w:r w:rsidRPr="00E01300">
        <w:rPr>
          <w:rFonts w:asciiTheme="majorBidi" w:hAnsiTheme="majorBidi" w:cstheme="majorBidi"/>
          <w:sz w:val="24"/>
          <w:szCs w:val="24"/>
        </w:rPr>
        <w:t>Promotion</w:t>
      </w:r>
    </w:p>
    <w:p w:rsidR="002634C2" w:rsidRPr="00E01300" w:rsidRDefault="002634C2" w:rsidP="002634C2">
      <w:pPr>
        <w:pStyle w:val="NormalWeb"/>
        <w:numPr>
          <w:ilvl w:val="0"/>
          <w:numId w:val="3"/>
        </w:numPr>
        <w:rPr>
          <w:rFonts w:asciiTheme="majorBidi" w:hAnsiTheme="majorBidi" w:cstheme="majorBidi"/>
          <w:sz w:val="24"/>
          <w:szCs w:val="24"/>
        </w:rPr>
      </w:pPr>
      <w:r w:rsidRPr="00E01300">
        <w:rPr>
          <w:rFonts w:asciiTheme="majorBidi" w:hAnsiTheme="majorBidi" w:cstheme="majorBidi"/>
          <w:sz w:val="24"/>
          <w:szCs w:val="24"/>
        </w:rPr>
        <w:t>SDO/Forums presentations</w:t>
      </w:r>
    </w:p>
    <w:p w:rsidR="002634C2" w:rsidRDefault="002634C2" w:rsidP="00C868BD">
      <w:pPr>
        <w:pStyle w:val="LetterStart"/>
        <w:tabs>
          <w:tab w:val="clear" w:pos="1361"/>
          <w:tab w:val="clear" w:pos="1758"/>
          <w:tab w:val="clear" w:pos="2155"/>
          <w:tab w:val="clear" w:pos="2552"/>
          <w:tab w:val="center" w:pos="4962"/>
        </w:tabs>
        <w:spacing w:before="120" w:line="240" w:lineRule="atLeast"/>
        <w:rPr>
          <w:lang w:eastAsia="zh-CN"/>
        </w:rPr>
        <w:sectPr w:rsidR="002634C2" w:rsidSect="000D76B8">
          <w:headerReference w:type="default" r:id="rId16"/>
          <w:footerReference w:type="default" r:id="rId17"/>
          <w:footerReference w:type="first" r:id="rId18"/>
          <w:pgSz w:w="11907" w:h="16840" w:code="9"/>
          <w:pgMar w:top="1134" w:right="1089" w:bottom="1134" w:left="1089" w:header="567" w:footer="567" w:gutter="0"/>
          <w:paperSrc w:first="15" w:other="15"/>
          <w:pgNumType w:start="1"/>
          <w:cols w:space="720"/>
          <w:titlePg/>
        </w:sectPr>
      </w:pPr>
    </w:p>
    <w:p w:rsidR="00E1779A" w:rsidRDefault="00E1779A" w:rsidP="00F64032">
      <w:pPr>
        <w:pStyle w:val="LetterStart"/>
        <w:tabs>
          <w:tab w:val="clear" w:pos="1361"/>
          <w:tab w:val="clear" w:pos="1758"/>
          <w:tab w:val="clear" w:pos="2155"/>
          <w:tab w:val="clear" w:pos="2552"/>
          <w:tab w:val="center" w:pos="4962"/>
        </w:tabs>
        <w:spacing w:before="0" w:line="240" w:lineRule="atLeast"/>
        <w:ind w:left="0"/>
        <w:jc w:val="center"/>
      </w:pPr>
      <w:r w:rsidRPr="003D16F1">
        <w:rPr>
          <w:lang w:val="en-US" w:eastAsia="zh-CN"/>
        </w:rPr>
        <w:t xml:space="preserve">ANNEX </w:t>
      </w:r>
      <w:r w:rsidR="00F64032">
        <w:rPr>
          <w:lang w:val="en-US" w:eastAsia="zh-CN"/>
        </w:rPr>
        <w:t>3</w:t>
      </w:r>
      <w:r w:rsidRPr="003D16F1">
        <w:rPr>
          <w:lang w:val="en-US" w:eastAsia="zh-CN"/>
        </w:rPr>
        <w:br/>
      </w:r>
      <w:r w:rsidR="0073042F">
        <w:t>（</w:t>
      </w:r>
      <w:r>
        <w:t xml:space="preserve">to TSB Circular </w:t>
      </w:r>
      <w:r w:rsidR="0092249F">
        <w:t>114</w:t>
      </w:r>
      <w:r w:rsidR="0073042F">
        <w:t>）</w:t>
      </w:r>
    </w:p>
    <w:p w:rsidR="00E1779A" w:rsidRPr="003D16F1" w:rsidRDefault="00E1779A" w:rsidP="00E1779A">
      <w:pPr>
        <w:spacing w:before="0" w:line="240" w:lineRule="atLeast"/>
        <w:ind w:left="709" w:right="453"/>
        <w:jc w:val="center"/>
        <w:rPr>
          <w:sz w:val="16"/>
          <w:lang w:val="en-US"/>
        </w:rPr>
      </w:pPr>
    </w:p>
    <w:tbl>
      <w:tblPr>
        <w:tblW w:w="0" w:type="auto"/>
        <w:jc w:val="center"/>
        <w:tblLayout w:type="fixed"/>
        <w:tblLook w:val="0000"/>
      </w:tblPr>
      <w:tblGrid>
        <w:gridCol w:w="9360"/>
      </w:tblGrid>
      <w:tr w:rsidR="00E1779A"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E1779A" w:rsidRPr="006662BC" w:rsidRDefault="00E1779A" w:rsidP="002A1603">
            <w:pPr>
              <w:tabs>
                <w:tab w:val="left" w:pos="1440"/>
                <w:tab w:val="left" w:pos="8647"/>
              </w:tabs>
              <w:spacing w:before="0" w:line="288" w:lineRule="atLeast"/>
              <w:ind w:right="133"/>
              <w:jc w:val="center"/>
              <w:rPr>
                <w:i/>
                <w:sz w:val="20"/>
                <w:lang w:val="en-US"/>
              </w:rPr>
            </w:pPr>
          </w:p>
          <w:p w:rsidR="00E1779A" w:rsidRPr="006662BC" w:rsidRDefault="00E1779A" w:rsidP="002A1603">
            <w:pPr>
              <w:tabs>
                <w:tab w:val="left" w:pos="1440"/>
                <w:tab w:val="left" w:pos="8647"/>
              </w:tabs>
              <w:spacing w:before="0" w:line="288" w:lineRule="atLeast"/>
              <w:ind w:right="133"/>
              <w:jc w:val="center"/>
              <w:rPr>
                <w:i/>
                <w:szCs w:val="24"/>
                <w:lang w:val="en-US"/>
              </w:rPr>
            </w:pPr>
            <w:r w:rsidRPr="006662BC">
              <w:rPr>
                <w:i/>
                <w:szCs w:val="24"/>
                <w:lang w:val="en-US"/>
              </w:rPr>
              <w:t xml:space="preserve">This confirmation form </w:t>
            </w:r>
            <w:r w:rsidRPr="006662BC">
              <w:rPr>
                <w:bCs/>
                <w:i/>
                <w:szCs w:val="24"/>
                <w:lang w:val="en-US"/>
              </w:rPr>
              <w:t xml:space="preserve">should </w:t>
            </w:r>
            <w:r w:rsidRPr="006662BC">
              <w:rPr>
                <w:b/>
                <w:i/>
                <w:szCs w:val="24"/>
                <w:lang w:val="en-US"/>
              </w:rPr>
              <w:t xml:space="preserve">be sent direct to the hotel </w:t>
            </w:r>
            <w:r w:rsidRPr="006662BC">
              <w:rPr>
                <w:i/>
                <w:szCs w:val="24"/>
                <w:lang w:val="en-US"/>
              </w:rPr>
              <w:t>of your choice</w:t>
            </w:r>
          </w:p>
          <w:p w:rsidR="00E1779A" w:rsidRPr="00C67AB9" w:rsidRDefault="00E1779A" w:rsidP="00E1779A">
            <w:pPr>
              <w:spacing w:before="0" w:line="288" w:lineRule="atLeast"/>
              <w:ind w:right="130"/>
              <w:jc w:val="center"/>
              <w:rPr>
                <w:sz w:val="20"/>
                <w:lang w:val="en-US"/>
              </w:rPr>
            </w:pPr>
          </w:p>
        </w:tc>
      </w:tr>
    </w:tbl>
    <w:p w:rsidR="00E1779A" w:rsidRPr="00C67AB9" w:rsidRDefault="00E1779A" w:rsidP="00E1779A">
      <w:pPr>
        <w:tabs>
          <w:tab w:val="center" w:pos="9639"/>
        </w:tabs>
        <w:spacing w:before="0" w:line="240" w:lineRule="atLeast"/>
        <w:ind w:right="454"/>
        <w:rPr>
          <w:lang w:val="en-US"/>
        </w:rPr>
      </w:pPr>
    </w:p>
    <w:tbl>
      <w:tblPr>
        <w:tblW w:w="0" w:type="auto"/>
        <w:jc w:val="center"/>
        <w:tblLayout w:type="fixed"/>
        <w:tblLook w:val="0000"/>
      </w:tblPr>
      <w:tblGrid>
        <w:gridCol w:w="1291"/>
        <w:gridCol w:w="7264"/>
        <w:gridCol w:w="1400"/>
      </w:tblGrid>
      <w:tr w:rsidR="00E1779A">
        <w:trPr>
          <w:cantSplit/>
          <w:jc w:val="center"/>
        </w:trPr>
        <w:tc>
          <w:tcPr>
            <w:tcW w:w="1291" w:type="dxa"/>
          </w:tcPr>
          <w:p w:rsidR="00E1779A" w:rsidRDefault="008F3B19" w:rsidP="002A1603">
            <w:pPr>
              <w:tabs>
                <w:tab w:val="center" w:pos="9639"/>
              </w:tabs>
              <w:spacing w:before="57" w:line="240" w:lineRule="atLeast"/>
              <w:ind w:right="-176"/>
              <w:jc w:val="center"/>
              <w:rPr>
                <w:sz w:val="28"/>
              </w:rPr>
            </w:pPr>
            <w:r>
              <w:rPr>
                <w:noProof/>
                <w:lang w:val="en-US" w:eastAsia="zh-CN"/>
              </w:rPr>
              <w:drawing>
                <wp:inline distT="0" distB="0" distL="0" distR="0">
                  <wp:extent cx="632460" cy="6629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32460" cy="662940"/>
                          </a:xfrm>
                          <a:prstGeom prst="rect">
                            <a:avLst/>
                          </a:prstGeom>
                          <a:noFill/>
                          <a:ln w="9525">
                            <a:noFill/>
                            <a:miter lim="800000"/>
                            <a:headEnd/>
                            <a:tailEnd/>
                          </a:ln>
                        </pic:spPr>
                      </pic:pic>
                    </a:graphicData>
                  </a:graphic>
                </wp:inline>
              </w:drawing>
            </w:r>
          </w:p>
        </w:tc>
        <w:tc>
          <w:tcPr>
            <w:tcW w:w="7264" w:type="dxa"/>
          </w:tcPr>
          <w:p w:rsidR="00E1779A" w:rsidRPr="001F5A0A" w:rsidRDefault="00E1779A" w:rsidP="002A1603">
            <w:pPr>
              <w:tabs>
                <w:tab w:val="center" w:pos="9639"/>
              </w:tabs>
              <w:spacing w:line="240" w:lineRule="atLeast"/>
              <w:ind w:right="-40"/>
              <w:jc w:val="center"/>
              <w:rPr>
                <w:b/>
                <w:bCs/>
                <w:sz w:val="28"/>
                <w:szCs w:val="28"/>
              </w:rPr>
            </w:pPr>
            <w:r w:rsidRPr="00C67AB9">
              <w:rPr>
                <w:sz w:val="26"/>
              </w:rPr>
              <w:br/>
            </w:r>
            <w:r w:rsidRPr="001F5A0A">
              <w:rPr>
                <w:b/>
                <w:bCs/>
                <w:sz w:val="28"/>
                <w:szCs w:val="28"/>
              </w:rPr>
              <w:t xml:space="preserve">INTERNATIONAL TELECOMMUNICATION </w:t>
            </w:r>
            <w:smartTag w:uri="urn:schemas-microsoft-com:office:smarttags" w:element="place">
              <w:r w:rsidRPr="001F5A0A">
                <w:rPr>
                  <w:b/>
                  <w:bCs/>
                  <w:sz w:val="28"/>
                  <w:szCs w:val="28"/>
                </w:rPr>
                <w:t>UNION</w:t>
              </w:r>
            </w:smartTag>
            <w:r w:rsidRPr="001F5A0A">
              <w:rPr>
                <w:b/>
                <w:bCs/>
                <w:sz w:val="28"/>
                <w:szCs w:val="28"/>
              </w:rPr>
              <w:br/>
            </w:r>
          </w:p>
        </w:tc>
        <w:tc>
          <w:tcPr>
            <w:tcW w:w="1400" w:type="dxa"/>
          </w:tcPr>
          <w:p w:rsidR="00E1779A" w:rsidRDefault="008F3B19" w:rsidP="002A1603">
            <w:pPr>
              <w:tabs>
                <w:tab w:val="center" w:pos="9639"/>
              </w:tabs>
              <w:spacing w:before="57" w:line="240" w:lineRule="atLeast"/>
              <w:ind w:left="-142" w:right="-74"/>
              <w:jc w:val="center"/>
              <w:rPr>
                <w:sz w:val="28"/>
              </w:rPr>
            </w:pPr>
            <w:r>
              <w:rPr>
                <w:noProof/>
                <w:lang w:val="en-US" w:eastAsia="zh-CN"/>
              </w:rPr>
              <w:drawing>
                <wp:inline distT="0" distB="0" distL="0" distR="0">
                  <wp:extent cx="632460" cy="6629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32460" cy="662940"/>
                          </a:xfrm>
                          <a:prstGeom prst="rect">
                            <a:avLst/>
                          </a:prstGeom>
                          <a:noFill/>
                          <a:ln w="9525">
                            <a:noFill/>
                            <a:miter lim="800000"/>
                            <a:headEnd/>
                            <a:tailEnd/>
                          </a:ln>
                        </pic:spPr>
                      </pic:pic>
                    </a:graphicData>
                  </a:graphic>
                </wp:inline>
              </w:drawing>
            </w:r>
          </w:p>
        </w:tc>
      </w:tr>
    </w:tbl>
    <w:p w:rsidR="00E1779A" w:rsidRDefault="00E1779A" w:rsidP="00E1779A">
      <w:pPr>
        <w:tabs>
          <w:tab w:val="left" w:pos="1440"/>
        </w:tabs>
        <w:spacing w:before="0" w:line="240" w:lineRule="atLeast"/>
        <w:ind w:left="284" w:right="-143"/>
        <w:jc w:val="center"/>
        <w:rPr>
          <w:b/>
        </w:rPr>
      </w:pPr>
    </w:p>
    <w:p w:rsidR="00E1779A" w:rsidRPr="006662BC" w:rsidRDefault="00E1779A" w:rsidP="00E1779A">
      <w:pPr>
        <w:tabs>
          <w:tab w:val="center" w:pos="4678"/>
        </w:tabs>
        <w:spacing w:before="0" w:line="240" w:lineRule="atLeast"/>
        <w:ind w:left="284" w:right="-143"/>
        <w:jc w:val="center"/>
        <w:rPr>
          <w:b/>
          <w:bCs/>
          <w:szCs w:val="24"/>
          <w:lang w:val="en-US"/>
        </w:rPr>
      </w:pPr>
      <w:r w:rsidRPr="006662BC">
        <w:rPr>
          <w:b/>
          <w:bCs/>
          <w:szCs w:val="24"/>
          <w:lang w:val="en-US"/>
        </w:rPr>
        <w:t>TELECOMMUNICATION STANDARDIZATION SECTOR</w:t>
      </w:r>
      <w:r w:rsidRPr="006662BC">
        <w:rPr>
          <w:b/>
          <w:bCs/>
          <w:szCs w:val="24"/>
          <w:lang w:val="en-US"/>
        </w:rPr>
        <w:br/>
      </w:r>
    </w:p>
    <w:p w:rsidR="00E1779A" w:rsidRDefault="00E1779A" w:rsidP="00E1779A">
      <w:pPr>
        <w:tabs>
          <w:tab w:val="left" w:pos="1440"/>
        </w:tabs>
        <w:spacing w:before="0" w:line="240" w:lineRule="atLeast"/>
        <w:ind w:left="284" w:right="-143"/>
        <w:rPr>
          <w:sz w:val="20"/>
          <w:lang w:val="en-US"/>
        </w:rPr>
      </w:pPr>
    </w:p>
    <w:p w:rsidR="0092249F" w:rsidRPr="006662BC" w:rsidRDefault="0092249F" w:rsidP="00E1779A">
      <w:pPr>
        <w:tabs>
          <w:tab w:val="left" w:pos="1440"/>
        </w:tabs>
        <w:spacing w:before="0" w:line="240" w:lineRule="atLeast"/>
        <w:ind w:left="284" w:right="-143"/>
        <w:rPr>
          <w:sz w:val="20"/>
          <w:lang w:val="en-US"/>
        </w:rPr>
      </w:pPr>
    </w:p>
    <w:p w:rsidR="00E1779A" w:rsidRPr="006662BC" w:rsidRDefault="0092249F" w:rsidP="0092249F">
      <w:pPr>
        <w:tabs>
          <w:tab w:val="left" w:pos="1440"/>
        </w:tabs>
        <w:spacing w:before="0" w:line="240" w:lineRule="atLeast"/>
        <w:ind w:left="284" w:right="515"/>
        <w:rPr>
          <w:i/>
          <w:sz w:val="20"/>
          <w:lang w:val="en-US"/>
        </w:rPr>
      </w:pPr>
      <w:r>
        <w:rPr>
          <w:i/>
          <w:sz w:val="20"/>
          <w:lang w:val="en-US"/>
        </w:rPr>
        <w:t>Focus Group on</w:t>
      </w:r>
      <w:r w:rsidR="00E1779A" w:rsidRPr="006662BC">
        <w:rPr>
          <w:i/>
          <w:sz w:val="20"/>
          <w:lang w:val="en-US"/>
        </w:rPr>
        <w:t xml:space="preserve">        --------------------------------------   from    -------------------------  to ----------------------- </w:t>
      </w:r>
      <w:r>
        <w:rPr>
          <w:i/>
          <w:sz w:val="20"/>
          <w:lang w:val="en-US"/>
        </w:rPr>
        <w:t>Cloud Computing</w:t>
      </w:r>
    </w:p>
    <w:p w:rsidR="00E1779A" w:rsidRPr="00E20C97" w:rsidRDefault="00E1779A" w:rsidP="00E1779A">
      <w:pPr>
        <w:tabs>
          <w:tab w:val="left" w:pos="1440"/>
        </w:tabs>
        <w:spacing w:before="0" w:line="240" w:lineRule="atLeast"/>
        <w:ind w:left="284" w:right="515"/>
        <w:rPr>
          <w:sz w:val="20"/>
          <w:lang w:val="en-US"/>
        </w:rPr>
      </w:pPr>
    </w:p>
    <w:p w:rsidR="00E1779A" w:rsidRPr="00E20C97" w:rsidRDefault="00E1779A" w:rsidP="00E1779A">
      <w:pPr>
        <w:tabs>
          <w:tab w:val="left" w:pos="1440"/>
        </w:tabs>
        <w:spacing w:before="0" w:line="240" w:lineRule="atLeast"/>
        <w:ind w:left="284" w:right="515"/>
        <w:rPr>
          <w:sz w:val="20"/>
          <w:lang w:val="en-US"/>
        </w:rPr>
      </w:pPr>
    </w:p>
    <w:p w:rsidR="00E1779A" w:rsidRPr="006662BC" w:rsidRDefault="00E1779A" w:rsidP="00E1779A">
      <w:pPr>
        <w:tabs>
          <w:tab w:val="left" w:pos="1440"/>
        </w:tabs>
        <w:spacing w:before="0" w:line="240" w:lineRule="atLeast"/>
        <w:ind w:left="284" w:right="515"/>
        <w:rPr>
          <w:i/>
          <w:sz w:val="20"/>
          <w:lang w:val="en-US"/>
        </w:rPr>
      </w:pPr>
      <w:r w:rsidRPr="006662BC">
        <w:rPr>
          <w:i/>
          <w:sz w:val="20"/>
          <w:lang w:val="en-US"/>
        </w:rPr>
        <w:t xml:space="preserve">Confirmation of the reservation made on </w:t>
      </w:r>
      <w:r w:rsidR="0073042F">
        <w:rPr>
          <w:i/>
          <w:sz w:val="20"/>
          <w:lang w:val="en-US"/>
        </w:rPr>
        <w:t>（</w:t>
      </w:r>
      <w:r w:rsidRPr="006662BC">
        <w:rPr>
          <w:i/>
          <w:sz w:val="20"/>
          <w:lang w:val="en-US"/>
        </w:rPr>
        <w:t>date</w:t>
      </w:r>
      <w:r w:rsidR="0073042F">
        <w:rPr>
          <w:i/>
          <w:sz w:val="20"/>
          <w:lang w:val="en-US"/>
        </w:rPr>
        <w:t>）</w:t>
      </w:r>
      <w:r w:rsidRPr="006662BC">
        <w:rPr>
          <w:i/>
          <w:sz w:val="20"/>
          <w:lang w:val="en-US"/>
        </w:rPr>
        <w:t xml:space="preserve"> --------------------------  with </w:t>
      </w:r>
      <w:r w:rsidR="0073042F">
        <w:rPr>
          <w:i/>
          <w:sz w:val="20"/>
          <w:lang w:val="en-US"/>
        </w:rPr>
        <w:t>（</w:t>
      </w:r>
      <w:r w:rsidRPr="006662BC">
        <w:rPr>
          <w:i/>
          <w:sz w:val="20"/>
          <w:lang w:val="en-US"/>
        </w:rPr>
        <w:t>hotel</w:t>
      </w:r>
      <w:r w:rsidR="0073042F">
        <w:rPr>
          <w:i/>
          <w:sz w:val="20"/>
          <w:lang w:val="en-US"/>
        </w:rPr>
        <w:t>）</w:t>
      </w:r>
      <w:r w:rsidRPr="006662BC">
        <w:rPr>
          <w:i/>
          <w:sz w:val="20"/>
          <w:lang w:val="en-US"/>
        </w:rPr>
        <w:t xml:space="preserve">   </w:t>
      </w:r>
      <w:r w:rsidR="0092249F">
        <w:rPr>
          <w:i/>
          <w:sz w:val="20"/>
          <w:lang w:val="en-US"/>
        </w:rPr>
        <w:t>------------------------</w:t>
      </w:r>
    </w:p>
    <w:p w:rsidR="00E1779A" w:rsidRPr="006662BC" w:rsidRDefault="00E1779A" w:rsidP="00E1779A">
      <w:pPr>
        <w:tabs>
          <w:tab w:val="left" w:pos="1440"/>
        </w:tabs>
        <w:spacing w:before="0" w:line="240" w:lineRule="atLeast"/>
        <w:ind w:left="284" w:right="515"/>
        <w:rPr>
          <w:i/>
          <w:sz w:val="20"/>
          <w:lang w:val="en-US"/>
        </w:rPr>
      </w:pPr>
    </w:p>
    <w:p w:rsidR="00E1779A" w:rsidRPr="00E20C97" w:rsidRDefault="00E1779A" w:rsidP="00E1779A">
      <w:pPr>
        <w:tabs>
          <w:tab w:val="left" w:pos="1440"/>
        </w:tabs>
        <w:spacing w:before="0" w:line="240" w:lineRule="atLeast"/>
        <w:ind w:left="284" w:right="515"/>
        <w:rPr>
          <w:sz w:val="20"/>
          <w:lang w:val="en-US"/>
        </w:rPr>
      </w:pPr>
    </w:p>
    <w:p w:rsidR="00E1779A" w:rsidRPr="008B1814" w:rsidRDefault="00E1779A" w:rsidP="00E1779A">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E1779A" w:rsidRDefault="00E1779A" w:rsidP="00E1779A">
      <w:pPr>
        <w:tabs>
          <w:tab w:val="left" w:pos="1440"/>
        </w:tabs>
        <w:spacing w:before="0" w:line="240" w:lineRule="atLeast"/>
        <w:ind w:left="284" w:right="515"/>
        <w:rPr>
          <w:sz w:val="20"/>
          <w:lang w:val="en-US" w:eastAsia="zh-CN"/>
        </w:rPr>
      </w:pPr>
    </w:p>
    <w:p w:rsidR="0092249F" w:rsidRPr="008B1814" w:rsidRDefault="0092249F" w:rsidP="00E1779A">
      <w:pPr>
        <w:tabs>
          <w:tab w:val="left" w:pos="1440"/>
        </w:tabs>
        <w:spacing w:before="0" w:line="240" w:lineRule="atLeast"/>
        <w:ind w:left="284" w:right="515"/>
        <w:rPr>
          <w:sz w:val="20"/>
          <w:lang w:val="en-US" w:eastAsia="zh-CN"/>
        </w:rPr>
      </w:pPr>
    </w:p>
    <w:p w:rsidR="00E1779A" w:rsidRPr="006662BC" w:rsidRDefault="00E1779A" w:rsidP="00E1779A">
      <w:pPr>
        <w:tabs>
          <w:tab w:val="left" w:pos="1440"/>
        </w:tabs>
        <w:spacing w:before="0" w:line="240" w:lineRule="atLeast"/>
        <w:ind w:left="284" w:right="515"/>
        <w:rPr>
          <w:i/>
          <w:sz w:val="20"/>
          <w:lang w:val="en-US"/>
        </w:rPr>
      </w:pPr>
      <w:r w:rsidRPr="006662BC">
        <w:rPr>
          <w:i/>
          <w:sz w:val="20"/>
          <w:lang w:val="en-US"/>
        </w:rPr>
        <w:t xml:space="preserve">------------ single/double </w:t>
      </w:r>
      <w:proofErr w:type="spellStart"/>
      <w:r w:rsidRPr="006662BC">
        <w:rPr>
          <w:i/>
          <w:sz w:val="20"/>
          <w:lang w:val="en-US"/>
        </w:rPr>
        <w:t>room</w:t>
      </w:r>
      <w:r w:rsidR="0073042F">
        <w:rPr>
          <w:i/>
          <w:sz w:val="20"/>
          <w:lang w:val="en-US"/>
        </w:rPr>
        <w:t>（</w:t>
      </w:r>
      <w:r w:rsidRPr="006662BC">
        <w:rPr>
          <w:i/>
          <w:sz w:val="20"/>
          <w:lang w:val="en-US"/>
        </w:rPr>
        <w:t>s</w:t>
      </w:r>
      <w:proofErr w:type="spellEnd"/>
      <w:r w:rsidR="0073042F">
        <w:rPr>
          <w:i/>
          <w:sz w:val="20"/>
          <w:lang w:val="en-US"/>
        </w:rPr>
        <w:t>）</w:t>
      </w:r>
    </w:p>
    <w:p w:rsidR="00E1779A" w:rsidRPr="006662BC" w:rsidRDefault="00E1779A" w:rsidP="00E1779A">
      <w:pPr>
        <w:tabs>
          <w:tab w:val="left" w:pos="1440"/>
        </w:tabs>
        <w:spacing w:before="0" w:line="240" w:lineRule="atLeast"/>
        <w:ind w:left="284" w:right="515"/>
        <w:rPr>
          <w:i/>
          <w:sz w:val="20"/>
          <w:lang w:val="en-US" w:eastAsia="zh-CN"/>
        </w:rPr>
      </w:pPr>
    </w:p>
    <w:p w:rsidR="00E1779A" w:rsidRPr="006662BC" w:rsidRDefault="00E1779A" w:rsidP="00E1779A">
      <w:pPr>
        <w:tabs>
          <w:tab w:val="left" w:pos="1440"/>
        </w:tabs>
        <w:spacing w:before="0" w:line="240" w:lineRule="atLeast"/>
        <w:ind w:left="284" w:right="515"/>
        <w:rPr>
          <w:i/>
          <w:sz w:val="20"/>
          <w:lang w:val="en-US"/>
        </w:rPr>
      </w:pPr>
      <w:r w:rsidRPr="006662BC">
        <w:rPr>
          <w:i/>
          <w:sz w:val="20"/>
          <w:lang w:val="en-US"/>
        </w:rPr>
        <w:t xml:space="preserve">arriving on </w:t>
      </w:r>
      <w:r w:rsidR="0073042F">
        <w:rPr>
          <w:i/>
          <w:sz w:val="20"/>
          <w:lang w:val="en-US"/>
        </w:rPr>
        <w:t>（</w:t>
      </w:r>
      <w:r w:rsidRPr="006662BC">
        <w:rPr>
          <w:i/>
          <w:sz w:val="20"/>
          <w:lang w:val="en-US"/>
        </w:rPr>
        <w:t>date</w:t>
      </w:r>
      <w:r w:rsidR="0073042F">
        <w:rPr>
          <w:i/>
          <w:sz w:val="20"/>
          <w:lang w:val="en-US"/>
        </w:rPr>
        <w:t>）</w:t>
      </w:r>
      <w:r w:rsidRPr="006662BC">
        <w:rPr>
          <w:i/>
          <w:sz w:val="20"/>
          <w:lang w:val="en-US"/>
        </w:rPr>
        <w:t xml:space="preserve">-----------------------------  at </w:t>
      </w:r>
      <w:r w:rsidR="0073042F">
        <w:rPr>
          <w:i/>
          <w:sz w:val="20"/>
          <w:lang w:val="en-US"/>
        </w:rPr>
        <w:t>（</w:t>
      </w:r>
      <w:r w:rsidRPr="006662BC">
        <w:rPr>
          <w:i/>
          <w:sz w:val="20"/>
          <w:lang w:val="en-US"/>
        </w:rPr>
        <w:t>time</w:t>
      </w:r>
      <w:r w:rsidR="0073042F">
        <w:rPr>
          <w:i/>
          <w:sz w:val="20"/>
          <w:lang w:val="en-US"/>
        </w:rPr>
        <w:t>）</w:t>
      </w:r>
      <w:r w:rsidRPr="006662BC">
        <w:rPr>
          <w:i/>
          <w:sz w:val="20"/>
          <w:lang w:val="en-US"/>
        </w:rPr>
        <w:t xml:space="preserve">  ------------- departing on </w:t>
      </w:r>
      <w:r w:rsidR="0073042F">
        <w:rPr>
          <w:i/>
          <w:sz w:val="20"/>
          <w:lang w:val="en-US"/>
        </w:rPr>
        <w:t>（</w:t>
      </w:r>
      <w:r w:rsidRPr="006662BC">
        <w:rPr>
          <w:i/>
          <w:sz w:val="20"/>
          <w:lang w:val="en-US"/>
        </w:rPr>
        <w:t>date</w:t>
      </w:r>
      <w:r w:rsidR="0073042F">
        <w:rPr>
          <w:i/>
          <w:sz w:val="20"/>
          <w:lang w:val="en-US"/>
        </w:rPr>
        <w:t>）</w:t>
      </w:r>
      <w:r w:rsidR="0092249F">
        <w:rPr>
          <w:i/>
          <w:sz w:val="20"/>
          <w:lang w:val="en-US"/>
        </w:rPr>
        <w:t>---------------------</w:t>
      </w:r>
    </w:p>
    <w:p w:rsidR="00E1779A" w:rsidRDefault="00E1779A" w:rsidP="00E1779A">
      <w:pPr>
        <w:tabs>
          <w:tab w:val="left" w:pos="1440"/>
        </w:tabs>
        <w:spacing w:before="0" w:line="240" w:lineRule="atLeast"/>
        <w:ind w:left="284" w:right="515"/>
        <w:rPr>
          <w:sz w:val="20"/>
          <w:lang w:val="en-US" w:eastAsia="zh-CN"/>
        </w:rPr>
      </w:pPr>
    </w:p>
    <w:p w:rsidR="0092249F" w:rsidRPr="006662BC" w:rsidRDefault="0092249F" w:rsidP="00E1779A">
      <w:pPr>
        <w:tabs>
          <w:tab w:val="left" w:pos="1440"/>
        </w:tabs>
        <w:spacing w:before="0" w:line="240" w:lineRule="atLeast"/>
        <w:ind w:left="284" w:right="515"/>
        <w:rPr>
          <w:sz w:val="20"/>
          <w:lang w:val="en-US" w:eastAsia="zh-CN"/>
        </w:rPr>
      </w:pPr>
    </w:p>
    <w:p w:rsidR="00E1779A" w:rsidRPr="002634C2" w:rsidRDefault="00E1779A" w:rsidP="002634C2">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E1779A" w:rsidRPr="00C67AB9" w:rsidRDefault="00E1779A" w:rsidP="00E1779A">
      <w:pPr>
        <w:tabs>
          <w:tab w:val="left" w:pos="1440"/>
        </w:tabs>
        <w:spacing w:before="0" w:line="240" w:lineRule="atLeast"/>
        <w:ind w:left="284" w:right="515"/>
        <w:rPr>
          <w:sz w:val="20"/>
          <w:lang w:val="en-US"/>
        </w:rPr>
      </w:pPr>
    </w:p>
    <w:p w:rsidR="00E1779A" w:rsidRPr="00C67AB9" w:rsidRDefault="00E1779A" w:rsidP="00E1779A">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E1779A" w:rsidRPr="00C67AB9" w:rsidRDefault="00E1779A" w:rsidP="00E1779A">
      <w:pPr>
        <w:tabs>
          <w:tab w:val="left" w:pos="1440"/>
        </w:tabs>
        <w:spacing w:before="0" w:line="240" w:lineRule="atLeast"/>
        <w:ind w:left="284" w:right="515"/>
        <w:rPr>
          <w:sz w:val="20"/>
          <w:lang w:val="en-US"/>
        </w:rPr>
      </w:pPr>
    </w:p>
    <w:p w:rsidR="00E1779A" w:rsidRDefault="00E1779A" w:rsidP="002634C2">
      <w:pPr>
        <w:tabs>
          <w:tab w:val="left" w:pos="1440"/>
        </w:tabs>
        <w:spacing w:before="0" w:line="240" w:lineRule="atLeast"/>
        <w:ind w:left="284" w:right="515"/>
        <w:rPr>
          <w:sz w:val="20"/>
          <w:lang w:val="en-US" w:eastAsia="zh-CN"/>
        </w:rPr>
      </w:pPr>
      <w:r w:rsidRPr="00C67AB9">
        <w:rPr>
          <w:i/>
          <w:sz w:val="20"/>
          <w:lang w:val="en-US"/>
        </w:rPr>
        <w:t xml:space="preserve">First name    </w:t>
      </w:r>
      <w:r w:rsidRPr="00C67AB9">
        <w:rPr>
          <w:sz w:val="20"/>
          <w:lang w:val="en-US"/>
        </w:rPr>
        <w:t xml:space="preserve">    -----------------------------------------------</w:t>
      </w:r>
      <w:r>
        <w:rPr>
          <w:sz w:val="20"/>
          <w:lang w:val="en-US"/>
        </w:rPr>
        <w:t>-------------------------------------------------------------------</w:t>
      </w:r>
    </w:p>
    <w:p w:rsidR="00E1779A" w:rsidRPr="00C67AB9" w:rsidRDefault="00E1779A" w:rsidP="00E1779A">
      <w:pPr>
        <w:tabs>
          <w:tab w:val="left" w:pos="1440"/>
        </w:tabs>
        <w:spacing w:before="0" w:line="240" w:lineRule="atLeast"/>
        <w:ind w:left="284" w:right="515"/>
        <w:rPr>
          <w:sz w:val="20"/>
          <w:lang w:val="en-US"/>
        </w:rPr>
      </w:pPr>
    </w:p>
    <w:p w:rsidR="00E1779A" w:rsidRPr="00C67AB9" w:rsidRDefault="00E1779A" w:rsidP="00E1779A">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E1779A" w:rsidRPr="00C67AB9" w:rsidRDefault="00E1779A" w:rsidP="00E1779A">
      <w:pPr>
        <w:tabs>
          <w:tab w:val="left" w:pos="1440"/>
        </w:tabs>
        <w:spacing w:before="0" w:line="240" w:lineRule="atLeast"/>
        <w:ind w:left="284" w:right="515"/>
        <w:rPr>
          <w:i/>
          <w:iCs/>
          <w:sz w:val="20"/>
          <w:lang w:val="en-US"/>
        </w:rPr>
      </w:pPr>
    </w:p>
    <w:p w:rsidR="00E1779A" w:rsidRPr="008B1814" w:rsidRDefault="00E1779A" w:rsidP="00E1779A">
      <w:pPr>
        <w:tabs>
          <w:tab w:val="left" w:pos="1440"/>
        </w:tabs>
        <w:spacing w:before="0" w:line="240" w:lineRule="atLeast"/>
        <w:ind w:left="284" w:right="515"/>
        <w:rPr>
          <w:i/>
          <w:iCs/>
          <w:sz w:val="20"/>
          <w:lang w:val="en-US"/>
        </w:rPr>
      </w:pPr>
      <w:r w:rsidRPr="008B1814">
        <w:rPr>
          <w:i/>
          <w:iCs/>
          <w:sz w:val="20"/>
          <w:lang w:val="en-US"/>
        </w:rPr>
        <w:t>-----------------------------------------------------------------------------------------         Fax: -------------------------------</w:t>
      </w:r>
    </w:p>
    <w:p w:rsidR="00E1779A" w:rsidRPr="008B1814" w:rsidRDefault="00E1779A" w:rsidP="00E1779A">
      <w:pPr>
        <w:tabs>
          <w:tab w:val="left" w:pos="1440"/>
        </w:tabs>
        <w:spacing w:before="0" w:line="240" w:lineRule="atLeast"/>
        <w:ind w:left="284" w:right="515"/>
        <w:rPr>
          <w:i/>
          <w:iCs/>
          <w:sz w:val="20"/>
          <w:lang w:val="en-US"/>
        </w:rPr>
      </w:pPr>
    </w:p>
    <w:p w:rsidR="00E1779A" w:rsidRPr="006662BC" w:rsidRDefault="00E1779A" w:rsidP="002634C2">
      <w:pPr>
        <w:tabs>
          <w:tab w:val="left" w:pos="1440"/>
        </w:tabs>
        <w:spacing w:before="0" w:line="240" w:lineRule="atLeast"/>
        <w:ind w:left="284" w:right="515"/>
        <w:rPr>
          <w:sz w:val="20"/>
          <w:lang w:val="en-US" w:eastAsia="zh-CN"/>
        </w:rPr>
      </w:pPr>
      <w:r w:rsidRPr="006662BC">
        <w:rPr>
          <w:i/>
          <w:iCs/>
          <w:sz w:val="20"/>
          <w:lang w:val="en-US"/>
        </w:rPr>
        <w:t>-----------------------------------------------------------------------------------------      E-mail:</w:t>
      </w:r>
      <w:r w:rsidRPr="006662BC">
        <w:rPr>
          <w:sz w:val="20"/>
          <w:lang w:val="en-US"/>
        </w:rPr>
        <w:t xml:space="preserve"> ------------------------------</w:t>
      </w:r>
    </w:p>
    <w:p w:rsidR="00E1779A" w:rsidRDefault="00E1779A" w:rsidP="00E1779A">
      <w:pPr>
        <w:tabs>
          <w:tab w:val="left" w:pos="1440"/>
        </w:tabs>
        <w:spacing w:before="0" w:line="240" w:lineRule="atLeast"/>
        <w:ind w:left="284" w:right="515"/>
        <w:rPr>
          <w:sz w:val="20"/>
          <w:lang w:val="en-US"/>
        </w:rPr>
      </w:pPr>
    </w:p>
    <w:p w:rsidR="0092249F" w:rsidRDefault="0092249F" w:rsidP="00E1779A">
      <w:pPr>
        <w:tabs>
          <w:tab w:val="left" w:pos="1440"/>
        </w:tabs>
        <w:spacing w:before="0" w:line="240" w:lineRule="atLeast"/>
        <w:ind w:left="284" w:right="515"/>
        <w:rPr>
          <w:sz w:val="20"/>
          <w:lang w:val="en-US"/>
        </w:rPr>
      </w:pPr>
    </w:p>
    <w:p w:rsidR="0092249F" w:rsidRPr="006662BC" w:rsidRDefault="0092249F" w:rsidP="00E1779A">
      <w:pPr>
        <w:tabs>
          <w:tab w:val="left" w:pos="1440"/>
        </w:tabs>
        <w:spacing w:before="0" w:line="240" w:lineRule="atLeast"/>
        <w:ind w:left="284" w:right="515"/>
        <w:rPr>
          <w:sz w:val="20"/>
          <w:lang w:val="en-US"/>
        </w:rPr>
      </w:pPr>
    </w:p>
    <w:p w:rsidR="00E1779A" w:rsidRDefault="00E1779A" w:rsidP="00E1779A">
      <w:pPr>
        <w:tabs>
          <w:tab w:val="left" w:pos="1440"/>
        </w:tabs>
        <w:spacing w:before="0" w:line="240" w:lineRule="atLeast"/>
        <w:ind w:left="284" w:right="515"/>
        <w:rPr>
          <w:i/>
          <w:sz w:val="20"/>
          <w:lang w:val="en-US"/>
        </w:rPr>
      </w:pPr>
      <w:r w:rsidRPr="006662BC">
        <w:rPr>
          <w:i/>
          <w:sz w:val="20"/>
          <w:lang w:val="en-US"/>
        </w:rPr>
        <w:t>Credit card to guarantee this reservation</w:t>
      </w:r>
      <w:r w:rsidRPr="006662BC">
        <w:rPr>
          <w:sz w:val="20"/>
          <w:lang w:val="en-US"/>
        </w:rPr>
        <w:t xml:space="preserve">:        AX/VISA/DINERS/EC  </w:t>
      </w:r>
      <w:r w:rsidR="0073042F">
        <w:rPr>
          <w:sz w:val="20"/>
          <w:lang w:val="en-US"/>
        </w:rPr>
        <w:t>（</w:t>
      </w:r>
      <w:r w:rsidRPr="006662BC">
        <w:rPr>
          <w:i/>
          <w:iCs/>
          <w:sz w:val="20"/>
          <w:lang w:val="en-US"/>
        </w:rPr>
        <w:t>or</w:t>
      </w:r>
      <w:r w:rsidRPr="006662BC">
        <w:rPr>
          <w:sz w:val="20"/>
          <w:lang w:val="en-US"/>
        </w:rPr>
        <w:t xml:space="preserve"> </w:t>
      </w:r>
      <w:r w:rsidRPr="00C67AB9">
        <w:rPr>
          <w:i/>
          <w:sz w:val="20"/>
          <w:lang w:val="en-US"/>
        </w:rPr>
        <w:t>othe</w:t>
      </w:r>
      <w:r>
        <w:rPr>
          <w:i/>
          <w:sz w:val="20"/>
          <w:lang w:val="en-US"/>
        </w:rPr>
        <w:t>r</w:t>
      </w:r>
      <w:r w:rsidR="0073042F">
        <w:rPr>
          <w:i/>
          <w:sz w:val="20"/>
          <w:lang w:val="en-US"/>
        </w:rPr>
        <w:t>）</w:t>
      </w:r>
      <w:r>
        <w:rPr>
          <w:i/>
          <w:sz w:val="20"/>
          <w:lang w:val="en-US"/>
        </w:rPr>
        <w:t xml:space="preserve"> -------------------------------</w:t>
      </w:r>
    </w:p>
    <w:p w:rsidR="0092249F" w:rsidRPr="00C67AB9" w:rsidRDefault="0092249F" w:rsidP="00E1779A">
      <w:pPr>
        <w:tabs>
          <w:tab w:val="left" w:pos="1440"/>
        </w:tabs>
        <w:spacing w:before="0" w:line="240" w:lineRule="atLeast"/>
        <w:ind w:left="284" w:right="515"/>
        <w:rPr>
          <w:sz w:val="20"/>
          <w:lang w:val="en-US"/>
        </w:rPr>
      </w:pPr>
    </w:p>
    <w:p w:rsidR="00E1779A" w:rsidRPr="00C67AB9" w:rsidRDefault="00E1779A" w:rsidP="00E1779A">
      <w:pPr>
        <w:tabs>
          <w:tab w:val="left" w:pos="1440"/>
        </w:tabs>
        <w:spacing w:before="0" w:line="240" w:lineRule="atLeast"/>
        <w:ind w:left="284" w:right="515"/>
        <w:rPr>
          <w:sz w:val="20"/>
          <w:lang w:val="en-US" w:eastAsia="zh-CN"/>
        </w:rPr>
      </w:pPr>
    </w:p>
    <w:p w:rsidR="00E1779A" w:rsidRPr="00C67AB9" w:rsidRDefault="00E1779A" w:rsidP="00E1779A">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E1779A" w:rsidRPr="00C67AB9" w:rsidRDefault="00E1779A" w:rsidP="00E1779A">
      <w:pPr>
        <w:tabs>
          <w:tab w:val="left" w:pos="1440"/>
        </w:tabs>
        <w:spacing w:before="0" w:line="240" w:lineRule="atLeast"/>
        <w:ind w:left="284" w:right="515"/>
        <w:rPr>
          <w:sz w:val="20"/>
          <w:lang w:val="en-US" w:eastAsia="zh-CN"/>
        </w:rPr>
      </w:pPr>
    </w:p>
    <w:p w:rsidR="00E1779A" w:rsidRPr="006662BC" w:rsidRDefault="00E1779A" w:rsidP="00E1779A">
      <w:pPr>
        <w:tabs>
          <w:tab w:val="left" w:pos="1440"/>
        </w:tabs>
        <w:spacing w:before="0" w:line="240" w:lineRule="atLeast"/>
        <w:ind w:left="284" w:right="515"/>
        <w:rPr>
          <w:sz w:val="20"/>
          <w:lang w:val="en-US"/>
        </w:rPr>
      </w:pPr>
      <w:r w:rsidRPr="006662BC">
        <w:rPr>
          <w:i/>
          <w:sz w:val="20"/>
          <w:lang w:val="en-US"/>
        </w:rPr>
        <w:t>Date</w:t>
      </w:r>
      <w:r w:rsidRPr="006662BC">
        <w:rPr>
          <w:sz w:val="20"/>
          <w:lang w:val="en-US"/>
        </w:rPr>
        <w:t xml:space="preserve"> ------------------------------------------------------      </w:t>
      </w:r>
      <w:r w:rsidRPr="006662BC">
        <w:rPr>
          <w:i/>
          <w:sz w:val="20"/>
          <w:lang w:val="en-US"/>
        </w:rPr>
        <w:t xml:space="preserve">Signature </w:t>
      </w:r>
      <w:r w:rsidRPr="006662BC">
        <w:rPr>
          <w:sz w:val="20"/>
          <w:lang w:val="en-US"/>
        </w:rPr>
        <w:t xml:space="preserve">       ---------------------------------------------------</w:t>
      </w:r>
    </w:p>
    <w:p w:rsidR="00A407BE" w:rsidRPr="00A407BE" w:rsidRDefault="00A407BE" w:rsidP="00376F72">
      <w:pPr>
        <w:pStyle w:val="LetterStart"/>
        <w:spacing w:before="0" w:line="240" w:lineRule="atLeast"/>
        <w:jc w:val="center"/>
        <w:rPr>
          <w:rStyle w:val="PageNumber"/>
          <w:sz w:val="2"/>
          <w:szCs w:val="2"/>
        </w:rPr>
      </w:pPr>
    </w:p>
    <w:sectPr w:rsidR="00A407BE" w:rsidRPr="00A407BE" w:rsidSect="002A1603">
      <w:headerReference w:type="even" r:id="rId20"/>
      <w:headerReference w:type="default" r:id="rId21"/>
      <w:footerReference w:type="even" r:id="rId22"/>
      <w:footerReference w:type="default" r:id="rId23"/>
      <w:headerReference w:type="first" r:id="rId24"/>
      <w:footerReference w:type="first" r:id="rId25"/>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B18" w:rsidRDefault="00B93B18">
      <w:r>
        <w:separator/>
      </w:r>
    </w:p>
  </w:endnote>
  <w:endnote w:type="continuationSeparator" w:id="0">
    <w:p w:rsidR="00B93B18" w:rsidRDefault="00B93B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STKaiti">
    <w:altName w:val="SimSun"/>
    <w:charset w:val="86"/>
    <w:family w:val="auto"/>
    <w:pitch w:val="variable"/>
    <w:sig w:usb0="00000287" w:usb1="080F0000" w:usb2="00000010" w:usb3="00000000" w:csb0="0004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18" w:rsidRPr="0092249F" w:rsidRDefault="0092249F" w:rsidP="0092249F">
    <w:pPr>
      <w:pStyle w:val="Footer"/>
      <w:rPr>
        <w:szCs w:val="16"/>
      </w:rPr>
    </w:pPr>
    <w:r w:rsidRPr="00C909C4">
      <w:rPr>
        <w:szCs w:val="16"/>
      </w:rPr>
      <w:t>ITU-T\BUREAU\CIRC\</w:t>
    </w:r>
    <w:r>
      <w:rPr>
        <w:szCs w:val="16"/>
      </w:rPr>
      <w:t>114C</w:t>
    </w:r>
    <w:r w:rsidRPr="00C909C4">
      <w:rPr>
        <w:szCs w:val="16"/>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B93B18">
      <w:trPr>
        <w:cantSplit/>
      </w:trPr>
      <w:tc>
        <w:tcPr>
          <w:tcW w:w="1062" w:type="pct"/>
          <w:tcBorders>
            <w:top w:val="single" w:sz="6" w:space="0" w:color="auto"/>
          </w:tcBorders>
          <w:tcMar>
            <w:top w:w="57" w:type="dxa"/>
          </w:tcMar>
        </w:tcPr>
        <w:p w:rsidR="00B93B18" w:rsidRDefault="00B93B18" w:rsidP="002958F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B93B18" w:rsidRDefault="00B93B18" w:rsidP="002958F2">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B93B18" w:rsidRDefault="00B93B18" w:rsidP="002958F2">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B93B18" w:rsidRDefault="00B93B18" w:rsidP="002958F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B93B18">
      <w:trPr>
        <w:cantSplit/>
      </w:trPr>
      <w:tc>
        <w:tcPr>
          <w:tcW w:w="1062" w:type="pct"/>
        </w:tcPr>
        <w:p w:rsidR="00B93B18" w:rsidRDefault="00B93B18" w:rsidP="002958F2">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B93B18" w:rsidRDefault="00B93B18" w:rsidP="002958F2">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B93B18" w:rsidRDefault="00B93B18" w:rsidP="002958F2">
          <w:pPr>
            <w:pStyle w:val="itu"/>
            <w:rPr>
              <w:rFonts w:ascii="Times New Roman" w:hAnsi="Times New Roman"/>
            </w:rPr>
          </w:pPr>
          <w:r>
            <w:rPr>
              <w:rFonts w:ascii="Times New Roman" w:hAnsi="Times New Roman"/>
            </w:rPr>
            <w:t>Telegram ITU GENEVE</w:t>
          </w:r>
        </w:p>
      </w:tc>
      <w:tc>
        <w:tcPr>
          <w:tcW w:w="1131" w:type="pct"/>
        </w:tcPr>
        <w:p w:rsidR="00B93B18" w:rsidRDefault="00B93B18" w:rsidP="00AD25E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B93B18">
      <w:trPr>
        <w:cantSplit/>
      </w:trPr>
      <w:tc>
        <w:tcPr>
          <w:tcW w:w="1062" w:type="pct"/>
        </w:tcPr>
        <w:p w:rsidR="00B93B18" w:rsidRDefault="00B93B18" w:rsidP="002958F2">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B93B18" w:rsidRDefault="00B93B18" w:rsidP="002958F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B93B18" w:rsidRDefault="00B93B18" w:rsidP="002958F2">
          <w:pPr>
            <w:pStyle w:val="itu"/>
            <w:rPr>
              <w:rFonts w:ascii="Times New Roman" w:hAnsi="Times New Roman"/>
              <w:lang w:val="fr-CH"/>
            </w:rPr>
          </w:pPr>
        </w:p>
      </w:tc>
      <w:tc>
        <w:tcPr>
          <w:tcW w:w="1131" w:type="pct"/>
        </w:tcPr>
        <w:p w:rsidR="00B93B18" w:rsidRDefault="00B93B18" w:rsidP="002958F2">
          <w:pPr>
            <w:pStyle w:val="itu"/>
            <w:rPr>
              <w:rFonts w:ascii="Times New Roman" w:hAnsi="Times New Roman"/>
              <w:lang w:val="fr-CH"/>
            </w:rPr>
          </w:pPr>
        </w:p>
      </w:tc>
    </w:tr>
  </w:tbl>
  <w:p w:rsidR="00B93B18" w:rsidRDefault="00B93B18">
    <w:pPr>
      <w:pStyle w:val="Footer"/>
      <w:rPr>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18" w:rsidRPr="00F64032" w:rsidRDefault="00F071F6">
    <w:pPr>
      <w:pStyle w:val="Footer"/>
      <w:rPr>
        <w:lang w:val="en-US" w:eastAsia="zh-CN"/>
      </w:rPr>
    </w:pPr>
    <w:fldSimple w:instr=" FILENAME \p \* MERGEFORMAT ">
      <w:r w:rsidR="00F64032">
        <w:rPr>
          <w:lang w:val="en-US"/>
        </w:rPr>
        <w:t>X:\TSB\Norton Viard\Circulars\114C.DOCX</w:t>
      </w:r>
    </w:fldSimple>
    <w:r w:rsidR="00B93B18" w:rsidRPr="00F64032">
      <w:rPr>
        <w:rFonts w:hint="eastAsia"/>
        <w:lang w:val="en-US" w:eastAsia="zh-CN"/>
      </w:rPr>
      <w:t>（</w:t>
    </w:r>
    <w:r w:rsidR="00B93B18" w:rsidRPr="00F64032">
      <w:rPr>
        <w:rFonts w:hint="eastAsia"/>
        <w:lang w:val="en-US" w:eastAsia="zh-CN"/>
      </w:rPr>
      <w:t>190247</w:t>
    </w:r>
    <w:r w:rsidR="00B93B18" w:rsidRPr="00F64032">
      <w:rPr>
        <w:rFonts w:hint="eastAsia"/>
        <w:lang w:val="en-US" w:eastAsia="zh-CN"/>
      </w:rPr>
      <w:t>）</w:t>
    </w:r>
    <w:r w:rsidR="00B93B18" w:rsidRPr="00F64032">
      <w:rPr>
        <w:rFonts w:hint="eastAsia"/>
        <w:lang w:val="en-US" w:eastAsia="zh-CN"/>
      </w:rPr>
      <w:tab/>
    </w:r>
    <w:r w:rsidR="00B93B18" w:rsidRPr="00F64032">
      <w:rPr>
        <w:rFonts w:hint="eastAsia"/>
        <w:lang w:val="en-US" w:eastAsia="zh-CN"/>
      </w:rPr>
      <w:tab/>
    </w:r>
    <w:r>
      <w:rPr>
        <w:lang w:val="fr-CH" w:eastAsia="zh-CN"/>
      </w:rPr>
      <w:fldChar w:fldCharType="begin"/>
    </w:r>
    <w:r w:rsidR="00B93B18">
      <w:rPr>
        <w:lang w:val="en-US" w:eastAsia="zh-CN"/>
      </w:rPr>
      <w:instrText xml:space="preserve"> DATE \@ "dd.MM.yyyy" </w:instrText>
    </w:r>
    <w:r>
      <w:rPr>
        <w:lang w:val="fr-CH" w:eastAsia="zh-CN"/>
      </w:rPr>
      <w:fldChar w:fldCharType="separate"/>
    </w:r>
    <w:r w:rsidR="00F64032">
      <w:rPr>
        <w:lang w:val="en-US" w:eastAsia="zh-CN"/>
      </w:rPr>
      <w:t>10.06.2010</w:t>
    </w:r>
    <w:r>
      <w:rPr>
        <w:lang w:val="fr-CH" w:eastAsia="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18" w:rsidRPr="00F64032" w:rsidRDefault="00F071F6" w:rsidP="002A1603">
    <w:pPr>
      <w:pStyle w:val="Footer"/>
      <w:tabs>
        <w:tab w:val="left" w:pos="6237"/>
      </w:tabs>
      <w:rPr>
        <w:lang w:val="en-US"/>
      </w:rPr>
    </w:pPr>
    <w:fldSimple w:instr=" FILENAME \p \* MERGEFORMAT ">
      <w:r w:rsidR="00F64032" w:rsidRPr="00F64032">
        <w:rPr>
          <w:szCs w:val="16"/>
          <w:lang w:val="en-US"/>
        </w:rPr>
        <w:t>X</w:t>
      </w:r>
      <w:r w:rsidR="00F64032">
        <w:rPr>
          <w:lang w:val="en-US"/>
        </w:rPr>
        <w:t>:\TSB\Norton Viard\Circulars\114C.DOCX</w:t>
      </w:r>
    </w:fldSimple>
    <w:r w:rsidR="00B93B18" w:rsidRPr="00F64032">
      <w:rPr>
        <w:szCs w:val="16"/>
        <w:lang w:val="en-US"/>
      </w:rPr>
      <w:tab/>
    </w:r>
    <w:r w:rsidR="00B93B18" w:rsidRPr="00F64032">
      <w:rPr>
        <w:szCs w:val="16"/>
        <w:lang w:val="en-US"/>
      </w:rPr>
      <w:tab/>
    </w:r>
    <w:r w:rsidR="00B93B18" w:rsidRPr="00F64032">
      <w:rPr>
        <w:szCs w:val="16"/>
        <w:lang w:val="en-US"/>
      </w:rPr>
      <w:tab/>
      <w:t>22/04/2008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18" w:rsidRPr="0092249F" w:rsidRDefault="0092249F" w:rsidP="0092249F">
    <w:pPr>
      <w:pStyle w:val="Footer"/>
      <w:rPr>
        <w:szCs w:val="16"/>
      </w:rPr>
    </w:pPr>
    <w:r w:rsidRPr="00C909C4">
      <w:rPr>
        <w:szCs w:val="16"/>
      </w:rPr>
      <w:t>ITU-T\BUREAU\CIRC\</w:t>
    </w:r>
    <w:r>
      <w:rPr>
        <w:szCs w:val="16"/>
      </w:rPr>
      <w:t>114C</w:t>
    </w:r>
    <w:r w:rsidRPr="00C909C4">
      <w:rPr>
        <w:szCs w:val="16"/>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B18" w:rsidRDefault="00B93B18">
      <w:pPr>
        <w:rPr>
          <w:sz w:val="23"/>
          <w:szCs w:val="23"/>
        </w:rPr>
      </w:pPr>
      <w:r>
        <w:rPr>
          <w:sz w:val="23"/>
          <w:szCs w:val="23"/>
        </w:rPr>
        <w:t>____________________</w:t>
      </w:r>
    </w:p>
  </w:footnote>
  <w:footnote w:type="continuationSeparator" w:id="0">
    <w:p w:rsidR="00B93B18" w:rsidRDefault="00B93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18" w:rsidRDefault="00B93B18" w:rsidP="00376F72">
    <w:pPr>
      <w:pStyle w:val="Header"/>
      <w:framePr w:wrap="around" w:vAnchor="text" w:hAnchor="page" w:x="5842" w:y="-26"/>
      <w:rPr>
        <w:rStyle w:val="PageNumber"/>
      </w:rPr>
    </w:pPr>
    <w:r>
      <w:rPr>
        <w:rStyle w:val="PageNumber"/>
      </w:rPr>
      <w:t xml:space="preserve">- </w:t>
    </w:r>
    <w:r w:rsidR="00F071F6">
      <w:rPr>
        <w:rStyle w:val="PageNumber"/>
      </w:rPr>
      <w:fldChar w:fldCharType="begin"/>
    </w:r>
    <w:r>
      <w:rPr>
        <w:rStyle w:val="PageNumber"/>
      </w:rPr>
      <w:instrText xml:space="preserve"> PAGE </w:instrText>
    </w:r>
    <w:r w:rsidR="00F071F6">
      <w:rPr>
        <w:rStyle w:val="PageNumber"/>
      </w:rPr>
      <w:fldChar w:fldCharType="separate"/>
    </w:r>
    <w:r w:rsidR="00F64032">
      <w:rPr>
        <w:rStyle w:val="PageNumber"/>
        <w:noProof/>
      </w:rPr>
      <w:t>8</w:t>
    </w:r>
    <w:r w:rsidR="00F071F6">
      <w:rPr>
        <w:rStyle w:val="PageNumber"/>
      </w:rPr>
      <w:fldChar w:fldCharType="end"/>
    </w:r>
    <w:r>
      <w:rPr>
        <w:rStyle w:val="PageNumber"/>
      </w:rPr>
      <w:t xml:space="preserve"> -</w:t>
    </w:r>
  </w:p>
  <w:p w:rsidR="00B93B18" w:rsidRDefault="00B93B18" w:rsidP="00D07107">
    <w:pPr>
      <w:pStyle w:val="Header"/>
      <w:jc w:val="left"/>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18" w:rsidRDefault="00F071F6" w:rsidP="002A1603">
    <w:pPr>
      <w:pStyle w:val="Header"/>
      <w:framePr w:wrap="around" w:vAnchor="text" w:hAnchor="margin" w:xAlign="right" w:y="1"/>
      <w:rPr>
        <w:rStyle w:val="PageNumber"/>
      </w:rPr>
    </w:pPr>
    <w:r>
      <w:rPr>
        <w:rStyle w:val="PageNumber"/>
      </w:rPr>
      <w:fldChar w:fldCharType="begin"/>
    </w:r>
    <w:r w:rsidR="00B93B18">
      <w:rPr>
        <w:rStyle w:val="PageNumber"/>
      </w:rPr>
      <w:instrText xml:space="preserve">PAGE  </w:instrText>
    </w:r>
    <w:r>
      <w:rPr>
        <w:rStyle w:val="PageNumber"/>
      </w:rPr>
      <w:fldChar w:fldCharType="separate"/>
    </w:r>
    <w:r w:rsidR="00CA4739">
      <w:rPr>
        <w:rStyle w:val="PageNumber"/>
        <w:noProof/>
      </w:rPr>
      <w:t>2</w:t>
    </w:r>
    <w:r>
      <w:rPr>
        <w:rStyle w:val="PageNumber"/>
      </w:rPr>
      <w:fldChar w:fldCharType="end"/>
    </w:r>
  </w:p>
  <w:p w:rsidR="00B93B18" w:rsidRDefault="00B93B18" w:rsidP="002A1603">
    <w:pPr>
      <w:pStyle w:val="Header"/>
      <w:ind w:right="360"/>
      <w:rPr>
        <w:lang w:val="en-US" w:eastAsia="zh-CN"/>
      </w:rPr>
    </w:pPr>
    <w:r>
      <w:rPr>
        <w:rStyle w:val="PageNumber"/>
        <w:rFonts w:hint="eastAsia"/>
        <w:lang w:val="en-US" w:eastAsia="zh-C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18" w:rsidRDefault="00B93B18" w:rsidP="002A1603">
    <w:pPr>
      <w:pStyle w:val="Header"/>
      <w:ind w:right="360"/>
      <w:rPr>
        <w:lang w:val="en-US" w:eastAsia="zh-CN"/>
      </w:rPr>
    </w:pPr>
    <w:r>
      <w:rPr>
        <w:rFonts w:hint="eastAsia"/>
        <w:lang w:val="en-US" w:eastAsia="zh-CN"/>
      </w:rPr>
      <w:t xml:space="preserve">- </w:t>
    </w:r>
    <w:r w:rsidR="00F071F6">
      <w:rPr>
        <w:rStyle w:val="PageNumber"/>
      </w:rPr>
      <w:fldChar w:fldCharType="begin"/>
    </w:r>
    <w:r>
      <w:rPr>
        <w:rStyle w:val="PageNumber"/>
      </w:rPr>
      <w:instrText xml:space="preserve"> PAGE </w:instrText>
    </w:r>
    <w:r w:rsidR="00F071F6">
      <w:rPr>
        <w:rStyle w:val="PageNumber"/>
      </w:rPr>
      <w:fldChar w:fldCharType="separate"/>
    </w:r>
    <w:r w:rsidR="00CA4739">
      <w:rPr>
        <w:rStyle w:val="PageNumber"/>
        <w:noProof/>
      </w:rPr>
      <w:t>2</w:t>
    </w:r>
    <w:r w:rsidR="00F071F6">
      <w:rPr>
        <w:rStyle w:val="PageNumber"/>
      </w:rPr>
      <w:fldChar w:fldCharType="end"/>
    </w:r>
    <w:r>
      <w:rPr>
        <w:rStyle w:val="PageNumber"/>
        <w:rFonts w:hint="eastAsia"/>
        <w:lang w:val="en-US" w:eastAsia="zh-CN"/>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18" w:rsidRDefault="00B93B18">
    <w:pPr>
      <w:pStyle w:val="Header"/>
      <w:rPr>
        <w:lang w:eastAsia="zh-CN"/>
      </w:rPr>
    </w:pPr>
    <w:r>
      <w:rPr>
        <w:rStyle w:val="PageNumber"/>
        <w:rFonts w:hint="eastAsia"/>
        <w:lang w:eastAsia="zh-CN"/>
      </w:rPr>
      <w:t xml:space="preserve">- </w:t>
    </w:r>
    <w:r w:rsidR="00F071F6">
      <w:rPr>
        <w:rStyle w:val="PageNumber"/>
      </w:rPr>
      <w:fldChar w:fldCharType="begin"/>
    </w:r>
    <w:r>
      <w:rPr>
        <w:rStyle w:val="PageNumber"/>
      </w:rPr>
      <w:instrText xml:space="preserve"> PAGE </w:instrText>
    </w:r>
    <w:r w:rsidR="00F071F6">
      <w:rPr>
        <w:rStyle w:val="PageNumber"/>
      </w:rPr>
      <w:fldChar w:fldCharType="separate"/>
    </w:r>
    <w:r w:rsidR="00F64032">
      <w:rPr>
        <w:rStyle w:val="PageNumber"/>
        <w:noProof/>
      </w:rPr>
      <w:t>9</w:t>
    </w:r>
    <w:r w:rsidR="00F071F6">
      <w:rPr>
        <w:rStyle w:val="PageNumber"/>
      </w:rPr>
      <w:fldChar w:fldCharType="end"/>
    </w:r>
    <w:r>
      <w:rPr>
        <w:rStyle w:val="PageNumber"/>
        <w:rFonts w:hint="eastAsia"/>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6145"/>
    <w:multiLevelType w:val="hybridMultilevel"/>
    <w:tmpl w:val="B1E4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F57301"/>
    <w:multiLevelType w:val="hybridMultilevel"/>
    <w:tmpl w:val="776E4CC6"/>
    <w:lvl w:ilvl="0" w:tplc="64849558">
      <w:start w:val="1"/>
      <w:numFmt w:val="bullet"/>
      <w:lvlText w:val=""/>
      <w:lvlJc w:val="left"/>
      <w:pPr>
        <w:tabs>
          <w:tab w:val="num" w:pos="799"/>
        </w:tabs>
        <w:ind w:left="800" w:hanging="400"/>
      </w:pPr>
      <w:rPr>
        <w:rFonts w:ascii="Symbol" w:hAnsi="Symbol" w:hint="default"/>
        <w:color w:val="auto"/>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2187077"/>
    <w:multiLevelType w:val="hybridMultilevel"/>
    <w:tmpl w:val="85BCDEFC"/>
    <w:lvl w:ilvl="0" w:tplc="19ECC63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E83F86"/>
    <w:multiLevelType w:val="hybridMultilevel"/>
    <w:tmpl w:val="E9FC1D9A"/>
    <w:lvl w:ilvl="0" w:tplc="E3FE21B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useFELayout/>
  </w:compat>
  <w:rsids>
    <w:rsidRoot w:val="00170349"/>
    <w:rsid w:val="00001E99"/>
    <w:rsid w:val="0000209B"/>
    <w:rsid w:val="00014361"/>
    <w:rsid w:val="000219D7"/>
    <w:rsid w:val="0003276C"/>
    <w:rsid w:val="00051A71"/>
    <w:rsid w:val="00056F2B"/>
    <w:rsid w:val="00065140"/>
    <w:rsid w:val="00065BEF"/>
    <w:rsid w:val="00075FBB"/>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8419B"/>
    <w:rsid w:val="0019652F"/>
    <w:rsid w:val="00196B93"/>
    <w:rsid w:val="001A4E09"/>
    <w:rsid w:val="001D68D4"/>
    <w:rsid w:val="001E381A"/>
    <w:rsid w:val="0020651D"/>
    <w:rsid w:val="00216C8F"/>
    <w:rsid w:val="002372C7"/>
    <w:rsid w:val="0024373C"/>
    <w:rsid w:val="00262EC6"/>
    <w:rsid w:val="002634C2"/>
    <w:rsid w:val="0027568A"/>
    <w:rsid w:val="0028502B"/>
    <w:rsid w:val="00293589"/>
    <w:rsid w:val="00294C1C"/>
    <w:rsid w:val="002958F2"/>
    <w:rsid w:val="002A1603"/>
    <w:rsid w:val="002C352D"/>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B2EAA"/>
    <w:rsid w:val="003B7E3E"/>
    <w:rsid w:val="003C1A6D"/>
    <w:rsid w:val="003C29A4"/>
    <w:rsid w:val="003C5E30"/>
    <w:rsid w:val="003E7209"/>
    <w:rsid w:val="003F2A86"/>
    <w:rsid w:val="00402633"/>
    <w:rsid w:val="00444683"/>
    <w:rsid w:val="00444E8F"/>
    <w:rsid w:val="0044590C"/>
    <w:rsid w:val="00453A10"/>
    <w:rsid w:val="0046534B"/>
    <w:rsid w:val="00466AAA"/>
    <w:rsid w:val="004814B6"/>
    <w:rsid w:val="00487F05"/>
    <w:rsid w:val="004A1939"/>
    <w:rsid w:val="004B38AB"/>
    <w:rsid w:val="004C5BE0"/>
    <w:rsid w:val="004C7C62"/>
    <w:rsid w:val="004D18C4"/>
    <w:rsid w:val="00502D51"/>
    <w:rsid w:val="0051354C"/>
    <w:rsid w:val="00523169"/>
    <w:rsid w:val="00531284"/>
    <w:rsid w:val="00535E76"/>
    <w:rsid w:val="005474A9"/>
    <w:rsid w:val="00554CDC"/>
    <w:rsid w:val="005566F1"/>
    <w:rsid w:val="00556DFC"/>
    <w:rsid w:val="0056275D"/>
    <w:rsid w:val="0057364C"/>
    <w:rsid w:val="0057683C"/>
    <w:rsid w:val="00594AB2"/>
    <w:rsid w:val="005A3EF6"/>
    <w:rsid w:val="005D0F8C"/>
    <w:rsid w:val="005D4C26"/>
    <w:rsid w:val="005E1427"/>
    <w:rsid w:val="005E6E47"/>
    <w:rsid w:val="0063236A"/>
    <w:rsid w:val="00672E81"/>
    <w:rsid w:val="00681A48"/>
    <w:rsid w:val="0068262A"/>
    <w:rsid w:val="00690BE6"/>
    <w:rsid w:val="006A60C8"/>
    <w:rsid w:val="006A736A"/>
    <w:rsid w:val="006A7CA2"/>
    <w:rsid w:val="006C7801"/>
    <w:rsid w:val="006D09B3"/>
    <w:rsid w:val="006E7379"/>
    <w:rsid w:val="006E74AA"/>
    <w:rsid w:val="006F4DFC"/>
    <w:rsid w:val="00714CA7"/>
    <w:rsid w:val="0073042F"/>
    <w:rsid w:val="00737527"/>
    <w:rsid w:val="007433BD"/>
    <w:rsid w:val="007609AA"/>
    <w:rsid w:val="00761B39"/>
    <w:rsid w:val="00773371"/>
    <w:rsid w:val="00794455"/>
    <w:rsid w:val="007B781C"/>
    <w:rsid w:val="007D0A4B"/>
    <w:rsid w:val="007D3346"/>
    <w:rsid w:val="007E6BBA"/>
    <w:rsid w:val="007F6E04"/>
    <w:rsid w:val="00800507"/>
    <w:rsid w:val="00810AD9"/>
    <w:rsid w:val="00830DA6"/>
    <w:rsid w:val="00864F93"/>
    <w:rsid w:val="00874ECF"/>
    <w:rsid w:val="0089488D"/>
    <w:rsid w:val="008949B5"/>
    <w:rsid w:val="00897B5F"/>
    <w:rsid w:val="008E2C66"/>
    <w:rsid w:val="008E44B7"/>
    <w:rsid w:val="008F3B19"/>
    <w:rsid w:val="00911F92"/>
    <w:rsid w:val="0092249F"/>
    <w:rsid w:val="00923B56"/>
    <w:rsid w:val="009344D1"/>
    <w:rsid w:val="009572BA"/>
    <w:rsid w:val="009622EC"/>
    <w:rsid w:val="009753FC"/>
    <w:rsid w:val="00981A4C"/>
    <w:rsid w:val="009B464B"/>
    <w:rsid w:val="009B5159"/>
    <w:rsid w:val="009D2BE9"/>
    <w:rsid w:val="009D73E5"/>
    <w:rsid w:val="00A048DE"/>
    <w:rsid w:val="00A15D02"/>
    <w:rsid w:val="00A31BE4"/>
    <w:rsid w:val="00A3203D"/>
    <w:rsid w:val="00A32BB1"/>
    <w:rsid w:val="00A373FC"/>
    <w:rsid w:val="00A37CEC"/>
    <w:rsid w:val="00A407BE"/>
    <w:rsid w:val="00A54D21"/>
    <w:rsid w:val="00A64F42"/>
    <w:rsid w:val="00AA5543"/>
    <w:rsid w:val="00AB54D2"/>
    <w:rsid w:val="00AC68F3"/>
    <w:rsid w:val="00AD25E5"/>
    <w:rsid w:val="00B03DB3"/>
    <w:rsid w:val="00B47231"/>
    <w:rsid w:val="00B56986"/>
    <w:rsid w:val="00B80E26"/>
    <w:rsid w:val="00B93B18"/>
    <w:rsid w:val="00BB0EE7"/>
    <w:rsid w:val="00BC75EE"/>
    <w:rsid w:val="00BD30D2"/>
    <w:rsid w:val="00BE6FB9"/>
    <w:rsid w:val="00BF2511"/>
    <w:rsid w:val="00C02C5C"/>
    <w:rsid w:val="00C07AB0"/>
    <w:rsid w:val="00C13C4A"/>
    <w:rsid w:val="00C320BD"/>
    <w:rsid w:val="00C6182E"/>
    <w:rsid w:val="00C86543"/>
    <w:rsid w:val="00C868BD"/>
    <w:rsid w:val="00C94B0C"/>
    <w:rsid w:val="00CA4739"/>
    <w:rsid w:val="00CB49CB"/>
    <w:rsid w:val="00CB555F"/>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E39A0"/>
    <w:rsid w:val="00DF5E8B"/>
    <w:rsid w:val="00E04A9E"/>
    <w:rsid w:val="00E1779A"/>
    <w:rsid w:val="00E25CDC"/>
    <w:rsid w:val="00E42CDD"/>
    <w:rsid w:val="00E57A3C"/>
    <w:rsid w:val="00E75EED"/>
    <w:rsid w:val="00EB62DC"/>
    <w:rsid w:val="00F071F6"/>
    <w:rsid w:val="00F22A8D"/>
    <w:rsid w:val="00F23760"/>
    <w:rsid w:val="00F3199A"/>
    <w:rsid w:val="00F362BD"/>
    <w:rsid w:val="00F44FEB"/>
    <w:rsid w:val="00F62F25"/>
    <w:rsid w:val="00F64032"/>
    <w:rsid w:val="00F87BB4"/>
    <w:rsid w:val="00F87D38"/>
    <w:rsid w:val="00FA4D64"/>
    <w:rsid w:val="00FB228C"/>
    <w:rsid w:val="00FC35CC"/>
    <w:rsid w:val="00FD2523"/>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B03DB3"/>
    <w:pPr>
      <w:spacing w:before="0"/>
    </w:pPr>
    <w:rPr>
      <w:rFonts w:ascii="Tahoma" w:hAnsi="Tahoma" w:cs="Tahoma"/>
      <w:sz w:val="16"/>
      <w:szCs w:val="16"/>
    </w:rPr>
  </w:style>
  <w:style w:type="character" w:customStyle="1" w:styleId="BalloonTextChar">
    <w:name w:val="Balloon Text Char"/>
    <w:basedOn w:val="DefaultParagraphFont"/>
    <w:link w:val="BalloonText"/>
    <w:rsid w:val="00B03DB3"/>
    <w:rPr>
      <w:rFonts w:ascii="Tahoma" w:hAnsi="Tahoma" w:cs="Tahoma"/>
      <w:sz w:val="16"/>
      <w:szCs w:val="16"/>
      <w:lang w:val="en-GB" w:eastAsia="en-US"/>
    </w:rPr>
  </w:style>
  <w:style w:type="paragraph" w:styleId="ListParagraph">
    <w:name w:val="List Paragraph"/>
    <w:basedOn w:val="Normal"/>
    <w:uiPriority w:val="34"/>
    <w:qFormat/>
    <w:rsid w:val="009D2BE9"/>
    <w:pPr>
      <w:ind w:left="720"/>
      <w:contextualSpacing/>
    </w:pPr>
  </w:style>
  <w:style w:type="paragraph" w:styleId="NormalWeb">
    <w:name w:val="Normal (Web)"/>
    <w:basedOn w:val="Normal"/>
    <w:uiPriority w:val="99"/>
    <w:unhideWhenUsed/>
    <w:rsid w:val="002634C2"/>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apple-style-span">
    <w:name w:val="apple-style-span"/>
    <w:basedOn w:val="DefaultParagraphFont"/>
    <w:rsid w:val="002634C2"/>
  </w:style>
  <w:style w:type="character" w:customStyle="1" w:styleId="apple-converted-space">
    <w:name w:val="apple-converted-space"/>
    <w:basedOn w:val="DefaultParagraphFont"/>
    <w:rsid w:val="002634C2"/>
  </w:style>
  <w:style w:type="character" w:customStyle="1" w:styleId="FooterChar">
    <w:name w:val="Footer Char"/>
    <w:basedOn w:val="DefaultParagraphFont"/>
    <w:link w:val="Footer"/>
    <w:rsid w:val="0092249F"/>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fa.itu.int/t/fg/cloud/docs/1006-gva/in/"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4.xml"/><Relationship Id="rId10" Type="http://schemas.openxmlformats.org/officeDocument/2006/relationships/hyperlink" Target="http://ifa.itu.int/t/fg/cloud/docs/incoming/"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tsbfgcloud@itu.int" TargetMode="External"/><Relationship Id="rId14" Type="http://schemas.openxmlformats.org/officeDocument/2006/relationships/hyperlink" Target="http://www.itu.int/ITU-T/focusgroups/cloud/"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3415-4C2E-40ED-B34E-21332D09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Template>
  <TotalTime>1</TotalTime>
  <Pages>9</Pages>
  <Words>3079</Words>
  <Characters>10322</Characters>
  <Application>Microsoft Office Word</Application>
  <DocSecurity>0</DocSecurity>
  <Lines>86</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13375</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dc:description/>
  <cp:lastModifiedBy>bettini</cp:lastModifiedBy>
  <cp:revision>2</cp:revision>
  <cp:lastPrinted>2010-06-10T12:42:00Z</cp:lastPrinted>
  <dcterms:created xsi:type="dcterms:W3CDTF">2010-06-10T12:43:00Z</dcterms:created>
  <dcterms:modified xsi:type="dcterms:W3CDTF">2010-06-10T12:43:00Z</dcterms:modified>
</cp:coreProperties>
</file>