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Default="004556D7" w:rsidP="005C4DF9">
      <w:pPr>
        <w:pStyle w:val="Index1"/>
        <w:tabs>
          <w:tab w:val="clear" w:pos="794"/>
          <w:tab w:val="clear" w:pos="1191"/>
          <w:tab w:val="clear" w:pos="1588"/>
          <w:tab w:val="clear" w:pos="1985"/>
          <w:tab w:val="left" w:pos="5387"/>
        </w:tabs>
      </w:pPr>
      <w:r>
        <w:tab/>
      </w:r>
      <w:smartTag w:uri="urn:schemas-microsoft-com:office:smarttags" w:element="place">
        <w:smartTag w:uri="urn:schemas-microsoft-com:office:smarttags" w:element="City">
          <w:r w:rsidR="00D27786">
            <w:t>Geneva</w:t>
          </w:r>
        </w:smartTag>
      </w:smartTag>
      <w:r w:rsidR="00D27786">
        <w:t>,</w:t>
      </w:r>
      <w:r w:rsidR="003418D2">
        <w:t xml:space="preserve"> </w:t>
      </w:r>
      <w:r w:rsidR="005C4DF9">
        <w:t>1</w:t>
      </w:r>
      <w:r w:rsidR="009F48A0">
        <w:t xml:space="preserve"> </w:t>
      </w:r>
      <w:r w:rsidR="005C4DF9">
        <w:t>June</w:t>
      </w:r>
      <w:r w:rsidR="000D4E75">
        <w:t xml:space="preserve"> 2010</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706482"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0D4E75" w:rsidP="000D4E75">
            <w:pPr>
              <w:tabs>
                <w:tab w:val="left" w:pos="4111"/>
              </w:tabs>
              <w:spacing w:before="0"/>
              <w:rPr>
                <w:b/>
              </w:rPr>
            </w:pPr>
            <w:r>
              <w:rPr>
                <w:b/>
              </w:rPr>
              <w:t>TSB Circular 105</w:t>
            </w:r>
          </w:p>
          <w:p w:rsidR="004556D7" w:rsidRDefault="004556D7" w:rsidP="000D4E75">
            <w:pPr>
              <w:tabs>
                <w:tab w:val="left" w:pos="4111"/>
              </w:tabs>
              <w:spacing w:before="0"/>
              <w:rPr>
                <w:b/>
              </w:rPr>
            </w:pPr>
            <w:r>
              <w:t xml:space="preserve">COM </w:t>
            </w:r>
            <w:r w:rsidR="000D4E75">
              <w:t>17</w:t>
            </w:r>
            <w:r>
              <w:t>/</w:t>
            </w:r>
            <w:r w:rsidR="000D4E75">
              <w:t>BGS</w:t>
            </w:r>
          </w:p>
          <w:p w:rsidR="004556D7" w:rsidRDefault="004556D7">
            <w:pPr>
              <w:tabs>
                <w:tab w:val="left" w:pos="4111"/>
              </w:tabs>
              <w:spacing w:before="0"/>
            </w:pPr>
            <w:r>
              <w:br/>
              <w:t xml:space="preserve">+41 22 730 </w:t>
            </w:r>
            <w:r w:rsidR="000D4E75">
              <w:t>5994</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1" w:name="Addressee_E"/>
            <w:bookmarkEnd w:id="1"/>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4B75A3" w:rsidP="000D4E75">
            <w:pPr>
              <w:tabs>
                <w:tab w:val="left" w:pos="4111"/>
              </w:tabs>
              <w:spacing w:before="0"/>
            </w:pPr>
            <w:hyperlink r:id="rId7" w:history="1">
              <w:r w:rsidR="000D4E75" w:rsidRPr="00D510E8">
                <w:rPr>
                  <w:rStyle w:val="Hyperlink"/>
                </w:rPr>
                <w:t>tsbsg1</w:t>
              </w:r>
              <w:r w:rsidR="000D4E75" w:rsidRPr="00D510E8">
                <w:rPr>
                  <w:rStyle w:val="Hyperlink"/>
                </w:rPr>
                <w:t>7</w:t>
              </w:r>
              <w:r w:rsidR="000D4E75" w:rsidRPr="00D510E8">
                <w:rPr>
                  <w:rStyle w:val="Hyperlink"/>
                </w:rPr>
                <w:t>@itu.int</w:t>
              </w:r>
            </w:hyperlink>
            <w:r w:rsidR="005C7BD2">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4556D7" w:rsidRDefault="004556D7" w:rsidP="000D4E75">
            <w:pPr>
              <w:tabs>
                <w:tab w:val="clear" w:pos="794"/>
                <w:tab w:val="left" w:pos="141"/>
                <w:tab w:val="left" w:pos="4111"/>
              </w:tabs>
              <w:spacing w:before="0"/>
              <w:ind w:left="141" w:hanging="141"/>
            </w:pPr>
            <w:r>
              <w:t>-</w:t>
            </w:r>
            <w:r>
              <w:tab/>
              <w:t>To the Chairman and Vice-Chairm</w:t>
            </w:r>
            <w:r w:rsidR="005C7BD2">
              <w:t>e</w:t>
            </w:r>
            <w:r>
              <w:t xml:space="preserve">n of Study Group </w:t>
            </w:r>
            <w:r w:rsidR="000D4E75">
              <w:t>17</w:t>
            </w:r>
            <w:r>
              <w:t>;</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 xml:space="preserve">To the Director of the </w:t>
            </w:r>
            <w:proofErr w:type="spellStart"/>
            <w:r>
              <w:t>Radiocommunication</w:t>
            </w:r>
            <w:proofErr w:type="spellEnd"/>
            <w:r>
              <w:t xml:space="preserve">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tblPr>
      <w:tblGrid>
        <w:gridCol w:w="1100"/>
        <w:gridCol w:w="6945"/>
      </w:tblGrid>
      <w:tr w:rsidR="004556D7" w:rsidTr="007E46BB">
        <w:trPr>
          <w:cantSplit/>
        </w:trPr>
        <w:tc>
          <w:tcPr>
            <w:tcW w:w="1100" w:type="dxa"/>
          </w:tcPr>
          <w:p w:rsidR="004556D7" w:rsidRDefault="004556D7">
            <w:pPr>
              <w:tabs>
                <w:tab w:val="left" w:pos="4111"/>
              </w:tabs>
              <w:spacing w:before="10"/>
              <w:ind w:left="57"/>
              <w:rPr>
                <w:sz w:val="22"/>
              </w:rPr>
            </w:pPr>
            <w:r>
              <w:rPr>
                <w:sz w:val="22"/>
              </w:rPr>
              <w:t>Subject:</w:t>
            </w:r>
          </w:p>
        </w:tc>
        <w:tc>
          <w:tcPr>
            <w:tcW w:w="6945" w:type="dxa"/>
          </w:tcPr>
          <w:p w:rsidR="004556D7" w:rsidRDefault="004556D7" w:rsidP="000428BB">
            <w:pPr>
              <w:tabs>
                <w:tab w:val="left" w:pos="4111"/>
              </w:tabs>
              <w:spacing w:before="0"/>
              <w:ind w:left="57" w:right="-284"/>
            </w:pPr>
            <w:r>
              <w:rPr>
                <w:b/>
              </w:rPr>
              <w:t xml:space="preserve">Meeting of Study Group </w:t>
            </w:r>
            <w:r w:rsidR="000D4E75">
              <w:rPr>
                <w:b/>
              </w:rPr>
              <w:t>17</w:t>
            </w:r>
            <w:r>
              <w:rPr>
                <w:b/>
              </w:rPr>
              <w:t xml:space="preserve"> with a view to approving </w:t>
            </w:r>
            <w:r w:rsidR="000D4E75">
              <w:rPr>
                <w:b/>
              </w:rPr>
              <w:t>draft new Recommendation</w:t>
            </w:r>
            <w:r>
              <w:rPr>
                <w:b/>
              </w:rPr>
              <w:t>s</w:t>
            </w:r>
            <w:r w:rsidR="00FB4C63">
              <w:rPr>
                <w:b/>
              </w:rPr>
              <w:t xml:space="preserve"> ITU-T </w:t>
            </w:r>
            <w:r w:rsidR="007E46BB">
              <w:rPr>
                <w:b/>
              </w:rPr>
              <w:t xml:space="preserve">X.673, </w:t>
            </w:r>
            <w:r w:rsidR="000D4E75">
              <w:rPr>
                <w:b/>
              </w:rPr>
              <w:t xml:space="preserve">X.1032, X.1209, X.1243, </w:t>
            </w:r>
            <w:r w:rsidR="009F48A0">
              <w:rPr>
                <w:b/>
              </w:rPr>
              <w:t>X.1245</w:t>
            </w:r>
            <w:r w:rsidR="007E46BB">
              <w:rPr>
                <w:b/>
              </w:rPr>
              <w:t xml:space="preserve"> and</w:t>
            </w:r>
            <w:r w:rsidR="009F48A0">
              <w:rPr>
                <w:b/>
              </w:rPr>
              <w:t xml:space="preserve"> </w:t>
            </w:r>
            <w:r w:rsidR="000D4E75">
              <w:rPr>
                <w:b/>
              </w:rPr>
              <w:t xml:space="preserve">X.1275 </w:t>
            </w:r>
            <w:r>
              <w:rPr>
                <w:b/>
              </w:rPr>
              <w:t>in accordance with the provisions of Resolution 1, Section 9, of WTSA (</w:t>
            </w:r>
            <w:r w:rsidR="005C7BD2">
              <w:rPr>
                <w:b/>
              </w:rPr>
              <w:t>Johannesburg, 2008</w:t>
            </w:r>
            <w:r>
              <w:rPr>
                <w:b/>
              </w:rPr>
              <w:t>)</w:t>
            </w:r>
            <w:r w:rsidR="000428BB">
              <w:rPr>
                <w:b/>
              </w:rPr>
              <w:t xml:space="preserve">, </w:t>
            </w:r>
            <w:r>
              <w:rPr>
                <w:b/>
              </w:rPr>
              <w:t xml:space="preserve">Geneva, </w:t>
            </w:r>
            <w:r w:rsidR="000D4E75">
              <w:rPr>
                <w:b/>
              </w:rPr>
              <w:t>17 December 2010</w:t>
            </w:r>
          </w:p>
        </w:tc>
      </w:tr>
    </w:tbl>
    <w:p w:rsidR="004556D7" w:rsidRDefault="004556D7">
      <w:bookmarkStart w:id="2" w:name="StartTyping_E"/>
      <w:bookmarkEnd w:id="2"/>
    </w:p>
    <w:p w:rsidR="004556D7" w:rsidRDefault="004556D7"/>
    <w:p w:rsidR="004556D7" w:rsidRDefault="004556D7">
      <w:r>
        <w:t>Dear Sir/Madam,</w:t>
      </w:r>
    </w:p>
    <w:p w:rsidR="005C4DF9" w:rsidRDefault="004556D7">
      <w:r>
        <w:rPr>
          <w:bCs/>
        </w:rPr>
        <w:t>1</w:t>
      </w:r>
      <w:r>
        <w:tab/>
        <w:t xml:space="preserve">At the request of the Chairman of Study Group </w:t>
      </w:r>
      <w:r w:rsidR="000D4E75">
        <w:t>17</w:t>
      </w:r>
      <w:r>
        <w:t xml:space="preserve">, </w:t>
      </w:r>
      <w:r w:rsidR="000D4E75" w:rsidRPr="00873952">
        <w:rPr>
          <w:i/>
          <w:iCs/>
          <w:szCs w:val="24"/>
        </w:rPr>
        <w:t>Security</w:t>
      </w:r>
      <w:r>
        <w:t xml:space="preserve">, I have the honour to inform you that this </w:t>
      </w:r>
      <w:r w:rsidR="00F33EDB">
        <w:t>S</w:t>
      </w:r>
      <w:r>
        <w:t xml:space="preserve">tudy </w:t>
      </w:r>
      <w:r w:rsidR="00F33EDB">
        <w:t>G</w:t>
      </w:r>
      <w:r>
        <w:t xml:space="preserve">roup, which will meet from </w:t>
      </w:r>
      <w:r w:rsidR="000D4E75">
        <w:t xml:space="preserve">8 </w:t>
      </w:r>
      <w:r>
        <w:t xml:space="preserve">to </w:t>
      </w:r>
      <w:r w:rsidR="000D4E75">
        <w:t>17 December 2010</w:t>
      </w:r>
      <w:r>
        <w:t>, intends to apply the procedure described in Resolution 1, Section 9, of WTSA (</w:t>
      </w:r>
      <w:r w:rsidR="005C7BD2">
        <w:t>Johannesburg, 2008</w:t>
      </w:r>
      <w:r>
        <w:t xml:space="preserve">) for the approval of </w:t>
      </w:r>
      <w:r w:rsidR="00EE6D69">
        <w:t xml:space="preserve">the above-mentioned draft </w:t>
      </w:r>
      <w:r>
        <w:t>new Recommendations.</w:t>
      </w:r>
    </w:p>
    <w:p w:rsidR="00E21F8A" w:rsidRDefault="00E21F8A" w:rsidP="00983187">
      <w:r>
        <w:t>Draft Recommendation ITU-T X.1275 was considered for approval at the April 2010 Study</w:t>
      </w:r>
      <w:r w:rsidR="00F33EDB">
        <w:t> </w:t>
      </w:r>
      <w:r>
        <w:t>Group</w:t>
      </w:r>
      <w:r w:rsidR="00F33EDB">
        <w:t> </w:t>
      </w:r>
      <w:r>
        <w:t>17 meeting further to the consultation in TSB Circular 6</w:t>
      </w:r>
      <w:r w:rsidR="00983187">
        <w:t>2</w:t>
      </w:r>
      <w:r>
        <w:t xml:space="preserve"> of </w:t>
      </w:r>
      <w:r w:rsidR="00983187">
        <w:t>13</w:t>
      </w:r>
      <w:r>
        <w:t> October 200</w:t>
      </w:r>
      <w:r w:rsidR="00983187">
        <w:t>9</w:t>
      </w:r>
      <w:r>
        <w:t>. Substantial comments were received and the draft Recommendation</w:t>
      </w:r>
      <w:r w:rsidR="00983187">
        <w:t xml:space="preserve"> was</w:t>
      </w:r>
      <w:r>
        <w:t xml:space="preserve"> re-determined.</w:t>
      </w:r>
    </w:p>
    <w:p w:rsidR="004556D7" w:rsidRDefault="004556D7" w:rsidP="000D4E75">
      <w:r>
        <w:rPr>
          <w:bCs/>
        </w:rPr>
        <w:t>2</w:t>
      </w:r>
      <w:r>
        <w:tab/>
        <w:t xml:space="preserve">The </w:t>
      </w:r>
      <w:r w:rsidR="000D4E75">
        <w:t>title</w:t>
      </w:r>
      <w:r w:rsidR="00EE6D69">
        <w:t xml:space="preserve">s, </w:t>
      </w:r>
      <w:r>
        <w:t>summaries and location of the dra</w:t>
      </w:r>
      <w:r w:rsidR="000D4E75">
        <w:t xml:space="preserve">ft </w:t>
      </w:r>
      <w:r>
        <w:t xml:space="preserve">new ITU-T Recommendations proposed for approval will be found in </w:t>
      </w:r>
      <w:r>
        <w:rPr>
          <w:b/>
        </w:rPr>
        <w:t>Annex 1</w:t>
      </w:r>
      <w:r>
        <w:t>.</w:t>
      </w:r>
    </w:p>
    <w:p w:rsidR="003E620E" w:rsidRDefault="004556D7" w:rsidP="000D4E75">
      <w:r>
        <w:rPr>
          <w:bCs/>
        </w:rPr>
        <w:t>3</w:t>
      </w:r>
      <w:r>
        <w:tab/>
        <w:t xml:space="preserve">Any ITU Member State, Sector Member or Associate aware of a patent held by itself or others which may fully or partly cover elements of the draft Recommendations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8" w:history="1">
        <w:r w:rsidRPr="002A7750">
          <w:rPr>
            <w:rStyle w:val="Hyperlink"/>
          </w:rPr>
          <w:t>www</w:t>
        </w:r>
        <w:r w:rsidRPr="002A7750">
          <w:rPr>
            <w:rStyle w:val="Hyperlink"/>
          </w:rPr>
          <w:t>.</w:t>
        </w:r>
        <w:r w:rsidRPr="002A7750">
          <w:rPr>
            <w:rStyle w:val="Hyperlink"/>
          </w:rPr>
          <w:t>itu.int/ITU-T/ipr/</w:t>
        </w:r>
      </w:hyperlink>
      <w:r>
        <w:t>).</w:t>
      </w:r>
    </w:p>
    <w:p w:rsidR="005C4DF9" w:rsidRDefault="004556D7">
      <w:r>
        <w:rPr>
          <w:bCs/>
        </w:rPr>
        <w:br w:type="page"/>
      </w:r>
      <w:r>
        <w:rPr>
          <w:bCs/>
        </w:rPr>
        <w:lastRenderedPageBreak/>
        <w:t>4</w:t>
      </w:r>
      <w:r>
        <w:tab/>
        <w:t xml:space="preserve">Having regard to the provisions of Resolution 1, Section 9, I should be grateful if you would inform me by 2400 hours UTC </w:t>
      </w:r>
      <w:r>
        <w:rPr>
          <w:b/>
        </w:rPr>
        <w:t xml:space="preserve">on </w:t>
      </w:r>
      <w:r w:rsidR="000D4E75">
        <w:rPr>
          <w:b/>
        </w:rPr>
        <w:t>2</w:t>
      </w:r>
      <w:r w:rsidR="00F33EDB">
        <w:rPr>
          <w:b/>
        </w:rPr>
        <w:t>6</w:t>
      </w:r>
      <w:r w:rsidR="000D4E75">
        <w:rPr>
          <w:b/>
        </w:rPr>
        <w:t xml:space="preserve"> November 2010</w:t>
      </w:r>
      <w:r>
        <w:t xml:space="preserve"> whether your Administration assigns authority to Study Group </w:t>
      </w:r>
      <w:r w:rsidR="000D4E75">
        <w:t>17</w:t>
      </w:r>
      <w:r>
        <w:t xml:space="preserve"> that these draft new Recommendations should be considered for approval at the Study Group meeting.</w:t>
      </w:r>
    </w:p>
    <w:p w:rsidR="004556D7" w:rsidRDefault="004556D7" w:rsidP="000D4E75">
      <w: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Default="004556D7" w:rsidP="000D4E75">
      <w:r>
        <w:rPr>
          <w:bCs/>
        </w:rPr>
        <w:t>5</w:t>
      </w:r>
      <w:r>
        <w:tab/>
        <w:t xml:space="preserve">If 70% or more of the replies from Member States support consideration for approval of these draft new Recommendations at the Study Group meeting, one Plenary session will be devoted </w:t>
      </w:r>
      <w:r>
        <w:rPr>
          <w:b/>
        </w:rPr>
        <w:t xml:space="preserve">on </w:t>
      </w:r>
      <w:r w:rsidR="000D4E75">
        <w:rPr>
          <w:b/>
        </w:rPr>
        <w:t>17 December 2010</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0D4E75">
      <w:r>
        <w:rPr>
          <w:bCs/>
        </w:rPr>
        <w:t>6</w:t>
      </w:r>
      <w:r>
        <w:tab/>
        <w:t>The agenda and all relevant information concerning the Study Group </w:t>
      </w:r>
      <w:r w:rsidR="000D4E75">
        <w:t>17</w:t>
      </w:r>
      <w:r>
        <w:t xml:space="preserve"> meeting wi</w:t>
      </w:r>
      <w:r w:rsidR="000D0987">
        <w:t xml:space="preserve">ll be available from Collective </w:t>
      </w:r>
      <w:r w:rsidR="000D4E75">
        <w:t>letter 4</w:t>
      </w:r>
      <w:r>
        <w:t>/</w:t>
      </w:r>
      <w:r w:rsidR="000D4E75">
        <w:t>17.</w:t>
      </w:r>
    </w:p>
    <w:p w:rsidR="004556D7" w:rsidRDefault="004556D7" w:rsidP="000D4E75">
      <w:r>
        <w:rPr>
          <w:bCs/>
        </w:rPr>
        <w:t>7</w:t>
      </w:r>
      <w:r>
        <w:tab/>
        <w:t>After the meeting, the Director of TSB will notify, in a circular, the decision taken on these Recommendations.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0D4E75" w:rsidRPr="003418D2" w:rsidRDefault="004556D7">
      <w:pPr>
        <w:spacing w:before="720"/>
        <w:rPr>
          <w:b/>
        </w:rPr>
      </w:pPr>
      <w:r w:rsidRPr="003418D2">
        <w:rPr>
          <w:b/>
        </w:rPr>
        <w:t>Annex:</w:t>
      </w:r>
      <w:r w:rsidR="00174053" w:rsidRPr="003418D2">
        <w:rPr>
          <w:b/>
        </w:rPr>
        <w:t xml:space="preserve"> </w:t>
      </w:r>
      <w:r w:rsidR="009F48A0" w:rsidRPr="003418D2">
        <w:rPr>
          <w:b/>
        </w:rPr>
        <w:t>1</w:t>
      </w:r>
    </w:p>
    <w:p w:rsidR="000D4E75" w:rsidRDefault="000D4E75" w:rsidP="000D4E75">
      <w:pPr>
        <w:pStyle w:val="AppendixRef"/>
      </w:pPr>
      <w:r>
        <w:br w:type="page"/>
      </w:r>
      <w:r>
        <w:lastRenderedPageBreak/>
        <w:t>ANNEX 1</w:t>
      </w:r>
      <w:r>
        <w:br/>
        <w:t>(to TSB Circular 105)</w:t>
      </w:r>
    </w:p>
    <w:p w:rsidR="000D4E75" w:rsidRPr="008728E0" w:rsidRDefault="000D4E75" w:rsidP="000D4E75">
      <w:pPr>
        <w:spacing w:before="240"/>
        <w:jc w:val="center"/>
        <w:rPr>
          <w:szCs w:val="24"/>
        </w:rPr>
      </w:pPr>
      <w:r w:rsidRPr="008728E0">
        <w:rPr>
          <w:b/>
          <w:bCs/>
          <w:szCs w:val="24"/>
        </w:rPr>
        <w:t>Summary and location of the texts</w:t>
      </w:r>
    </w:p>
    <w:p w:rsidR="007E46BB" w:rsidRDefault="007E46BB" w:rsidP="007E46BB">
      <w:pPr>
        <w:spacing w:before="720"/>
        <w:rPr>
          <w:b/>
          <w:bCs/>
          <w:sz w:val="28"/>
          <w:szCs w:val="28"/>
          <w:lang w:val="en-US"/>
        </w:rPr>
      </w:pPr>
      <w:r w:rsidRPr="008728E0">
        <w:rPr>
          <w:b/>
          <w:bCs/>
        </w:rPr>
        <w:t>Draft new Recommendation ITU-T X.673 | ISO/IEC 29168-2, Procedures for the object identifier resolution system operational agency</w:t>
      </w:r>
      <w:r>
        <w:rPr>
          <w:b/>
          <w:bCs/>
        </w:rPr>
        <w:br/>
      </w:r>
      <w:r w:rsidRPr="009F48A0">
        <w:rPr>
          <w:b/>
          <w:bCs/>
          <w:szCs w:val="24"/>
          <w:lang w:val="en-US"/>
        </w:rPr>
        <w:t>COM 17 – R 22</w:t>
      </w:r>
    </w:p>
    <w:p w:rsidR="007E46BB" w:rsidRPr="00E126DB" w:rsidRDefault="007E46BB" w:rsidP="007E46BB">
      <w:pPr>
        <w:rPr>
          <w:b/>
        </w:rPr>
      </w:pPr>
      <w:r w:rsidRPr="00E126DB">
        <w:rPr>
          <w:b/>
        </w:rPr>
        <w:t>Summary</w:t>
      </w:r>
    </w:p>
    <w:p w:rsidR="007E46BB" w:rsidRDefault="007E46BB" w:rsidP="007E46BB">
      <w:r w:rsidRPr="00C93CB9">
        <w:t xml:space="preserve">This </w:t>
      </w:r>
      <w:r>
        <w:t>Recommendation | International Standard</w:t>
      </w:r>
      <w:r w:rsidRPr="00C93CB9">
        <w:t xml:space="preserve"> specifies the activities to be</w:t>
      </w:r>
      <w:r>
        <w:t xml:space="preserve"> </w:t>
      </w:r>
      <w:r w:rsidRPr="00C93CB9">
        <w:t xml:space="preserve">undertaken by the </w:t>
      </w:r>
      <w:r w:rsidR="008914C8">
        <w:t>object identifier resolution system (</w:t>
      </w:r>
      <w:r>
        <w:t>ORS</w:t>
      </w:r>
      <w:r w:rsidR="008914C8">
        <w:t>)</w:t>
      </w:r>
      <w:r>
        <w:t xml:space="preserve"> operational agency</w:t>
      </w:r>
      <w:r w:rsidRPr="00C93CB9">
        <w:t xml:space="preserve"> to support the object</w:t>
      </w:r>
      <w:r>
        <w:t xml:space="preserve"> </w:t>
      </w:r>
      <w:r w:rsidRPr="00C93CB9">
        <w:t>identifier resolution system.  It includes the specification of use of</w:t>
      </w:r>
      <w:r>
        <w:t xml:space="preserve"> </w:t>
      </w:r>
      <w:r w:rsidRPr="00C93CB9">
        <w:t>DNSSEC</w:t>
      </w:r>
      <w:r>
        <w:t xml:space="preserve"> </w:t>
      </w:r>
      <w:r w:rsidRPr="00C93CB9">
        <w:t xml:space="preserve">(NSEC3) and </w:t>
      </w:r>
      <w:r>
        <w:t xml:space="preserve">addresses </w:t>
      </w:r>
      <w:r w:rsidRPr="00C93CB9">
        <w:t>issues of charging.</w:t>
      </w:r>
      <w:r>
        <w:t xml:space="preserve">  It also specifies the mechanisms for the appointment of the operational agency as an ISO/IEC Registration Authority.</w:t>
      </w:r>
    </w:p>
    <w:p w:rsidR="00634055" w:rsidRDefault="00634055" w:rsidP="00301BD3">
      <w:r>
        <w:t xml:space="preserve">IMPORTANT NOTE: </w:t>
      </w:r>
      <w:r w:rsidR="00660026">
        <w:t>The a</w:t>
      </w:r>
      <w:r>
        <w:t xml:space="preserve">vailability of this text is </w:t>
      </w:r>
      <w:r w:rsidRPr="00634055">
        <w:t xml:space="preserve">to be deferred </w:t>
      </w:r>
      <w:r w:rsidR="00301BD3">
        <w:t>until</w:t>
      </w:r>
      <w:r w:rsidRPr="00634055">
        <w:t xml:space="preserve"> the </w:t>
      </w:r>
      <w:r>
        <w:t xml:space="preserve">closure of the </w:t>
      </w:r>
      <w:r w:rsidRPr="00634055">
        <w:t>ISO/IEC FCD Ballot Re</w:t>
      </w:r>
      <w:r>
        <w:t>solution meeting (</w:t>
      </w:r>
      <w:r w:rsidRPr="00634055">
        <w:t>27 August 2010)</w:t>
      </w:r>
    </w:p>
    <w:p w:rsidR="004556D7" w:rsidRDefault="000D4E75" w:rsidP="007E46BB">
      <w:pPr>
        <w:spacing w:before="240"/>
        <w:rPr>
          <w:b/>
          <w:bCs/>
          <w:sz w:val="28"/>
          <w:szCs w:val="28"/>
          <w:lang w:val="en-US"/>
        </w:rPr>
      </w:pPr>
      <w:r w:rsidRPr="000D4E75">
        <w:rPr>
          <w:b/>
          <w:bCs/>
        </w:rPr>
        <w:t>Draft new Recommendation ITU-T X.1032 (</w:t>
      </w:r>
      <w:proofErr w:type="spellStart"/>
      <w:r w:rsidRPr="000D4E75">
        <w:rPr>
          <w:b/>
          <w:bCs/>
        </w:rPr>
        <w:t>X.interfaces</w:t>
      </w:r>
      <w:proofErr w:type="spellEnd"/>
      <w:r w:rsidRPr="000D4E75">
        <w:rPr>
          <w:b/>
          <w:bCs/>
        </w:rPr>
        <w:t>), Architecture of external interrelations for a telecommunication network security system</w:t>
      </w:r>
      <w:r>
        <w:rPr>
          <w:b/>
          <w:bCs/>
        </w:rPr>
        <w:br/>
      </w:r>
      <w:r w:rsidRPr="009F48A0">
        <w:rPr>
          <w:b/>
          <w:bCs/>
          <w:szCs w:val="24"/>
          <w:lang w:val="en-US"/>
        </w:rPr>
        <w:t>COM 17 – R 15</w:t>
      </w:r>
    </w:p>
    <w:p w:rsidR="000D4E75" w:rsidRPr="00D046B7" w:rsidRDefault="000D4E75" w:rsidP="000D4E75">
      <w:pPr>
        <w:rPr>
          <w:b/>
          <w:lang w:val="en-US"/>
        </w:rPr>
      </w:pPr>
      <w:r>
        <w:rPr>
          <w:b/>
          <w:lang w:val="en-US"/>
        </w:rPr>
        <w:t>Summary</w:t>
      </w:r>
    </w:p>
    <w:p w:rsidR="000D4E75" w:rsidRDefault="000D4E75" w:rsidP="000D4E75">
      <w:pPr>
        <w:rPr>
          <w:lang w:val="en-US"/>
        </w:rPr>
      </w:pPr>
      <w:r>
        <w:rPr>
          <w:lang w:val="en-US"/>
        </w:rPr>
        <w:t>This</w:t>
      </w:r>
      <w:r w:rsidRPr="00EE504B">
        <w:rPr>
          <w:lang w:val="en-US"/>
        </w:rPr>
        <w:t xml:space="preserve"> </w:t>
      </w:r>
      <w:r>
        <w:rPr>
          <w:lang w:val="en-US"/>
        </w:rPr>
        <w:t>Recommendation</w:t>
      </w:r>
      <w:r w:rsidRPr="00EE504B">
        <w:rPr>
          <w:lang w:val="en-US"/>
        </w:rPr>
        <w:t xml:space="preserve"> </w:t>
      </w:r>
      <w:r>
        <w:rPr>
          <w:lang w:val="en-US"/>
        </w:rPr>
        <w:t>proposes</w:t>
      </w:r>
      <w:r w:rsidRPr="00EE504B">
        <w:rPr>
          <w:lang w:val="en-US"/>
        </w:rPr>
        <w:t xml:space="preserve"> </w:t>
      </w:r>
      <w:r>
        <w:rPr>
          <w:lang w:val="en-US"/>
        </w:rPr>
        <w:t>four</w:t>
      </w:r>
      <w:r w:rsidRPr="00EE504B">
        <w:rPr>
          <w:lang w:val="en-US"/>
        </w:rPr>
        <w:t xml:space="preserve"> </w:t>
      </w:r>
      <w:r>
        <w:rPr>
          <w:lang w:val="en-US"/>
        </w:rPr>
        <w:t>models that make possible</w:t>
      </w:r>
      <w:r w:rsidRPr="00EE504B">
        <w:rPr>
          <w:lang w:val="en-US"/>
        </w:rPr>
        <w:t xml:space="preserve"> </w:t>
      </w:r>
      <w:r>
        <w:rPr>
          <w:lang w:val="en-US"/>
        </w:rPr>
        <w:t>a review of</w:t>
      </w:r>
      <w:r w:rsidRPr="00EE504B">
        <w:rPr>
          <w:lang w:val="en-US"/>
        </w:rPr>
        <w:t xml:space="preserve"> </w:t>
      </w:r>
      <w:r>
        <w:rPr>
          <w:lang w:val="en-US"/>
        </w:rPr>
        <w:t>interrelations</w:t>
      </w:r>
      <w:r w:rsidRPr="00EE504B">
        <w:rPr>
          <w:lang w:val="en-US"/>
        </w:rPr>
        <w:t xml:space="preserve"> </w:t>
      </w:r>
      <w:r>
        <w:rPr>
          <w:lang w:val="en-US"/>
        </w:rPr>
        <w:t>for</w:t>
      </w:r>
      <w:r w:rsidRPr="00EE504B">
        <w:rPr>
          <w:lang w:val="en-US"/>
        </w:rPr>
        <w:t xml:space="preserve"> </w:t>
      </w:r>
      <w:r>
        <w:rPr>
          <w:lang w:val="en-US"/>
        </w:rPr>
        <w:t>telecommunication</w:t>
      </w:r>
      <w:r w:rsidRPr="00EE504B">
        <w:rPr>
          <w:lang w:val="en-US"/>
        </w:rPr>
        <w:t xml:space="preserve"> </w:t>
      </w:r>
      <w:r>
        <w:rPr>
          <w:lang w:val="en-US"/>
        </w:rPr>
        <w:t>network</w:t>
      </w:r>
      <w:r w:rsidRPr="00EE504B">
        <w:rPr>
          <w:lang w:val="en-US"/>
        </w:rPr>
        <w:t xml:space="preserve"> </w:t>
      </w:r>
      <w:r>
        <w:rPr>
          <w:lang w:val="en-US"/>
        </w:rPr>
        <w:t>security system (TNSS) with various groups of external objects. Each object is considered as per its main functions and probable effect of this object on TNSS construction and functioning principles</w:t>
      </w:r>
      <w:r w:rsidRPr="0003084B">
        <w:rPr>
          <w:lang w:val="en-US"/>
        </w:rPr>
        <w:t>.</w:t>
      </w:r>
      <w:r>
        <w:rPr>
          <w:lang w:val="en-US"/>
        </w:rPr>
        <w:t xml:space="preserve"> This Recommendation serves as a foundation for developing the detailed recommendations for network security with regard to external objects effect.</w:t>
      </w:r>
    </w:p>
    <w:p w:rsidR="000D4E75" w:rsidRPr="009F48A0" w:rsidRDefault="008728E0" w:rsidP="000D4E75">
      <w:pPr>
        <w:spacing w:before="240"/>
        <w:rPr>
          <w:b/>
          <w:bCs/>
          <w:szCs w:val="24"/>
          <w:lang w:val="en-US"/>
        </w:rPr>
      </w:pPr>
      <w:r w:rsidRPr="008728E0">
        <w:rPr>
          <w:b/>
          <w:bCs/>
        </w:rPr>
        <w:t>Draft new Recommendation ITU-T X.1209 (</w:t>
      </w:r>
      <w:proofErr w:type="spellStart"/>
      <w:r w:rsidRPr="008728E0">
        <w:rPr>
          <w:b/>
          <w:bCs/>
        </w:rPr>
        <w:t>X.sisfreq</w:t>
      </w:r>
      <w:proofErr w:type="spellEnd"/>
      <w:r w:rsidRPr="008728E0">
        <w:rPr>
          <w:b/>
          <w:bCs/>
        </w:rPr>
        <w:t xml:space="preserve">), Capabilities and their context scenarios for </w:t>
      </w:r>
      <w:proofErr w:type="spellStart"/>
      <w:r w:rsidRPr="008728E0">
        <w:rPr>
          <w:b/>
          <w:bCs/>
        </w:rPr>
        <w:t>cybersecurity</w:t>
      </w:r>
      <w:proofErr w:type="spellEnd"/>
      <w:r w:rsidRPr="008728E0">
        <w:rPr>
          <w:b/>
          <w:bCs/>
        </w:rPr>
        <w:t xml:space="preserve"> information sharing and exchange</w:t>
      </w:r>
      <w:r>
        <w:rPr>
          <w:b/>
          <w:bCs/>
        </w:rPr>
        <w:br/>
      </w:r>
      <w:r w:rsidRPr="009F48A0">
        <w:rPr>
          <w:b/>
          <w:bCs/>
          <w:szCs w:val="24"/>
          <w:lang w:val="en-US"/>
        </w:rPr>
        <w:t>COM 17 – R 16</w:t>
      </w:r>
    </w:p>
    <w:p w:rsidR="008728E0" w:rsidRPr="00C80684" w:rsidRDefault="008728E0" w:rsidP="008728E0">
      <w:pPr>
        <w:rPr>
          <w:rFonts w:eastAsia="MS Mincho"/>
          <w:b/>
          <w:lang w:val="en-US" w:eastAsia="ja-JP"/>
        </w:rPr>
      </w:pPr>
      <w:r w:rsidRPr="00C80684">
        <w:rPr>
          <w:rFonts w:eastAsia="MS Mincho"/>
          <w:b/>
          <w:lang w:val="en-US"/>
        </w:rPr>
        <w:t>Summary</w:t>
      </w:r>
    </w:p>
    <w:p w:rsidR="008728E0" w:rsidRPr="00B15BCF" w:rsidRDefault="008728E0" w:rsidP="008728E0">
      <w:pPr>
        <w:rPr>
          <w:rFonts w:eastAsia="MS Mincho"/>
          <w:lang w:val="en-US" w:eastAsia="ja-JP"/>
        </w:rPr>
      </w:pPr>
      <w:r w:rsidRPr="00B671F6">
        <w:rPr>
          <w:lang w:val="en-US"/>
        </w:rPr>
        <w:t xml:space="preserve">This Recommendation describes </w:t>
      </w:r>
      <w:r w:rsidRPr="00B671F6">
        <w:rPr>
          <w:rFonts w:eastAsia="MS Mincho"/>
          <w:lang w:val="en-US" w:eastAsia="ja-JP"/>
        </w:rPr>
        <w:t xml:space="preserve">high level </w:t>
      </w:r>
      <w:r>
        <w:rPr>
          <w:rFonts w:eastAsia="MS Mincho" w:hint="eastAsia"/>
          <w:lang w:val="en-US" w:eastAsia="ja-JP"/>
        </w:rPr>
        <w:t xml:space="preserve">scenarios </w:t>
      </w:r>
      <w:r w:rsidRPr="00B671F6">
        <w:rPr>
          <w:rFonts w:eastAsia="MS Mincho"/>
          <w:lang w:val="en-US" w:eastAsia="ja-JP"/>
        </w:rPr>
        <w:t xml:space="preserve">and </w:t>
      </w:r>
      <w:r>
        <w:rPr>
          <w:rFonts w:eastAsia="MS Mincho" w:hint="eastAsia"/>
          <w:lang w:val="en-US" w:eastAsia="ja-JP"/>
        </w:rPr>
        <w:t xml:space="preserve">supporting </w:t>
      </w:r>
      <w:r w:rsidRPr="00B671F6">
        <w:rPr>
          <w:rFonts w:eastAsia="MS Mincho"/>
          <w:lang w:val="en-US" w:eastAsia="ja-JP"/>
        </w:rPr>
        <w:t xml:space="preserve">capabilities </w:t>
      </w:r>
      <w:r>
        <w:rPr>
          <w:rFonts w:eastAsia="MS Mincho" w:hint="eastAsia"/>
          <w:lang w:val="en-US" w:eastAsia="ja-JP"/>
        </w:rPr>
        <w:t>for</w:t>
      </w:r>
      <w:r w:rsidRPr="00B671F6">
        <w:rPr>
          <w:rFonts w:eastAsia="MS Mincho"/>
          <w:lang w:val="en-US" w:eastAsia="ja-JP"/>
        </w:rPr>
        <w:t xml:space="preserve"> </w:t>
      </w:r>
      <w:proofErr w:type="spellStart"/>
      <w:r>
        <w:rPr>
          <w:rFonts w:eastAsia="MS Mincho" w:hint="eastAsia"/>
          <w:lang w:val="en-US" w:eastAsia="ja-JP"/>
        </w:rPr>
        <w:t>cyber</w:t>
      </w:r>
      <w:r w:rsidRPr="00B671F6">
        <w:rPr>
          <w:lang w:val="en-US"/>
        </w:rPr>
        <w:t>security</w:t>
      </w:r>
      <w:proofErr w:type="spellEnd"/>
      <w:r w:rsidRPr="00B671F6">
        <w:rPr>
          <w:lang w:val="en-US"/>
        </w:rPr>
        <w:t xml:space="preserve"> information sharing </w:t>
      </w:r>
      <w:r>
        <w:rPr>
          <w:rFonts w:eastAsia="MS Mincho" w:hint="eastAsia"/>
          <w:lang w:val="en-US" w:eastAsia="ja-JP"/>
        </w:rPr>
        <w:t>and exchange</w:t>
      </w:r>
      <w:r w:rsidRPr="00B671F6">
        <w:rPr>
          <w:lang w:val="en-US"/>
        </w:rPr>
        <w:t xml:space="preserve">. This Recommendation provides </w:t>
      </w:r>
      <w:r w:rsidRPr="00B671F6">
        <w:rPr>
          <w:rFonts w:eastAsia="MS Mincho"/>
          <w:lang w:val="en-US" w:eastAsia="ja-JP"/>
        </w:rPr>
        <w:t xml:space="preserve">capabilities important </w:t>
      </w:r>
      <w:r>
        <w:rPr>
          <w:rFonts w:eastAsia="MS Mincho" w:hint="eastAsia"/>
          <w:lang w:val="en-US" w:eastAsia="ja-JP"/>
        </w:rPr>
        <w:t xml:space="preserve">for </w:t>
      </w:r>
      <w:r w:rsidRPr="00B671F6">
        <w:rPr>
          <w:rFonts w:eastAsia="MS Mincho"/>
          <w:lang w:val="en-US" w:eastAsia="ja-JP"/>
        </w:rPr>
        <w:t>supporting interoperability</w:t>
      </w:r>
      <w:r w:rsidRPr="00B671F6">
        <w:rPr>
          <w:lang w:val="en-US"/>
        </w:rPr>
        <w:t xml:space="preserve"> </w:t>
      </w:r>
      <w:r>
        <w:rPr>
          <w:rFonts w:eastAsia="MS Mincho" w:hint="eastAsia"/>
          <w:lang w:val="en-US" w:eastAsia="ja-JP"/>
        </w:rPr>
        <w:t>between applications</w:t>
      </w:r>
      <w:r w:rsidRPr="00B671F6">
        <w:rPr>
          <w:lang w:val="en-US"/>
        </w:rPr>
        <w:t xml:space="preserve"> for the sharing </w:t>
      </w:r>
      <w:r>
        <w:rPr>
          <w:rFonts w:eastAsia="MS Mincho" w:hint="eastAsia"/>
          <w:lang w:val="en-US" w:eastAsia="ja-JP"/>
        </w:rPr>
        <w:t xml:space="preserve">and exchange </w:t>
      </w:r>
      <w:r w:rsidRPr="00B671F6">
        <w:rPr>
          <w:lang w:val="en-US"/>
        </w:rPr>
        <w:t xml:space="preserve">of </w:t>
      </w:r>
      <w:proofErr w:type="spellStart"/>
      <w:r>
        <w:rPr>
          <w:rFonts w:eastAsia="MS Mincho" w:hint="eastAsia"/>
          <w:lang w:val="en-US" w:eastAsia="ja-JP"/>
        </w:rPr>
        <w:t>cyber</w:t>
      </w:r>
      <w:r w:rsidRPr="00B671F6">
        <w:rPr>
          <w:lang w:val="en-US"/>
        </w:rPr>
        <w:t>security</w:t>
      </w:r>
      <w:proofErr w:type="spellEnd"/>
      <w:r w:rsidRPr="00B671F6">
        <w:rPr>
          <w:lang w:val="en-US"/>
        </w:rPr>
        <w:t xml:space="preserve"> information. </w:t>
      </w:r>
      <w:r w:rsidRPr="00B15BCF">
        <w:rPr>
          <w:rFonts w:eastAsia="MS Mincho" w:hint="eastAsia"/>
          <w:lang w:val="en-US" w:eastAsia="ja-JP"/>
        </w:rPr>
        <w:t xml:space="preserve"> </w:t>
      </w:r>
    </w:p>
    <w:p w:rsidR="008728E0" w:rsidRPr="001404C4" w:rsidRDefault="008728E0" w:rsidP="008728E0">
      <w:pPr>
        <w:rPr>
          <w:rFonts w:eastAsia="MS Mincho"/>
          <w:lang w:val="en-US" w:eastAsia="ja-JP"/>
        </w:rPr>
      </w:pPr>
      <w:r w:rsidRPr="009D175B">
        <w:rPr>
          <w:rFonts w:eastAsia="MS Mincho"/>
          <w:lang w:val="en-US" w:eastAsia="ja-JP"/>
        </w:rPr>
        <w:t>Capabilities are described which may be used in scenarios/situations</w:t>
      </w:r>
      <w:r w:rsidRPr="009D175B">
        <w:rPr>
          <w:rFonts w:eastAsia="MS Mincho" w:hint="eastAsia"/>
          <w:lang w:val="en-US" w:eastAsia="ja-JP"/>
        </w:rPr>
        <w:t xml:space="preserve"> </w:t>
      </w:r>
      <w:r w:rsidRPr="009D175B">
        <w:rPr>
          <w:rFonts w:eastAsia="MS Mincho"/>
          <w:lang w:val="en-US" w:eastAsia="ja-JP"/>
        </w:rPr>
        <w:t xml:space="preserve">supporting previously </w:t>
      </w:r>
      <w:r w:rsidRPr="009D175B">
        <w:rPr>
          <w:rFonts w:eastAsia="MS Mincho" w:hint="eastAsia"/>
          <w:lang w:val="en-US" w:eastAsia="ja-JP"/>
        </w:rPr>
        <w:t>i</w:t>
      </w:r>
      <w:r w:rsidRPr="009D175B">
        <w:rPr>
          <w:rFonts w:eastAsia="MS Mincho"/>
          <w:lang w:val="en-US" w:eastAsia="ja-JP"/>
        </w:rPr>
        <w:t>ndependent acting entities to participate in various coordinated efforts such as the prevention or halting of targeted behavior</w:t>
      </w:r>
      <w:r w:rsidRPr="009D175B">
        <w:rPr>
          <w:rFonts w:eastAsia="MS Mincho" w:hint="eastAsia"/>
          <w:lang w:val="en-US" w:eastAsia="ja-JP"/>
        </w:rPr>
        <w:t xml:space="preserve"> </w:t>
      </w:r>
      <w:r w:rsidRPr="009D175B">
        <w:rPr>
          <w:rFonts w:eastAsia="MS Mincho"/>
          <w:lang w:val="en-US" w:eastAsia="ja-JP"/>
        </w:rPr>
        <w:t>or the coordination of analysis and determination efforts.</w:t>
      </w:r>
    </w:p>
    <w:p w:rsidR="008728E0" w:rsidRDefault="008728E0" w:rsidP="008728E0">
      <w:pPr>
        <w:rPr>
          <w:rFonts w:eastAsia="MS Mincho"/>
          <w:lang w:val="en-US" w:eastAsia="ja-JP"/>
        </w:rPr>
      </w:pPr>
      <w:r w:rsidRPr="00B671F6">
        <w:rPr>
          <w:rFonts w:eastAsia="MS Mincho"/>
          <w:lang w:val="en-US" w:eastAsia="ja-JP"/>
        </w:rPr>
        <w:t xml:space="preserve">The goal of the capabilities listed and described is to support more efficient and effective security operations by supporting the interoperable </w:t>
      </w:r>
      <w:r>
        <w:rPr>
          <w:rFonts w:eastAsia="MS Mincho" w:hint="eastAsia"/>
          <w:lang w:val="en-US" w:eastAsia="ja-JP"/>
        </w:rPr>
        <w:t xml:space="preserve">sharing and </w:t>
      </w:r>
      <w:r w:rsidRPr="00B671F6">
        <w:rPr>
          <w:rFonts w:eastAsia="MS Mincho"/>
          <w:lang w:val="en-US" w:eastAsia="ja-JP"/>
        </w:rPr>
        <w:t>exchange of information between trusted parties working together to monitor, maintain and generally manage the security of systems and networks.</w:t>
      </w:r>
    </w:p>
    <w:p w:rsidR="008728E0" w:rsidRPr="009F48A0" w:rsidRDefault="008728E0" w:rsidP="007E46BB">
      <w:pPr>
        <w:keepNext/>
        <w:spacing w:before="240"/>
        <w:rPr>
          <w:b/>
          <w:bCs/>
          <w:szCs w:val="24"/>
          <w:lang w:val="en-US"/>
        </w:rPr>
      </w:pPr>
      <w:r w:rsidRPr="009F48A0">
        <w:rPr>
          <w:b/>
          <w:bCs/>
          <w:szCs w:val="24"/>
        </w:rPr>
        <w:lastRenderedPageBreak/>
        <w:t>Draft new Recommendation ITU-T X.1243 (X.tcs-1), Interactive gateway system for countering spam</w:t>
      </w:r>
      <w:r w:rsidRPr="009F48A0">
        <w:rPr>
          <w:b/>
          <w:bCs/>
          <w:szCs w:val="24"/>
        </w:rPr>
        <w:br/>
      </w:r>
      <w:r w:rsidRPr="009F48A0">
        <w:rPr>
          <w:b/>
          <w:bCs/>
          <w:szCs w:val="24"/>
          <w:lang w:val="en-US"/>
        </w:rPr>
        <w:t>COM 17 – R 17</w:t>
      </w:r>
    </w:p>
    <w:p w:rsidR="008728E0" w:rsidRDefault="008728E0" w:rsidP="007E46BB">
      <w:pPr>
        <w:pStyle w:val="Headingb0"/>
      </w:pPr>
      <w:r>
        <w:t>Summary</w:t>
      </w:r>
    </w:p>
    <w:p w:rsidR="008728E0" w:rsidRDefault="008728E0" w:rsidP="008728E0">
      <w:pPr>
        <w:rPr>
          <w:lang w:eastAsia="zh-CN"/>
        </w:rPr>
      </w:pPr>
      <w:r>
        <w:t>Th</w:t>
      </w:r>
      <w:r>
        <w:rPr>
          <w:lang w:eastAsia="zh-CN"/>
        </w:rPr>
        <w:t>is</w:t>
      </w:r>
      <w:r>
        <w:t xml:space="preserve"> </w:t>
      </w:r>
      <w:r>
        <w:rPr>
          <w:rFonts w:hint="eastAsia"/>
          <w:lang w:eastAsia="zh-CN"/>
        </w:rPr>
        <w:t>Recommendation</w:t>
      </w:r>
      <w:r>
        <w:t xml:space="preserve"> specif</w:t>
      </w:r>
      <w:r>
        <w:rPr>
          <w:rFonts w:hint="eastAsia"/>
          <w:lang w:eastAsia="zh-CN"/>
        </w:rPr>
        <w:t xml:space="preserve">ies </w:t>
      </w:r>
      <w:r>
        <w:rPr>
          <w:lang w:eastAsia="zh-CN"/>
        </w:rPr>
        <w:t xml:space="preserve">interactive gateway system for countering spam </w:t>
      </w:r>
      <w:r>
        <w:rPr>
          <w:rFonts w:hint="eastAsia"/>
          <w:lang w:eastAsia="zh-CN"/>
        </w:rPr>
        <w:t xml:space="preserve">as a technical mean for countering inter-domain spam. The gateway system enables spam notification among different domains, prevents spam traffic </w:t>
      </w:r>
      <w:r>
        <w:rPr>
          <w:rFonts w:eastAsia="SimSun" w:hint="eastAsia"/>
          <w:lang w:eastAsia="zh-CN"/>
        </w:rPr>
        <w:t xml:space="preserve">from passing through </w:t>
      </w:r>
      <w:r>
        <w:rPr>
          <w:rFonts w:hint="eastAsia"/>
          <w:lang w:eastAsia="zh-CN"/>
        </w:rPr>
        <w:t>one domain to the others.</w:t>
      </w:r>
    </w:p>
    <w:p w:rsidR="008728E0" w:rsidRDefault="008728E0" w:rsidP="008728E0">
      <w:pPr>
        <w:spacing w:before="240"/>
        <w:rPr>
          <w:szCs w:val="24"/>
          <w:lang w:eastAsia="zh-CN"/>
        </w:rPr>
      </w:pPr>
      <w:r>
        <w:rPr>
          <w:rFonts w:hint="eastAsia"/>
          <w:lang w:eastAsia="zh-CN"/>
        </w:rPr>
        <w:t>In addition,</w:t>
      </w:r>
      <w:r>
        <w:rPr>
          <w:rFonts w:hint="eastAsia"/>
          <w:szCs w:val="24"/>
          <w:lang w:eastAsia="zh-CN"/>
        </w:rPr>
        <w:t xml:space="preserve"> this </w:t>
      </w:r>
      <w:r>
        <w:rPr>
          <w:rFonts w:hint="eastAsia"/>
          <w:lang w:eastAsia="zh-CN"/>
        </w:rPr>
        <w:t>Recommendation</w:t>
      </w:r>
      <w:r>
        <w:t xml:space="preserve"> </w:t>
      </w:r>
      <w:r>
        <w:rPr>
          <w:rFonts w:eastAsia="SimSun" w:hint="eastAsia"/>
          <w:szCs w:val="24"/>
          <w:lang w:eastAsia="zh-CN"/>
        </w:rPr>
        <w:t>specifies</w:t>
      </w:r>
      <w:r>
        <w:rPr>
          <w:rFonts w:hint="eastAsia"/>
          <w:szCs w:val="24"/>
          <w:lang w:eastAsia="zh-CN"/>
        </w:rPr>
        <w:t xml:space="preserve"> the </w:t>
      </w:r>
      <w:r>
        <w:rPr>
          <w:szCs w:val="24"/>
          <w:lang w:eastAsia="zh-CN"/>
        </w:rPr>
        <w:t>architecture</w:t>
      </w:r>
      <w:r>
        <w:rPr>
          <w:rFonts w:hint="eastAsia"/>
          <w:szCs w:val="24"/>
          <w:lang w:eastAsia="zh-CN"/>
        </w:rPr>
        <w:t xml:space="preserve"> </w:t>
      </w:r>
      <w:r>
        <w:rPr>
          <w:rFonts w:eastAsia="SimSun" w:hint="eastAsia"/>
          <w:szCs w:val="24"/>
          <w:lang w:eastAsia="zh-CN"/>
        </w:rPr>
        <w:t>for</w:t>
      </w:r>
      <w:r>
        <w:rPr>
          <w:rFonts w:hint="eastAsia"/>
          <w:szCs w:val="24"/>
          <w:lang w:eastAsia="zh-CN"/>
        </w:rPr>
        <w:t xml:space="preserve"> the gateway system,</w:t>
      </w:r>
      <w:r>
        <w:rPr>
          <w:rFonts w:eastAsia="SimSun" w:hint="eastAsia"/>
          <w:szCs w:val="24"/>
          <w:lang w:eastAsia="zh-CN"/>
        </w:rPr>
        <w:t xml:space="preserve"> </w:t>
      </w:r>
      <w:r>
        <w:rPr>
          <w:rFonts w:hint="eastAsia"/>
          <w:szCs w:val="24"/>
          <w:lang w:eastAsia="zh-CN"/>
        </w:rPr>
        <w:t xml:space="preserve">describes basic entities, protocols and functions of the gateway system, </w:t>
      </w:r>
      <w:r>
        <w:rPr>
          <w:szCs w:val="24"/>
          <w:lang w:eastAsia="zh-CN"/>
        </w:rPr>
        <w:t>and provides</w:t>
      </w:r>
      <w:r>
        <w:rPr>
          <w:rFonts w:hint="eastAsia"/>
          <w:szCs w:val="24"/>
          <w:lang w:eastAsia="zh-CN"/>
        </w:rPr>
        <w:t xml:space="preserve"> mechanisms for spam detection, information sharing and specific actions in the gateway system for countering spam.</w:t>
      </w:r>
    </w:p>
    <w:p w:rsidR="008728E0" w:rsidRPr="009F48A0" w:rsidRDefault="008728E0" w:rsidP="008728E0">
      <w:pPr>
        <w:spacing w:before="240"/>
        <w:rPr>
          <w:b/>
          <w:bCs/>
          <w:szCs w:val="24"/>
          <w:lang w:val="en-US"/>
        </w:rPr>
      </w:pPr>
      <w:r w:rsidRPr="008728E0">
        <w:rPr>
          <w:b/>
          <w:bCs/>
        </w:rPr>
        <w:t>Draft new Recommendation ITU-T X.1245 (</w:t>
      </w:r>
      <w:proofErr w:type="spellStart"/>
      <w:r w:rsidRPr="008728E0">
        <w:rPr>
          <w:b/>
          <w:bCs/>
        </w:rPr>
        <w:t>X.fcsip</w:t>
      </w:r>
      <w:proofErr w:type="spellEnd"/>
      <w:r w:rsidRPr="008728E0">
        <w:rPr>
          <w:b/>
          <w:bCs/>
        </w:rPr>
        <w:t>), Framework for countering spam in IP-based multimedia applications</w:t>
      </w:r>
      <w:r>
        <w:rPr>
          <w:b/>
          <w:bCs/>
        </w:rPr>
        <w:br/>
      </w:r>
      <w:r w:rsidRPr="009F48A0">
        <w:rPr>
          <w:b/>
          <w:bCs/>
          <w:szCs w:val="24"/>
          <w:lang w:val="en-US"/>
        </w:rPr>
        <w:t>COM 17 – R 18</w:t>
      </w:r>
    </w:p>
    <w:p w:rsidR="008728E0" w:rsidRDefault="008728E0" w:rsidP="008728E0">
      <w:pPr>
        <w:pStyle w:val="Headingb0"/>
        <w:rPr>
          <w:lang w:eastAsia="ko-KR"/>
        </w:rPr>
      </w:pPr>
      <w:r>
        <w:t>Summ</w:t>
      </w:r>
      <w:r w:rsidRPr="00AB3226">
        <w:rPr>
          <w:b w:val="0"/>
        </w:rPr>
        <w:t>a</w:t>
      </w:r>
      <w:r>
        <w:t>ry</w:t>
      </w:r>
    </w:p>
    <w:p w:rsidR="008728E0" w:rsidRDefault="008728E0" w:rsidP="008728E0">
      <w:pPr>
        <w:rPr>
          <w:lang w:eastAsia="zh-CN"/>
        </w:rPr>
      </w:pPr>
      <w:r>
        <w:t xml:space="preserve">This Recommendation </w:t>
      </w:r>
      <w:r>
        <w:rPr>
          <w:rFonts w:hint="eastAsia"/>
          <w:lang w:eastAsia="ko-KR"/>
        </w:rPr>
        <w:t>provides</w:t>
      </w:r>
      <w:r>
        <w:t xml:space="preserve"> </w:t>
      </w:r>
      <w:r>
        <w:rPr>
          <w:rFonts w:hint="eastAsia"/>
          <w:lang w:eastAsia="ko-KR"/>
        </w:rPr>
        <w:t xml:space="preserve">the </w:t>
      </w:r>
      <w:r>
        <w:rPr>
          <w:rFonts w:hint="eastAsia"/>
        </w:rPr>
        <w:t xml:space="preserve">general </w:t>
      </w:r>
      <w:r>
        <w:rPr>
          <w:rFonts w:hint="eastAsia"/>
          <w:lang w:eastAsia="ko-KR"/>
        </w:rPr>
        <w:t>framework for</w:t>
      </w:r>
      <w:r>
        <w:t xml:space="preserve"> </w:t>
      </w:r>
      <w:r>
        <w:rPr>
          <w:rFonts w:hint="eastAsia"/>
        </w:rPr>
        <w:t xml:space="preserve">countering spam </w:t>
      </w:r>
      <w:r>
        <w:rPr>
          <w:rFonts w:hint="eastAsia"/>
          <w:lang w:eastAsia="ko-KR"/>
        </w:rPr>
        <w:t>i</w:t>
      </w:r>
      <w:r>
        <w:t>n IP</w:t>
      </w:r>
      <w:r>
        <w:rPr>
          <w:rFonts w:hint="eastAsia"/>
          <w:lang w:eastAsia="ko-KR"/>
        </w:rPr>
        <w:t>-based</w:t>
      </w:r>
      <w:r>
        <w:t xml:space="preserve"> multimedia applications such as IP telephony, instant messaging, multimedia conference, etc. </w:t>
      </w:r>
      <w:r>
        <w:rPr>
          <w:rFonts w:hint="eastAsia"/>
          <w:lang w:eastAsia="ko-KR"/>
        </w:rPr>
        <w:t xml:space="preserve">The framework consists of four anti-spam functions, i.e., </w:t>
      </w:r>
      <w:r w:rsidRPr="00FD2256">
        <w:rPr>
          <w:lang w:eastAsia="ko-KR"/>
        </w:rPr>
        <w:t xml:space="preserve">core anti-spam </w:t>
      </w:r>
      <w:r w:rsidRPr="00FD2256">
        <w:rPr>
          <w:rFonts w:hint="eastAsia"/>
          <w:lang w:eastAsia="ko-KR"/>
        </w:rPr>
        <w:t>functions</w:t>
      </w:r>
      <w:r w:rsidRPr="00FD2256">
        <w:rPr>
          <w:lang w:eastAsia="ko-KR"/>
        </w:rPr>
        <w:t xml:space="preserve"> </w:t>
      </w:r>
      <w:r>
        <w:rPr>
          <w:lang w:eastAsia="ko-KR"/>
        </w:rPr>
        <w:t>(</w:t>
      </w:r>
      <w:r>
        <w:rPr>
          <w:rFonts w:hint="eastAsia"/>
          <w:lang w:eastAsia="ko-KR"/>
        </w:rPr>
        <w:t>CASF</w:t>
      </w:r>
      <w:r>
        <w:rPr>
          <w:lang w:eastAsia="ko-KR"/>
        </w:rPr>
        <w:t>)</w:t>
      </w:r>
      <w:r>
        <w:rPr>
          <w:rFonts w:hint="eastAsia"/>
          <w:lang w:eastAsia="ko-KR"/>
        </w:rPr>
        <w:t xml:space="preserve">, </w:t>
      </w:r>
      <w:r w:rsidRPr="00FD2256">
        <w:rPr>
          <w:lang w:eastAsia="ko-KR"/>
        </w:rPr>
        <w:t xml:space="preserve">recipient-side anti-spam </w:t>
      </w:r>
      <w:r w:rsidRPr="00FD2256">
        <w:rPr>
          <w:rFonts w:hint="eastAsia"/>
          <w:lang w:eastAsia="ko-KR"/>
        </w:rPr>
        <w:t>functions</w:t>
      </w:r>
      <w:r>
        <w:rPr>
          <w:lang w:eastAsia="ko-KR"/>
        </w:rPr>
        <w:t xml:space="preserve"> (</w:t>
      </w:r>
      <w:r>
        <w:rPr>
          <w:rFonts w:hint="eastAsia"/>
          <w:lang w:eastAsia="ko-KR"/>
        </w:rPr>
        <w:t>RASF</w:t>
      </w:r>
      <w:r>
        <w:rPr>
          <w:lang w:eastAsia="ko-KR"/>
        </w:rPr>
        <w:t>)</w:t>
      </w:r>
      <w:r>
        <w:rPr>
          <w:rFonts w:hint="eastAsia"/>
          <w:lang w:eastAsia="ko-KR"/>
        </w:rPr>
        <w:t xml:space="preserve">, </w:t>
      </w:r>
      <w:r w:rsidRPr="00FD2256">
        <w:rPr>
          <w:lang w:eastAsia="ko-KR"/>
        </w:rPr>
        <w:t xml:space="preserve">sender-side anti-spam </w:t>
      </w:r>
      <w:r w:rsidRPr="00FD2256">
        <w:rPr>
          <w:rFonts w:hint="eastAsia"/>
          <w:lang w:eastAsia="ko-KR"/>
        </w:rPr>
        <w:t>functions</w:t>
      </w:r>
      <w:r>
        <w:rPr>
          <w:lang w:eastAsia="ko-KR"/>
        </w:rPr>
        <w:t xml:space="preserve"> (</w:t>
      </w:r>
      <w:r>
        <w:rPr>
          <w:rFonts w:hint="eastAsia"/>
          <w:lang w:eastAsia="ko-KR"/>
        </w:rPr>
        <w:t>SASF</w:t>
      </w:r>
      <w:r>
        <w:rPr>
          <w:lang w:eastAsia="ko-KR"/>
        </w:rPr>
        <w:t>)</w:t>
      </w:r>
      <w:r>
        <w:rPr>
          <w:rFonts w:hint="eastAsia"/>
          <w:lang w:eastAsia="ko-KR"/>
        </w:rPr>
        <w:t xml:space="preserve">, and spam recipient functions (SRF). This Recommendation describes </w:t>
      </w:r>
      <w:r w:rsidRPr="00BD06BF">
        <w:rPr>
          <w:rFonts w:hint="eastAsia"/>
        </w:rPr>
        <w:t>the functionalities</w:t>
      </w:r>
      <w:r>
        <w:rPr>
          <w:rFonts w:hint="eastAsia"/>
        </w:rPr>
        <w:t xml:space="preserve"> </w:t>
      </w:r>
      <w:r>
        <w:rPr>
          <w:rFonts w:hint="eastAsia"/>
          <w:lang w:eastAsia="ko-KR"/>
        </w:rPr>
        <w:t>and the interfaces of each function for countering IP multimedia spam.</w:t>
      </w:r>
    </w:p>
    <w:p w:rsidR="008728E0" w:rsidRDefault="008728E0" w:rsidP="008728E0">
      <w:pPr>
        <w:spacing w:before="240"/>
        <w:rPr>
          <w:b/>
          <w:bCs/>
          <w:sz w:val="28"/>
          <w:szCs w:val="28"/>
          <w:lang w:val="en-US"/>
        </w:rPr>
      </w:pPr>
      <w:r w:rsidRPr="008728E0">
        <w:rPr>
          <w:b/>
          <w:bCs/>
        </w:rPr>
        <w:t>Draft new Recommendation ITU-T X.1275 (</w:t>
      </w:r>
      <w:proofErr w:type="spellStart"/>
      <w:r w:rsidRPr="008728E0">
        <w:rPr>
          <w:b/>
          <w:bCs/>
        </w:rPr>
        <w:t>X.rfpg</w:t>
      </w:r>
      <w:proofErr w:type="spellEnd"/>
      <w:r w:rsidRPr="008728E0">
        <w:rPr>
          <w:b/>
          <w:bCs/>
        </w:rPr>
        <w:t>), Guideline on protection of personally identifiable information in the application of RFID technology</w:t>
      </w:r>
      <w:r>
        <w:rPr>
          <w:b/>
          <w:bCs/>
        </w:rPr>
        <w:br/>
      </w:r>
      <w:r w:rsidRPr="009F48A0">
        <w:rPr>
          <w:b/>
          <w:bCs/>
          <w:szCs w:val="24"/>
          <w:lang w:val="en-US"/>
        </w:rPr>
        <w:t>COM 17 – R 21</w:t>
      </w:r>
    </w:p>
    <w:p w:rsidR="008728E0" w:rsidRPr="00894F4F" w:rsidRDefault="008728E0" w:rsidP="008728E0">
      <w:pPr>
        <w:keepNext/>
        <w:spacing w:before="240"/>
        <w:rPr>
          <w:rFonts w:eastAsia="MS Mincho"/>
          <w:b/>
        </w:rPr>
      </w:pPr>
      <w:r w:rsidRPr="00894F4F">
        <w:rPr>
          <w:rFonts w:eastAsia="MS Mincho"/>
          <w:b/>
        </w:rPr>
        <w:t>Summary</w:t>
      </w:r>
    </w:p>
    <w:p w:rsidR="008728E0" w:rsidRDefault="008728E0" w:rsidP="008728E0">
      <w:pPr>
        <w:rPr>
          <w:rFonts w:eastAsia="MS Mincho"/>
          <w:bCs/>
          <w:lang w:eastAsia="ko-KR"/>
        </w:rPr>
      </w:pPr>
      <w:r>
        <w:rPr>
          <w:rFonts w:eastAsia="MS Mincho"/>
          <w:lang w:eastAsia="ja-JP"/>
        </w:rPr>
        <w:t xml:space="preserve">This </w:t>
      </w:r>
      <w:r w:rsidRPr="00894F4F">
        <w:rPr>
          <w:rFonts w:eastAsia="MS Mincho"/>
          <w:lang w:eastAsia="ja-JP"/>
        </w:rPr>
        <w:t xml:space="preserve">Recommendation recognizes that </w:t>
      </w:r>
      <w:r w:rsidRPr="00894F4F">
        <w:rPr>
          <w:rFonts w:eastAsia="MS Mincho"/>
          <w:bCs/>
          <w:lang w:eastAsia="ko-KR"/>
        </w:rPr>
        <w:t>RFID</w:t>
      </w:r>
      <w:r w:rsidRPr="00894F4F">
        <w:rPr>
          <w:rFonts w:hint="eastAsia"/>
          <w:bCs/>
          <w:lang w:eastAsia="ko-KR"/>
        </w:rPr>
        <w:t xml:space="preserve"> technology</w:t>
      </w:r>
      <w:r w:rsidRPr="00894F4F">
        <w:rPr>
          <w:rFonts w:eastAsia="MS Mincho"/>
          <w:bCs/>
          <w:lang w:eastAsia="ko-KR"/>
        </w:rPr>
        <w:t xml:space="preserve"> renders information pertaining specifically to the merchandise worn or carried by individuals open to abuse even as it greatly facilitates access to and distribution of such information</w:t>
      </w:r>
      <w:r w:rsidRPr="00894F4F">
        <w:rPr>
          <w:rFonts w:hint="eastAsia"/>
          <w:bCs/>
          <w:lang w:eastAsia="ko-KR"/>
        </w:rPr>
        <w:t xml:space="preserve"> for useful purpose</w:t>
      </w:r>
      <w:r w:rsidRPr="00894F4F">
        <w:rPr>
          <w:rFonts w:eastAsia="MS Mincho"/>
          <w:bCs/>
          <w:lang w:eastAsia="ko-KR"/>
        </w:rPr>
        <w:t xml:space="preserve">. </w:t>
      </w:r>
      <w:r w:rsidRPr="00894F4F">
        <w:rPr>
          <w:rFonts w:hint="eastAsia"/>
          <w:bCs/>
          <w:lang w:eastAsia="ko-KR"/>
        </w:rPr>
        <w:t xml:space="preserve">The abuse can manifest as tracking the location of the individual or invasion of his or her privacy in another malfeasant manner. </w:t>
      </w:r>
      <w:r w:rsidRPr="00894F4F">
        <w:rPr>
          <w:rFonts w:eastAsia="MS Mincho"/>
          <w:bCs/>
          <w:lang w:eastAsia="ko-KR"/>
        </w:rPr>
        <w:t xml:space="preserve">For this reason the Recommendation </w:t>
      </w:r>
      <w:r w:rsidRPr="00894F4F">
        <w:rPr>
          <w:rFonts w:hint="eastAsia"/>
          <w:lang w:eastAsia="ko-KR"/>
        </w:rPr>
        <w:t>provides</w:t>
      </w:r>
      <w:r w:rsidRPr="00894F4F">
        <w:rPr>
          <w:rFonts w:eastAsia="MS Mincho"/>
          <w:lang w:eastAsia="ja-JP"/>
        </w:rPr>
        <w:t xml:space="preserve"> guidelines </w:t>
      </w:r>
      <w:r w:rsidRPr="00894F4F">
        <w:rPr>
          <w:rFonts w:eastAsia="MS Mincho"/>
          <w:bCs/>
          <w:lang w:eastAsia="ko-KR"/>
        </w:rPr>
        <w:t>regarding the RFID procedures that can be used to enjoy the benefits of RFID while attempting to protect personally identifiable information.</w:t>
      </w:r>
    </w:p>
    <w:p w:rsidR="008728E0" w:rsidRPr="008728E0" w:rsidRDefault="008728E0" w:rsidP="008728E0">
      <w:pPr>
        <w:spacing w:before="240"/>
        <w:jc w:val="center"/>
        <w:rPr>
          <w:b/>
          <w:bCs/>
        </w:rPr>
      </w:pPr>
      <w:r>
        <w:rPr>
          <w:b/>
          <w:bCs/>
        </w:rPr>
        <w:t>____________</w:t>
      </w:r>
    </w:p>
    <w:sectPr w:rsidR="008728E0" w:rsidRPr="008728E0" w:rsidSect="007C7809">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F9" w:rsidRDefault="005C4DF9">
      <w:r>
        <w:separator/>
      </w:r>
    </w:p>
  </w:endnote>
  <w:endnote w:type="continuationSeparator" w:id="0">
    <w:p w:rsidR="005C4DF9" w:rsidRDefault="005C4DF9">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9" w:rsidRPr="000D4E75" w:rsidRDefault="005C4DF9" w:rsidP="00F33EDB">
    <w:pPr>
      <w:pStyle w:val="Footer"/>
      <w:rPr>
        <w:sz w:val="16"/>
        <w:lang w:val="fr-CH"/>
      </w:rPr>
    </w:pPr>
    <w:r>
      <w:rPr>
        <w:sz w:val="16"/>
        <w:lang w:val="fr-CH"/>
      </w:rPr>
      <w:t>ITU-T\BUREAU\CIRC\105E.DOC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9" w:rsidRDefault="005C4DF9">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C4DF9" w:rsidRDefault="005C4DF9"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C4DF9" w:rsidRDefault="005C4DF9">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F9" w:rsidRDefault="005C4DF9">
      <w:r>
        <w:t>____________________</w:t>
      </w:r>
    </w:p>
  </w:footnote>
  <w:footnote w:type="continuationSeparator" w:id="0">
    <w:p w:rsidR="005C4DF9" w:rsidRDefault="005C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F9" w:rsidRDefault="005C4DF9">
    <w:pPr>
      <w:pStyle w:val="Header"/>
    </w:pPr>
    <w:r>
      <w:t xml:space="preserve">- </w:t>
    </w:r>
    <w:fldSimple w:instr="PAGE">
      <w:r w:rsidR="000428BB">
        <w:rPr>
          <w:noProof/>
        </w:rPr>
        <w:t>4</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8D10C6"/>
    <w:rsid w:val="000428BB"/>
    <w:rsid w:val="0009124E"/>
    <w:rsid w:val="000D0987"/>
    <w:rsid w:val="000D4E75"/>
    <w:rsid w:val="00132E06"/>
    <w:rsid w:val="00174053"/>
    <w:rsid w:val="001A153B"/>
    <w:rsid w:val="001A2BAA"/>
    <w:rsid w:val="002378BD"/>
    <w:rsid w:val="00284516"/>
    <w:rsid w:val="002C2A8C"/>
    <w:rsid w:val="00301BD3"/>
    <w:rsid w:val="003418D2"/>
    <w:rsid w:val="00374A80"/>
    <w:rsid w:val="00386E4E"/>
    <w:rsid w:val="003E620E"/>
    <w:rsid w:val="00414CBB"/>
    <w:rsid w:val="004259C3"/>
    <w:rsid w:val="004419C6"/>
    <w:rsid w:val="004556D7"/>
    <w:rsid w:val="004B75A3"/>
    <w:rsid w:val="005B53C7"/>
    <w:rsid w:val="005B6E1A"/>
    <w:rsid w:val="005C4DF9"/>
    <w:rsid w:val="005C7BD2"/>
    <w:rsid w:val="00634055"/>
    <w:rsid w:val="00660026"/>
    <w:rsid w:val="006D2FDF"/>
    <w:rsid w:val="006E7C16"/>
    <w:rsid w:val="00706482"/>
    <w:rsid w:val="007212FB"/>
    <w:rsid w:val="007C7809"/>
    <w:rsid w:val="007E0282"/>
    <w:rsid w:val="007E450E"/>
    <w:rsid w:val="007E46BB"/>
    <w:rsid w:val="0085416F"/>
    <w:rsid w:val="008728E0"/>
    <w:rsid w:val="008914C8"/>
    <w:rsid w:val="008D10C6"/>
    <w:rsid w:val="009560C7"/>
    <w:rsid w:val="00983187"/>
    <w:rsid w:val="009A5E03"/>
    <w:rsid w:val="009F48A0"/>
    <w:rsid w:val="00A661B0"/>
    <w:rsid w:val="00AA4AEF"/>
    <w:rsid w:val="00AC3528"/>
    <w:rsid w:val="00B06115"/>
    <w:rsid w:val="00B37274"/>
    <w:rsid w:val="00B450FE"/>
    <w:rsid w:val="00B51197"/>
    <w:rsid w:val="00B82F53"/>
    <w:rsid w:val="00BC0A21"/>
    <w:rsid w:val="00C60E22"/>
    <w:rsid w:val="00C83168"/>
    <w:rsid w:val="00D27786"/>
    <w:rsid w:val="00D32475"/>
    <w:rsid w:val="00D46AE2"/>
    <w:rsid w:val="00D729AB"/>
    <w:rsid w:val="00D8627E"/>
    <w:rsid w:val="00DC0223"/>
    <w:rsid w:val="00DC1380"/>
    <w:rsid w:val="00E21F8A"/>
    <w:rsid w:val="00EA3324"/>
    <w:rsid w:val="00EB137D"/>
    <w:rsid w:val="00EE0654"/>
    <w:rsid w:val="00EE68AC"/>
    <w:rsid w:val="00EE6D69"/>
    <w:rsid w:val="00F33ED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i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sg17@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Template>
  <TotalTime>2</TotalTime>
  <Pages>4</Pages>
  <Words>1181</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8161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2010-06-01T09:09:00Z</cp:lastPrinted>
  <dcterms:created xsi:type="dcterms:W3CDTF">2010-06-01T13:32:00Z</dcterms:created>
  <dcterms:modified xsi:type="dcterms:W3CDTF">2010-06-01T13:32:00Z</dcterms:modified>
</cp:coreProperties>
</file>