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34" w:tblpY="-675"/>
        <w:tblW w:w="10031" w:type="dxa"/>
        <w:tblLayout w:type="fixed"/>
        <w:tblLook w:val="0000" w:firstRow="0" w:lastRow="0" w:firstColumn="0" w:lastColumn="0" w:noHBand="0" w:noVBand="0"/>
      </w:tblPr>
      <w:tblGrid>
        <w:gridCol w:w="6912"/>
        <w:gridCol w:w="3119"/>
      </w:tblGrid>
      <w:tr w:rsidR="00C05086" w:rsidRPr="006E7ACC" w:rsidTr="005857B8">
        <w:trPr>
          <w:cantSplit/>
        </w:trPr>
        <w:tc>
          <w:tcPr>
            <w:tcW w:w="6912" w:type="dxa"/>
          </w:tcPr>
          <w:p w:rsidR="00C05086" w:rsidRPr="006E7ACC" w:rsidRDefault="00C05086" w:rsidP="0029705F">
            <w:pPr>
              <w:spacing w:before="360" w:after="48" w:line="240" w:lineRule="atLeast"/>
              <w:rPr>
                <w:position w:val="6"/>
                <w:sz w:val="24"/>
                <w:szCs w:val="24"/>
              </w:rPr>
            </w:pPr>
            <w:bookmarkStart w:id="0" w:name="dpp"/>
            <w:bookmarkEnd w:id="0"/>
            <w:r w:rsidRPr="006E7ACC">
              <w:rPr>
                <w:rFonts w:cs="Times"/>
                <w:b/>
                <w:position w:val="6"/>
                <w:sz w:val="24"/>
                <w:szCs w:val="24"/>
              </w:rPr>
              <w:t>Plenipotentiary Conference (PP-14)</w:t>
            </w:r>
            <w:r w:rsidRPr="006E7ACC">
              <w:rPr>
                <w:rFonts w:cs="Times"/>
                <w:b/>
                <w:position w:val="6"/>
                <w:sz w:val="24"/>
                <w:szCs w:val="24"/>
              </w:rPr>
              <w:br/>
            </w:r>
            <w:r w:rsidRPr="006E7ACC">
              <w:rPr>
                <w:b/>
                <w:bCs/>
                <w:position w:val="6"/>
                <w:sz w:val="24"/>
                <w:szCs w:val="24"/>
              </w:rPr>
              <w:t>Busan, 20 October – 7 November 2014</w:t>
            </w:r>
          </w:p>
        </w:tc>
        <w:tc>
          <w:tcPr>
            <w:tcW w:w="3119" w:type="dxa"/>
          </w:tcPr>
          <w:p w:rsidR="00C05086" w:rsidRPr="006E7ACC" w:rsidRDefault="00C05086" w:rsidP="00433E19">
            <w:pPr>
              <w:spacing w:line="240" w:lineRule="atLeast"/>
              <w:rPr>
                <w:sz w:val="24"/>
                <w:szCs w:val="24"/>
              </w:rPr>
            </w:pPr>
            <w:bookmarkStart w:id="1" w:name="ditulogo"/>
            <w:bookmarkEnd w:id="1"/>
            <w:r w:rsidRPr="006E7ACC">
              <w:rPr>
                <w:noProof/>
                <w:sz w:val="24"/>
                <w:szCs w:val="24"/>
              </w:rPr>
              <w:drawing>
                <wp:inline distT="0" distB="0" distL="0" distR="0" wp14:anchorId="5A25E770" wp14:editId="7B2C9F82">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C05086" w:rsidRPr="006E7ACC" w:rsidTr="005857B8">
        <w:trPr>
          <w:cantSplit/>
        </w:trPr>
        <w:tc>
          <w:tcPr>
            <w:tcW w:w="6912" w:type="dxa"/>
            <w:tcBorders>
              <w:bottom w:val="single" w:sz="12" w:space="0" w:color="auto"/>
            </w:tcBorders>
          </w:tcPr>
          <w:p w:rsidR="00C05086" w:rsidRPr="006E7ACC" w:rsidRDefault="00C05086" w:rsidP="00BD0B82">
            <w:pPr>
              <w:spacing w:after="0" w:line="240" w:lineRule="atLeast"/>
              <w:rPr>
                <w:b/>
                <w:smallCaps/>
                <w:sz w:val="24"/>
                <w:szCs w:val="24"/>
              </w:rPr>
            </w:pPr>
          </w:p>
        </w:tc>
        <w:tc>
          <w:tcPr>
            <w:tcW w:w="3119" w:type="dxa"/>
            <w:tcBorders>
              <w:bottom w:val="single" w:sz="12" w:space="0" w:color="auto"/>
            </w:tcBorders>
          </w:tcPr>
          <w:p w:rsidR="00C05086" w:rsidRPr="006E7ACC" w:rsidRDefault="00C05086" w:rsidP="00BD0B82">
            <w:pPr>
              <w:spacing w:after="0" w:line="240" w:lineRule="atLeast"/>
              <w:rPr>
                <w:sz w:val="24"/>
                <w:szCs w:val="24"/>
              </w:rPr>
            </w:pPr>
          </w:p>
        </w:tc>
      </w:tr>
      <w:tr w:rsidR="00C05086" w:rsidRPr="006E7ACC" w:rsidTr="005857B8">
        <w:trPr>
          <w:cantSplit/>
        </w:trPr>
        <w:tc>
          <w:tcPr>
            <w:tcW w:w="6912" w:type="dxa"/>
            <w:tcBorders>
              <w:top w:val="single" w:sz="12" w:space="0" w:color="auto"/>
            </w:tcBorders>
          </w:tcPr>
          <w:p w:rsidR="00C05086" w:rsidRPr="006E7ACC" w:rsidRDefault="00C05086" w:rsidP="00BD0B82">
            <w:pPr>
              <w:spacing w:after="0" w:line="240" w:lineRule="atLeast"/>
              <w:rPr>
                <w:b/>
                <w:smallCaps/>
                <w:sz w:val="24"/>
                <w:szCs w:val="24"/>
              </w:rPr>
            </w:pPr>
          </w:p>
        </w:tc>
        <w:tc>
          <w:tcPr>
            <w:tcW w:w="3119" w:type="dxa"/>
            <w:tcBorders>
              <w:top w:val="single" w:sz="12" w:space="0" w:color="auto"/>
            </w:tcBorders>
          </w:tcPr>
          <w:p w:rsidR="00C05086" w:rsidRPr="006E7ACC" w:rsidRDefault="00C05086" w:rsidP="00BD0B82">
            <w:pPr>
              <w:spacing w:after="0" w:line="240" w:lineRule="atLeast"/>
              <w:rPr>
                <w:sz w:val="24"/>
                <w:szCs w:val="24"/>
              </w:rPr>
            </w:pPr>
          </w:p>
        </w:tc>
      </w:tr>
      <w:tr w:rsidR="00C05086" w:rsidRPr="006E7ACC" w:rsidTr="005857B8">
        <w:trPr>
          <w:cantSplit/>
          <w:trHeight w:val="23"/>
        </w:trPr>
        <w:tc>
          <w:tcPr>
            <w:tcW w:w="6912" w:type="dxa"/>
            <w:vMerge w:val="restart"/>
          </w:tcPr>
          <w:p w:rsidR="00C05086" w:rsidRPr="006E7ACC" w:rsidRDefault="00C05086" w:rsidP="00BD0B82">
            <w:pPr>
              <w:tabs>
                <w:tab w:val="left" w:pos="851"/>
              </w:tabs>
              <w:spacing w:after="0" w:line="240" w:lineRule="atLeast"/>
              <w:rPr>
                <w:b/>
                <w:sz w:val="24"/>
                <w:szCs w:val="24"/>
              </w:rPr>
            </w:pPr>
            <w:bookmarkStart w:id="2" w:name="dmeeting" w:colFirst="0" w:colLast="0"/>
            <w:bookmarkStart w:id="3" w:name="dnum" w:colFirst="1" w:colLast="1"/>
            <w:r w:rsidRPr="006E7ACC">
              <w:rPr>
                <w:b/>
                <w:sz w:val="24"/>
                <w:szCs w:val="24"/>
              </w:rPr>
              <w:t>PLENARY MEETING</w:t>
            </w:r>
          </w:p>
        </w:tc>
        <w:tc>
          <w:tcPr>
            <w:tcW w:w="3119" w:type="dxa"/>
          </w:tcPr>
          <w:p w:rsidR="00C05086" w:rsidRPr="006E7ACC" w:rsidRDefault="00C05086" w:rsidP="00BD0B82">
            <w:pPr>
              <w:tabs>
                <w:tab w:val="left" w:pos="851"/>
              </w:tabs>
              <w:spacing w:after="0" w:line="240" w:lineRule="atLeast"/>
              <w:rPr>
                <w:b/>
                <w:sz w:val="24"/>
                <w:szCs w:val="24"/>
              </w:rPr>
            </w:pPr>
            <w:r w:rsidRPr="006E7ACC">
              <w:rPr>
                <w:b/>
                <w:sz w:val="24"/>
                <w:szCs w:val="24"/>
              </w:rPr>
              <w:t xml:space="preserve">Document </w:t>
            </w:r>
            <w:r w:rsidR="00BD0B82">
              <w:rPr>
                <w:b/>
                <w:sz w:val="24"/>
                <w:szCs w:val="24"/>
              </w:rPr>
              <w:t>172</w:t>
            </w:r>
            <w:r w:rsidRPr="006E7ACC">
              <w:rPr>
                <w:b/>
                <w:sz w:val="24"/>
                <w:szCs w:val="24"/>
              </w:rPr>
              <w:t>-E</w:t>
            </w:r>
          </w:p>
        </w:tc>
      </w:tr>
      <w:tr w:rsidR="00C05086" w:rsidRPr="006E7ACC" w:rsidTr="005857B8">
        <w:trPr>
          <w:cantSplit/>
          <w:trHeight w:val="23"/>
        </w:trPr>
        <w:tc>
          <w:tcPr>
            <w:tcW w:w="6912" w:type="dxa"/>
            <w:vMerge/>
          </w:tcPr>
          <w:p w:rsidR="00C05086" w:rsidRPr="006E7ACC" w:rsidRDefault="00C05086" w:rsidP="00BD0B82">
            <w:pPr>
              <w:tabs>
                <w:tab w:val="left" w:pos="851"/>
              </w:tabs>
              <w:spacing w:after="0" w:line="240" w:lineRule="atLeast"/>
              <w:rPr>
                <w:b/>
                <w:sz w:val="24"/>
                <w:szCs w:val="24"/>
              </w:rPr>
            </w:pPr>
            <w:bookmarkStart w:id="4" w:name="ddate" w:colFirst="1" w:colLast="1"/>
            <w:bookmarkEnd w:id="2"/>
            <w:bookmarkEnd w:id="3"/>
          </w:p>
        </w:tc>
        <w:tc>
          <w:tcPr>
            <w:tcW w:w="3119" w:type="dxa"/>
          </w:tcPr>
          <w:p w:rsidR="00C05086" w:rsidRPr="006E7ACC" w:rsidRDefault="00BD0B82" w:rsidP="00BD0B82">
            <w:pPr>
              <w:tabs>
                <w:tab w:val="left" w:pos="993"/>
              </w:tabs>
              <w:spacing w:after="0"/>
              <w:rPr>
                <w:b/>
                <w:sz w:val="24"/>
                <w:szCs w:val="24"/>
              </w:rPr>
            </w:pPr>
            <w:r>
              <w:rPr>
                <w:b/>
                <w:sz w:val="24"/>
                <w:szCs w:val="24"/>
              </w:rPr>
              <w:t>14 November 2014</w:t>
            </w:r>
          </w:p>
        </w:tc>
      </w:tr>
      <w:tr w:rsidR="00C05086" w:rsidRPr="006E7ACC" w:rsidTr="005857B8">
        <w:trPr>
          <w:cantSplit/>
          <w:trHeight w:val="23"/>
        </w:trPr>
        <w:tc>
          <w:tcPr>
            <w:tcW w:w="6912" w:type="dxa"/>
            <w:vMerge/>
          </w:tcPr>
          <w:p w:rsidR="00C05086" w:rsidRPr="006E7ACC" w:rsidRDefault="00C05086" w:rsidP="00BD0B82">
            <w:pPr>
              <w:tabs>
                <w:tab w:val="left" w:pos="851"/>
              </w:tabs>
              <w:spacing w:after="0" w:line="240" w:lineRule="atLeast"/>
              <w:rPr>
                <w:b/>
                <w:sz w:val="24"/>
                <w:szCs w:val="24"/>
              </w:rPr>
            </w:pPr>
            <w:bookmarkStart w:id="5" w:name="dorlang" w:colFirst="1" w:colLast="1"/>
            <w:bookmarkEnd w:id="4"/>
          </w:p>
        </w:tc>
        <w:tc>
          <w:tcPr>
            <w:tcW w:w="3119" w:type="dxa"/>
          </w:tcPr>
          <w:p w:rsidR="00C05086" w:rsidRPr="006E7ACC" w:rsidRDefault="00C05086" w:rsidP="00BD0B82">
            <w:pPr>
              <w:tabs>
                <w:tab w:val="left" w:pos="993"/>
              </w:tabs>
              <w:spacing w:after="0"/>
              <w:rPr>
                <w:b/>
                <w:sz w:val="24"/>
                <w:szCs w:val="24"/>
              </w:rPr>
            </w:pPr>
            <w:r w:rsidRPr="006E7ACC">
              <w:rPr>
                <w:b/>
                <w:sz w:val="24"/>
                <w:szCs w:val="24"/>
              </w:rPr>
              <w:t>Original: English</w:t>
            </w:r>
          </w:p>
        </w:tc>
      </w:tr>
    </w:tbl>
    <w:tbl>
      <w:tblPr>
        <w:tblW w:w="5163" w:type="pct"/>
        <w:tblLook w:val="0000" w:firstRow="0" w:lastRow="0" w:firstColumn="0" w:lastColumn="0" w:noHBand="0" w:noVBand="0"/>
      </w:tblPr>
      <w:tblGrid>
        <w:gridCol w:w="9321"/>
      </w:tblGrid>
      <w:tr w:rsidR="00C05086" w:rsidRPr="006E7ACC" w:rsidTr="00BD0B82">
        <w:trPr>
          <w:cantSplit/>
        </w:trPr>
        <w:tc>
          <w:tcPr>
            <w:tcW w:w="5000" w:type="pct"/>
          </w:tcPr>
          <w:bookmarkEnd w:id="5"/>
          <w:p w:rsidR="00C05086" w:rsidRPr="006E7ACC" w:rsidRDefault="00C05086" w:rsidP="005857B8">
            <w:pPr>
              <w:pStyle w:val="Title1"/>
              <w:spacing w:before="720"/>
              <w:rPr>
                <w:rFonts w:asciiTheme="minorHAnsi" w:hAnsiTheme="minorHAnsi"/>
                <w:sz w:val="24"/>
                <w:szCs w:val="24"/>
              </w:rPr>
            </w:pPr>
            <w:r w:rsidRPr="006E7ACC">
              <w:rPr>
                <w:rFonts w:asciiTheme="minorHAnsi" w:hAnsiTheme="minorHAnsi"/>
                <w:sz w:val="24"/>
                <w:szCs w:val="24"/>
              </w:rPr>
              <w:t>minutes</w:t>
            </w:r>
          </w:p>
          <w:p w:rsidR="00C05086" w:rsidRPr="006E7ACC" w:rsidRDefault="00C05086" w:rsidP="005857B8">
            <w:pPr>
              <w:pStyle w:val="Title1"/>
              <w:rPr>
                <w:rFonts w:asciiTheme="minorHAnsi" w:hAnsiTheme="minorHAnsi"/>
                <w:sz w:val="24"/>
                <w:szCs w:val="24"/>
              </w:rPr>
            </w:pPr>
            <w:r w:rsidRPr="006E7ACC">
              <w:rPr>
                <w:rFonts w:asciiTheme="minorHAnsi" w:hAnsiTheme="minorHAnsi"/>
                <w:sz w:val="24"/>
                <w:szCs w:val="24"/>
              </w:rPr>
              <w:t>OF THE</w:t>
            </w:r>
          </w:p>
          <w:p w:rsidR="00C05086" w:rsidRPr="006E7ACC" w:rsidRDefault="00C05086" w:rsidP="005857B8">
            <w:pPr>
              <w:pStyle w:val="Title1"/>
              <w:rPr>
                <w:rFonts w:asciiTheme="minorHAnsi" w:hAnsiTheme="minorHAnsi"/>
                <w:sz w:val="24"/>
                <w:szCs w:val="24"/>
              </w:rPr>
            </w:pPr>
            <w:r w:rsidRPr="006E7ACC">
              <w:rPr>
                <w:rFonts w:asciiTheme="minorHAnsi" w:hAnsiTheme="minorHAnsi"/>
                <w:sz w:val="24"/>
                <w:szCs w:val="24"/>
              </w:rPr>
              <w:t>fourteenth plenary meeting</w:t>
            </w:r>
          </w:p>
        </w:tc>
      </w:tr>
      <w:tr w:rsidR="00C05086" w:rsidRPr="006E7ACC" w:rsidTr="00BD0B82">
        <w:trPr>
          <w:cantSplit/>
        </w:trPr>
        <w:tc>
          <w:tcPr>
            <w:tcW w:w="5000" w:type="pct"/>
          </w:tcPr>
          <w:p w:rsidR="000418F6" w:rsidRPr="000418F6" w:rsidRDefault="000B1ED3" w:rsidP="000418F6">
            <w:pPr>
              <w:pStyle w:val="Normalaftertitle"/>
              <w:jc w:val="center"/>
            </w:pPr>
            <w:r>
              <w:rPr>
                <w:rFonts w:asciiTheme="minorHAnsi" w:hAnsiTheme="minorHAnsi"/>
                <w:szCs w:val="24"/>
              </w:rPr>
              <w:t xml:space="preserve">Tuesday, </w:t>
            </w:r>
            <w:r w:rsidR="00C05086" w:rsidRPr="006E7ACC">
              <w:rPr>
                <w:rFonts w:asciiTheme="minorHAnsi" w:hAnsiTheme="minorHAnsi"/>
                <w:szCs w:val="24"/>
              </w:rPr>
              <w:t>4 November 2014, at 093</w:t>
            </w:r>
            <w:r w:rsidR="006E7ACC" w:rsidRPr="006E7ACC">
              <w:rPr>
                <w:rFonts w:asciiTheme="minorHAnsi" w:hAnsiTheme="minorHAnsi"/>
                <w:szCs w:val="24"/>
              </w:rPr>
              <w:t>5</w:t>
            </w:r>
            <w:r w:rsidR="00C05086" w:rsidRPr="006E7ACC">
              <w:rPr>
                <w:rFonts w:asciiTheme="minorHAnsi" w:hAnsiTheme="minorHAnsi"/>
                <w:szCs w:val="24"/>
              </w:rPr>
              <w:t xml:space="preserve"> hours</w:t>
            </w:r>
          </w:p>
        </w:tc>
      </w:tr>
      <w:tr w:rsidR="00C05086" w:rsidRPr="006E7ACC" w:rsidTr="00BD0B82">
        <w:trPr>
          <w:cantSplit/>
        </w:trPr>
        <w:tc>
          <w:tcPr>
            <w:tcW w:w="5000" w:type="pct"/>
          </w:tcPr>
          <w:p w:rsidR="00C05086" w:rsidRPr="006E7ACC" w:rsidRDefault="00C05086" w:rsidP="00BD0B82">
            <w:pPr>
              <w:spacing w:before="240"/>
              <w:jc w:val="center"/>
              <w:rPr>
                <w:sz w:val="24"/>
                <w:szCs w:val="24"/>
              </w:rPr>
            </w:pPr>
            <w:r w:rsidRPr="006E7ACC">
              <w:rPr>
                <w:b/>
                <w:bCs/>
                <w:sz w:val="24"/>
                <w:szCs w:val="24"/>
              </w:rPr>
              <w:t>Chairman:</w:t>
            </w:r>
            <w:r w:rsidRPr="006E7ACC">
              <w:rPr>
                <w:sz w:val="24"/>
                <w:szCs w:val="24"/>
              </w:rPr>
              <w:t xml:space="preserve"> Mr. W. MIN (Republic of Korea)</w:t>
            </w:r>
          </w:p>
        </w:tc>
      </w:tr>
    </w:tbl>
    <w:p w:rsidR="00C05086" w:rsidRPr="006E7ACC" w:rsidRDefault="00C05086" w:rsidP="00114BA3">
      <w:pPr>
        <w:rPr>
          <w:sz w:val="24"/>
          <w:szCs w:val="24"/>
        </w:rPr>
      </w:pPr>
    </w:p>
    <w:tbl>
      <w:tblPr>
        <w:tblW w:w="10031" w:type="dxa"/>
        <w:tblLook w:val="0000" w:firstRow="0" w:lastRow="0" w:firstColumn="0" w:lastColumn="0" w:noHBand="0" w:noVBand="0"/>
      </w:tblPr>
      <w:tblGrid>
        <w:gridCol w:w="534"/>
        <w:gridCol w:w="7164"/>
        <w:gridCol w:w="2333"/>
      </w:tblGrid>
      <w:tr w:rsidR="00C05086" w:rsidRPr="006E7ACC" w:rsidTr="000418F6">
        <w:trPr>
          <w:trHeight w:val="170"/>
        </w:trPr>
        <w:tc>
          <w:tcPr>
            <w:tcW w:w="534" w:type="dxa"/>
          </w:tcPr>
          <w:p w:rsidR="00C05086" w:rsidRPr="006E7ACC" w:rsidRDefault="00C05086" w:rsidP="000418F6">
            <w:pPr>
              <w:pStyle w:val="toc0"/>
              <w:rPr>
                <w:rFonts w:asciiTheme="minorHAnsi" w:hAnsiTheme="minorHAnsi"/>
                <w:szCs w:val="24"/>
              </w:rPr>
            </w:pPr>
          </w:p>
        </w:tc>
        <w:tc>
          <w:tcPr>
            <w:tcW w:w="7164" w:type="dxa"/>
          </w:tcPr>
          <w:p w:rsidR="00C05086" w:rsidRPr="006E7ACC" w:rsidRDefault="00C05086" w:rsidP="000418F6">
            <w:pPr>
              <w:pStyle w:val="toc0"/>
              <w:rPr>
                <w:rFonts w:asciiTheme="minorHAnsi" w:hAnsiTheme="minorHAnsi"/>
                <w:szCs w:val="24"/>
              </w:rPr>
            </w:pPr>
            <w:r w:rsidRPr="006E7ACC">
              <w:rPr>
                <w:rFonts w:asciiTheme="minorHAnsi" w:hAnsiTheme="minorHAnsi"/>
                <w:szCs w:val="24"/>
              </w:rPr>
              <w:t>Subjects discussed</w:t>
            </w:r>
          </w:p>
        </w:tc>
        <w:tc>
          <w:tcPr>
            <w:tcW w:w="2333" w:type="dxa"/>
          </w:tcPr>
          <w:p w:rsidR="00C05086" w:rsidRPr="006E7ACC" w:rsidRDefault="00C05086" w:rsidP="000418F6">
            <w:pPr>
              <w:pStyle w:val="toc0"/>
              <w:jc w:val="center"/>
              <w:rPr>
                <w:rFonts w:asciiTheme="minorHAnsi" w:hAnsiTheme="minorHAnsi"/>
                <w:szCs w:val="24"/>
              </w:rPr>
            </w:pPr>
            <w:r w:rsidRPr="006E7ACC">
              <w:rPr>
                <w:rFonts w:asciiTheme="minorHAnsi" w:hAnsiTheme="minorHAnsi"/>
                <w:szCs w:val="24"/>
              </w:rPr>
              <w:t>Documents</w:t>
            </w:r>
          </w:p>
        </w:tc>
      </w:tr>
      <w:tr w:rsidR="00C05086" w:rsidRPr="006E7ACC" w:rsidTr="000418F6">
        <w:trPr>
          <w:trHeight w:val="170"/>
        </w:trPr>
        <w:tc>
          <w:tcPr>
            <w:tcW w:w="534" w:type="dxa"/>
          </w:tcPr>
          <w:p w:rsidR="00C05086" w:rsidRPr="006E7ACC" w:rsidRDefault="00C05086" w:rsidP="000418F6">
            <w:pPr>
              <w:spacing w:line="240" w:lineRule="auto"/>
              <w:rPr>
                <w:sz w:val="24"/>
                <w:szCs w:val="24"/>
              </w:rPr>
            </w:pPr>
            <w:r w:rsidRPr="006E7ACC">
              <w:rPr>
                <w:sz w:val="24"/>
                <w:szCs w:val="24"/>
              </w:rPr>
              <w:t>1</w:t>
            </w:r>
          </w:p>
        </w:tc>
        <w:tc>
          <w:tcPr>
            <w:tcW w:w="7164" w:type="dxa"/>
          </w:tcPr>
          <w:p w:rsidR="00C05086" w:rsidRPr="006E7ACC" w:rsidRDefault="00C05086" w:rsidP="000B1ED3">
            <w:pPr>
              <w:spacing w:line="240" w:lineRule="auto"/>
              <w:rPr>
                <w:sz w:val="24"/>
                <w:szCs w:val="24"/>
                <w:lang w:val="en-GB"/>
              </w:rPr>
            </w:pPr>
            <w:r w:rsidRPr="006E7ACC">
              <w:rPr>
                <w:sz w:val="24"/>
                <w:szCs w:val="24"/>
                <w:lang w:val="en-GB"/>
              </w:rPr>
              <w:t xml:space="preserve">Statement by the </w:t>
            </w:r>
            <w:r w:rsidR="000B1ED3">
              <w:rPr>
                <w:sz w:val="24"/>
                <w:szCs w:val="24"/>
                <w:lang w:val="en-GB"/>
              </w:rPr>
              <w:t>Minister of Communications of Australia</w:t>
            </w:r>
          </w:p>
        </w:tc>
        <w:tc>
          <w:tcPr>
            <w:tcW w:w="2333" w:type="dxa"/>
          </w:tcPr>
          <w:p w:rsidR="00C05086" w:rsidRPr="006E7ACC" w:rsidRDefault="00C05086" w:rsidP="000418F6">
            <w:pPr>
              <w:spacing w:line="240" w:lineRule="auto"/>
              <w:jc w:val="center"/>
              <w:rPr>
                <w:sz w:val="24"/>
                <w:szCs w:val="24"/>
              </w:rPr>
            </w:pPr>
            <w:r w:rsidRPr="006E7ACC">
              <w:rPr>
                <w:sz w:val="24"/>
                <w:szCs w:val="24"/>
              </w:rPr>
              <w:t>-</w:t>
            </w:r>
          </w:p>
        </w:tc>
      </w:tr>
      <w:tr w:rsidR="00C05086" w:rsidRPr="006E7ACC" w:rsidTr="000418F6">
        <w:trPr>
          <w:trHeight w:val="170"/>
        </w:trPr>
        <w:tc>
          <w:tcPr>
            <w:tcW w:w="534" w:type="dxa"/>
          </w:tcPr>
          <w:p w:rsidR="00C05086" w:rsidRPr="006E7ACC" w:rsidRDefault="00C05086" w:rsidP="000418F6">
            <w:pPr>
              <w:spacing w:line="240" w:lineRule="auto"/>
              <w:rPr>
                <w:sz w:val="24"/>
                <w:szCs w:val="24"/>
              </w:rPr>
            </w:pPr>
            <w:r w:rsidRPr="006E7ACC">
              <w:rPr>
                <w:sz w:val="24"/>
                <w:szCs w:val="24"/>
              </w:rPr>
              <w:t>2</w:t>
            </w:r>
          </w:p>
        </w:tc>
        <w:tc>
          <w:tcPr>
            <w:tcW w:w="7164" w:type="dxa"/>
          </w:tcPr>
          <w:p w:rsidR="00C05086" w:rsidRPr="006E7ACC" w:rsidRDefault="00C05086" w:rsidP="000418F6">
            <w:pPr>
              <w:spacing w:line="240" w:lineRule="auto"/>
              <w:rPr>
                <w:sz w:val="24"/>
                <w:szCs w:val="24"/>
                <w:lang w:val="en-GB"/>
              </w:rPr>
            </w:pPr>
            <w:r w:rsidRPr="006E7ACC">
              <w:rPr>
                <w:sz w:val="24"/>
                <w:szCs w:val="24"/>
                <w:lang w:val="en-GB"/>
              </w:rPr>
              <w:t xml:space="preserve">Report of Committee 3 (Budget Control) </w:t>
            </w:r>
          </w:p>
        </w:tc>
        <w:tc>
          <w:tcPr>
            <w:tcW w:w="2333" w:type="dxa"/>
          </w:tcPr>
          <w:p w:rsidR="00C05086" w:rsidRPr="006E7ACC" w:rsidRDefault="004E4C05" w:rsidP="000418F6">
            <w:pPr>
              <w:spacing w:line="240" w:lineRule="auto"/>
              <w:jc w:val="center"/>
              <w:rPr>
                <w:sz w:val="24"/>
                <w:szCs w:val="24"/>
              </w:rPr>
            </w:pPr>
            <w:hyperlink r:id="rId7" w:history="1">
              <w:r w:rsidR="00C05086" w:rsidRPr="00BD0B82">
                <w:rPr>
                  <w:rStyle w:val="Hyperlink"/>
                  <w:sz w:val="24"/>
                  <w:szCs w:val="24"/>
                </w:rPr>
                <w:t>151</w:t>
              </w:r>
            </w:hyperlink>
          </w:p>
        </w:tc>
      </w:tr>
      <w:tr w:rsidR="00C05086" w:rsidRPr="006E7ACC" w:rsidTr="000418F6">
        <w:trPr>
          <w:trHeight w:val="170"/>
        </w:trPr>
        <w:tc>
          <w:tcPr>
            <w:tcW w:w="534" w:type="dxa"/>
          </w:tcPr>
          <w:p w:rsidR="00C05086" w:rsidRPr="006E7ACC" w:rsidRDefault="006E7ACC" w:rsidP="000418F6">
            <w:pPr>
              <w:spacing w:line="240" w:lineRule="auto"/>
              <w:rPr>
                <w:sz w:val="24"/>
                <w:szCs w:val="24"/>
              </w:rPr>
            </w:pPr>
            <w:r>
              <w:rPr>
                <w:sz w:val="24"/>
                <w:szCs w:val="24"/>
              </w:rPr>
              <w:t>3</w:t>
            </w:r>
          </w:p>
        </w:tc>
        <w:tc>
          <w:tcPr>
            <w:tcW w:w="7164" w:type="dxa"/>
          </w:tcPr>
          <w:p w:rsidR="00C05086" w:rsidRPr="006E7ACC" w:rsidRDefault="00C05086" w:rsidP="000418F6">
            <w:pPr>
              <w:spacing w:line="240" w:lineRule="auto"/>
              <w:rPr>
                <w:sz w:val="24"/>
                <w:szCs w:val="24"/>
                <w:lang w:val="en-GB"/>
              </w:rPr>
            </w:pPr>
            <w:r w:rsidRPr="006E7ACC">
              <w:rPr>
                <w:sz w:val="24"/>
                <w:szCs w:val="24"/>
                <w:lang w:val="en-GB"/>
              </w:rPr>
              <w:t xml:space="preserve">Seventh series of texts submitted by the Editorial Committee for first reading (B7) </w:t>
            </w:r>
          </w:p>
        </w:tc>
        <w:tc>
          <w:tcPr>
            <w:tcW w:w="2333" w:type="dxa"/>
          </w:tcPr>
          <w:p w:rsidR="00C05086" w:rsidRPr="006E7ACC" w:rsidRDefault="004E4C05" w:rsidP="000418F6">
            <w:pPr>
              <w:spacing w:line="240" w:lineRule="auto"/>
              <w:jc w:val="center"/>
              <w:rPr>
                <w:sz w:val="24"/>
                <w:szCs w:val="24"/>
              </w:rPr>
            </w:pPr>
            <w:hyperlink r:id="rId8" w:history="1">
              <w:r w:rsidR="00C05086" w:rsidRPr="00BD0B82">
                <w:rPr>
                  <w:rStyle w:val="Hyperlink"/>
                  <w:sz w:val="24"/>
                  <w:szCs w:val="24"/>
                </w:rPr>
                <w:t>147</w:t>
              </w:r>
            </w:hyperlink>
          </w:p>
        </w:tc>
      </w:tr>
      <w:tr w:rsidR="00C05086" w:rsidRPr="006E7ACC" w:rsidTr="000418F6">
        <w:trPr>
          <w:trHeight w:val="170"/>
        </w:trPr>
        <w:tc>
          <w:tcPr>
            <w:tcW w:w="534" w:type="dxa"/>
          </w:tcPr>
          <w:p w:rsidR="00C05086" w:rsidRPr="006E7ACC" w:rsidRDefault="00A93C31" w:rsidP="000418F6">
            <w:pPr>
              <w:spacing w:line="240" w:lineRule="auto"/>
              <w:rPr>
                <w:sz w:val="24"/>
                <w:szCs w:val="24"/>
              </w:rPr>
            </w:pPr>
            <w:r>
              <w:rPr>
                <w:sz w:val="24"/>
                <w:szCs w:val="24"/>
              </w:rPr>
              <w:t>4</w:t>
            </w:r>
          </w:p>
        </w:tc>
        <w:tc>
          <w:tcPr>
            <w:tcW w:w="7164" w:type="dxa"/>
          </w:tcPr>
          <w:p w:rsidR="00C05086" w:rsidRPr="006E7ACC" w:rsidRDefault="00C05086" w:rsidP="000418F6">
            <w:pPr>
              <w:spacing w:line="240" w:lineRule="auto"/>
              <w:rPr>
                <w:sz w:val="24"/>
                <w:szCs w:val="24"/>
                <w:lang w:val="en-GB"/>
              </w:rPr>
            </w:pPr>
            <w:r w:rsidRPr="006E7ACC">
              <w:rPr>
                <w:sz w:val="24"/>
                <w:szCs w:val="24"/>
                <w:lang w:val="en-GB"/>
              </w:rPr>
              <w:t xml:space="preserve">Seventh series of texts submitted by the Editorial Committee - second reading </w:t>
            </w:r>
          </w:p>
        </w:tc>
        <w:tc>
          <w:tcPr>
            <w:tcW w:w="2333" w:type="dxa"/>
          </w:tcPr>
          <w:p w:rsidR="00C05086" w:rsidRPr="006E7ACC" w:rsidRDefault="004E4C05" w:rsidP="000418F6">
            <w:pPr>
              <w:spacing w:line="240" w:lineRule="auto"/>
              <w:jc w:val="center"/>
              <w:rPr>
                <w:sz w:val="24"/>
                <w:szCs w:val="24"/>
              </w:rPr>
            </w:pPr>
            <w:hyperlink r:id="rId9" w:history="1">
              <w:r w:rsidR="00C05086" w:rsidRPr="00BD0B82">
                <w:rPr>
                  <w:rStyle w:val="Hyperlink"/>
                  <w:sz w:val="24"/>
                  <w:szCs w:val="24"/>
                </w:rPr>
                <w:t>147</w:t>
              </w:r>
            </w:hyperlink>
          </w:p>
        </w:tc>
      </w:tr>
      <w:tr w:rsidR="00C05086" w:rsidRPr="006E7ACC" w:rsidTr="000418F6">
        <w:trPr>
          <w:trHeight w:val="170"/>
        </w:trPr>
        <w:tc>
          <w:tcPr>
            <w:tcW w:w="534" w:type="dxa"/>
          </w:tcPr>
          <w:p w:rsidR="00C05086" w:rsidRPr="006E7ACC" w:rsidRDefault="006E7ACC" w:rsidP="000418F6">
            <w:pPr>
              <w:spacing w:line="240" w:lineRule="auto"/>
              <w:rPr>
                <w:sz w:val="24"/>
                <w:szCs w:val="24"/>
              </w:rPr>
            </w:pPr>
            <w:r>
              <w:rPr>
                <w:sz w:val="24"/>
                <w:szCs w:val="24"/>
              </w:rPr>
              <w:t>5</w:t>
            </w:r>
          </w:p>
        </w:tc>
        <w:tc>
          <w:tcPr>
            <w:tcW w:w="7164" w:type="dxa"/>
          </w:tcPr>
          <w:p w:rsidR="00C05086" w:rsidRPr="006E7ACC" w:rsidRDefault="00C05086" w:rsidP="000418F6">
            <w:pPr>
              <w:spacing w:line="240" w:lineRule="auto"/>
              <w:rPr>
                <w:sz w:val="24"/>
                <w:szCs w:val="24"/>
                <w:lang w:val="en-GB"/>
              </w:rPr>
            </w:pPr>
            <w:r w:rsidRPr="006E7ACC">
              <w:rPr>
                <w:sz w:val="24"/>
                <w:szCs w:val="24"/>
                <w:lang w:val="en-GB"/>
              </w:rPr>
              <w:t xml:space="preserve">Eighth series of texts submitted by the Editorial Committee for first reading (B8) </w:t>
            </w:r>
          </w:p>
        </w:tc>
        <w:tc>
          <w:tcPr>
            <w:tcW w:w="2333" w:type="dxa"/>
          </w:tcPr>
          <w:p w:rsidR="00C05086" w:rsidRPr="006E7ACC" w:rsidRDefault="004E4C05" w:rsidP="000418F6">
            <w:pPr>
              <w:spacing w:line="240" w:lineRule="auto"/>
              <w:jc w:val="center"/>
              <w:rPr>
                <w:sz w:val="24"/>
                <w:szCs w:val="24"/>
              </w:rPr>
            </w:pPr>
            <w:hyperlink r:id="rId10" w:history="1">
              <w:r w:rsidR="00C05086" w:rsidRPr="00BD0B82">
                <w:rPr>
                  <w:rStyle w:val="Hyperlink"/>
                  <w:sz w:val="24"/>
                  <w:szCs w:val="24"/>
                </w:rPr>
                <w:t>153</w:t>
              </w:r>
            </w:hyperlink>
          </w:p>
        </w:tc>
      </w:tr>
      <w:tr w:rsidR="00C05086" w:rsidRPr="006E7ACC" w:rsidTr="000418F6">
        <w:trPr>
          <w:trHeight w:val="170"/>
        </w:trPr>
        <w:tc>
          <w:tcPr>
            <w:tcW w:w="534" w:type="dxa"/>
          </w:tcPr>
          <w:p w:rsidR="00C05086" w:rsidRPr="006E7ACC" w:rsidRDefault="006E7ACC" w:rsidP="000418F6">
            <w:pPr>
              <w:spacing w:line="240" w:lineRule="auto"/>
              <w:rPr>
                <w:sz w:val="24"/>
                <w:szCs w:val="24"/>
              </w:rPr>
            </w:pPr>
            <w:r>
              <w:rPr>
                <w:sz w:val="24"/>
                <w:szCs w:val="24"/>
              </w:rPr>
              <w:t>6</w:t>
            </w:r>
          </w:p>
        </w:tc>
        <w:tc>
          <w:tcPr>
            <w:tcW w:w="7164" w:type="dxa"/>
          </w:tcPr>
          <w:p w:rsidR="00C05086" w:rsidRPr="006E7ACC" w:rsidRDefault="00C05086" w:rsidP="000418F6">
            <w:pPr>
              <w:spacing w:line="240" w:lineRule="auto"/>
              <w:rPr>
                <w:sz w:val="24"/>
                <w:szCs w:val="24"/>
                <w:lang w:val="en-GB"/>
              </w:rPr>
            </w:pPr>
            <w:r w:rsidRPr="006E7ACC">
              <w:rPr>
                <w:sz w:val="24"/>
                <w:szCs w:val="24"/>
                <w:lang w:val="en-GB"/>
              </w:rPr>
              <w:t xml:space="preserve">Eighth series of texts submitted by the Editorial Committee - second reading </w:t>
            </w:r>
          </w:p>
        </w:tc>
        <w:tc>
          <w:tcPr>
            <w:tcW w:w="2333" w:type="dxa"/>
          </w:tcPr>
          <w:p w:rsidR="00C05086" w:rsidRPr="006E7ACC" w:rsidRDefault="004E4C05" w:rsidP="000418F6">
            <w:pPr>
              <w:spacing w:line="240" w:lineRule="auto"/>
              <w:jc w:val="center"/>
              <w:rPr>
                <w:sz w:val="24"/>
                <w:szCs w:val="24"/>
              </w:rPr>
            </w:pPr>
            <w:hyperlink r:id="rId11" w:history="1">
              <w:r w:rsidR="00C05086" w:rsidRPr="00BD0B82">
                <w:rPr>
                  <w:rStyle w:val="Hyperlink"/>
                  <w:sz w:val="24"/>
                  <w:szCs w:val="24"/>
                </w:rPr>
                <w:t>153</w:t>
              </w:r>
            </w:hyperlink>
          </w:p>
        </w:tc>
      </w:tr>
      <w:tr w:rsidR="00C05086" w:rsidRPr="006E7ACC" w:rsidTr="000418F6">
        <w:trPr>
          <w:trHeight w:val="170"/>
        </w:trPr>
        <w:tc>
          <w:tcPr>
            <w:tcW w:w="534" w:type="dxa"/>
          </w:tcPr>
          <w:p w:rsidR="00C05086" w:rsidRPr="006E7ACC" w:rsidRDefault="006E7ACC" w:rsidP="000418F6">
            <w:pPr>
              <w:spacing w:line="240" w:lineRule="auto"/>
              <w:rPr>
                <w:sz w:val="24"/>
                <w:szCs w:val="24"/>
              </w:rPr>
            </w:pPr>
            <w:r>
              <w:rPr>
                <w:sz w:val="24"/>
                <w:szCs w:val="24"/>
              </w:rPr>
              <w:t>7</w:t>
            </w:r>
          </w:p>
        </w:tc>
        <w:tc>
          <w:tcPr>
            <w:tcW w:w="7164" w:type="dxa"/>
          </w:tcPr>
          <w:p w:rsidR="00C05086" w:rsidRPr="006E7ACC" w:rsidRDefault="00C05086" w:rsidP="000B1ED3">
            <w:pPr>
              <w:spacing w:line="240" w:lineRule="auto"/>
              <w:rPr>
                <w:sz w:val="24"/>
                <w:szCs w:val="24"/>
                <w:lang w:val="en-GB"/>
              </w:rPr>
            </w:pPr>
            <w:r w:rsidRPr="006E7ACC">
              <w:rPr>
                <w:sz w:val="24"/>
                <w:szCs w:val="24"/>
                <w:lang w:val="en-GB"/>
              </w:rPr>
              <w:t xml:space="preserve">Progress on </w:t>
            </w:r>
            <w:r w:rsidR="000B1ED3">
              <w:rPr>
                <w:sz w:val="24"/>
                <w:szCs w:val="24"/>
                <w:lang w:val="en-GB"/>
              </w:rPr>
              <w:t>proposals</w:t>
            </w:r>
            <w:r w:rsidRPr="006E7ACC">
              <w:rPr>
                <w:sz w:val="24"/>
                <w:szCs w:val="24"/>
                <w:lang w:val="en-GB"/>
              </w:rPr>
              <w:t xml:space="preserve"> concerning Palestine and Ukraine</w:t>
            </w:r>
          </w:p>
        </w:tc>
        <w:tc>
          <w:tcPr>
            <w:tcW w:w="2333" w:type="dxa"/>
          </w:tcPr>
          <w:p w:rsidR="00C05086" w:rsidRPr="006E7ACC" w:rsidRDefault="004E4C05" w:rsidP="000418F6">
            <w:pPr>
              <w:spacing w:line="240" w:lineRule="auto"/>
              <w:jc w:val="center"/>
              <w:rPr>
                <w:sz w:val="24"/>
                <w:szCs w:val="24"/>
              </w:rPr>
            </w:pPr>
            <w:hyperlink r:id="rId12" w:history="1">
              <w:r w:rsidR="00C05086" w:rsidRPr="00BD0B82">
                <w:rPr>
                  <w:rStyle w:val="Hyperlink"/>
                  <w:sz w:val="24"/>
                  <w:szCs w:val="24"/>
                </w:rPr>
                <w:t>79(Add.2)</w:t>
              </w:r>
            </w:hyperlink>
            <w:r w:rsidR="00C05086" w:rsidRPr="006E7ACC">
              <w:rPr>
                <w:sz w:val="24"/>
                <w:szCs w:val="24"/>
              </w:rPr>
              <w:t xml:space="preserve">, </w:t>
            </w:r>
            <w:hyperlink r:id="rId13" w:history="1">
              <w:r w:rsidR="00C05086" w:rsidRPr="00BD0B82">
                <w:rPr>
                  <w:rStyle w:val="Hyperlink"/>
                  <w:sz w:val="24"/>
                  <w:szCs w:val="24"/>
                </w:rPr>
                <w:t>84(Rev.1)</w:t>
              </w:r>
            </w:hyperlink>
          </w:p>
        </w:tc>
      </w:tr>
      <w:tr w:rsidR="006E7ACC" w:rsidRPr="006E7ACC" w:rsidTr="000418F6">
        <w:trPr>
          <w:trHeight w:val="170"/>
        </w:trPr>
        <w:tc>
          <w:tcPr>
            <w:tcW w:w="534" w:type="dxa"/>
          </w:tcPr>
          <w:p w:rsidR="006E7ACC" w:rsidRDefault="006E7ACC" w:rsidP="000418F6">
            <w:pPr>
              <w:spacing w:line="240" w:lineRule="auto"/>
              <w:rPr>
                <w:sz w:val="24"/>
                <w:szCs w:val="24"/>
              </w:rPr>
            </w:pPr>
            <w:r>
              <w:rPr>
                <w:sz w:val="24"/>
                <w:szCs w:val="24"/>
              </w:rPr>
              <w:t>8</w:t>
            </w:r>
          </w:p>
        </w:tc>
        <w:tc>
          <w:tcPr>
            <w:tcW w:w="7164" w:type="dxa"/>
          </w:tcPr>
          <w:p w:rsidR="006E7ACC" w:rsidRPr="006E7ACC" w:rsidRDefault="006E7ACC" w:rsidP="000B1ED3">
            <w:pPr>
              <w:spacing w:line="240" w:lineRule="auto"/>
              <w:rPr>
                <w:sz w:val="24"/>
                <w:szCs w:val="24"/>
                <w:lang w:val="en-GB"/>
              </w:rPr>
            </w:pPr>
            <w:r>
              <w:rPr>
                <w:sz w:val="24"/>
                <w:szCs w:val="24"/>
                <w:lang w:val="en-GB"/>
              </w:rPr>
              <w:t xml:space="preserve">Approval of minutes </w:t>
            </w:r>
          </w:p>
        </w:tc>
        <w:tc>
          <w:tcPr>
            <w:tcW w:w="2333" w:type="dxa"/>
          </w:tcPr>
          <w:p w:rsidR="006E7ACC" w:rsidRPr="006E7ACC" w:rsidRDefault="004E4C05" w:rsidP="000418F6">
            <w:pPr>
              <w:spacing w:line="240" w:lineRule="auto"/>
              <w:jc w:val="center"/>
              <w:rPr>
                <w:sz w:val="24"/>
                <w:szCs w:val="24"/>
              </w:rPr>
            </w:pPr>
            <w:hyperlink r:id="rId14" w:history="1">
              <w:r w:rsidR="006E7ACC" w:rsidRPr="00BD0B82">
                <w:rPr>
                  <w:rStyle w:val="Hyperlink"/>
                  <w:sz w:val="24"/>
                  <w:szCs w:val="24"/>
                </w:rPr>
                <w:t>118</w:t>
              </w:r>
            </w:hyperlink>
          </w:p>
        </w:tc>
      </w:tr>
    </w:tbl>
    <w:p w:rsidR="006E7ACC" w:rsidRDefault="006E7ACC" w:rsidP="000418F6">
      <w:pPr>
        <w:spacing w:line="240" w:lineRule="auto"/>
        <w:rPr>
          <w:sz w:val="24"/>
          <w:szCs w:val="24"/>
        </w:rPr>
      </w:pPr>
      <w:bookmarkStart w:id="6" w:name="dbreak"/>
      <w:bookmarkEnd w:id="6"/>
    </w:p>
    <w:p w:rsidR="006E7ACC" w:rsidRDefault="006E7ACC" w:rsidP="000418F6">
      <w:pPr>
        <w:spacing w:line="240" w:lineRule="auto"/>
        <w:rPr>
          <w:sz w:val="24"/>
          <w:szCs w:val="24"/>
        </w:rPr>
      </w:pPr>
      <w:r>
        <w:rPr>
          <w:sz w:val="24"/>
          <w:szCs w:val="24"/>
        </w:rPr>
        <w:br w:type="page"/>
      </w:r>
    </w:p>
    <w:p w:rsidR="00557A80" w:rsidRPr="00A93C31" w:rsidRDefault="006E7ACC" w:rsidP="00A93C31">
      <w:pPr>
        <w:pStyle w:val="Normalpv"/>
        <w:tabs>
          <w:tab w:val="clear" w:pos="794"/>
          <w:tab w:val="left" w:pos="709"/>
        </w:tabs>
        <w:rPr>
          <w:rFonts w:asciiTheme="minorHAnsi" w:hAnsiTheme="minorHAnsi"/>
          <w:sz w:val="28"/>
          <w:szCs w:val="28"/>
        </w:rPr>
      </w:pPr>
      <w:r w:rsidRPr="00A93C31">
        <w:rPr>
          <w:rFonts w:asciiTheme="minorHAnsi" w:hAnsiTheme="minorHAnsi"/>
          <w:b/>
          <w:bCs/>
          <w:sz w:val="28"/>
          <w:szCs w:val="28"/>
        </w:rPr>
        <w:lastRenderedPageBreak/>
        <w:t>1</w:t>
      </w:r>
      <w:r w:rsidRPr="00A93C31">
        <w:rPr>
          <w:rFonts w:asciiTheme="minorHAnsi" w:hAnsiTheme="minorHAnsi"/>
          <w:b/>
          <w:bCs/>
          <w:sz w:val="28"/>
          <w:szCs w:val="28"/>
        </w:rPr>
        <w:tab/>
      </w:r>
      <w:r w:rsidR="00557A80" w:rsidRPr="00A93C31">
        <w:rPr>
          <w:rFonts w:asciiTheme="minorHAnsi" w:hAnsiTheme="minorHAnsi"/>
          <w:b/>
          <w:bCs/>
          <w:sz w:val="28"/>
          <w:szCs w:val="28"/>
        </w:rPr>
        <w:t xml:space="preserve">Statement by the </w:t>
      </w:r>
      <w:r w:rsidR="000B1ED3" w:rsidRPr="00A93C31">
        <w:rPr>
          <w:rFonts w:asciiTheme="minorHAnsi" w:hAnsiTheme="minorHAnsi"/>
          <w:b/>
          <w:bCs/>
          <w:sz w:val="28"/>
          <w:szCs w:val="28"/>
        </w:rPr>
        <w:t xml:space="preserve">Minister of Communications of </w:t>
      </w:r>
      <w:r w:rsidR="00557A80" w:rsidRPr="00A93C31">
        <w:rPr>
          <w:rFonts w:asciiTheme="minorHAnsi" w:hAnsiTheme="minorHAnsi"/>
          <w:b/>
          <w:bCs/>
          <w:sz w:val="28"/>
          <w:szCs w:val="28"/>
        </w:rPr>
        <w:t>Australia</w:t>
      </w:r>
    </w:p>
    <w:p w:rsidR="00557A80" w:rsidRPr="006E7ACC" w:rsidRDefault="006E7ACC" w:rsidP="00A93C31">
      <w:pPr>
        <w:pStyle w:val="western"/>
        <w:spacing w:after="0"/>
        <w:rPr>
          <w:rFonts w:asciiTheme="minorHAnsi" w:hAnsiTheme="minorHAnsi"/>
          <w:lang w:val="en-GB"/>
        </w:rPr>
      </w:pPr>
      <w:r w:rsidRPr="006E7ACC">
        <w:rPr>
          <w:rFonts w:asciiTheme="minorHAnsi" w:hAnsiTheme="minorHAnsi"/>
          <w:lang w:val="en-GB"/>
        </w:rPr>
        <w:t>1.1</w:t>
      </w:r>
      <w:r w:rsidRPr="006E7ACC">
        <w:rPr>
          <w:rFonts w:asciiTheme="minorHAnsi" w:hAnsiTheme="minorHAnsi"/>
          <w:lang w:val="en-GB"/>
        </w:rPr>
        <w:tab/>
      </w:r>
      <w:r w:rsidR="00557A80" w:rsidRPr="006E7ACC">
        <w:rPr>
          <w:rFonts w:asciiTheme="minorHAnsi" w:hAnsiTheme="minorHAnsi"/>
          <w:lang w:val="en-GB"/>
        </w:rPr>
        <w:t xml:space="preserve">The </w:t>
      </w:r>
      <w:r w:rsidR="000B1ED3">
        <w:rPr>
          <w:rFonts w:asciiTheme="minorHAnsi" w:hAnsiTheme="minorHAnsi"/>
          <w:b/>
          <w:bCs/>
          <w:lang w:val="en-GB"/>
        </w:rPr>
        <w:t>Minister of Communications of Australia</w:t>
      </w:r>
      <w:r w:rsidR="00557A80" w:rsidRPr="006E7ACC">
        <w:rPr>
          <w:rFonts w:asciiTheme="minorHAnsi" w:hAnsiTheme="minorHAnsi"/>
          <w:lang w:val="en-GB"/>
        </w:rPr>
        <w:t xml:space="preserve"> </w:t>
      </w:r>
      <w:r w:rsidR="000B1ED3">
        <w:rPr>
          <w:rFonts w:asciiTheme="minorHAnsi" w:hAnsiTheme="minorHAnsi"/>
          <w:lang w:val="en-GB"/>
        </w:rPr>
        <w:t>made the statement contained in Annex A.</w:t>
      </w:r>
      <w:r w:rsidR="00557A80" w:rsidRPr="006E7ACC">
        <w:rPr>
          <w:rFonts w:asciiTheme="minorHAnsi" w:hAnsiTheme="minorHAnsi"/>
          <w:lang w:val="en-GB"/>
        </w:rPr>
        <w:t xml:space="preserve"> </w:t>
      </w:r>
    </w:p>
    <w:p w:rsidR="00557A80" w:rsidRPr="00A93C31" w:rsidRDefault="006E7ACC" w:rsidP="00A93C31">
      <w:pPr>
        <w:pStyle w:val="western"/>
        <w:spacing w:after="0"/>
        <w:rPr>
          <w:rFonts w:asciiTheme="minorHAnsi" w:hAnsiTheme="minorHAnsi"/>
          <w:sz w:val="28"/>
          <w:szCs w:val="28"/>
          <w:lang w:val="en-GB"/>
        </w:rPr>
      </w:pPr>
      <w:r w:rsidRPr="00A93C31">
        <w:rPr>
          <w:rFonts w:asciiTheme="minorHAnsi" w:hAnsiTheme="minorHAnsi"/>
          <w:b/>
          <w:bCs/>
          <w:sz w:val="28"/>
          <w:szCs w:val="28"/>
          <w:lang w:val="en-GB"/>
        </w:rPr>
        <w:t>2</w:t>
      </w:r>
      <w:r w:rsidRPr="00A93C31">
        <w:rPr>
          <w:rFonts w:asciiTheme="minorHAnsi" w:hAnsiTheme="minorHAnsi"/>
          <w:b/>
          <w:bCs/>
          <w:sz w:val="28"/>
          <w:szCs w:val="28"/>
          <w:lang w:val="en-GB"/>
        </w:rPr>
        <w:tab/>
      </w:r>
      <w:r w:rsidR="00557A80" w:rsidRPr="00A93C31">
        <w:rPr>
          <w:rFonts w:asciiTheme="minorHAnsi" w:hAnsiTheme="minorHAnsi"/>
          <w:b/>
          <w:bCs/>
          <w:sz w:val="28"/>
          <w:szCs w:val="28"/>
          <w:lang w:val="en-GB"/>
        </w:rPr>
        <w:t>Report of Committee 3 (Budget Control) (Document 151)</w:t>
      </w:r>
    </w:p>
    <w:p w:rsidR="00557A80" w:rsidRDefault="000B1ED3" w:rsidP="00A93C31">
      <w:pPr>
        <w:pStyle w:val="western"/>
        <w:spacing w:after="0"/>
        <w:rPr>
          <w:rFonts w:asciiTheme="minorHAnsi" w:hAnsiTheme="minorHAnsi"/>
          <w:lang w:val="en-GB"/>
        </w:rPr>
      </w:pPr>
      <w:r>
        <w:rPr>
          <w:rFonts w:asciiTheme="minorHAnsi" w:hAnsiTheme="minorHAnsi"/>
          <w:lang w:val="en-GB"/>
        </w:rPr>
        <w:t>2.1</w:t>
      </w:r>
      <w:r>
        <w:rPr>
          <w:rFonts w:asciiTheme="minorHAnsi" w:hAnsiTheme="minorHAnsi"/>
          <w:lang w:val="en-GB"/>
        </w:rPr>
        <w:tab/>
      </w:r>
      <w:r w:rsidR="00557A80" w:rsidRPr="006E7ACC">
        <w:rPr>
          <w:rFonts w:asciiTheme="minorHAnsi" w:hAnsiTheme="minorHAnsi"/>
          <w:lang w:val="en-GB"/>
        </w:rPr>
        <w:t xml:space="preserve">The </w:t>
      </w:r>
      <w:r w:rsidR="00557A80" w:rsidRPr="006E7ACC">
        <w:rPr>
          <w:rFonts w:asciiTheme="minorHAnsi" w:hAnsiTheme="minorHAnsi"/>
          <w:b/>
          <w:bCs/>
          <w:lang w:val="en-GB"/>
        </w:rPr>
        <w:t>Chairman of Committee 3</w:t>
      </w:r>
      <w:r w:rsidR="00CE2FBE">
        <w:rPr>
          <w:rFonts w:asciiTheme="minorHAnsi" w:hAnsiTheme="minorHAnsi"/>
          <w:b/>
          <w:bCs/>
          <w:lang w:val="en-GB"/>
        </w:rPr>
        <w:t xml:space="preserve"> </w:t>
      </w:r>
      <w:r>
        <w:rPr>
          <w:rFonts w:asciiTheme="minorHAnsi" w:hAnsiTheme="minorHAnsi"/>
          <w:b/>
          <w:bCs/>
          <w:lang w:val="en-GB"/>
        </w:rPr>
        <w:t>(Budget Control)</w:t>
      </w:r>
      <w:r w:rsidR="00557A80" w:rsidRPr="006E7ACC">
        <w:rPr>
          <w:rFonts w:asciiTheme="minorHAnsi" w:hAnsiTheme="minorHAnsi"/>
          <w:lang w:val="en-GB"/>
        </w:rPr>
        <w:t xml:space="preserve">, introducing </w:t>
      </w:r>
      <w:r>
        <w:rPr>
          <w:rFonts w:asciiTheme="minorHAnsi" w:hAnsiTheme="minorHAnsi"/>
          <w:lang w:val="en-GB"/>
        </w:rPr>
        <w:t xml:space="preserve">the Committee’s report in </w:t>
      </w:r>
      <w:r w:rsidR="00557A80" w:rsidRPr="006E7ACC">
        <w:rPr>
          <w:rFonts w:asciiTheme="minorHAnsi" w:hAnsiTheme="minorHAnsi"/>
          <w:lang w:val="en-GB"/>
        </w:rPr>
        <w:t xml:space="preserve">Document 151, said that it would subsequently be submitted to Council-15. Having carried out the various tasks constituting its terms of reference, the Budget Control Committee noted that as at 31 October 2014 the </w:t>
      </w:r>
      <w:r>
        <w:rPr>
          <w:rFonts w:asciiTheme="minorHAnsi" w:hAnsiTheme="minorHAnsi"/>
          <w:lang w:val="en-GB"/>
        </w:rPr>
        <w:t xml:space="preserve">total projected </w:t>
      </w:r>
      <w:r w:rsidR="00557A80" w:rsidRPr="006E7ACC">
        <w:rPr>
          <w:rFonts w:asciiTheme="minorHAnsi" w:hAnsiTheme="minorHAnsi"/>
          <w:lang w:val="en-GB"/>
        </w:rPr>
        <w:t>expenditure of the conference was estimated at CHF 3 660 000, or CHF 16 000 below the budget of CHF 3 676 000 allocated by Council-1</w:t>
      </w:r>
      <w:r w:rsidR="006E7ACC" w:rsidRPr="006E7ACC">
        <w:rPr>
          <w:rFonts w:asciiTheme="minorHAnsi" w:hAnsiTheme="minorHAnsi"/>
          <w:lang w:val="en-GB"/>
        </w:rPr>
        <w:t>3</w:t>
      </w:r>
      <w:r w:rsidR="00557A80" w:rsidRPr="006E7ACC">
        <w:rPr>
          <w:rFonts w:asciiTheme="minorHAnsi" w:hAnsiTheme="minorHAnsi"/>
          <w:lang w:val="en-GB"/>
        </w:rPr>
        <w:t xml:space="preserve">. </w:t>
      </w:r>
      <w:r w:rsidR="006E7ACC" w:rsidRPr="006E7ACC">
        <w:rPr>
          <w:rFonts w:asciiTheme="minorHAnsi" w:hAnsiTheme="minorHAnsi"/>
          <w:lang w:val="en-GB"/>
        </w:rPr>
        <w:t>Estimated e</w:t>
      </w:r>
      <w:r w:rsidR="00557A80" w:rsidRPr="006E7ACC">
        <w:rPr>
          <w:rFonts w:asciiTheme="minorHAnsi" w:hAnsiTheme="minorHAnsi"/>
          <w:lang w:val="en-GB"/>
        </w:rPr>
        <w:t>xpenditure on documentation</w:t>
      </w:r>
      <w:r>
        <w:rPr>
          <w:rFonts w:asciiTheme="minorHAnsi" w:hAnsiTheme="minorHAnsi"/>
          <w:lang w:val="en-GB"/>
        </w:rPr>
        <w:t>,</w:t>
      </w:r>
      <w:r w:rsidR="00557A80" w:rsidRPr="006E7ACC">
        <w:rPr>
          <w:rFonts w:asciiTheme="minorHAnsi" w:hAnsiTheme="minorHAnsi"/>
          <w:lang w:val="en-GB"/>
        </w:rPr>
        <w:t xml:space="preserve"> namely CHF 2 169 000, was below the corresponding budget of CHF 2 185 000, with the cost over-run on typing work offset by reductions in the volume of translation and reprography work. The conference would thus complete its work within its approved budget. The Budget Control Committee wished to express its thanks and appreciation to the Government and people of the Republic of Korea for the human and material resources made available to enable the conference to carry out its work in the most efficient manner.</w:t>
      </w:r>
    </w:p>
    <w:p w:rsidR="000B1ED3" w:rsidRPr="000B1ED3" w:rsidRDefault="000B1ED3" w:rsidP="00A93C31">
      <w:pPr>
        <w:pStyle w:val="western"/>
        <w:spacing w:after="0"/>
        <w:rPr>
          <w:rFonts w:asciiTheme="minorHAnsi" w:hAnsiTheme="minorHAnsi"/>
          <w:b/>
          <w:bCs/>
          <w:lang w:val="en-GB"/>
        </w:rPr>
      </w:pPr>
      <w:r>
        <w:rPr>
          <w:rFonts w:asciiTheme="minorHAnsi" w:hAnsiTheme="minorHAnsi"/>
          <w:lang w:val="en-GB"/>
        </w:rPr>
        <w:t>2.2</w:t>
      </w:r>
      <w:r>
        <w:rPr>
          <w:rFonts w:asciiTheme="minorHAnsi" w:hAnsiTheme="minorHAnsi"/>
          <w:lang w:val="en-GB"/>
        </w:rPr>
        <w:tab/>
        <w:t xml:space="preserve">The report of Committee 3 (Budget Control) (Document 151) was </w:t>
      </w:r>
      <w:r>
        <w:rPr>
          <w:rFonts w:asciiTheme="minorHAnsi" w:hAnsiTheme="minorHAnsi"/>
          <w:b/>
          <w:bCs/>
          <w:lang w:val="en-GB"/>
        </w:rPr>
        <w:t>approved.</w:t>
      </w:r>
    </w:p>
    <w:p w:rsidR="00557A80" w:rsidRPr="00A93C31" w:rsidRDefault="006E7ACC" w:rsidP="00A93C31">
      <w:pPr>
        <w:pStyle w:val="western"/>
        <w:spacing w:after="0"/>
        <w:ind w:left="720" w:hanging="720"/>
        <w:rPr>
          <w:rFonts w:asciiTheme="minorHAnsi" w:hAnsiTheme="minorHAnsi"/>
          <w:sz w:val="28"/>
          <w:szCs w:val="28"/>
          <w:lang w:val="en-GB"/>
        </w:rPr>
      </w:pPr>
      <w:r w:rsidRPr="00A93C31">
        <w:rPr>
          <w:rFonts w:asciiTheme="minorHAnsi" w:hAnsiTheme="minorHAnsi"/>
          <w:b/>
          <w:bCs/>
          <w:sz w:val="28"/>
          <w:szCs w:val="28"/>
          <w:lang w:val="en-GB"/>
        </w:rPr>
        <w:t>3</w:t>
      </w:r>
      <w:r w:rsidRPr="00A93C31">
        <w:rPr>
          <w:rFonts w:asciiTheme="minorHAnsi" w:hAnsiTheme="minorHAnsi"/>
          <w:b/>
          <w:bCs/>
          <w:sz w:val="28"/>
          <w:szCs w:val="28"/>
          <w:lang w:val="en-GB"/>
        </w:rPr>
        <w:tab/>
      </w:r>
      <w:r w:rsidR="00557A80" w:rsidRPr="00A93C31">
        <w:rPr>
          <w:rFonts w:asciiTheme="minorHAnsi" w:hAnsiTheme="minorHAnsi"/>
          <w:b/>
          <w:bCs/>
          <w:sz w:val="28"/>
          <w:szCs w:val="28"/>
          <w:lang w:val="en-GB"/>
        </w:rPr>
        <w:t>Seventh series of texts submitted by the Editorial Committee for first reading (B7) (Document 147)</w:t>
      </w:r>
    </w:p>
    <w:p w:rsidR="00557A80" w:rsidRPr="006E7ACC" w:rsidRDefault="00557A80" w:rsidP="00A93C31">
      <w:pPr>
        <w:pStyle w:val="western"/>
        <w:spacing w:after="0"/>
        <w:rPr>
          <w:rFonts w:asciiTheme="minorHAnsi" w:hAnsiTheme="minorHAnsi"/>
          <w:lang w:val="en-GB"/>
        </w:rPr>
      </w:pPr>
      <w:r w:rsidRPr="006E7ACC">
        <w:rPr>
          <w:rFonts w:asciiTheme="minorHAnsi" w:hAnsiTheme="minorHAnsi"/>
          <w:b/>
          <w:bCs/>
          <w:lang w:val="en-GB"/>
        </w:rPr>
        <w:t>Draft Resolution 48 (Rev. Busan, 2014) – Human resources management and development</w:t>
      </w:r>
    </w:p>
    <w:p w:rsidR="00557A80" w:rsidRPr="006E7ACC" w:rsidRDefault="006E7ACC" w:rsidP="00A93C31">
      <w:pPr>
        <w:pStyle w:val="western"/>
        <w:spacing w:after="0"/>
        <w:rPr>
          <w:rFonts w:asciiTheme="minorHAnsi" w:hAnsiTheme="minorHAnsi"/>
          <w:lang w:val="en-GB"/>
        </w:rPr>
      </w:pPr>
      <w:r w:rsidRPr="006E7ACC">
        <w:rPr>
          <w:rFonts w:asciiTheme="minorHAnsi" w:hAnsiTheme="minorHAnsi"/>
          <w:lang w:val="en-GB"/>
        </w:rPr>
        <w:t>3.1</w:t>
      </w:r>
      <w:r w:rsidRPr="006E7ACC">
        <w:rPr>
          <w:rFonts w:asciiTheme="minorHAnsi" w:hAnsiTheme="minorHAnsi"/>
          <w:lang w:val="en-GB"/>
        </w:rPr>
        <w:tab/>
      </w:r>
      <w:r w:rsidR="00557A80" w:rsidRPr="006E7ACC">
        <w:rPr>
          <w:rFonts w:asciiTheme="minorHAnsi" w:hAnsiTheme="minorHAnsi"/>
          <w:lang w:val="en-GB"/>
        </w:rPr>
        <w:t xml:space="preserve">The </w:t>
      </w:r>
      <w:r w:rsidR="00557A80" w:rsidRPr="006E7ACC">
        <w:rPr>
          <w:rFonts w:asciiTheme="minorHAnsi" w:hAnsiTheme="minorHAnsi"/>
          <w:b/>
          <w:bCs/>
          <w:lang w:val="en-GB"/>
        </w:rPr>
        <w:t>delegate of Saudi Arabia</w:t>
      </w:r>
      <w:r w:rsidR="00557A80" w:rsidRPr="006E7ACC">
        <w:rPr>
          <w:rFonts w:asciiTheme="minorHAnsi" w:hAnsiTheme="minorHAnsi"/>
          <w:lang w:val="en-GB"/>
        </w:rPr>
        <w:t xml:space="preserve"> proposed to replace “should be compatible” with “</w:t>
      </w:r>
      <w:r w:rsidRPr="006E7ACC">
        <w:rPr>
          <w:rFonts w:asciiTheme="minorHAnsi" w:hAnsiTheme="minorHAnsi"/>
          <w:lang w:val="en-GB"/>
        </w:rPr>
        <w:t xml:space="preserve">should </w:t>
      </w:r>
      <w:r w:rsidR="00557A80" w:rsidRPr="006E7ACC">
        <w:rPr>
          <w:rFonts w:asciiTheme="minorHAnsi" w:hAnsiTheme="minorHAnsi"/>
          <w:lang w:val="en-GB"/>
        </w:rPr>
        <w:t xml:space="preserve">continue to be compatible” in </w:t>
      </w:r>
      <w:r w:rsidR="00557A80" w:rsidRPr="006E7ACC">
        <w:rPr>
          <w:rFonts w:asciiTheme="minorHAnsi" w:hAnsiTheme="minorHAnsi"/>
          <w:i/>
          <w:iCs/>
          <w:lang w:val="en-GB"/>
        </w:rPr>
        <w:t xml:space="preserve">resolves </w:t>
      </w:r>
      <w:r w:rsidR="000B1ED3">
        <w:rPr>
          <w:rFonts w:asciiTheme="minorHAnsi" w:hAnsiTheme="minorHAnsi"/>
          <w:lang w:val="en-GB"/>
        </w:rPr>
        <w:t>1,</w:t>
      </w:r>
      <w:r w:rsidR="00557A80" w:rsidRPr="006E7ACC">
        <w:rPr>
          <w:rFonts w:asciiTheme="minorHAnsi" w:hAnsiTheme="minorHAnsi"/>
          <w:lang w:val="en-GB"/>
        </w:rPr>
        <w:t xml:space="preserve"> </w:t>
      </w:r>
      <w:r w:rsidR="000B1ED3">
        <w:rPr>
          <w:rFonts w:asciiTheme="minorHAnsi" w:hAnsiTheme="minorHAnsi"/>
          <w:lang w:val="en-GB"/>
        </w:rPr>
        <w:t>in order to make it clear</w:t>
      </w:r>
      <w:r w:rsidR="00557A80" w:rsidRPr="006E7ACC">
        <w:rPr>
          <w:rFonts w:asciiTheme="minorHAnsi" w:hAnsiTheme="minorHAnsi"/>
          <w:lang w:val="en-GB"/>
        </w:rPr>
        <w:t xml:space="preserve"> that the management and development of ITU’s human resources had up to now been compatible with the goals and activities of the Union, which should continue to be the case.</w:t>
      </w:r>
    </w:p>
    <w:p w:rsidR="00557A80" w:rsidRPr="006E7ACC" w:rsidRDefault="006E7ACC" w:rsidP="00A93C31">
      <w:pPr>
        <w:pStyle w:val="western"/>
        <w:spacing w:after="0"/>
        <w:rPr>
          <w:rFonts w:asciiTheme="minorHAnsi" w:hAnsiTheme="minorHAnsi"/>
          <w:lang w:val="en-GB"/>
        </w:rPr>
      </w:pPr>
      <w:r w:rsidRPr="006E7ACC">
        <w:rPr>
          <w:rFonts w:asciiTheme="minorHAnsi" w:hAnsiTheme="minorHAnsi"/>
          <w:lang w:val="en-GB"/>
        </w:rPr>
        <w:t>3.2</w:t>
      </w:r>
      <w:r w:rsidRPr="006E7ACC">
        <w:rPr>
          <w:rFonts w:asciiTheme="minorHAnsi" w:hAnsiTheme="minorHAnsi"/>
          <w:lang w:val="en-GB"/>
        </w:rPr>
        <w:tab/>
      </w:r>
      <w:r w:rsidR="00557A80" w:rsidRPr="006E7ACC">
        <w:rPr>
          <w:rFonts w:asciiTheme="minorHAnsi" w:hAnsiTheme="minorHAnsi"/>
          <w:lang w:val="en-GB"/>
        </w:rPr>
        <w:t xml:space="preserve">The </w:t>
      </w:r>
      <w:r w:rsidR="00557A80" w:rsidRPr="006E7ACC">
        <w:rPr>
          <w:rFonts w:asciiTheme="minorHAnsi" w:hAnsiTheme="minorHAnsi"/>
          <w:b/>
          <w:bCs/>
          <w:lang w:val="en-GB"/>
        </w:rPr>
        <w:t>Chairman of Committee 6</w:t>
      </w:r>
      <w:r w:rsidR="00557A80" w:rsidRPr="006E7ACC">
        <w:rPr>
          <w:rFonts w:asciiTheme="minorHAnsi" w:hAnsiTheme="minorHAnsi"/>
          <w:lang w:val="en-GB"/>
        </w:rPr>
        <w:t xml:space="preserve"> </w:t>
      </w:r>
      <w:r w:rsidR="000B1ED3">
        <w:rPr>
          <w:rFonts w:asciiTheme="minorHAnsi" w:hAnsiTheme="minorHAnsi"/>
          <w:lang w:val="en-GB"/>
        </w:rPr>
        <w:t>endorsed t</w:t>
      </w:r>
      <w:r w:rsidR="00557A80" w:rsidRPr="006E7ACC">
        <w:rPr>
          <w:rFonts w:asciiTheme="minorHAnsi" w:hAnsiTheme="minorHAnsi"/>
          <w:lang w:val="en-GB"/>
        </w:rPr>
        <w:t xml:space="preserve">he </w:t>
      </w:r>
      <w:r w:rsidRPr="006E7ACC">
        <w:rPr>
          <w:rFonts w:asciiTheme="minorHAnsi" w:hAnsiTheme="minorHAnsi"/>
          <w:lang w:val="en-GB"/>
        </w:rPr>
        <w:t>proposed amendment</w:t>
      </w:r>
      <w:r w:rsidR="00557A80" w:rsidRPr="006E7ACC">
        <w:rPr>
          <w:rFonts w:asciiTheme="minorHAnsi" w:hAnsiTheme="minorHAnsi"/>
          <w:lang w:val="en-GB"/>
        </w:rPr>
        <w:t>.</w:t>
      </w:r>
    </w:p>
    <w:p w:rsidR="00557A80" w:rsidRPr="006E7ACC" w:rsidRDefault="000B1ED3" w:rsidP="00A93C31">
      <w:pPr>
        <w:pStyle w:val="western"/>
        <w:spacing w:after="0"/>
        <w:rPr>
          <w:rFonts w:asciiTheme="minorHAnsi" w:hAnsiTheme="minorHAnsi"/>
          <w:lang w:val="en-GB"/>
        </w:rPr>
      </w:pPr>
      <w:r>
        <w:rPr>
          <w:rFonts w:asciiTheme="minorHAnsi" w:hAnsiTheme="minorHAnsi"/>
          <w:lang w:val="en-GB"/>
        </w:rPr>
        <w:t>3.3</w:t>
      </w:r>
      <w:r w:rsidR="006E7ACC" w:rsidRPr="006E7ACC">
        <w:rPr>
          <w:rFonts w:asciiTheme="minorHAnsi" w:hAnsiTheme="minorHAnsi"/>
          <w:lang w:val="en-GB"/>
        </w:rPr>
        <w:tab/>
      </w:r>
      <w:r w:rsidR="00557A80" w:rsidRPr="006E7ACC">
        <w:rPr>
          <w:rFonts w:asciiTheme="minorHAnsi" w:hAnsiTheme="minorHAnsi"/>
          <w:lang w:val="en-GB"/>
        </w:rPr>
        <w:t xml:space="preserve">Draft Resolution 48 (Rev. Busan, 2014), as amended, was </w:t>
      </w:r>
      <w:r w:rsidR="00557A80" w:rsidRPr="006E7ACC">
        <w:rPr>
          <w:rFonts w:asciiTheme="minorHAnsi" w:hAnsiTheme="minorHAnsi"/>
          <w:b/>
          <w:bCs/>
          <w:lang w:val="en-GB"/>
        </w:rPr>
        <w:t>adopted</w:t>
      </w:r>
      <w:r w:rsidR="00557A80" w:rsidRPr="006E7ACC">
        <w:rPr>
          <w:rFonts w:asciiTheme="minorHAnsi" w:hAnsiTheme="minorHAnsi"/>
          <w:lang w:val="en-GB"/>
        </w:rPr>
        <w:t>.</w:t>
      </w:r>
    </w:p>
    <w:p w:rsidR="00557A80" w:rsidRPr="006E7ACC" w:rsidRDefault="00557A80" w:rsidP="00A93C31">
      <w:pPr>
        <w:pStyle w:val="western"/>
        <w:spacing w:after="0"/>
        <w:rPr>
          <w:rFonts w:asciiTheme="minorHAnsi" w:hAnsiTheme="minorHAnsi"/>
          <w:lang w:val="en-GB"/>
        </w:rPr>
      </w:pPr>
      <w:r w:rsidRPr="006E7ACC">
        <w:rPr>
          <w:rFonts w:asciiTheme="minorHAnsi" w:hAnsiTheme="minorHAnsi"/>
          <w:b/>
          <w:bCs/>
          <w:lang w:val="en-GB"/>
        </w:rPr>
        <w:t>Draft Resolution 152 (Rev. Busan, 2014) – Improvement of management and follow-up of the defrayal of ITU expenses by Sector Members and Associates</w:t>
      </w:r>
    </w:p>
    <w:p w:rsidR="00557A80" w:rsidRPr="006E7ACC" w:rsidRDefault="00557A80" w:rsidP="00A93C31">
      <w:pPr>
        <w:pStyle w:val="western"/>
        <w:spacing w:after="0"/>
        <w:rPr>
          <w:rFonts w:asciiTheme="minorHAnsi" w:hAnsiTheme="minorHAnsi"/>
          <w:lang w:val="en-GB"/>
        </w:rPr>
      </w:pPr>
      <w:r w:rsidRPr="006E7ACC">
        <w:rPr>
          <w:rFonts w:asciiTheme="minorHAnsi" w:hAnsiTheme="minorHAnsi"/>
          <w:b/>
          <w:bCs/>
          <w:lang w:val="en-GB"/>
        </w:rPr>
        <w:t>Draft Resolution 158 (Rev. Busan, 2014) – Financial issues for consideration by the Council</w:t>
      </w:r>
    </w:p>
    <w:p w:rsidR="00557A80" w:rsidRPr="006E7ACC" w:rsidRDefault="00557A80" w:rsidP="00A93C31">
      <w:pPr>
        <w:pStyle w:val="western"/>
        <w:spacing w:after="0"/>
        <w:rPr>
          <w:rFonts w:asciiTheme="minorHAnsi" w:hAnsiTheme="minorHAnsi"/>
          <w:lang w:val="en-GB"/>
        </w:rPr>
      </w:pPr>
      <w:r w:rsidRPr="006E7ACC">
        <w:rPr>
          <w:rFonts w:asciiTheme="minorHAnsi" w:hAnsiTheme="minorHAnsi"/>
          <w:b/>
          <w:bCs/>
          <w:lang w:val="en-GB"/>
        </w:rPr>
        <w:t>Draft Resolution 170 (Rev. Busan, 2014) – Admission of Sector Members from developing countries to participate in the work of the ITU Radiocommunication Sector and the ITU Telecommunication Standardization Sector</w:t>
      </w:r>
    </w:p>
    <w:p w:rsidR="00557A80" w:rsidRPr="006E7ACC" w:rsidRDefault="000B1ED3" w:rsidP="00A93C31">
      <w:pPr>
        <w:pStyle w:val="western"/>
        <w:spacing w:after="0"/>
        <w:rPr>
          <w:rFonts w:asciiTheme="minorHAnsi" w:hAnsiTheme="minorHAnsi"/>
          <w:lang w:val="en-GB"/>
        </w:rPr>
      </w:pPr>
      <w:r>
        <w:rPr>
          <w:rFonts w:asciiTheme="minorHAnsi" w:hAnsiTheme="minorHAnsi"/>
          <w:b/>
          <w:bCs/>
          <w:lang w:val="en-GB"/>
        </w:rPr>
        <w:lastRenderedPageBreak/>
        <w:t>Draft Resolution COM</w:t>
      </w:r>
      <w:r w:rsidR="00557A80" w:rsidRPr="006E7ACC">
        <w:rPr>
          <w:rFonts w:asciiTheme="minorHAnsi" w:hAnsiTheme="minorHAnsi"/>
          <w:b/>
          <w:bCs/>
          <w:lang w:val="en-GB"/>
        </w:rPr>
        <w:t>5/3 (Busan, 2014) – Review of the current methodologies and development of a future vision for the participation of Sector Members, Associates and Academia in the activities of ITU</w:t>
      </w:r>
    </w:p>
    <w:p w:rsidR="00557A80" w:rsidRPr="006E7ACC" w:rsidRDefault="000B1ED3" w:rsidP="00A93C31">
      <w:pPr>
        <w:pStyle w:val="western"/>
        <w:spacing w:after="0"/>
        <w:rPr>
          <w:rFonts w:asciiTheme="minorHAnsi" w:hAnsiTheme="minorHAnsi"/>
          <w:lang w:val="en-GB"/>
        </w:rPr>
      </w:pPr>
      <w:r>
        <w:rPr>
          <w:rFonts w:asciiTheme="minorHAnsi" w:hAnsiTheme="minorHAnsi"/>
          <w:lang w:val="en-GB"/>
        </w:rPr>
        <w:t>3.4</w:t>
      </w:r>
      <w:r w:rsidR="006E7ACC" w:rsidRPr="006E7ACC">
        <w:rPr>
          <w:rFonts w:asciiTheme="minorHAnsi" w:hAnsiTheme="minorHAnsi"/>
          <w:lang w:val="en-GB"/>
        </w:rPr>
        <w:tab/>
      </w:r>
      <w:r w:rsidR="00557A80" w:rsidRPr="006E7ACC">
        <w:rPr>
          <w:rFonts w:asciiTheme="minorHAnsi" w:hAnsiTheme="minorHAnsi"/>
          <w:b/>
          <w:bCs/>
          <w:lang w:val="en-GB"/>
        </w:rPr>
        <w:t>Adopted.</w:t>
      </w:r>
    </w:p>
    <w:p w:rsidR="00557A80" w:rsidRPr="006E7ACC" w:rsidRDefault="000B1ED3" w:rsidP="00A93C31">
      <w:pPr>
        <w:pStyle w:val="western"/>
        <w:spacing w:after="0"/>
        <w:rPr>
          <w:rFonts w:asciiTheme="minorHAnsi" w:hAnsiTheme="minorHAnsi"/>
          <w:lang w:val="en-GB"/>
        </w:rPr>
      </w:pPr>
      <w:r>
        <w:rPr>
          <w:rFonts w:asciiTheme="minorHAnsi" w:hAnsiTheme="minorHAnsi"/>
          <w:lang w:val="en-GB"/>
        </w:rPr>
        <w:t>3.5</w:t>
      </w:r>
      <w:r w:rsidR="006E7ACC" w:rsidRPr="006E7ACC">
        <w:rPr>
          <w:rFonts w:asciiTheme="minorHAnsi" w:hAnsiTheme="minorHAnsi"/>
          <w:lang w:val="en-GB"/>
        </w:rPr>
        <w:tab/>
      </w:r>
      <w:r w:rsidR="00557A80" w:rsidRPr="006E7ACC">
        <w:rPr>
          <w:rFonts w:asciiTheme="minorHAnsi" w:hAnsiTheme="minorHAnsi"/>
          <w:lang w:val="en-GB"/>
        </w:rPr>
        <w:t>The seventh series of texts submitted by the Editorial Committee for first reading (B7) (Document 147), as amended, was</w:t>
      </w:r>
      <w:r w:rsidR="00557A80" w:rsidRPr="006E7ACC">
        <w:rPr>
          <w:rFonts w:asciiTheme="minorHAnsi" w:hAnsiTheme="minorHAnsi"/>
          <w:b/>
          <w:bCs/>
          <w:lang w:val="en-GB"/>
        </w:rPr>
        <w:t xml:space="preserve"> approved.</w:t>
      </w:r>
    </w:p>
    <w:p w:rsidR="00557A80" w:rsidRPr="00A93C31" w:rsidRDefault="006E7ACC" w:rsidP="00A93C31">
      <w:pPr>
        <w:pStyle w:val="western"/>
        <w:spacing w:after="0"/>
        <w:ind w:left="720" w:hanging="720"/>
        <w:rPr>
          <w:rFonts w:asciiTheme="minorHAnsi" w:hAnsiTheme="minorHAnsi"/>
          <w:sz w:val="28"/>
          <w:szCs w:val="28"/>
          <w:lang w:val="en-GB"/>
        </w:rPr>
      </w:pPr>
      <w:r w:rsidRPr="00A93C31">
        <w:rPr>
          <w:rFonts w:asciiTheme="minorHAnsi" w:hAnsiTheme="minorHAnsi"/>
          <w:b/>
          <w:bCs/>
          <w:sz w:val="28"/>
          <w:szCs w:val="28"/>
          <w:lang w:val="en-GB"/>
        </w:rPr>
        <w:t>4</w:t>
      </w:r>
      <w:r w:rsidRPr="00A93C31">
        <w:rPr>
          <w:rFonts w:asciiTheme="minorHAnsi" w:hAnsiTheme="minorHAnsi"/>
          <w:b/>
          <w:bCs/>
          <w:sz w:val="28"/>
          <w:szCs w:val="28"/>
          <w:lang w:val="en-GB"/>
        </w:rPr>
        <w:tab/>
      </w:r>
      <w:r w:rsidR="00557A80" w:rsidRPr="00A93C31">
        <w:rPr>
          <w:rFonts w:asciiTheme="minorHAnsi" w:hAnsiTheme="minorHAnsi"/>
          <w:b/>
          <w:bCs/>
          <w:sz w:val="28"/>
          <w:szCs w:val="28"/>
          <w:lang w:val="en-GB"/>
        </w:rPr>
        <w:t>Seventh series of texts submitted by the Editorial Committee - second reading (Document 147)</w:t>
      </w:r>
    </w:p>
    <w:p w:rsidR="00557A80" w:rsidRPr="006E7ACC" w:rsidRDefault="006E7ACC" w:rsidP="00A93C31">
      <w:pPr>
        <w:pStyle w:val="western"/>
        <w:spacing w:after="0"/>
        <w:rPr>
          <w:rFonts w:asciiTheme="minorHAnsi" w:hAnsiTheme="minorHAnsi"/>
          <w:lang w:val="en-GB"/>
        </w:rPr>
      </w:pPr>
      <w:r w:rsidRPr="006E7ACC">
        <w:rPr>
          <w:rFonts w:asciiTheme="minorHAnsi" w:hAnsiTheme="minorHAnsi"/>
          <w:lang w:val="en-GB"/>
        </w:rPr>
        <w:t>4.1</w:t>
      </w:r>
      <w:r w:rsidRPr="006E7ACC">
        <w:rPr>
          <w:rFonts w:asciiTheme="minorHAnsi" w:hAnsiTheme="minorHAnsi"/>
          <w:lang w:val="en-GB"/>
        </w:rPr>
        <w:tab/>
      </w:r>
      <w:r w:rsidR="00557A80" w:rsidRPr="006E7ACC">
        <w:rPr>
          <w:rFonts w:asciiTheme="minorHAnsi" w:hAnsiTheme="minorHAnsi"/>
          <w:lang w:val="en-GB"/>
        </w:rPr>
        <w:t>The seventh series of texts submitted by the Editorial Committee (Document 147), as amended on first reading, was</w:t>
      </w:r>
      <w:r w:rsidR="00557A80" w:rsidRPr="006E7ACC">
        <w:rPr>
          <w:rFonts w:asciiTheme="minorHAnsi" w:hAnsiTheme="minorHAnsi"/>
          <w:b/>
          <w:bCs/>
          <w:lang w:val="en-GB"/>
        </w:rPr>
        <w:t xml:space="preserve"> approved</w:t>
      </w:r>
      <w:r w:rsidR="000B1ED3">
        <w:rPr>
          <w:rFonts w:asciiTheme="minorHAnsi" w:hAnsiTheme="minorHAnsi"/>
          <w:lang w:val="en-GB"/>
        </w:rPr>
        <w:t xml:space="preserve"> on second reading</w:t>
      </w:r>
      <w:r w:rsidR="00557A80" w:rsidRPr="006E7ACC">
        <w:rPr>
          <w:rFonts w:asciiTheme="minorHAnsi" w:hAnsiTheme="minorHAnsi"/>
          <w:b/>
          <w:bCs/>
          <w:lang w:val="en-GB"/>
        </w:rPr>
        <w:t>.</w:t>
      </w:r>
    </w:p>
    <w:p w:rsidR="00557A80" w:rsidRPr="00A93C31" w:rsidRDefault="006E7ACC" w:rsidP="00A93C31">
      <w:pPr>
        <w:pStyle w:val="western"/>
        <w:spacing w:after="0"/>
        <w:ind w:left="720" w:hanging="720"/>
        <w:rPr>
          <w:rFonts w:asciiTheme="minorHAnsi" w:hAnsiTheme="minorHAnsi"/>
          <w:sz w:val="28"/>
          <w:szCs w:val="28"/>
          <w:lang w:val="en-GB"/>
        </w:rPr>
      </w:pPr>
      <w:r w:rsidRPr="00A93C31">
        <w:rPr>
          <w:rFonts w:asciiTheme="minorHAnsi" w:hAnsiTheme="minorHAnsi"/>
          <w:b/>
          <w:bCs/>
          <w:sz w:val="28"/>
          <w:szCs w:val="28"/>
          <w:lang w:val="en-GB"/>
        </w:rPr>
        <w:t>5</w:t>
      </w:r>
      <w:r w:rsidRPr="00A93C31">
        <w:rPr>
          <w:rFonts w:asciiTheme="minorHAnsi" w:hAnsiTheme="minorHAnsi"/>
          <w:b/>
          <w:bCs/>
          <w:sz w:val="28"/>
          <w:szCs w:val="28"/>
          <w:lang w:val="en-GB"/>
        </w:rPr>
        <w:tab/>
      </w:r>
      <w:r w:rsidR="00557A80" w:rsidRPr="00A93C31">
        <w:rPr>
          <w:rFonts w:asciiTheme="minorHAnsi" w:hAnsiTheme="minorHAnsi"/>
          <w:b/>
          <w:bCs/>
          <w:sz w:val="28"/>
          <w:szCs w:val="28"/>
          <w:lang w:val="en-GB"/>
        </w:rPr>
        <w:t>Eighth series of texts submitted by the Editorial Committee for first reading (B8) (Document 153)</w:t>
      </w:r>
    </w:p>
    <w:p w:rsidR="00557A80" w:rsidRPr="006E7ACC" w:rsidRDefault="00557A80" w:rsidP="00A93C31">
      <w:pPr>
        <w:pStyle w:val="western"/>
        <w:spacing w:after="0"/>
        <w:rPr>
          <w:rFonts w:asciiTheme="minorHAnsi" w:hAnsiTheme="minorHAnsi"/>
          <w:lang w:val="en-GB"/>
        </w:rPr>
      </w:pPr>
      <w:r w:rsidRPr="006E7ACC">
        <w:rPr>
          <w:rFonts w:asciiTheme="minorHAnsi" w:hAnsiTheme="minorHAnsi"/>
          <w:b/>
          <w:bCs/>
          <w:lang w:val="en-GB"/>
        </w:rPr>
        <w:t>Draft Decision COM6/2 (Busan, 2014) – Use of hyperlinks in ITU documents</w:t>
      </w:r>
    </w:p>
    <w:p w:rsidR="00557A80" w:rsidRPr="006E7ACC" w:rsidRDefault="00557A80" w:rsidP="00A93C31">
      <w:pPr>
        <w:pStyle w:val="western"/>
        <w:spacing w:after="0"/>
        <w:rPr>
          <w:rFonts w:asciiTheme="minorHAnsi" w:hAnsiTheme="minorHAnsi"/>
          <w:lang w:val="en-GB"/>
        </w:rPr>
      </w:pPr>
      <w:r w:rsidRPr="006E7ACC">
        <w:rPr>
          <w:rFonts w:asciiTheme="minorHAnsi" w:hAnsiTheme="minorHAnsi"/>
          <w:b/>
          <w:bCs/>
          <w:lang w:val="en-GB"/>
        </w:rPr>
        <w:t>Draft Resolution 58 (Rev. Busan, 2014) – Strengthening of relations between ITU and regional telecommunication organizations and regional preparations for the Plenipotentiary Conference</w:t>
      </w:r>
    </w:p>
    <w:p w:rsidR="00557A80" w:rsidRPr="006E7ACC" w:rsidRDefault="00557A80" w:rsidP="00A93C31">
      <w:pPr>
        <w:pStyle w:val="western"/>
        <w:spacing w:after="0"/>
        <w:rPr>
          <w:rFonts w:asciiTheme="minorHAnsi" w:hAnsiTheme="minorHAnsi"/>
          <w:lang w:val="en-GB"/>
        </w:rPr>
      </w:pPr>
      <w:r w:rsidRPr="006E7ACC">
        <w:rPr>
          <w:rFonts w:asciiTheme="minorHAnsi" w:hAnsiTheme="minorHAnsi"/>
          <w:b/>
          <w:bCs/>
          <w:lang w:val="en-GB"/>
        </w:rPr>
        <w:t>Draft Resolution 77 (Rev. Busan, 2014) – Scheduling and duration of conferences, forums, assemblies and Council sessions of the Union (2015-2019)</w:t>
      </w:r>
    </w:p>
    <w:p w:rsidR="00557A80" w:rsidRPr="006E7ACC" w:rsidRDefault="006E7ACC" w:rsidP="00A93C31">
      <w:pPr>
        <w:pStyle w:val="western"/>
        <w:spacing w:after="0"/>
        <w:rPr>
          <w:rFonts w:asciiTheme="minorHAnsi" w:hAnsiTheme="minorHAnsi"/>
          <w:lang w:val="en-GB"/>
        </w:rPr>
      </w:pPr>
      <w:r w:rsidRPr="006E7ACC">
        <w:rPr>
          <w:rFonts w:asciiTheme="minorHAnsi" w:hAnsiTheme="minorHAnsi"/>
          <w:lang w:val="en-GB"/>
        </w:rPr>
        <w:t>5.1</w:t>
      </w:r>
      <w:r w:rsidRPr="006E7ACC">
        <w:rPr>
          <w:rFonts w:asciiTheme="minorHAnsi" w:hAnsiTheme="minorHAnsi"/>
          <w:lang w:val="en-GB"/>
        </w:rPr>
        <w:tab/>
      </w:r>
      <w:r w:rsidR="00557A80" w:rsidRPr="006E7ACC">
        <w:rPr>
          <w:rFonts w:asciiTheme="minorHAnsi" w:hAnsiTheme="minorHAnsi"/>
          <w:b/>
          <w:bCs/>
          <w:lang w:val="en-GB"/>
        </w:rPr>
        <w:t>Adopted.</w:t>
      </w:r>
    </w:p>
    <w:p w:rsidR="00557A80" w:rsidRPr="006E7ACC" w:rsidRDefault="00557A80" w:rsidP="00A93C31">
      <w:pPr>
        <w:pStyle w:val="western"/>
        <w:spacing w:after="0"/>
        <w:rPr>
          <w:rFonts w:asciiTheme="minorHAnsi" w:hAnsiTheme="minorHAnsi"/>
          <w:lang w:val="en-GB"/>
        </w:rPr>
      </w:pPr>
      <w:r w:rsidRPr="006E7ACC">
        <w:rPr>
          <w:rFonts w:asciiTheme="minorHAnsi" w:hAnsiTheme="minorHAnsi"/>
          <w:b/>
          <w:bCs/>
          <w:lang w:val="en-GB"/>
        </w:rPr>
        <w:t>Draft Resolution 111 (Rev. Busan, 2014) – Considering major religious periods in the scheduling of ITU conferences, assemblies and Council sessions</w:t>
      </w:r>
    </w:p>
    <w:p w:rsidR="00557A80" w:rsidRPr="006E7ACC" w:rsidRDefault="006E7ACC" w:rsidP="00A93C31">
      <w:pPr>
        <w:pStyle w:val="western"/>
        <w:spacing w:after="0"/>
        <w:rPr>
          <w:rFonts w:asciiTheme="minorHAnsi" w:hAnsiTheme="minorHAnsi"/>
          <w:lang w:val="en-GB"/>
        </w:rPr>
      </w:pPr>
      <w:r w:rsidRPr="006E7ACC">
        <w:rPr>
          <w:rFonts w:asciiTheme="minorHAnsi" w:hAnsiTheme="minorHAnsi"/>
          <w:lang w:val="en-GB"/>
        </w:rPr>
        <w:t>5.2</w:t>
      </w:r>
      <w:r w:rsidRPr="006E7ACC">
        <w:rPr>
          <w:rFonts w:asciiTheme="minorHAnsi" w:hAnsiTheme="minorHAnsi"/>
          <w:lang w:val="en-GB"/>
        </w:rPr>
        <w:tab/>
      </w:r>
      <w:r w:rsidR="00557A80" w:rsidRPr="006E7ACC">
        <w:rPr>
          <w:rFonts w:asciiTheme="minorHAnsi" w:hAnsiTheme="minorHAnsi"/>
          <w:lang w:val="en-GB"/>
        </w:rPr>
        <w:t xml:space="preserve">The </w:t>
      </w:r>
      <w:r w:rsidR="00557A80" w:rsidRPr="006E7ACC">
        <w:rPr>
          <w:rFonts w:asciiTheme="minorHAnsi" w:hAnsiTheme="minorHAnsi"/>
          <w:b/>
          <w:bCs/>
          <w:lang w:val="en-GB"/>
        </w:rPr>
        <w:t>delegate of Jamaica</w:t>
      </w:r>
      <w:r w:rsidR="00557A80" w:rsidRPr="006E7ACC">
        <w:rPr>
          <w:rFonts w:asciiTheme="minorHAnsi" w:hAnsiTheme="minorHAnsi"/>
          <w:lang w:val="en-GB"/>
        </w:rPr>
        <w:t xml:space="preserve"> said that reference to “Council sessions” should also be made in </w:t>
      </w:r>
      <w:r w:rsidR="00557A80" w:rsidRPr="006E7ACC">
        <w:rPr>
          <w:rFonts w:asciiTheme="minorHAnsi" w:hAnsiTheme="minorHAnsi"/>
          <w:i/>
          <w:iCs/>
          <w:lang w:val="en-GB"/>
        </w:rPr>
        <w:t>having considered b)</w:t>
      </w:r>
      <w:r w:rsidR="00557A80" w:rsidRPr="006E7ACC">
        <w:rPr>
          <w:rFonts w:asciiTheme="minorHAnsi" w:hAnsiTheme="minorHAnsi"/>
          <w:lang w:val="en-GB"/>
        </w:rPr>
        <w:t xml:space="preserve"> and </w:t>
      </w:r>
      <w:r w:rsidR="00557A80" w:rsidRPr="006E7ACC">
        <w:rPr>
          <w:rFonts w:asciiTheme="minorHAnsi" w:hAnsiTheme="minorHAnsi"/>
          <w:i/>
          <w:iCs/>
          <w:lang w:val="en-GB"/>
        </w:rPr>
        <w:t>c)</w:t>
      </w:r>
      <w:r w:rsidR="00557A80" w:rsidRPr="006E7ACC">
        <w:rPr>
          <w:rFonts w:asciiTheme="minorHAnsi" w:hAnsiTheme="minorHAnsi"/>
          <w:lang w:val="en-GB"/>
        </w:rPr>
        <w:t xml:space="preserve">. </w:t>
      </w:r>
    </w:p>
    <w:p w:rsidR="00557A80" w:rsidRPr="006E7ACC" w:rsidRDefault="006E7ACC" w:rsidP="00A93C31">
      <w:pPr>
        <w:pStyle w:val="western"/>
        <w:spacing w:after="0"/>
        <w:rPr>
          <w:rFonts w:asciiTheme="minorHAnsi" w:hAnsiTheme="minorHAnsi"/>
          <w:lang w:val="en-GB"/>
        </w:rPr>
      </w:pPr>
      <w:r w:rsidRPr="006E7ACC">
        <w:rPr>
          <w:rFonts w:asciiTheme="minorHAnsi" w:hAnsiTheme="minorHAnsi"/>
          <w:lang w:val="en-GB"/>
        </w:rPr>
        <w:t>5.3</w:t>
      </w:r>
      <w:r w:rsidRPr="006E7ACC">
        <w:rPr>
          <w:rFonts w:asciiTheme="minorHAnsi" w:hAnsiTheme="minorHAnsi"/>
          <w:lang w:val="en-GB"/>
        </w:rPr>
        <w:tab/>
      </w:r>
      <w:r w:rsidR="00557A80" w:rsidRPr="006E7ACC">
        <w:rPr>
          <w:rFonts w:asciiTheme="minorHAnsi" w:hAnsiTheme="minorHAnsi"/>
          <w:lang w:val="en-GB"/>
        </w:rPr>
        <w:t xml:space="preserve">It was so </w:t>
      </w:r>
      <w:r w:rsidR="00557A80" w:rsidRPr="006E7ACC">
        <w:rPr>
          <w:rFonts w:asciiTheme="minorHAnsi" w:hAnsiTheme="minorHAnsi"/>
          <w:b/>
          <w:bCs/>
          <w:lang w:val="en-GB"/>
        </w:rPr>
        <w:t>agreed</w:t>
      </w:r>
      <w:r w:rsidR="00557A80" w:rsidRPr="006E7ACC">
        <w:rPr>
          <w:rFonts w:asciiTheme="minorHAnsi" w:hAnsiTheme="minorHAnsi"/>
          <w:lang w:val="en-GB"/>
        </w:rPr>
        <w:t>.</w:t>
      </w:r>
    </w:p>
    <w:p w:rsidR="00557A80" w:rsidRPr="006E7ACC" w:rsidRDefault="006E7ACC" w:rsidP="00A93C31">
      <w:pPr>
        <w:pStyle w:val="western"/>
        <w:spacing w:after="0"/>
        <w:rPr>
          <w:rFonts w:asciiTheme="minorHAnsi" w:hAnsiTheme="minorHAnsi"/>
          <w:lang w:val="en-GB"/>
        </w:rPr>
      </w:pPr>
      <w:r w:rsidRPr="006E7ACC">
        <w:rPr>
          <w:rFonts w:asciiTheme="minorHAnsi" w:hAnsiTheme="minorHAnsi"/>
          <w:lang w:val="en-GB"/>
        </w:rPr>
        <w:t>5.4</w:t>
      </w:r>
      <w:r w:rsidRPr="006E7ACC">
        <w:rPr>
          <w:rFonts w:asciiTheme="minorHAnsi" w:hAnsiTheme="minorHAnsi"/>
          <w:lang w:val="en-GB"/>
        </w:rPr>
        <w:tab/>
      </w:r>
      <w:r w:rsidR="00557A80" w:rsidRPr="006E7ACC">
        <w:rPr>
          <w:rFonts w:asciiTheme="minorHAnsi" w:hAnsiTheme="minorHAnsi"/>
          <w:lang w:val="en-GB"/>
        </w:rPr>
        <w:t>The</w:t>
      </w:r>
      <w:r w:rsidR="00557A80" w:rsidRPr="006E7ACC">
        <w:rPr>
          <w:rFonts w:asciiTheme="minorHAnsi" w:hAnsiTheme="minorHAnsi"/>
          <w:b/>
          <w:bCs/>
          <w:lang w:val="en-GB"/>
        </w:rPr>
        <w:t xml:space="preserve"> delegate of Saudi Arabia </w:t>
      </w:r>
      <w:r w:rsidR="00557A80" w:rsidRPr="006E7ACC">
        <w:rPr>
          <w:rFonts w:asciiTheme="minorHAnsi" w:hAnsiTheme="minorHAnsi"/>
          <w:lang w:val="en-GB"/>
        </w:rPr>
        <w:t xml:space="preserve">said that the words “at least for the last four days of that conference or assembly” in </w:t>
      </w:r>
      <w:r w:rsidR="00557A80" w:rsidRPr="006E7ACC">
        <w:rPr>
          <w:rFonts w:asciiTheme="minorHAnsi" w:hAnsiTheme="minorHAnsi"/>
          <w:i/>
          <w:iCs/>
          <w:lang w:val="en-GB"/>
        </w:rPr>
        <w:t>resolves 3</w:t>
      </w:r>
      <w:r w:rsidR="00557A80" w:rsidRPr="006E7ACC">
        <w:rPr>
          <w:rFonts w:asciiTheme="minorHAnsi" w:hAnsiTheme="minorHAnsi"/>
          <w:lang w:val="en-GB"/>
        </w:rPr>
        <w:t xml:space="preserve"> were not necessary and should be deleted. The </w:t>
      </w:r>
      <w:r w:rsidR="00557A80" w:rsidRPr="006E7ACC">
        <w:rPr>
          <w:rFonts w:asciiTheme="minorHAnsi" w:hAnsiTheme="minorHAnsi"/>
          <w:b/>
          <w:bCs/>
          <w:lang w:val="en-GB"/>
        </w:rPr>
        <w:t>delegate of India</w:t>
      </w:r>
      <w:r w:rsidR="00557A80" w:rsidRPr="006E7ACC">
        <w:rPr>
          <w:rFonts w:asciiTheme="minorHAnsi" w:hAnsiTheme="minorHAnsi"/>
          <w:lang w:val="en-GB"/>
        </w:rPr>
        <w:t xml:space="preserve"> endorsed that view. </w:t>
      </w:r>
    </w:p>
    <w:p w:rsidR="00557A80" w:rsidRPr="006E7ACC" w:rsidRDefault="006E7ACC" w:rsidP="00A93C31">
      <w:pPr>
        <w:pStyle w:val="western"/>
        <w:spacing w:after="0"/>
        <w:rPr>
          <w:rFonts w:asciiTheme="minorHAnsi" w:hAnsiTheme="minorHAnsi"/>
          <w:lang w:val="en-GB"/>
        </w:rPr>
      </w:pPr>
      <w:r w:rsidRPr="006E7ACC">
        <w:rPr>
          <w:rFonts w:asciiTheme="minorHAnsi" w:hAnsiTheme="minorHAnsi"/>
          <w:lang w:val="en-GB"/>
        </w:rPr>
        <w:t>5.5</w:t>
      </w:r>
      <w:r w:rsidRPr="006E7ACC">
        <w:rPr>
          <w:rFonts w:asciiTheme="minorHAnsi" w:hAnsiTheme="minorHAnsi"/>
          <w:lang w:val="en-GB"/>
        </w:rPr>
        <w:tab/>
      </w:r>
      <w:r w:rsidR="00557A80" w:rsidRPr="006E7ACC">
        <w:rPr>
          <w:rFonts w:asciiTheme="minorHAnsi" w:hAnsiTheme="minorHAnsi"/>
          <w:lang w:val="en-GB"/>
        </w:rPr>
        <w:t xml:space="preserve">It was so </w:t>
      </w:r>
      <w:r w:rsidR="00557A80" w:rsidRPr="006E7ACC">
        <w:rPr>
          <w:rFonts w:asciiTheme="minorHAnsi" w:hAnsiTheme="minorHAnsi"/>
          <w:b/>
          <w:bCs/>
          <w:lang w:val="en-GB"/>
        </w:rPr>
        <w:t>agreed</w:t>
      </w:r>
      <w:r w:rsidR="00557A80" w:rsidRPr="006E7ACC">
        <w:rPr>
          <w:rFonts w:asciiTheme="minorHAnsi" w:hAnsiTheme="minorHAnsi"/>
          <w:lang w:val="en-GB"/>
        </w:rPr>
        <w:t>.</w:t>
      </w:r>
    </w:p>
    <w:p w:rsidR="00557A80" w:rsidRPr="006E7ACC" w:rsidRDefault="006E7ACC" w:rsidP="00A93C31">
      <w:pPr>
        <w:pStyle w:val="western"/>
        <w:spacing w:after="0"/>
        <w:rPr>
          <w:rFonts w:asciiTheme="minorHAnsi" w:hAnsiTheme="minorHAnsi"/>
          <w:lang w:val="en-GB"/>
        </w:rPr>
      </w:pPr>
      <w:r w:rsidRPr="006E7ACC">
        <w:rPr>
          <w:rFonts w:asciiTheme="minorHAnsi" w:hAnsiTheme="minorHAnsi"/>
          <w:lang w:val="en-GB"/>
        </w:rPr>
        <w:t>5.6</w:t>
      </w:r>
      <w:r w:rsidRPr="006E7ACC">
        <w:rPr>
          <w:rFonts w:asciiTheme="minorHAnsi" w:hAnsiTheme="minorHAnsi"/>
          <w:lang w:val="en-GB"/>
        </w:rPr>
        <w:tab/>
      </w:r>
      <w:r w:rsidR="00557A80" w:rsidRPr="006E7ACC">
        <w:rPr>
          <w:rFonts w:asciiTheme="minorHAnsi" w:hAnsiTheme="minorHAnsi"/>
          <w:lang w:val="en-GB"/>
        </w:rPr>
        <w:t xml:space="preserve">Draft Resolution 111 (Rev. Busan, 2014), as amended, was </w:t>
      </w:r>
      <w:r w:rsidR="00557A80" w:rsidRPr="006E7ACC">
        <w:rPr>
          <w:rFonts w:asciiTheme="minorHAnsi" w:hAnsiTheme="minorHAnsi"/>
          <w:b/>
          <w:bCs/>
          <w:lang w:val="en-GB"/>
        </w:rPr>
        <w:t>adopted</w:t>
      </w:r>
      <w:r w:rsidR="00557A80" w:rsidRPr="006E7ACC">
        <w:rPr>
          <w:rFonts w:asciiTheme="minorHAnsi" w:hAnsiTheme="minorHAnsi"/>
          <w:lang w:val="en-GB"/>
        </w:rPr>
        <w:t>.</w:t>
      </w:r>
    </w:p>
    <w:p w:rsidR="00557A80" w:rsidRPr="006E7ACC" w:rsidRDefault="00557A80" w:rsidP="00A93C31">
      <w:pPr>
        <w:pStyle w:val="western"/>
        <w:spacing w:after="0"/>
        <w:rPr>
          <w:rFonts w:asciiTheme="minorHAnsi" w:hAnsiTheme="minorHAnsi"/>
          <w:lang w:val="en-GB"/>
        </w:rPr>
      </w:pPr>
      <w:r w:rsidRPr="006E7ACC">
        <w:rPr>
          <w:rFonts w:asciiTheme="minorHAnsi" w:hAnsiTheme="minorHAnsi"/>
          <w:b/>
          <w:bCs/>
          <w:lang w:val="en-GB"/>
        </w:rPr>
        <w:t>Draft Resolution 167 (Rev. Busan, 2014) – Strengthening and developing ITU capabilities for electronic meetings and means to advance the work of the Union</w:t>
      </w:r>
    </w:p>
    <w:p w:rsidR="00557A80" w:rsidRPr="006E7ACC" w:rsidRDefault="00557A80" w:rsidP="00A93C31">
      <w:pPr>
        <w:pStyle w:val="western"/>
        <w:spacing w:after="0"/>
        <w:rPr>
          <w:rFonts w:asciiTheme="minorHAnsi" w:hAnsiTheme="minorHAnsi"/>
          <w:lang w:val="en-GB"/>
        </w:rPr>
      </w:pPr>
      <w:r w:rsidRPr="006E7ACC">
        <w:rPr>
          <w:rFonts w:asciiTheme="minorHAnsi" w:hAnsiTheme="minorHAnsi"/>
          <w:b/>
          <w:bCs/>
          <w:lang w:val="en-GB"/>
        </w:rPr>
        <w:lastRenderedPageBreak/>
        <w:t>Draft Resolution 175 (Rev. Busan, 2014) – Telecommunication/information and communication technology accessibility for persons with disabilities and persons with specific needs</w:t>
      </w:r>
    </w:p>
    <w:p w:rsidR="006E7ACC" w:rsidRPr="006E7ACC" w:rsidRDefault="006E7ACC" w:rsidP="00A93C31">
      <w:pPr>
        <w:pStyle w:val="western"/>
        <w:spacing w:after="0"/>
        <w:rPr>
          <w:rFonts w:asciiTheme="minorHAnsi" w:hAnsiTheme="minorHAnsi"/>
          <w:lang w:val="en-GB"/>
        </w:rPr>
      </w:pPr>
      <w:r w:rsidRPr="006E7ACC">
        <w:rPr>
          <w:rFonts w:asciiTheme="minorHAnsi" w:hAnsiTheme="minorHAnsi"/>
          <w:lang w:val="en-GB"/>
        </w:rPr>
        <w:t>5.7</w:t>
      </w:r>
      <w:r w:rsidRPr="006E7ACC">
        <w:rPr>
          <w:rFonts w:asciiTheme="minorHAnsi" w:hAnsiTheme="minorHAnsi"/>
          <w:b/>
          <w:bCs/>
          <w:lang w:val="en-GB"/>
        </w:rPr>
        <w:tab/>
        <w:t>Adopted.</w:t>
      </w:r>
    </w:p>
    <w:p w:rsidR="00557A80" w:rsidRPr="006E7ACC" w:rsidRDefault="00557A80" w:rsidP="00A93C31">
      <w:pPr>
        <w:pStyle w:val="western"/>
        <w:spacing w:after="0"/>
        <w:rPr>
          <w:rFonts w:asciiTheme="minorHAnsi" w:hAnsiTheme="minorHAnsi"/>
          <w:lang w:val="en-GB"/>
        </w:rPr>
      </w:pPr>
      <w:r w:rsidRPr="006E7ACC">
        <w:rPr>
          <w:rFonts w:asciiTheme="minorHAnsi" w:hAnsiTheme="minorHAnsi"/>
          <w:b/>
          <w:bCs/>
          <w:lang w:val="en-GB"/>
        </w:rPr>
        <w:t>Draft Resolution WG</w:t>
      </w:r>
      <w:r w:rsidR="006E7ACC" w:rsidRPr="006E7ACC">
        <w:rPr>
          <w:rFonts w:asciiTheme="minorHAnsi" w:hAnsiTheme="minorHAnsi"/>
          <w:b/>
          <w:bCs/>
          <w:lang w:val="en-GB"/>
        </w:rPr>
        <w:t>-</w:t>
      </w:r>
      <w:r w:rsidRPr="006E7ACC">
        <w:rPr>
          <w:rFonts w:asciiTheme="minorHAnsi" w:hAnsiTheme="minorHAnsi"/>
          <w:b/>
          <w:bCs/>
          <w:lang w:val="en-GB"/>
        </w:rPr>
        <w:t>PL/6 (Busan, 2014) – Creating an enabling environment for the deployment and use of information and communication technology applications</w:t>
      </w:r>
    </w:p>
    <w:p w:rsidR="00557A80" w:rsidRPr="006E7ACC" w:rsidRDefault="006E7ACC" w:rsidP="00A93C31">
      <w:pPr>
        <w:pStyle w:val="western"/>
        <w:spacing w:after="0"/>
        <w:rPr>
          <w:rFonts w:asciiTheme="minorHAnsi" w:hAnsiTheme="minorHAnsi"/>
          <w:lang w:val="en-GB"/>
        </w:rPr>
      </w:pPr>
      <w:r w:rsidRPr="006E7ACC">
        <w:rPr>
          <w:rFonts w:asciiTheme="minorHAnsi" w:hAnsiTheme="minorHAnsi"/>
          <w:lang w:val="en-GB"/>
        </w:rPr>
        <w:t>5.8</w:t>
      </w:r>
      <w:r w:rsidRPr="006E7ACC">
        <w:rPr>
          <w:rFonts w:asciiTheme="minorHAnsi" w:hAnsiTheme="minorHAnsi"/>
          <w:lang w:val="en-GB"/>
        </w:rPr>
        <w:tab/>
      </w:r>
      <w:r w:rsidR="00557A80" w:rsidRPr="006E7ACC">
        <w:rPr>
          <w:rFonts w:asciiTheme="minorHAnsi" w:hAnsiTheme="minorHAnsi"/>
          <w:lang w:val="en-GB"/>
        </w:rPr>
        <w:t>The</w:t>
      </w:r>
      <w:r w:rsidR="00557A80" w:rsidRPr="006E7ACC">
        <w:rPr>
          <w:rFonts w:asciiTheme="minorHAnsi" w:hAnsiTheme="minorHAnsi"/>
          <w:b/>
          <w:bCs/>
          <w:lang w:val="en-GB"/>
        </w:rPr>
        <w:t xml:space="preserve"> delegate of the United Kingdom </w:t>
      </w:r>
      <w:r w:rsidR="00557A80" w:rsidRPr="006E7ACC">
        <w:rPr>
          <w:rFonts w:asciiTheme="minorHAnsi" w:hAnsiTheme="minorHAnsi"/>
          <w:lang w:val="en-GB"/>
        </w:rPr>
        <w:t xml:space="preserve">said that </w:t>
      </w:r>
      <w:r w:rsidR="007E188E">
        <w:rPr>
          <w:rFonts w:asciiTheme="minorHAnsi" w:hAnsiTheme="minorHAnsi"/>
          <w:lang w:val="en-GB"/>
        </w:rPr>
        <w:t xml:space="preserve">the </w:t>
      </w:r>
      <w:r w:rsidR="00557A80" w:rsidRPr="006E7ACC">
        <w:rPr>
          <w:rFonts w:asciiTheme="minorHAnsi" w:hAnsiTheme="minorHAnsi"/>
          <w:lang w:val="en-GB"/>
        </w:rPr>
        <w:t xml:space="preserve">CEPT </w:t>
      </w:r>
      <w:r w:rsidR="007E188E">
        <w:rPr>
          <w:rFonts w:asciiTheme="minorHAnsi" w:hAnsiTheme="minorHAnsi"/>
          <w:lang w:val="en-GB"/>
        </w:rPr>
        <w:t xml:space="preserve">countries </w:t>
      </w:r>
      <w:r w:rsidR="00557A80" w:rsidRPr="006E7ACC">
        <w:rPr>
          <w:rFonts w:asciiTheme="minorHAnsi" w:hAnsiTheme="minorHAnsi"/>
          <w:lang w:val="en-GB"/>
        </w:rPr>
        <w:t>had proposed a new</w:t>
      </w:r>
      <w:r w:rsidR="00557A80" w:rsidRPr="006E7ACC">
        <w:rPr>
          <w:rFonts w:asciiTheme="minorHAnsi" w:hAnsiTheme="minorHAnsi"/>
          <w:i/>
          <w:iCs/>
          <w:lang w:val="en-GB"/>
        </w:rPr>
        <w:t xml:space="preserve"> instructs the Secretary-General </w:t>
      </w:r>
      <w:r w:rsidR="00557A80" w:rsidRPr="006E7ACC">
        <w:rPr>
          <w:rFonts w:asciiTheme="minorHAnsi" w:hAnsiTheme="minorHAnsi"/>
          <w:lang w:val="en-GB"/>
        </w:rPr>
        <w:t xml:space="preserve">4, reading: “to progress all activities related to this resolution within the ITU’s mandate”, which had not been discussed by the Working Group of the Plenary. </w:t>
      </w:r>
    </w:p>
    <w:p w:rsidR="00557A80" w:rsidRPr="006E7ACC" w:rsidRDefault="006E7ACC" w:rsidP="00A93C31">
      <w:pPr>
        <w:pStyle w:val="western"/>
        <w:spacing w:after="0"/>
        <w:rPr>
          <w:rFonts w:asciiTheme="minorHAnsi" w:hAnsiTheme="minorHAnsi"/>
          <w:lang w:val="en-GB"/>
        </w:rPr>
      </w:pPr>
      <w:r w:rsidRPr="006E7ACC">
        <w:rPr>
          <w:rFonts w:asciiTheme="minorHAnsi" w:hAnsiTheme="minorHAnsi"/>
          <w:lang w:val="en-GB"/>
        </w:rPr>
        <w:t>5.9</w:t>
      </w:r>
      <w:r w:rsidRPr="006E7ACC">
        <w:rPr>
          <w:rFonts w:asciiTheme="minorHAnsi" w:hAnsiTheme="minorHAnsi"/>
          <w:lang w:val="en-GB"/>
        </w:rPr>
        <w:tab/>
      </w:r>
      <w:r w:rsidR="00557A80" w:rsidRPr="006E7ACC">
        <w:rPr>
          <w:rFonts w:asciiTheme="minorHAnsi" w:hAnsiTheme="minorHAnsi"/>
          <w:lang w:val="en-GB"/>
        </w:rPr>
        <w:t xml:space="preserve">The </w:t>
      </w:r>
      <w:r w:rsidR="00557A80" w:rsidRPr="006E7ACC">
        <w:rPr>
          <w:rFonts w:asciiTheme="minorHAnsi" w:hAnsiTheme="minorHAnsi"/>
          <w:b/>
          <w:bCs/>
          <w:lang w:val="en-GB"/>
        </w:rPr>
        <w:t>Chairman of the Working Group of the Plenary</w:t>
      </w:r>
      <w:r w:rsidR="00557A80" w:rsidRPr="006E7ACC">
        <w:rPr>
          <w:rFonts w:asciiTheme="minorHAnsi" w:hAnsiTheme="minorHAnsi"/>
          <w:lang w:val="en-GB"/>
        </w:rPr>
        <w:t xml:space="preserve"> observed that the text proposed by </w:t>
      </w:r>
      <w:r w:rsidR="007E188E">
        <w:rPr>
          <w:rFonts w:asciiTheme="minorHAnsi" w:hAnsiTheme="minorHAnsi"/>
          <w:lang w:val="en-GB"/>
        </w:rPr>
        <w:t xml:space="preserve">the </w:t>
      </w:r>
      <w:r w:rsidR="00557A80" w:rsidRPr="006E7ACC">
        <w:rPr>
          <w:rFonts w:asciiTheme="minorHAnsi" w:hAnsiTheme="minorHAnsi"/>
          <w:lang w:val="en-GB"/>
        </w:rPr>
        <w:t xml:space="preserve">CEPT </w:t>
      </w:r>
      <w:r w:rsidR="007E188E">
        <w:rPr>
          <w:rFonts w:asciiTheme="minorHAnsi" w:hAnsiTheme="minorHAnsi"/>
          <w:lang w:val="en-GB"/>
        </w:rPr>
        <w:t xml:space="preserve">countries </w:t>
      </w:r>
      <w:r w:rsidR="00557A80" w:rsidRPr="006E7ACC">
        <w:rPr>
          <w:rFonts w:asciiTheme="minorHAnsi" w:hAnsiTheme="minorHAnsi"/>
          <w:lang w:val="en-GB"/>
        </w:rPr>
        <w:t>had been brought t</w:t>
      </w:r>
      <w:r w:rsidR="000B1ED3">
        <w:rPr>
          <w:rFonts w:asciiTheme="minorHAnsi" w:hAnsiTheme="minorHAnsi"/>
          <w:lang w:val="en-GB"/>
        </w:rPr>
        <w:t>o the attention of the w</w:t>
      </w:r>
      <w:r w:rsidRPr="006E7ACC">
        <w:rPr>
          <w:rFonts w:asciiTheme="minorHAnsi" w:hAnsiTheme="minorHAnsi"/>
          <w:lang w:val="en-GB"/>
        </w:rPr>
        <w:t>orking g</w:t>
      </w:r>
      <w:r w:rsidR="000B1ED3">
        <w:rPr>
          <w:rFonts w:asciiTheme="minorHAnsi" w:hAnsiTheme="minorHAnsi"/>
          <w:lang w:val="en-GB"/>
        </w:rPr>
        <w:t>roup only after the g</w:t>
      </w:r>
      <w:r w:rsidR="00557A80" w:rsidRPr="006E7ACC">
        <w:rPr>
          <w:rFonts w:asciiTheme="minorHAnsi" w:hAnsiTheme="minorHAnsi"/>
          <w:lang w:val="en-GB"/>
        </w:rPr>
        <w:t xml:space="preserve">roup had approved draft Resolution WGPL/6. </w:t>
      </w:r>
    </w:p>
    <w:p w:rsidR="00557A80" w:rsidRPr="006E7ACC" w:rsidRDefault="000B1ED3" w:rsidP="00A93C31">
      <w:pPr>
        <w:pStyle w:val="western"/>
        <w:spacing w:after="0"/>
        <w:rPr>
          <w:rFonts w:asciiTheme="minorHAnsi" w:hAnsiTheme="minorHAnsi"/>
          <w:lang w:val="en-GB"/>
        </w:rPr>
      </w:pPr>
      <w:r>
        <w:rPr>
          <w:rFonts w:asciiTheme="minorHAnsi" w:hAnsiTheme="minorHAnsi"/>
          <w:lang w:val="en-GB"/>
        </w:rPr>
        <w:t>5.10</w:t>
      </w:r>
      <w:r w:rsidR="006E7ACC" w:rsidRPr="006E7ACC">
        <w:rPr>
          <w:rFonts w:asciiTheme="minorHAnsi" w:hAnsiTheme="minorHAnsi"/>
          <w:lang w:val="en-GB"/>
        </w:rPr>
        <w:tab/>
      </w:r>
      <w:r w:rsidR="00557A80" w:rsidRPr="006E7ACC">
        <w:rPr>
          <w:rFonts w:asciiTheme="minorHAnsi" w:hAnsiTheme="minorHAnsi"/>
          <w:lang w:val="en-GB"/>
        </w:rPr>
        <w:t xml:space="preserve">The </w:t>
      </w:r>
      <w:r w:rsidR="00557A80" w:rsidRPr="006E7ACC">
        <w:rPr>
          <w:rFonts w:asciiTheme="minorHAnsi" w:hAnsiTheme="minorHAnsi"/>
          <w:b/>
          <w:bCs/>
          <w:lang w:val="en-GB"/>
        </w:rPr>
        <w:t>Chairman</w:t>
      </w:r>
      <w:r w:rsidR="00557A80" w:rsidRPr="006E7ACC">
        <w:rPr>
          <w:rFonts w:asciiTheme="minorHAnsi" w:hAnsiTheme="minorHAnsi"/>
          <w:lang w:val="en-GB"/>
        </w:rPr>
        <w:t xml:space="preserve"> suggested that draft Resolution WG</w:t>
      </w:r>
      <w:r w:rsidR="006E7ACC" w:rsidRPr="006E7ACC">
        <w:rPr>
          <w:rFonts w:asciiTheme="minorHAnsi" w:hAnsiTheme="minorHAnsi"/>
          <w:lang w:val="en-GB"/>
        </w:rPr>
        <w:t>-</w:t>
      </w:r>
      <w:r w:rsidR="00557A80" w:rsidRPr="006E7ACC">
        <w:rPr>
          <w:rFonts w:asciiTheme="minorHAnsi" w:hAnsiTheme="minorHAnsi"/>
          <w:lang w:val="en-GB"/>
        </w:rPr>
        <w:t xml:space="preserve">PL/6 should be sent back to the Working Group of the Plenary for further review and consideration of the CEPT </w:t>
      </w:r>
      <w:r w:rsidR="007E188E">
        <w:rPr>
          <w:rFonts w:asciiTheme="minorHAnsi" w:hAnsiTheme="minorHAnsi"/>
          <w:lang w:val="en-GB"/>
        </w:rPr>
        <w:t xml:space="preserve">countries’ </w:t>
      </w:r>
      <w:r w:rsidR="00557A80" w:rsidRPr="006E7ACC">
        <w:rPr>
          <w:rFonts w:asciiTheme="minorHAnsi" w:hAnsiTheme="minorHAnsi"/>
          <w:lang w:val="en-GB"/>
        </w:rPr>
        <w:t>proposal.</w:t>
      </w:r>
    </w:p>
    <w:p w:rsidR="00557A80" w:rsidRPr="006E7ACC" w:rsidRDefault="000B1ED3" w:rsidP="00A93C31">
      <w:pPr>
        <w:pStyle w:val="western"/>
        <w:spacing w:after="0"/>
        <w:rPr>
          <w:rFonts w:asciiTheme="minorHAnsi" w:hAnsiTheme="minorHAnsi"/>
          <w:lang w:val="en-GB"/>
        </w:rPr>
      </w:pPr>
      <w:r>
        <w:rPr>
          <w:rFonts w:asciiTheme="minorHAnsi" w:hAnsiTheme="minorHAnsi"/>
          <w:lang w:val="en-GB"/>
        </w:rPr>
        <w:t>5.11</w:t>
      </w:r>
      <w:r w:rsidR="006E7ACC" w:rsidRPr="006E7ACC">
        <w:rPr>
          <w:rFonts w:asciiTheme="minorHAnsi" w:hAnsiTheme="minorHAnsi"/>
          <w:lang w:val="en-GB"/>
        </w:rPr>
        <w:tab/>
      </w:r>
      <w:r w:rsidR="00557A80" w:rsidRPr="006E7ACC">
        <w:rPr>
          <w:rFonts w:asciiTheme="minorHAnsi" w:hAnsiTheme="minorHAnsi"/>
          <w:lang w:val="en-GB"/>
        </w:rPr>
        <w:t xml:space="preserve">It was so </w:t>
      </w:r>
      <w:r w:rsidR="00557A80" w:rsidRPr="006E7ACC">
        <w:rPr>
          <w:rFonts w:asciiTheme="minorHAnsi" w:hAnsiTheme="minorHAnsi"/>
          <w:b/>
          <w:bCs/>
          <w:lang w:val="en-GB"/>
        </w:rPr>
        <w:t>agreed</w:t>
      </w:r>
      <w:r w:rsidR="00557A80" w:rsidRPr="006E7ACC">
        <w:rPr>
          <w:rFonts w:asciiTheme="minorHAnsi" w:hAnsiTheme="minorHAnsi"/>
          <w:lang w:val="en-GB"/>
        </w:rPr>
        <w:t xml:space="preserve">. </w:t>
      </w:r>
    </w:p>
    <w:p w:rsidR="00557A80" w:rsidRPr="006E7ACC" w:rsidRDefault="00557A80" w:rsidP="00A93C31">
      <w:pPr>
        <w:pStyle w:val="western"/>
        <w:spacing w:after="0"/>
        <w:rPr>
          <w:rFonts w:asciiTheme="minorHAnsi" w:hAnsiTheme="minorHAnsi"/>
          <w:lang w:val="en-GB"/>
        </w:rPr>
      </w:pPr>
      <w:r w:rsidRPr="006E7ACC">
        <w:rPr>
          <w:rFonts w:asciiTheme="minorHAnsi" w:hAnsiTheme="minorHAnsi"/>
          <w:b/>
          <w:bCs/>
          <w:lang w:val="en-GB"/>
        </w:rPr>
        <w:t>Draft Resolution COM6/4 (Busan, 2014) – Support and assistance for Iraq to rebuild its telecommunication sector</w:t>
      </w:r>
    </w:p>
    <w:p w:rsidR="00557A80" w:rsidRPr="006E7ACC" w:rsidRDefault="000B1ED3" w:rsidP="00A93C31">
      <w:pPr>
        <w:pStyle w:val="western"/>
        <w:spacing w:after="0"/>
        <w:rPr>
          <w:rFonts w:asciiTheme="minorHAnsi" w:hAnsiTheme="minorHAnsi"/>
          <w:lang w:val="en-GB"/>
        </w:rPr>
      </w:pPr>
      <w:r>
        <w:rPr>
          <w:rFonts w:asciiTheme="minorHAnsi" w:hAnsiTheme="minorHAnsi"/>
          <w:lang w:val="en-GB"/>
        </w:rPr>
        <w:t>5.12</w:t>
      </w:r>
      <w:r w:rsidR="006E7ACC" w:rsidRPr="006E7ACC">
        <w:rPr>
          <w:rFonts w:asciiTheme="minorHAnsi" w:hAnsiTheme="minorHAnsi"/>
          <w:lang w:val="en-GB"/>
        </w:rPr>
        <w:tab/>
      </w:r>
      <w:r w:rsidR="00557A80" w:rsidRPr="006E7ACC">
        <w:rPr>
          <w:rFonts w:asciiTheme="minorHAnsi" w:hAnsiTheme="minorHAnsi"/>
          <w:b/>
          <w:bCs/>
          <w:lang w:val="en-GB"/>
        </w:rPr>
        <w:t>Adopted.</w:t>
      </w:r>
    </w:p>
    <w:p w:rsidR="00557A80" w:rsidRPr="006E7ACC" w:rsidRDefault="00557A80" w:rsidP="00A93C31">
      <w:pPr>
        <w:pStyle w:val="western"/>
        <w:spacing w:after="0"/>
        <w:rPr>
          <w:rFonts w:asciiTheme="minorHAnsi" w:hAnsiTheme="minorHAnsi"/>
          <w:lang w:val="en-GB"/>
        </w:rPr>
      </w:pPr>
      <w:r w:rsidRPr="006E7ACC">
        <w:rPr>
          <w:rFonts w:asciiTheme="minorHAnsi" w:hAnsiTheme="minorHAnsi"/>
          <w:b/>
          <w:bCs/>
          <w:lang w:val="en-GB"/>
        </w:rPr>
        <w:t>SUP Resolution 4 (Rev. Guadalajara, 2010) – Duration of plenipotentiary conferences of the Union</w:t>
      </w:r>
    </w:p>
    <w:p w:rsidR="00557A80" w:rsidRPr="006E7ACC" w:rsidRDefault="00557A80" w:rsidP="00A93C31">
      <w:pPr>
        <w:pStyle w:val="western"/>
        <w:spacing w:after="0"/>
        <w:rPr>
          <w:rFonts w:asciiTheme="minorHAnsi" w:hAnsiTheme="minorHAnsi"/>
          <w:lang w:val="en-GB"/>
        </w:rPr>
      </w:pPr>
      <w:r w:rsidRPr="006E7ACC">
        <w:rPr>
          <w:rFonts w:asciiTheme="minorHAnsi" w:hAnsiTheme="minorHAnsi"/>
          <w:b/>
          <w:bCs/>
          <w:lang w:val="en-GB"/>
        </w:rPr>
        <w:t>SUP Resolution 93 (Minneapolis, 1998) – Special arrears accounts</w:t>
      </w:r>
    </w:p>
    <w:p w:rsidR="00557A80" w:rsidRPr="006E7ACC" w:rsidRDefault="00557A80" w:rsidP="00A93C31">
      <w:pPr>
        <w:pStyle w:val="western"/>
        <w:spacing w:after="0"/>
        <w:rPr>
          <w:rFonts w:asciiTheme="minorHAnsi" w:hAnsiTheme="minorHAnsi"/>
          <w:lang w:val="en-GB"/>
        </w:rPr>
      </w:pPr>
      <w:r w:rsidRPr="006E7ACC">
        <w:rPr>
          <w:rFonts w:asciiTheme="minorHAnsi" w:hAnsiTheme="minorHAnsi"/>
          <w:b/>
          <w:bCs/>
          <w:lang w:val="en-GB"/>
        </w:rPr>
        <w:t>SUP Resolution 153 (Rev. Guadalajara, 2010) – Scheduling of Council sessions and plenipotentiary conferences</w:t>
      </w:r>
    </w:p>
    <w:p w:rsidR="00557A80" w:rsidRPr="006E7ACC" w:rsidRDefault="000B1ED3" w:rsidP="00A93C31">
      <w:pPr>
        <w:pStyle w:val="western"/>
        <w:spacing w:after="0"/>
        <w:rPr>
          <w:rFonts w:asciiTheme="minorHAnsi" w:hAnsiTheme="minorHAnsi"/>
          <w:lang w:val="en-GB"/>
        </w:rPr>
      </w:pPr>
      <w:r>
        <w:rPr>
          <w:rFonts w:asciiTheme="minorHAnsi" w:hAnsiTheme="minorHAnsi"/>
          <w:lang w:val="en-GB"/>
        </w:rPr>
        <w:t>5.13</w:t>
      </w:r>
      <w:r w:rsidR="006E7ACC" w:rsidRPr="006E7ACC">
        <w:rPr>
          <w:rFonts w:asciiTheme="minorHAnsi" w:hAnsiTheme="minorHAnsi"/>
          <w:lang w:val="en-GB"/>
        </w:rPr>
        <w:tab/>
      </w:r>
      <w:r w:rsidR="00557A80" w:rsidRPr="006E7ACC">
        <w:rPr>
          <w:rFonts w:asciiTheme="minorHAnsi" w:hAnsiTheme="minorHAnsi"/>
          <w:b/>
          <w:bCs/>
          <w:lang w:val="en-GB"/>
        </w:rPr>
        <w:t>Approved.</w:t>
      </w:r>
    </w:p>
    <w:p w:rsidR="00557A80" w:rsidRPr="006E7ACC" w:rsidRDefault="000B1ED3" w:rsidP="00A93C31">
      <w:pPr>
        <w:pStyle w:val="western"/>
        <w:spacing w:after="0"/>
        <w:rPr>
          <w:rFonts w:asciiTheme="minorHAnsi" w:hAnsiTheme="minorHAnsi"/>
          <w:lang w:val="en-GB"/>
        </w:rPr>
      </w:pPr>
      <w:r>
        <w:rPr>
          <w:rFonts w:asciiTheme="minorHAnsi" w:hAnsiTheme="minorHAnsi"/>
          <w:lang w:val="en-GB"/>
        </w:rPr>
        <w:t>5.14</w:t>
      </w:r>
      <w:r w:rsidR="006E7ACC" w:rsidRPr="006E7ACC">
        <w:rPr>
          <w:rFonts w:asciiTheme="minorHAnsi" w:hAnsiTheme="minorHAnsi"/>
          <w:lang w:val="en-GB"/>
        </w:rPr>
        <w:tab/>
      </w:r>
      <w:r w:rsidR="00557A80" w:rsidRPr="006E7ACC">
        <w:rPr>
          <w:rFonts w:asciiTheme="minorHAnsi" w:hAnsiTheme="minorHAnsi"/>
          <w:lang w:val="en-GB"/>
        </w:rPr>
        <w:t>With the exception of draft Resolution WG</w:t>
      </w:r>
      <w:r w:rsidR="006E7ACC" w:rsidRPr="006E7ACC">
        <w:rPr>
          <w:rFonts w:asciiTheme="minorHAnsi" w:hAnsiTheme="minorHAnsi"/>
          <w:lang w:val="en-GB"/>
        </w:rPr>
        <w:t>-</w:t>
      </w:r>
      <w:r w:rsidR="00557A80" w:rsidRPr="006E7ACC">
        <w:rPr>
          <w:rFonts w:asciiTheme="minorHAnsi" w:hAnsiTheme="minorHAnsi"/>
          <w:lang w:val="en-GB"/>
        </w:rPr>
        <w:t xml:space="preserve">PL/6 (Busan, 2014), the eighth series of texts submitted by the Editorial Committee for first reading (B8) (Document 153), as amended, was </w:t>
      </w:r>
      <w:r w:rsidR="00557A80" w:rsidRPr="006E7ACC">
        <w:rPr>
          <w:rFonts w:asciiTheme="minorHAnsi" w:hAnsiTheme="minorHAnsi"/>
          <w:b/>
          <w:bCs/>
          <w:lang w:val="en-GB"/>
        </w:rPr>
        <w:t>approved</w:t>
      </w:r>
      <w:r w:rsidR="00557A80" w:rsidRPr="006E7ACC">
        <w:rPr>
          <w:rFonts w:asciiTheme="minorHAnsi" w:hAnsiTheme="minorHAnsi"/>
          <w:lang w:val="en-GB"/>
        </w:rPr>
        <w:t>.</w:t>
      </w:r>
    </w:p>
    <w:p w:rsidR="00557A80" w:rsidRPr="00A93C31" w:rsidRDefault="006E7ACC" w:rsidP="00A93C31">
      <w:pPr>
        <w:pStyle w:val="western"/>
        <w:keepNext/>
        <w:spacing w:after="0"/>
        <w:ind w:left="720" w:hanging="720"/>
        <w:rPr>
          <w:rFonts w:asciiTheme="minorHAnsi" w:hAnsiTheme="minorHAnsi"/>
          <w:sz w:val="28"/>
          <w:szCs w:val="28"/>
          <w:lang w:val="en-GB"/>
        </w:rPr>
      </w:pPr>
      <w:r w:rsidRPr="00A93C31">
        <w:rPr>
          <w:rFonts w:asciiTheme="minorHAnsi" w:hAnsiTheme="minorHAnsi"/>
          <w:b/>
          <w:bCs/>
          <w:sz w:val="28"/>
          <w:szCs w:val="28"/>
          <w:lang w:val="en-GB"/>
        </w:rPr>
        <w:lastRenderedPageBreak/>
        <w:t>6</w:t>
      </w:r>
      <w:r w:rsidRPr="00A93C31">
        <w:rPr>
          <w:rFonts w:asciiTheme="minorHAnsi" w:hAnsiTheme="minorHAnsi"/>
          <w:b/>
          <w:bCs/>
          <w:sz w:val="28"/>
          <w:szCs w:val="28"/>
          <w:lang w:val="en-GB"/>
        </w:rPr>
        <w:tab/>
      </w:r>
      <w:r w:rsidR="00557A80" w:rsidRPr="00A93C31">
        <w:rPr>
          <w:rFonts w:asciiTheme="minorHAnsi" w:hAnsiTheme="minorHAnsi"/>
          <w:b/>
          <w:bCs/>
          <w:sz w:val="28"/>
          <w:szCs w:val="28"/>
          <w:lang w:val="en-GB"/>
        </w:rPr>
        <w:t>Eighth series of texts submitted by the Editorial Committee – second reading (Document 153)</w:t>
      </w:r>
    </w:p>
    <w:p w:rsidR="00557A80" w:rsidRPr="006E7ACC" w:rsidRDefault="006E7ACC" w:rsidP="00A93C31">
      <w:pPr>
        <w:pStyle w:val="western"/>
        <w:spacing w:after="0"/>
        <w:rPr>
          <w:rFonts w:asciiTheme="minorHAnsi" w:hAnsiTheme="minorHAnsi"/>
          <w:lang w:val="en-GB"/>
        </w:rPr>
      </w:pPr>
      <w:r w:rsidRPr="006E7ACC">
        <w:rPr>
          <w:rFonts w:asciiTheme="minorHAnsi" w:hAnsiTheme="minorHAnsi"/>
          <w:lang w:val="en-GB"/>
        </w:rPr>
        <w:t>6.1</w:t>
      </w:r>
      <w:r w:rsidRPr="006E7ACC">
        <w:rPr>
          <w:rFonts w:asciiTheme="minorHAnsi" w:hAnsiTheme="minorHAnsi"/>
          <w:lang w:val="en-GB"/>
        </w:rPr>
        <w:tab/>
      </w:r>
      <w:r w:rsidR="00557A80" w:rsidRPr="006E7ACC">
        <w:rPr>
          <w:rFonts w:asciiTheme="minorHAnsi" w:hAnsiTheme="minorHAnsi"/>
          <w:lang w:val="en-GB"/>
        </w:rPr>
        <w:t>With the exception of draft Resolution WG</w:t>
      </w:r>
      <w:r w:rsidRPr="006E7ACC">
        <w:rPr>
          <w:rFonts w:asciiTheme="minorHAnsi" w:hAnsiTheme="minorHAnsi"/>
          <w:lang w:val="en-GB"/>
        </w:rPr>
        <w:t>-</w:t>
      </w:r>
      <w:r w:rsidR="00557A80" w:rsidRPr="006E7ACC">
        <w:rPr>
          <w:rFonts w:asciiTheme="minorHAnsi" w:hAnsiTheme="minorHAnsi"/>
          <w:lang w:val="en-GB"/>
        </w:rPr>
        <w:t xml:space="preserve">PL/6 (Busan, 2014), the eighth series of texts submitted by the Editorial Committee (Document 153), as amended on first reading, was </w:t>
      </w:r>
      <w:r w:rsidR="00557A80" w:rsidRPr="006E7ACC">
        <w:rPr>
          <w:rFonts w:asciiTheme="minorHAnsi" w:hAnsiTheme="minorHAnsi"/>
          <w:b/>
          <w:bCs/>
          <w:lang w:val="en-GB"/>
        </w:rPr>
        <w:t>approved</w:t>
      </w:r>
      <w:r w:rsidR="00557A80" w:rsidRPr="006E7ACC">
        <w:rPr>
          <w:rFonts w:asciiTheme="minorHAnsi" w:hAnsiTheme="minorHAnsi"/>
          <w:lang w:val="en-GB"/>
        </w:rPr>
        <w:t xml:space="preserve"> on second reading.</w:t>
      </w:r>
    </w:p>
    <w:p w:rsidR="00557A80" w:rsidRPr="006E7ACC" w:rsidRDefault="006E7ACC" w:rsidP="00A93C31">
      <w:pPr>
        <w:pStyle w:val="western"/>
        <w:spacing w:after="0"/>
        <w:rPr>
          <w:rFonts w:asciiTheme="minorHAnsi" w:hAnsiTheme="minorHAnsi"/>
          <w:lang w:val="en-GB"/>
        </w:rPr>
      </w:pPr>
      <w:r w:rsidRPr="006E7ACC">
        <w:rPr>
          <w:rFonts w:asciiTheme="minorHAnsi" w:hAnsiTheme="minorHAnsi"/>
          <w:lang w:val="en-GB"/>
        </w:rPr>
        <w:t>6.2</w:t>
      </w:r>
      <w:r w:rsidRPr="006E7ACC">
        <w:rPr>
          <w:rFonts w:asciiTheme="minorHAnsi" w:hAnsiTheme="minorHAnsi"/>
          <w:lang w:val="en-GB"/>
        </w:rPr>
        <w:tab/>
      </w:r>
      <w:r w:rsidR="00557A80" w:rsidRPr="006E7ACC">
        <w:rPr>
          <w:rFonts w:asciiTheme="minorHAnsi" w:hAnsiTheme="minorHAnsi"/>
          <w:lang w:val="en-GB"/>
        </w:rPr>
        <w:t>The</w:t>
      </w:r>
      <w:r w:rsidR="00557A80" w:rsidRPr="006E7ACC">
        <w:rPr>
          <w:rFonts w:asciiTheme="minorHAnsi" w:hAnsiTheme="minorHAnsi"/>
          <w:b/>
          <w:bCs/>
          <w:lang w:val="en-GB"/>
        </w:rPr>
        <w:t xml:space="preserve"> delegate of Iraq</w:t>
      </w:r>
      <w:r w:rsidR="00557A80" w:rsidRPr="006E7ACC">
        <w:rPr>
          <w:rFonts w:asciiTheme="minorHAnsi" w:hAnsiTheme="minorHAnsi"/>
          <w:lang w:val="en-GB"/>
        </w:rPr>
        <w:t xml:space="preserve">, highlighting the importance of international cooperation, in particular for fostering an enabling environment conducive to </w:t>
      </w:r>
      <w:r w:rsidRPr="006E7ACC">
        <w:rPr>
          <w:rFonts w:asciiTheme="minorHAnsi" w:hAnsiTheme="minorHAnsi"/>
          <w:lang w:val="en-GB"/>
        </w:rPr>
        <w:t>ICT development, commended the c</w:t>
      </w:r>
      <w:r w:rsidR="00557A80" w:rsidRPr="006E7ACC">
        <w:rPr>
          <w:rFonts w:asciiTheme="minorHAnsi" w:hAnsiTheme="minorHAnsi"/>
          <w:lang w:val="en-GB"/>
        </w:rPr>
        <w:t xml:space="preserve">onference for having adopted draft Resolution COM6/4, which would help his country to rebuild its telecommunication sector. Such resolutions helped developing countries to overcome the problems they faced and to promote social and economic development through the use of modern telecommunications and ICTs. He thanked the outgoing Secretary-General for his work and wished the Secretary-General elect every success during his tenure. </w:t>
      </w:r>
    </w:p>
    <w:p w:rsidR="00557A80" w:rsidRPr="00A93C31" w:rsidRDefault="006E7ACC" w:rsidP="00A93C31">
      <w:pPr>
        <w:pStyle w:val="western"/>
        <w:spacing w:after="0"/>
        <w:ind w:left="720" w:hanging="720"/>
        <w:rPr>
          <w:rFonts w:asciiTheme="minorHAnsi" w:hAnsiTheme="minorHAnsi"/>
          <w:sz w:val="28"/>
          <w:szCs w:val="28"/>
          <w:lang w:val="en-GB"/>
        </w:rPr>
      </w:pPr>
      <w:r w:rsidRPr="00A93C31">
        <w:rPr>
          <w:rFonts w:asciiTheme="minorHAnsi" w:hAnsiTheme="minorHAnsi"/>
          <w:b/>
          <w:bCs/>
          <w:sz w:val="28"/>
          <w:szCs w:val="28"/>
          <w:lang w:val="en-GB"/>
        </w:rPr>
        <w:t>7</w:t>
      </w:r>
      <w:r w:rsidRPr="00A93C31">
        <w:rPr>
          <w:rFonts w:asciiTheme="minorHAnsi" w:hAnsiTheme="minorHAnsi"/>
          <w:b/>
          <w:bCs/>
          <w:sz w:val="28"/>
          <w:szCs w:val="28"/>
          <w:lang w:val="en-GB"/>
        </w:rPr>
        <w:tab/>
      </w:r>
      <w:r w:rsidR="00557A80" w:rsidRPr="00A93C31">
        <w:rPr>
          <w:rFonts w:asciiTheme="minorHAnsi" w:hAnsiTheme="minorHAnsi"/>
          <w:b/>
          <w:bCs/>
          <w:sz w:val="28"/>
          <w:szCs w:val="28"/>
          <w:lang w:val="en-GB"/>
        </w:rPr>
        <w:t xml:space="preserve">Progress on </w:t>
      </w:r>
      <w:r w:rsidR="000B1ED3" w:rsidRPr="00A93C31">
        <w:rPr>
          <w:rFonts w:asciiTheme="minorHAnsi" w:hAnsiTheme="minorHAnsi"/>
          <w:b/>
          <w:bCs/>
          <w:sz w:val="28"/>
          <w:szCs w:val="28"/>
          <w:lang w:val="en-GB"/>
        </w:rPr>
        <w:t xml:space="preserve">proposals </w:t>
      </w:r>
      <w:r w:rsidR="00557A80" w:rsidRPr="00A93C31">
        <w:rPr>
          <w:rFonts w:asciiTheme="minorHAnsi" w:hAnsiTheme="minorHAnsi"/>
          <w:b/>
          <w:bCs/>
          <w:sz w:val="28"/>
          <w:szCs w:val="28"/>
          <w:lang w:val="en-GB"/>
        </w:rPr>
        <w:t>concerning Palestine and Ukraine (Documents 79(Add.2), 84(Rev.1))</w:t>
      </w:r>
    </w:p>
    <w:p w:rsidR="00557A80" w:rsidRPr="006E7ACC" w:rsidRDefault="006E7ACC" w:rsidP="00A93C31">
      <w:pPr>
        <w:pStyle w:val="western"/>
        <w:spacing w:after="0"/>
        <w:rPr>
          <w:rFonts w:asciiTheme="minorHAnsi" w:hAnsiTheme="minorHAnsi"/>
          <w:lang w:val="en-GB"/>
        </w:rPr>
      </w:pPr>
      <w:r w:rsidRPr="006E7ACC">
        <w:rPr>
          <w:rFonts w:asciiTheme="minorHAnsi" w:hAnsiTheme="minorHAnsi"/>
          <w:lang w:val="en-GB"/>
        </w:rPr>
        <w:t>7.1</w:t>
      </w:r>
      <w:r w:rsidRPr="006E7ACC">
        <w:rPr>
          <w:rFonts w:asciiTheme="minorHAnsi" w:hAnsiTheme="minorHAnsi"/>
          <w:lang w:val="en-GB"/>
        </w:rPr>
        <w:tab/>
      </w:r>
      <w:r w:rsidR="00557A80" w:rsidRPr="006E7ACC">
        <w:rPr>
          <w:rFonts w:asciiTheme="minorHAnsi" w:hAnsiTheme="minorHAnsi"/>
          <w:lang w:val="en-GB"/>
        </w:rPr>
        <w:t>The</w:t>
      </w:r>
      <w:r w:rsidR="00557A80" w:rsidRPr="006E7ACC">
        <w:rPr>
          <w:rFonts w:asciiTheme="minorHAnsi" w:hAnsiTheme="minorHAnsi"/>
          <w:b/>
          <w:bCs/>
          <w:lang w:val="en-GB"/>
        </w:rPr>
        <w:t xml:space="preserve"> Chairman</w:t>
      </w:r>
      <w:r w:rsidR="00557A80" w:rsidRPr="006E7ACC">
        <w:rPr>
          <w:rFonts w:asciiTheme="minorHAnsi" w:hAnsiTheme="minorHAnsi"/>
          <w:lang w:val="en-GB"/>
        </w:rPr>
        <w:t>, referring to</w:t>
      </w:r>
      <w:r w:rsidR="00557A80" w:rsidRPr="006E7ACC">
        <w:rPr>
          <w:rFonts w:asciiTheme="minorHAnsi" w:hAnsiTheme="minorHAnsi"/>
          <w:b/>
          <w:bCs/>
          <w:lang w:val="en-GB"/>
        </w:rPr>
        <w:t xml:space="preserve"> </w:t>
      </w:r>
      <w:r w:rsidR="00557A80" w:rsidRPr="006E7ACC">
        <w:rPr>
          <w:rFonts w:asciiTheme="minorHAnsi" w:hAnsiTheme="minorHAnsi"/>
          <w:lang w:val="en-GB"/>
        </w:rPr>
        <w:t>the draft resolution contained in Document 84 (Rev.1)</w:t>
      </w:r>
      <w:r w:rsidR="000B1ED3">
        <w:rPr>
          <w:rFonts w:asciiTheme="minorHAnsi" w:hAnsiTheme="minorHAnsi"/>
          <w:lang w:val="en-GB"/>
        </w:rPr>
        <w:t xml:space="preserve"> and </w:t>
      </w:r>
      <w:r w:rsidR="00557A80" w:rsidRPr="006E7ACC">
        <w:rPr>
          <w:rFonts w:asciiTheme="minorHAnsi" w:hAnsiTheme="minorHAnsi"/>
          <w:lang w:val="en-GB"/>
        </w:rPr>
        <w:t xml:space="preserve">to the Arab States common proposals 5 and 6 </w:t>
      </w:r>
      <w:r w:rsidRPr="006E7ACC">
        <w:rPr>
          <w:rFonts w:asciiTheme="minorHAnsi" w:hAnsiTheme="minorHAnsi"/>
          <w:lang w:val="en-GB"/>
        </w:rPr>
        <w:t xml:space="preserve">contained in Addendum 2 to Document 79, </w:t>
      </w:r>
      <w:r w:rsidR="00557A80" w:rsidRPr="006E7ACC">
        <w:rPr>
          <w:rFonts w:asciiTheme="minorHAnsi" w:hAnsiTheme="minorHAnsi"/>
          <w:lang w:val="en-GB"/>
        </w:rPr>
        <w:t xml:space="preserve">said that informal discussions with concerned parties were continuing under his auspices and those of the Secretary-General on those highly important and sensitive issues. He was confident that a solution agreeable to all concerned parties could be reached, and would report at a subsequent plenary meeting on the results achieved. </w:t>
      </w:r>
    </w:p>
    <w:p w:rsidR="00557A80" w:rsidRPr="00A93C31" w:rsidRDefault="006E7ACC" w:rsidP="00A93C31">
      <w:pPr>
        <w:pStyle w:val="western"/>
        <w:spacing w:after="0"/>
        <w:rPr>
          <w:rFonts w:asciiTheme="minorHAnsi" w:hAnsiTheme="minorHAnsi"/>
          <w:sz w:val="28"/>
          <w:szCs w:val="28"/>
          <w:lang w:val="en-GB"/>
        </w:rPr>
      </w:pPr>
      <w:r w:rsidRPr="00A93C31">
        <w:rPr>
          <w:rFonts w:asciiTheme="minorHAnsi" w:hAnsiTheme="minorHAnsi"/>
          <w:b/>
          <w:bCs/>
          <w:sz w:val="28"/>
          <w:szCs w:val="28"/>
          <w:lang w:val="en-GB"/>
        </w:rPr>
        <w:t>8</w:t>
      </w:r>
      <w:r w:rsidRPr="00A93C31">
        <w:rPr>
          <w:rFonts w:asciiTheme="minorHAnsi" w:hAnsiTheme="minorHAnsi"/>
          <w:b/>
          <w:bCs/>
          <w:sz w:val="28"/>
          <w:szCs w:val="28"/>
          <w:lang w:val="en-GB"/>
        </w:rPr>
        <w:tab/>
      </w:r>
      <w:r w:rsidR="00557A80" w:rsidRPr="00A93C31">
        <w:rPr>
          <w:rFonts w:asciiTheme="minorHAnsi" w:hAnsiTheme="minorHAnsi"/>
          <w:b/>
          <w:bCs/>
          <w:sz w:val="28"/>
          <w:szCs w:val="28"/>
          <w:lang w:val="en-GB"/>
        </w:rPr>
        <w:t>Approval of minutes (Document 118)</w:t>
      </w:r>
    </w:p>
    <w:p w:rsidR="00557A80" w:rsidRPr="006E7ACC" w:rsidRDefault="006E7ACC" w:rsidP="00A93C31">
      <w:pPr>
        <w:pStyle w:val="western"/>
        <w:spacing w:after="0"/>
        <w:rPr>
          <w:rFonts w:asciiTheme="minorHAnsi" w:hAnsiTheme="minorHAnsi"/>
          <w:lang w:val="en-GB"/>
        </w:rPr>
      </w:pPr>
      <w:r w:rsidRPr="006E7ACC">
        <w:rPr>
          <w:rFonts w:asciiTheme="minorHAnsi" w:hAnsiTheme="minorHAnsi"/>
          <w:lang w:val="en-GB"/>
        </w:rPr>
        <w:t>8.1</w:t>
      </w:r>
      <w:r w:rsidRPr="006E7ACC">
        <w:rPr>
          <w:rFonts w:asciiTheme="minorHAnsi" w:hAnsiTheme="minorHAnsi"/>
          <w:lang w:val="en-GB"/>
        </w:rPr>
        <w:tab/>
      </w:r>
      <w:r w:rsidR="00557A80" w:rsidRPr="006E7ACC">
        <w:rPr>
          <w:rFonts w:asciiTheme="minorHAnsi" w:hAnsiTheme="minorHAnsi"/>
          <w:lang w:val="en-GB"/>
        </w:rPr>
        <w:t xml:space="preserve">The minutes of the sixth plenary meeting (Document 118) were </w:t>
      </w:r>
      <w:r w:rsidR="00557A80" w:rsidRPr="006E7ACC">
        <w:rPr>
          <w:rFonts w:asciiTheme="minorHAnsi" w:hAnsiTheme="minorHAnsi"/>
          <w:b/>
          <w:bCs/>
          <w:lang w:val="en-GB"/>
        </w:rPr>
        <w:t>approved</w:t>
      </w:r>
      <w:r w:rsidR="00557A80" w:rsidRPr="006E7ACC">
        <w:rPr>
          <w:rFonts w:asciiTheme="minorHAnsi" w:hAnsiTheme="minorHAnsi"/>
          <w:lang w:val="en-GB"/>
        </w:rPr>
        <w:t>.</w:t>
      </w:r>
    </w:p>
    <w:p w:rsidR="00557A80" w:rsidRPr="006E7ACC" w:rsidRDefault="00557A80" w:rsidP="00A93C31">
      <w:pPr>
        <w:pStyle w:val="western"/>
        <w:spacing w:after="0"/>
        <w:rPr>
          <w:rFonts w:asciiTheme="minorHAnsi" w:hAnsiTheme="minorHAnsi"/>
          <w:lang w:val="en-GB"/>
        </w:rPr>
      </w:pPr>
      <w:r w:rsidRPr="006E7ACC">
        <w:rPr>
          <w:rFonts w:asciiTheme="minorHAnsi" w:hAnsiTheme="minorHAnsi"/>
          <w:b/>
          <w:bCs/>
          <w:lang w:val="en-GB"/>
        </w:rPr>
        <w:t>The meeting rose at 1025 hours.</w:t>
      </w:r>
    </w:p>
    <w:p w:rsidR="00557A80" w:rsidRPr="006E7ACC" w:rsidRDefault="00557A80" w:rsidP="00A93C31">
      <w:pPr>
        <w:pStyle w:val="western"/>
        <w:spacing w:after="0"/>
        <w:rPr>
          <w:rFonts w:asciiTheme="minorHAnsi" w:hAnsiTheme="minorHAnsi"/>
          <w:lang w:val="en-GB"/>
        </w:rPr>
      </w:pPr>
    </w:p>
    <w:p w:rsidR="00557A80" w:rsidRPr="006E7ACC" w:rsidRDefault="00557A80" w:rsidP="00A93C31">
      <w:pPr>
        <w:pStyle w:val="western"/>
        <w:spacing w:before="0" w:beforeAutospacing="0" w:after="0"/>
        <w:rPr>
          <w:rFonts w:asciiTheme="minorHAnsi" w:hAnsiTheme="minorHAnsi"/>
          <w:lang w:val="en-GB"/>
        </w:rPr>
      </w:pPr>
      <w:r w:rsidRPr="006E7ACC">
        <w:rPr>
          <w:rFonts w:asciiTheme="minorHAnsi" w:hAnsiTheme="minorHAnsi"/>
          <w:lang w:val="en-GB"/>
        </w:rPr>
        <w:t xml:space="preserve">The Secretary-General: </w:t>
      </w:r>
      <w:r w:rsidR="006E7ACC">
        <w:rPr>
          <w:rFonts w:asciiTheme="minorHAnsi" w:hAnsiTheme="minorHAnsi"/>
          <w:lang w:val="en-GB"/>
        </w:rPr>
        <w:tab/>
      </w:r>
      <w:r w:rsidR="006E7ACC">
        <w:rPr>
          <w:rFonts w:asciiTheme="minorHAnsi" w:hAnsiTheme="minorHAnsi"/>
          <w:lang w:val="en-GB"/>
        </w:rPr>
        <w:tab/>
      </w:r>
      <w:r w:rsidR="006E7ACC">
        <w:rPr>
          <w:rFonts w:asciiTheme="minorHAnsi" w:hAnsiTheme="minorHAnsi"/>
          <w:lang w:val="en-GB"/>
        </w:rPr>
        <w:tab/>
      </w:r>
      <w:r w:rsidR="006E7ACC">
        <w:rPr>
          <w:rFonts w:asciiTheme="minorHAnsi" w:hAnsiTheme="minorHAnsi"/>
          <w:lang w:val="en-GB"/>
        </w:rPr>
        <w:tab/>
      </w:r>
      <w:r w:rsidR="006E7ACC">
        <w:rPr>
          <w:rFonts w:asciiTheme="minorHAnsi" w:hAnsiTheme="minorHAnsi"/>
          <w:lang w:val="en-GB"/>
        </w:rPr>
        <w:tab/>
      </w:r>
      <w:r w:rsidRPr="006E7ACC">
        <w:rPr>
          <w:rFonts w:asciiTheme="minorHAnsi" w:hAnsiTheme="minorHAnsi"/>
          <w:lang w:val="en-GB"/>
        </w:rPr>
        <w:t>The Chairman:</w:t>
      </w:r>
    </w:p>
    <w:p w:rsidR="00557A80" w:rsidRPr="000B1ED3" w:rsidRDefault="00557A80" w:rsidP="00A93C31">
      <w:pPr>
        <w:pStyle w:val="western"/>
        <w:spacing w:before="0" w:beforeAutospacing="0" w:after="0"/>
        <w:rPr>
          <w:rFonts w:asciiTheme="minorHAnsi" w:hAnsiTheme="minorHAnsi"/>
          <w:lang w:val="fr-FR"/>
        </w:rPr>
      </w:pPr>
      <w:r w:rsidRPr="000B1ED3">
        <w:rPr>
          <w:rFonts w:asciiTheme="minorHAnsi" w:hAnsiTheme="minorHAnsi"/>
          <w:lang w:val="fr-FR"/>
        </w:rPr>
        <w:t xml:space="preserve">H. TOURÉ </w:t>
      </w:r>
      <w:r w:rsidR="006E7ACC" w:rsidRPr="000B1ED3">
        <w:rPr>
          <w:rFonts w:asciiTheme="minorHAnsi" w:hAnsiTheme="minorHAnsi"/>
          <w:lang w:val="fr-FR"/>
        </w:rPr>
        <w:tab/>
      </w:r>
      <w:r w:rsidR="006E7ACC" w:rsidRPr="000B1ED3">
        <w:rPr>
          <w:rFonts w:asciiTheme="minorHAnsi" w:hAnsiTheme="minorHAnsi"/>
          <w:lang w:val="fr-FR"/>
        </w:rPr>
        <w:tab/>
      </w:r>
      <w:r w:rsidR="006E7ACC" w:rsidRPr="000B1ED3">
        <w:rPr>
          <w:rFonts w:asciiTheme="minorHAnsi" w:hAnsiTheme="minorHAnsi"/>
          <w:lang w:val="fr-FR"/>
        </w:rPr>
        <w:tab/>
      </w:r>
      <w:r w:rsidR="006E7ACC" w:rsidRPr="000B1ED3">
        <w:rPr>
          <w:rFonts w:asciiTheme="minorHAnsi" w:hAnsiTheme="minorHAnsi"/>
          <w:lang w:val="fr-FR"/>
        </w:rPr>
        <w:tab/>
      </w:r>
      <w:r w:rsidR="006E7ACC" w:rsidRPr="000B1ED3">
        <w:rPr>
          <w:rFonts w:asciiTheme="minorHAnsi" w:hAnsiTheme="minorHAnsi"/>
          <w:lang w:val="fr-FR"/>
        </w:rPr>
        <w:tab/>
      </w:r>
      <w:r w:rsidR="006E7ACC" w:rsidRPr="000B1ED3">
        <w:rPr>
          <w:rFonts w:asciiTheme="minorHAnsi" w:hAnsiTheme="minorHAnsi"/>
          <w:lang w:val="fr-FR"/>
        </w:rPr>
        <w:tab/>
      </w:r>
      <w:r w:rsidR="006E7ACC" w:rsidRPr="000B1ED3">
        <w:rPr>
          <w:rFonts w:asciiTheme="minorHAnsi" w:hAnsiTheme="minorHAnsi"/>
          <w:lang w:val="fr-FR"/>
        </w:rPr>
        <w:tab/>
      </w:r>
      <w:r w:rsidRPr="000B1ED3">
        <w:rPr>
          <w:rFonts w:asciiTheme="minorHAnsi" w:hAnsiTheme="minorHAnsi"/>
          <w:lang w:val="fr-FR"/>
        </w:rPr>
        <w:t>W. MIN</w:t>
      </w:r>
    </w:p>
    <w:p w:rsidR="00557A80" w:rsidRPr="000B1ED3" w:rsidRDefault="000B1ED3" w:rsidP="00A93C31">
      <w:pPr>
        <w:pStyle w:val="western"/>
        <w:spacing w:after="0"/>
        <w:rPr>
          <w:rFonts w:asciiTheme="minorHAnsi" w:hAnsiTheme="minorHAnsi"/>
          <w:lang w:val="fr-FR"/>
        </w:rPr>
      </w:pPr>
      <w:r w:rsidRPr="000B1ED3">
        <w:rPr>
          <w:rFonts w:asciiTheme="minorHAnsi" w:hAnsiTheme="minorHAnsi"/>
          <w:b/>
          <w:bCs/>
          <w:lang w:val="fr-FR"/>
        </w:rPr>
        <w:t>Annex</w:t>
      </w:r>
      <w:r w:rsidRPr="000B1ED3">
        <w:rPr>
          <w:rFonts w:asciiTheme="minorHAnsi" w:hAnsiTheme="minorHAnsi"/>
          <w:lang w:val="fr-FR"/>
        </w:rPr>
        <w:t>: 1</w:t>
      </w:r>
    </w:p>
    <w:p w:rsidR="000B1ED3" w:rsidRDefault="000B1ED3" w:rsidP="00A93C31">
      <w:pPr>
        <w:spacing w:line="240" w:lineRule="auto"/>
        <w:rPr>
          <w:rFonts w:eastAsia="Times New Roman" w:cs="Times New Roman"/>
          <w:sz w:val="24"/>
          <w:szCs w:val="24"/>
          <w:lang w:val="fr-FR"/>
        </w:rPr>
      </w:pPr>
      <w:r>
        <w:rPr>
          <w:lang w:val="fr-FR"/>
        </w:rPr>
        <w:br w:type="page"/>
      </w:r>
    </w:p>
    <w:p w:rsidR="000B1ED3" w:rsidRPr="000B1ED3" w:rsidRDefault="000B1ED3" w:rsidP="004E4C05">
      <w:pPr>
        <w:pStyle w:val="western"/>
        <w:spacing w:after="0"/>
        <w:jc w:val="right"/>
        <w:rPr>
          <w:rFonts w:asciiTheme="minorHAnsi" w:hAnsiTheme="minorHAnsi"/>
        </w:rPr>
      </w:pPr>
      <w:r w:rsidRPr="000B1ED3">
        <w:rPr>
          <w:rFonts w:asciiTheme="minorHAnsi" w:hAnsiTheme="minorHAnsi"/>
        </w:rPr>
        <w:lastRenderedPageBreak/>
        <w:t>Original: English</w:t>
      </w:r>
    </w:p>
    <w:p w:rsidR="000B1ED3" w:rsidRPr="000B1ED3" w:rsidRDefault="000B1ED3" w:rsidP="00A93C31">
      <w:pPr>
        <w:pStyle w:val="western"/>
        <w:spacing w:after="0"/>
        <w:jc w:val="center"/>
        <w:rPr>
          <w:rFonts w:asciiTheme="minorHAnsi" w:hAnsiTheme="minorHAnsi"/>
        </w:rPr>
      </w:pPr>
      <w:r w:rsidRPr="000B1ED3">
        <w:rPr>
          <w:rFonts w:asciiTheme="minorHAnsi" w:hAnsiTheme="minorHAnsi"/>
        </w:rPr>
        <w:t>Annex A</w:t>
      </w:r>
    </w:p>
    <w:p w:rsidR="000B1ED3" w:rsidRDefault="000B1ED3" w:rsidP="00A93C31">
      <w:pPr>
        <w:pStyle w:val="western"/>
        <w:spacing w:after="0"/>
        <w:jc w:val="center"/>
        <w:rPr>
          <w:rFonts w:asciiTheme="minorHAnsi" w:hAnsiTheme="minorHAnsi"/>
        </w:rPr>
      </w:pPr>
      <w:r w:rsidRPr="000B1ED3">
        <w:rPr>
          <w:rFonts w:asciiTheme="minorHAnsi" w:hAnsiTheme="minorHAnsi"/>
        </w:rPr>
        <w:t>Statement by the Minister of Communications of Australia</w:t>
      </w:r>
    </w:p>
    <w:p w:rsidR="00A93C31" w:rsidRPr="000B1ED3" w:rsidRDefault="00A93C31" w:rsidP="00A93C31">
      <w:pPr>
        <w:pStyle w:val="western"/>
        <w:spacing w:after="0"/>
        <w:jc w:val="center"/>
        <w:rPr>
          <w:rFonts w:asciiTheme="minorHAnsi" w:hAnsiTheme="minorHAnsi"/>
        </w:rPr>
      </w:pPr>
    </w:p>
    <w:p w:rsidR="000B1ED3" w:rsidRPr="003A0FF8" w:rsidRDefault="000B1ED3" w:rsidP="00A93C31">
      <w:pPr>
        <w:pStyle w:val="Body"/>
        <w:spacing w:line="240" w:lineRule="auto"/>
      </w:pPr>
      <w:r w:rsidRPr="003A0FF8">
        <w:t>Mr Chairman, Secretary-General, Secretary-General elect and ITU officials, distinguished delegates, ladies and gentlemen,</w:t>
      </w:r>
    </w:p>
    <w:p w:rsidR="000B1ED3" w:rsidRPr="003A0FF8" w:rsidRDefault="000B1ED3" w:rsidP="00A93C31">
      <w:pPr>
        <w:pStyle w:val="Body"/>
        <w:spacing w:line="240" w:lineRule="auto"/>
      </w:pPr>
      <w:r w:rsidRPr="003A0FF8">
        <w:t xml:space="preserve">It is an honour to be here with you in Busan, in the Republic of Korea, for the ITU Plenipotentiary Conference 2014.  </w:t>
      </w:r>
    </w:p>
    <w:p w:rsidR="000B1ED3" w:rsidRPr="003A0FF8" w:rsidRDefault="000B1ED3" w:rsidP="00A93C31">
      <w:pPr>
        <w:pStyle w:val="Body"/>
        <w:spacing w:line="240" w:lineRule="auto"/>
      </w:pPr>
      <w:r w:rsidRPr="003A0FF8">
        <w:t xml:space="preserve">Mr Chairman, let me begin by expressing my appreciation for your able stewardship in leading the work of this conference. </w:t>
      </w:r>
    </w:p>
    <w:p w:rsidR="000B1ED3" w:rsidRPr="003A0FF8" w:rsidRDefault="000B1ED3" w:rsidP="00A93C31">
      <w:pPr>
        <w:pStyle w:val="Body"/>
        <w:spacing w:line="240" w:lineRule="auto"/>
      </w:pPr>
      <w:r w:rsidRPr="003A0FF8">
        <w:t xml:space="preserve">I’ve only just joined you but I wanted to assure you that the world has been watching your work. Through you and your Committee Chairs, a great deal has been achieved in the past two and a half weeks. </w:t>
      </w:r>
    </w:p>
    <w:p w:rsidR="000B1ED3" w:rsidRPr="003A0FF8" w:rsidRDefault="000B1ED3" w:rsidP="00A93C31">
      <w:pPr>
        <w:pStyle w:val="Body"/>
        <w:spacing w:line="240" w:lineRule="auto"/>
      </w:pPr>
      <w:r w:rsidRPr="003A0FF8">
        <w:t>When I attended the ITU Council meeting earlier this year, I spoke about how, at PP-14, we would discuss ways the ITU can best assist its Member States in meeting the challenges and taking hold of the opportunities that will emerge over the next four years.</w:t>
      </w:r>
    </w:p>
    <w:p w:rsidR="000B1ED3" w:rsidRPr="003A0FF8" w:rsidRDefault="000B1ED3" w:rsidP="00A93C31">
      <w:pPr>
        <w:pStyle w:val="Body"/>
        <w:spacing w:line="240" w:lineRule="auto"/>
      </w:pPr>
      <w:r w:rsidRPr="003A0FF8">
        <w:t>I believe the decisions taken by this conference so far will achieve this, and I think it is an opportune moment to take stock of our accomplishments so far.</w:t>
      </w:r>
    </w:p>
    <w:p w:rsidR="000B1ED3" w:rsidRPr="003A0FF8" w:rsidRDefault="000B1ED3" w:rsidP="00A93C31">
      <w:pPr>
        <w:pStyle w:val="Body"/>
        <w:spacing w:line="240" w:lineRule="auto"/>
      </w:pPr>
      <w:r w:rsidRPr="003A0FF8">
        <w:t>We have already agreed to a new resolution that takes an important step to improve civil aviation safety. I believe my counterpart from Malaysia raised the question why flight tracking still makes use of technology developed in the 1940s and 1950s. By bringing this issue to next year</w:t>
      </w:r>
      <w:r w:rsidR="00A93C31">
        <w:t>’</w:t>
      </w:r>
      <w:r w:rsidRPr="003A0FF8">
        <w:t>s WRC you are bringing the technology into the 21</w:t>
      </w:r>
      <w:r w:rsidRPr="00A93C31">
        <w:rPr>
          <w:vertAlign w:val="superscript"/>
        </w:rPr>
        <w:t>st</w:t>
      </w:r>
      <w:r w:rsidRPr="003A0FF8">
        <w:t xml:space="preserve"> century.  This achievement cannot be understated and is an outcome that all Member States should be proud of.</w:t>
      </w:r>
    </w:p>
    <w:p w:rsidR="000B1ED3" w:rsidRPr="003A0FF8" w:rsidRDefault="000B1ED3" w:rsidP="00A93C31">
      <w:pPr>
        <w:pStyle w:val="Body"/>
        <w:spacing w:line="240" w:lineRule="auto"/>
      </w:pPr>
      <w:r w:rsidRPr="003A0FF8">
        <w:t>The conference</w:t>
      </w:r>
      <w:r w:rsidR="00A93C31">
        <w:t>’</w:t>
      </w:r>
      <w:r w:rsidRPr="003A0FF8">
        <w:t>s resolution to make use of ICT to support efforts to combat Ebola is a timely and important initiative. Our thoughts, prayers and sympathies are with the victims of this awful disease, and with their families. I commend the ITU for its important contribution.</w:t>
      </w:r>
    </w:p>
    <w:p w:rsidR="000B1ED3" w:rsidRPr="003A0FF8" w:rsidRDefault="000B1ED3" w:rsidP="00A93C31">
      <w:pPr>
        <w:pStyle w:val="Body"/>
        <w:spacing w:line="240" w:lineRule="auto"/>
      </w:pPr>
      <w:r w:rsidRPr="003A0FF8">
        <w:t>All Member States of the Union have a strong interest in ensuring the sustainability and strength of this organisation. This conference has set our goals and objectives beyond 2015, through the strategic and financial plans.</w:t>
      </w:r>
    </w:p>
    <w:p w:rsidR="000B1ED3" w:rsidRPr="003A0FF8" w:rsidRDefault="000B1ED3" w:rsidP="00A93C31">
      <w:pPr>
        <w:pStyle w:val="Body"/>
        <w:spacing w:line="240" w:lineRule="auto"/>
      </w:pPr>
      <w:r w:rsidRPr="003A0FF8">
        <w:t xml:space="preserve">The four goals of the Strategic Plan; growth, inclusiveness, sustainability and innovation, provide us with an ambitious plan for the next four years. The outcomes that have been achieved here at PP-14 put us, and the Union, in good standing to achieve these goals. </w:t>
      </w:r>
    </w:p>
    <w:p w:rsidR="000B1ED3" w:rsidRPr="003A0FF8" w:rsidRDefault="000B1ED3" w:rsidP="00A93C31">
      <w:pPr>
        <w:pStyle w:val="Body"/>
        <w:spacing w:line="240" w:lineRule="auto"/>
      </w:pPr>
      <w:r w:rsidRPr="003A0FF8">
        <w:t>Further, you have set out the mechanisms that will ensure the Union can work effectively to meet these goals. The preparation of a balanced and realistic financial plan is one of the integral components of ensuring our future success.</w:t>
      </w:r>
    </w:p>
    <w:p w:rsidR="000B1ED3" w:rsidRPr="003A0FF8" w:rsidRDefault="000B1ED3" w:rsidP="00A93C31">
      <w:pPr>
        <w:pStyle w:val="Body"/>
        <w:spacing w:line="240" w:lineRule="auto"/>
      </w:pPr>
      <w:r w:rsidRPr="003A0FF8">
        <w:t>The conference has also agreed to continue the Independent Management Advisory Committee, to continue the Academia membership category, to review our membership arrangements and to increase our efforts for greater transparency, will help us to achieve the goals we have set.</w:t>
      </w:r>
    </w:p>
    <w:p w:rsidR="000B1ED3" w:rsidRPr="003A0FF8" w:rsidRDefault="000B1ED3" w:rsidP="00A93C31">
      <w:pPr>
        <w:pStyle w:val="Body"/>
        <w:spacing w:line="240" w:lineRule="auto"/>
      </w:pPr>
      <w:r w:rsidRPr="003A0FF8">
        <w:lastRenderedPageBreak/>
        <w:t>On behalf of the Australian Government, I would like thank all of the Member States that sa</w:t>
      </w:r>
      <w:bookmarkStart w:id="7" w:name="_GoBack"/>
      <w:bookmarkEnd w:id="7"/>
      <w:r w:rsidRPr="003A0FF8">
        <w:t xml:space="preserve">w fit to vote for Australia for re-election to the ITU Council. We are proud that you have continued to put your trust in us as Council representatives and we stand ready to continue to actively engage in the work of managing the Union. </w:t>
      </w:r>
    </w:p>
    <w:p w:rsidR="000B1ED3" w:rsidRPr="003A0FF8" w:rsidRDefault="000B1ED3" w:rsidP="00A93C31">
      <w:pPr>
        <w:pStyle w:val="Body"/>
        <w:spacing w:line="240" w:lineRule="auto"/>
      </w:pPr>
      <w:r w:rsidRPr="003A0FF8">
        <w:t>The Australian delegation has already offered its congratulations to the new office bearers of the ITU, following the elections which concluded last week. However, I would again like to take this opportunity to congratulate the newly elected officials of the ITU; the Secretary-General elect Mr Houlin Zhao, Deputy Secretary-General elect Mr Malcolm Johnson, Mr Francois Rancy and Mr Brahima Sanou on their re-election for a second term as Directors of the Radiocommunication and Telecommunication Development Bureau</w:t>
      </w:r>
      <w:r>
        <w:t>x</w:t>
      </w:r>
      <w:r w:rsidRPr="003A0FF8">
        <w:t>, and to Mr Chaesub Lee, the newly elected Director of the Telecommunication Standardi</w:t>
      </w:r>
      <w:r>
        <w:t>z</w:t>
      </w:r>
      <w:r w:rsidRPr="003A0FF8">
        <w:t xml:space="preserve">ation Bureau. Finally, I would like to offer my congratulations to the members of the RRB and the Council on their elections. </w:t>
      </w:r>
    </w:p>
    <w:p w:rsidR="000B1ED3" w:rsidRPr="003A0FF8" w:rsidRDefault="000B1ED3" w:rsidP="00A93C31">
      <w:pPr>
        <w:pStyle w:val="Body"/>
        <w:spacing w:line="240" w:lineRule="auto"/>
      </w:pPr>
      <w:r w:rsidRPr="003A0FF8">
        <w:t>Mr Chairman, distinguished delegates, I thank you again for the opportunity to speak. While my time here in Busan will be sadly be short, I hope to meet with many of you while I am here.</w:t>
      </w:r>
    </w:p>
    <w:p w:rsidR="000B1ED3" w:rsidRPr="000B1ED3" w:rsidRDefault="000B1ED3" w:rsidP="00A93C31">
      <w:pPr>
        <w:pStyle w:val="western"/>
        <w:spacing w:after="0"/>
        <w:rPr>
          <w:rFonts w:asciiTheme="minorHAnsi" w:hAnsiTheme="minorHAnsi"/>
          <w:lang w:val="en-AU"/>
        </w:rPr>
      </w:pPr>
    </w:p>
    <w:p w:rsidR="00557A80" w:rsidRPr="000B1ED3" w:rsidRDefault="00557A80" w:rsidP="00A93C31">
      <w:pPr>
        <w:pStyle w:val="western"/>
        <w:spacing w:after="0"/>
        <w:rPr>
          <w:rFonts w:asciiTheme="minorHAnsi" w:hAnsiTheme="minorHAnsi"/>
        </w:rPr>
      </w:pPr>
    </w:p>
    <w:p w:rsidR="00557A80" w:rsidRPr="00A93C31" w:rsidRDefault="00A93C31" w:rsidP="00A93C31">
      <w:pPr>
        <w:pStyle w:val="western"/>
        <w:spacing w:after="0"/>
        <w:jc w:val="center"/>
        <w:rPr>
          <w:rFonts w:asciiTheme="minorHAnsi" w:hAnsiTheme="minorHAnsi"/>
          <w:u w:val="single"/>
        </w:rPr>
      </w:pPr>
      <w:r>
        <w:rPr>
          <w:rFonts w:asciiTheme="minorHAnsi" w:hAnsiTheme="minorHAnsi"/>
          <w:u w:val="single"/>
        </w:rPr>
        <w:t>                                   </w:t>
      </w:r>
    </w:p>
    <w:p w:rsidR="00F6112D" w:rsidRPr="000B1ED3" w:rsidRDefault="00F6112D" w:rsidP="00A93C31">
      <w:pPr>
        <w:spacing w:line="240" w:lineRule="auto"/>
        <w:rPr>
          <w:sz w:val="24"/>
          <w:szCs w:val="24"/>
        </w:rPr>
      </w:pPr>
    </w:p>
    <w:sectPr w:rsidR="00F6112D" w:rsidRPr="000B1ED3" w:rsidSect="00CA4BB2">
      <w:headerReference w:type="default" r:id="rId15"/>
      <w:footerReference w:type="first" r:id="rId16"/>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8F6" w:rsidRDefault="000418F6" w:rsidP="000418F6">
      <w:pPr>
        <w:spacing w:after="0" w:line="240" w:lineRule="auto"/>
      </w:pPr>
      <w:r>
        <w:separator/>
      </w:r>
    </w:p>
  </w:endnote>
  <w:endnote w:type="continuationSeparator" w:id="0">
    <w:p w:rsidR="000418F6" w:rsidRDefault="000418F6" w:rsidP="00041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BB2" w:rsidRPr="00B62FED" w:rsidRDefault="00CA4BB2" w:rsidP="00CA4BB2">
    <w:pPr>
      <w:pStyle w:val="firstfooter"/>
      <w:spacing w:before="0" w:beforeAutospacing="0" w:after="0" w:afterAutospacing="0"/>
      <w:jc w:val="center"/>
      <w:rPr>
        <w:rFonts w:ascii="Symbol" w:hAnsi="Symbol"/>
        <w:sz w:val="32"/>
        <w:szCs w:val="28"/>
        <w:lang w:val="en-GB"/>
      </w:rPr>
    </w:pPr>
    <w:r w:rsidRPr="00B62FED">
      <w:rPr>
        <w:rFonts w:ascii="Symbol" w:hAnsi="Symbol"/>
        <w:sz w:val="32"/>
        <w:szCs w:val="28"/>
        <w:lang w:val="en-GB"/>
      </w:rPr>
      <w:t></w:t>
    </w:r>
    <w:r w:rsidRPr="00B62FED">
      <w:rPr>
        <w:sz w:val="28"/>
        <w:szCs w:val="28"/>
        <w:lang w:val="en-GB"/>
      </w:rPr>
      <w:t> </w:t>
    </w:r>
    <w:hyperlink r:id="rId1" w:history="1">
      <w:r w:rsidRPr="00B62FED">
        <w:rPr>
          <w:rStyle w:val="Hyperlink"/>
          <w:sz w:val="22"/>
          <w:szCs w:val="22"/>
          <w:lang w:val="en-GB"/>
        </w:rPr>
        <w:t>www.itu.int/plenipotentiary/</w:t>
      </w:r>
    </w:hyperlink>
    <w:r w:rsidRPr="00B62FED">
      <w:rPr>
        <w:sz w:val="28"/>
        <w:szCs w:val="28"/>
        <w:lang w:val="en-GB"/>
      </w:rPr>
      <w:t xml:space="preserve"> </w:t>
    </w:r>
    <w:r w:rsidRPr="00B62FED">
      <w:rPr>
        <w:rFonts w:ascii="Symbol" w:hAnsi="Symbol"/>
        <w:sz w:val="32"/>
        <w:szCs w:val="28"/>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8F6" w:rsidRDefault="000418F6" w:rsidP="000418F6">
      <w:pPr>
        <w:spacing w:after="0" w:line="240" w:lineRule="auto"/>
      </w:pPr>
      <w:r>
        <w:separator/>
      </w:r>
    </w:p>
  </w:footnote>
  <w:footnote w:type="continuationSeparator" w:id="0">
    <w:p w:rsidR="000418F6" w:rsidRDefault="000418F6" w:rsidP="000418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BB2" w:rsidRPr="00CA4BB2" w:rsidRDefault="00CA4BB2" w:rsidP="00A93C31">
    <w:pPr>
      <w:pStyle w:val="Header"/>
      <w:jc w:val="center"/>
      <w:rPr>
        <w:rStyle w:val="PageNumber"/>
        <w:sz w:val="20"/>
        <w:szCs w:val="20"/>
      </w:rPr>
    </w:pPr>
    <w:r w:rsidRPr="00CA4BB2">
      <w:rPr>
        <w:rStyle w:val="PageNumber"/>
        <w:sz w:val="20"/>
        <w:szCs w:val="20"/>
      </w:rPr>
      <w:fldChar w:fldCharType="begin"/>
    </w:r>
    <w:r w:rsidRPr="00CA4BB2">
      <w:rPr>
        <w:rStyle w:val="PageNumber"/>
        <w:sz w:val="20"/>
        <w:szCs w:val="20"/>
      </w:rPr>
      <w:instrText xml:space="preserve"> PAGE </w:instrText>
    </w:r>
    <w:r w:rsidRPr="00CA4BB2">
      <w:rPr>
        <w:rStyle w:val="PageNumber"/>
        <w:sz w:val="20"/>
        <w:szCs w:val="20"/>
      </w:rPr>
      <w:fldChar w:fldCharType="separate"/>
    </w:r>
    <w:r w:rsidR="004E4C05">
      <w:rPr>
        <w:rStyle w:val="PageNumber"/>
        <w:noProof/>
        <w:sz w:val="20"/>
        <w:szCs w:val="20"/>
      </w:rPr>
      <w:t>7</w:t>
    </w:r>
    <w:r w:rsidRPr="00CA4BB2">
      <w:rPr>
        <w:rStyle w:val="PageNumber"/>
        <w:sz w:val="20"/>
        <w:szCs w:val="20"/>
      </w:rPr>
      <w:fldChar w:fldCharType="end"/>
    </w:r>
    <w:r w:rsidRPr="00CA4BB2">
      <w:rPr>
        <w:rStyle w:val="PageNumber"/>
        <w:sz w:val="20"/>
        <w:szCs w:val="20"/>
      </w:rPr>
      <w:t>/</w:t>
    </w:r>
    <w:r w:rsidRPr="00CA4BB2">
      <w:rPr>
        <w:rStyle w:val="PageNumber"/>
        <w:sz w:val="20"/>
        <w:szCs w:val="20"/>
      </w:rPr>
      <w:fldChar w:fldCharType="begin"/>
    </w:r>
    <w:r w:rsidRPr="00CA4BB2">
      <w:rPr>
        <w:rStyle w:val="PageNumber"/>
        <w:sz w:val="20"/>
        <w:szCs w:val="20"/>
      </w:rPr>
      <w:instrText xml:space="preserve"> NUMPAGES </w:instrText>
    </w:r>
    <w:r w:rsidRPr="00CA4BB2">
      <w:rPr>
        <w:rStyle w:val="PageNumber"/>
        <w:sz w:val="20"/>
        <w:szCs w:val="20"/>
      </w:rPr>
      <w:fldChar w:fldCharType="separate"/>
    </w:r>
    <w:r w:rsidR="004E4C05">
      <w:rPr>
        <w:rStyle w:val="PageNumber"/>
        <w:noProof/>
        <w:sz w:val="20"/>
        <w:szCs w:val="20"/>
      </w:rPr>
      <w:t>7</w:t>
    </w:r>
    <w:r w:rsidRPr="00CA4BB2">
      <w:rPr>
        <w:rStyle w:val="PageNumber"/>
        <w:sz w:val="20"/>
        <w:szCs w:val="20"/>
      </w:rPr>
      <w:fldChar w:fldCharType="end"/>
    </w:r>
    <w:r w:rsidRPr="00CA4BB2">
      <w:rPr>
        <w:rStyle w:val="PageNumber"/>
        <w:sz w:val="20"/>
        <w:szCs w:val="20"/>
      </w:rPr>
      <w:br/>
      <w:t>PP-14/17</w:t>
    </w:r>
    <w:r w:rsidR="00A93C31">
      <w:rPr>
        <w:rStyle w:val="PageNumber"/>
        <w:sz w:val="20"/>
        <w:szCs w:val="20"/>
      </w:rPr>
      <w:t>2</w:t>
    </w:r>
    <w:r w:rsidRPr="00CA4BB2">
      <w:rPr>
        <w:rStyle w:val="PageNumber"/>
        <w:sz w:val="20"/>
        <w:szCs w:val="20"/>
      </w:rPr>
      <w:t>-E</w:t>
    </w:r>
  </w:p>
  <w:p w:rsidR="00CA4BB2" w:rsidRPr="00CA4BB2" w:rsidRDefault="00CA4BB2" w:rsidP="00CA4BB2">
    <w:pPr>
      <w:pStyle w:val="Header"/>
      <w:jc w:val="cent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A80"/>
    <w:rsid w:val="000005A0"/>
    <w:rsid w:val="00000946"/>
    <w:rsid w:val="00002D9A"/>
    <w:rsid w:val="000059F4"/>
    <w:rsid w:val="00005C86"/>
    <w:rsid w:val="000062D2"/>
    <w:rsid w:val="00006955"/>
    <w:rsid w:val="000074F6"/>
    <w:rsid w:val="00010A1C"/>
    <w:rsid w:val="00011164"/>
    <w:rsid w:val="0001257A"/>
    <w:rsid w:val="00014269"/>
    <w:rsid w:val="00020A7F"/>
    <w:rsid w:val="00020ECA"/>
    <w:rsid w:val="000218F0"/>
    <w:rsid w:val="000226BE"/>
    <w:rsid w:val="00022FC4"/>
    <w:rsid w:val="00023820"/>
    <w:rsid w:val="000259A4"/>
    <w:rsid w:val="0002721C"/>
    <w:rsid w:val="00032954"/>
    <w:rsid w:val="00032AA5"/>
    <w:rsid w:val="00036D99"/>
    <w:rsid w:val="00040F82"/>
    <w:rsid w:val="000418F6"/>
    <w:rsid w:val="00041F0F"/>
    <w:rsid w:val="00046B3E"/>
    <w:rsid w:val="000506C1"/>
    <w:rsid w:val="00050ED5"/>
    <w:rsid w:val="0005276B"/>
    <w:rsid w:val="000555FD"/>
    <w:rsid w:val="00064671"/>
    <w:rsid w:val="0006484B"/>
    <w:rsid w:val="00064D64"/>
    <w:rsid w:val="00066E3B"/>
    <w:rsid w:val="00070921"/>
    <w:rsid w:val="000722B7"/>
    <w:rsid w:val="0007450B"/>
    <w:rsid w:val="00075490"/>
    <w:rsid w:val="000754CD"/>
    <w:rsid w:val="000773C7"/>
    <w:rsid w:val="00081A32"/>
    <w:rsid w:val="00081DB6"/>
    <w:rsid w:val="00083770"/>
    <w:rsid w:val="000840C7"/>
    <w:rsid w:val="00085AD1"/>
    <w:rsid w:val="000869EA"/>
    <w:rsid w:val="00095339"/>
    <w:rsid w:val="0009650A"/>
    <w:rsid w:val="00096F89"/>
    <w:rsid w:val="00097716"/>
    <w:rsid w:val="000977EA"/>
    <w:rsid w:val="0009788A"/>
    <w:rsid w:val="000978A6"/>
    <w:rsid w:val="00097E49"/>
    <w:rsid w:val="000A1BBB"/>
    <w:rsid w:val="000A22C4"/>
    <w:rsid w:val="000A2306"/>
    <w:rsid w:val="000A277A"/>
    <w:rsid w:val="000B1ED3"/>
    <w:rsid w:val="000B4C21"/>
    <w:rsid w:val="000B5568"/>
    <w:rsid w:val="000B700A"/>
    <w:rsid w:val="000C22ED"/>
    <w:rsid w:val="000C42C4"/>
    <w:rsid w:val="000C4812"/>
    <w:rsid w:val="000C5E29"/>
    <w:rsid w:val="000C61BF"/>
    <w:rsid w:val="000C6A7A"/>
    <w:rsid w:val="000C6E12"/>
    <w:rsid w:val="000C72D9"/>
    <w:rsid w:val="000D5296"/>
    <w:rsid w:val="000D6C2F"/>
    <w:rsid w:val="000D7325"/>
    <w:rsid w:val="000D7EE0"/>
    <w:rsid w:val="000E1DD5"/>
    <w:rsid w:val="000E3468"/>
    <w:rsid w:val="000E4B3D"/>
    <w:rsid w:val="000E4E73"/>
    <w:rsid w:val="000E5FDE"/>
    <w:rsid w:val="000E6338"/>
    <w:rsid w:val="000E6833"/>
    <w:rsid w:val="000F1713"/>
    <w:rsid w:val="000F1734"/>
    <w:rsid w:val="000F2A4C"/>
    <w:rsid w:val="000F3490"/>
    <w:rsid w:val="000F3A63"/>
    <w:rsid w:val="000F501A"/>
    <w:rsid w:val="000F5266"/>
    <w:rsid w:val="000F5807"/>
    <w:rsid w:val="000F5A72"/>
    <w:rsid w:val="00103708"/>
    <w:rsid w:val="00103D02"/>
    <w:rsid w:val="001057A0"/>
    <w:rsid w:val="00106A46"/>
    <w:rsid w:val="00107185"/>
    <w:rsid w:val="001071F3"/>
    <w:rsid w:val="00107AAB"/>
    <w:rsid w:val="00110C19"/>
    <w:rsid w:val="00113443"/>
    <w:rsid w:val="001167C5"/>
    <w:rsid w:val="00117C37"/>
    <w:rsid w:val="00121634"/>
    <w:rsid w:val="00123ED6"/>
    <w:rsid w:val="00124F2B"/>
    <w:rsid w:val="00126012"/>
    <w:rsid w:val="001260B5"/>
    <w:rsid w:val="001264C8"/>
    <w:rsid w:val="0012685B"/>
    <w:rsid w:val="00130E31"/>
    <w:rsid w:val="00134DF0"/>
    <w:rsid w:val="001356F3"/>
    <w:rsid w:val="001360B6"/>
    <w:rsid w:val="00136E59"/>
    <w:rsid w:val="001376BA"/>
    <w:rsid w:val="00141F85"/>
    <w:rsid w:val="0014254C"/>
    <w:rsid w:val="0014393A"/>
    <w:rsid w:val="00143E9B"/>
    <w:rsid w:val="00144358"/>
    <w:rsid w:val="00146B60"/>
    <w:rsid w:val="00151B07"/>
    <w:rsid w:val="0015242F"/>
    <w:rsid w:val="00152BA5"/>
    <w:rsid w:val="00154A02"/>
    <w:rsid w:val="001559E2"/>
    <w:rsid w:val="00157C39"/>
    <w:rsid w:val="001619AB"/>
    <w:rsid w:val="00163AE9"/>
    <w:rsid w:val="00165707"/>
    <w:rsid w:val="00166343"/>
    <w:rsid w:val="00166F98"/>
    <w:rsid w:val="00170096"/>
    <w:rsid w:val="00170900"/>
    <w:rsid w:val="00170C8D"/>
    <w:rsid w:val="001754D1"/>
    <w:rsid w:val="00186705"/>
    <w:rsid w:val="0019421C"/>
    <w:rsid w:val="00195826"/>
    <w:rsid w:val="0019644B"/>
    <w:rsid w:val="001977F7"/>
    <w:rsid w:val="001A44FE"/>
    <w:rsid w:val="001A483E"/>
    <w:rsid w:val="001A73C7"/>
    <w:rsid w:val="001B02EC"/>
    <w:rsid w:val="001B14A8"/>
    <w:rsid w:val="001B59EA"/>
    <w:rsid w:val="001B5F40"/>
    <w:rsid w:val="001C0140"/>
    <w:rsid w:val="001C049E"/>
    <w:rsid w:val="001C161D"/>
    <w:rsid w:val="001C3CB2"/>
    <w:rsid w:val="001C4FD2"/>
    <w:rsid w:val="001C7CFF"/>
    <w:rsid w:val="001D014E"/>
    <w:rsid w:val="001D027D"/>
    <w:rsid w:val="001D04D9"/>
    <w:rsid w:val="001D3DDD"/>
    <w:rsid w:val="001D49C1"/>
    <w:rsid w:val="001D4FDE"/>
    <w:rsid w:val="001D603D"/>
    <w:rsid w:val="001D6052"/>
    <w:rsid w:val="001D66D4"/>
    <w:rsid w:val="001E1AA1"/>
    <w:rsid w:val="001E2B93"/>
    <w:rsid w:val="001E2CC6"/>
    <w:rsid w:val="001E31B4"/>
    <w:rsid w:val="001E3D7A"/>
    <w:rsid w:val="001E4180"/>
    <w:rsid w:val="001E480E"/>
    <w:rsid w:val="001E4FBB"/>
    <w:rsid w:val="001E5D97"/>
    <w:rsid w:val="001E77BC"/>
    <w:rsid w:val="001F1BFE"/>
    <w:rsid w:val="001F2A55"/>
    <w:rsid w:val="001F2D44"/>
    <w:rsid w:val="001F3C1B"/>
    <w:rsid w:val="001F6AAF"/>
    <w:rsid w:val="00201C43"/>
    <w:rsid w:val="0020235A"/>
    <w:rsid w:val="0020508D"/>
    <w:rsid w:val="00206133"/>
    <w:rsid w:val="00210AF2"/>
    <w:rsid w:val="0021138A"/>
    <w:rsid w:val="00216A54"/>
    <w:rsid w:val="00217B1C"/>
    <w:rsid w:val="00220103"/>
    <w:rsid w:val="002203E4"/>
    <w:rsid w:val="0022190B"/>
    <w:rsid w:val="00222528"/>
    <w:rsid w:val="00222DC6"/>
    <w:rsid w:val="00226744"/>
    <w:rsid w:val="00230ECD"/>
    <w:rsid w:val="002320AB"/>
    <w:rsid w:val="002378C1"/>
    <w:rsid w:val="00247DE9"/>
    <w:rsid w:val="0025111F"/>
    <w:rsid w:val="0025178F"/>
    <w:rsid w:val="002519D3"/>
    <w:rsid w:val="00252F44"/>
    <w:rsid w:val="00253808"/>
    <w:rsid w:val="00254DC2"/>
    <w:rsid w:val="00255C62"/>
    <w:rsid w:val="00257EA6"/>
    <w:rsid w:val="0026178E"/>
    <w:rsid w:val="0026421F"/>
    <w:rsid w:val="00267E99"/>
    <w:rsid w:val="002748A1"/>
    <w:rsid w:val="00274BA5"/>
    <w:rsid w:val="002758B0"/>
    <w:rsid w:val="002864D5"/>
    <w:rsid w:val="00287B28"/>
    <w:rsid w:val="00287FC1"/>
    <w:rsid w:val="00290450"/>
    <w:rsid w:val="0029249D"/>
    <w:rsid w:val="00292AE1"/>
    <w:rsid w:val="0029610D"/>
    <w:rsid w:val="002966BB"/>
    <w:rsid w:val="00297944"/>
    <w:rsid w:val="002A06CD"/>
    <w:rsid w:val="002A3201"/>
    <w:rsid w:val="002B00EA"/>
    <w:rsid w:val="002B16F2"/>
    <w:rsid w:val="002B1AE2"/>
    <w:rsid w:val="002B2177"/>
    <w:rsid w:val="002B3B24"/>
    <w:rsid w:val="002B4205"/>
    <w:rsid w:val="002B4B86"/>
    <w:rsid w:val="002B6900"/>
    <w:rsid w:val="002C0788"/>
    <w:rsid w:val="002C1A95"/>
    <w:rsid w:val="002C41A0"/>
    <w:rsid w:val="002C4D39"/>
    <w:rsid w:val="002C734D"/>
    <w:rsid w:val="002C7EA5"/>
    <w:rsid w:val="002D0BAA"/>
    <w:rsid w:val="002D1315"/>
    <w:rsid w:val="002D60EA"/>
    <w:rsid w:val="002D76B5"/>
    <w:rsid w:val="002D79FB"/>
    <w:rsid w:val="002D7AAA"/>
    <w:rsid w:val="002E018B"/>
    <w:rsid w:val="002E206D"/>
    <w:rsid w:val="002E3501"/>
    <w:rsid w:val="002E51F6"/>
    <w:rsid w:val="002E56A4"/>
    <w:rsid w:val="002F1582"/>
    <w:rsid w:val="002F1ABB"/>
    <w:rsid w:val="002F2D39"/>
    <w:rsid w:val="002F32FE"/>
    <w:rsid w:val="002F43D5"/>
    <w:rsid w:val="00304878"/>
    <w:rsid w:val="003050CB"/>
    <w:rsid w:val="00306A0C"/>
    <w:rsid w:val="00307CC8"/>
    <w:rsid w:val="0031050A"/>
    <w:rsid w:val="00312B7F"/>
    <w:rsid w:val="0031323F"/>
    <w:rsid w:val="0032272C"/>
    <w:rsid w:val="00325D6E"/>
    <w:rsid w:val="00326472"/>
    <w:rsid w:val="00330AF6"/>
    <w:rsid w:val="00332BC5"/>
    <w:rsid w:val="003330DB"/>
    <w:rsid w:val="003340FB"/>
    <w:rsid w:val="00340153"/>
    <w:rsid w:val="00343BD3"/>
    <w:rsid w:val="00344070"/>
    <w:rsid w:val="00347553"/>
    <w:rsid w:val="00350813"/>
    <w:rsid w:val="00351E62"/>
    <w:rsid w:val="00354827"/>
    <w:rsid w:val="003601D0"/>
    <w:rsid w:val="0036022E"/>
    <w:rsid w:val="00360257"/>
    <w:rsid w:val="00360B64"/>
    <w:rsid w:val="00361860"/>
    <w:rsid w:val="0036738C"/>
    <w:rsid w:val="00370913"/>
    <w:rsid w:val="00375B5A"/>
    <w:rsid w:val="003766A8"/>
    <w:rsid w:val="00380281"/>
    <w:rsid w:val="00381DDA"/>
    <w:rsid w:val="00382EB1"/>
    <w:rsid w:val="00384EE8"/>
    <w:rsid w:val="00385EEE"/>
    <w:rsid w:val="00386182"/>
    <w:rsid w:val="00386728"/>
    <w:rsid w:val="00387636"/>
    <w:rsid w:val="00392077"/>
    <w:rsid w:val="00393F5F"/>
    <w:rsid w:val="00394211"/>
    <w:rsid w:val="00395730"/>
    <w:rsid w:val="003963B7"/>
    <w:rsid w:val="003975DA"/>
    <w:rsid w:val="003A05DA"/>
    <w:rsid w:val="003A7348"/>
    <w:rsid w:val="003B07F6"/>
    <w:rsid w:val="003B07FE"/>
    <w:rsid w:val="003B3373"/>
    <w:rsid w:val="003B3452"/>
    <w:rsid w:val="003B50BE"/>
    <w:rsid w:val="003B6AB3"/>
    <w:rsid w:val="003C038C"/>
    <w:rsid w:val="003C1826"/>
    <w:rsid w:val="003C498B"/>
    <w:rsid w:val="003C5376"/>
    <w:rsid w:val="003C5FE6"/>
    <w:rsid w:val="003D05FB"/>
    <w:rsid w:val="003D0DF1"/>
    <w:rsid w:val="003D2624"/>
    <w:rsid w:val="003D31CB"/>
    <w:rsid w:val="003E1E97"/>
    <w:rsid w:val="003E1FB3"/>
    <w:rsid w:val="003E4DF1"/>
    <w:rsid w:val="003E4FAB"/>
    <w:rsid w:val="003F0257"/>
    <w:rsid w:val="003F1A67"/>
    <w:rsid w:val="003F243B"/>
    <w:rsid w:val="003F2851"/>
    <w:rsid w:val="003F31F5"/>
    <w:rsid w:val="003F4FC4"/>
    <w:rsid w:val="003F6F35"/>
    <w:rsid w:val="004008B7"/>
    <w:rsid w:val="00402F62"/>
    <w:rsid w:val="004033FB"/>
    <w:rsid w:val="00410CA8"/>
    <w:rsid w:val="004124E6"/>
    <w:rsid w:val="00412842"/>
    <w:rsid w:val="00412E4C"/>
    <w:rsid w:val="00413FAD"/>
    <w:rsid w:val="004144B8"/>
    <w:rsid w:val="00415A4D"/>
    <w:rsid w:val="00422A53"/>
    <w:rsid w:val="00422C21"/>
    <w:rsid w:val="004230E5"/>
    <w:rsid w:val="00425255"/>
    <w:rsid w:val="00425D2B"/>
    <w:rsid w:val="00427C4A"/>
    <w:rsid w:val="00427D14"/>
    <w:rsid w:val="00432151"/>
    <w:rsid w:val="0043337D"/>
    <w:rsid w:val="00434AAD"/>
    <w:rsid w:val="00436BB1"/>
    <w:rsid w:val="0044124A"/>
    <w:rsid w:val="00442CE0"/>
    <w:rsid w:val="00443142"/>
    <w:rsid w:val="00443C74"/>
    <w:rsid w:val="00445DCB"/>
    <w:rsid w:val="00452777"/>
    <w:rsid w:val="0045693B"/>
    <w:rsid w:val="00460961"/>
    <w:rsid w:val="00462532"/>
    <w:rsid w:val="00462E61"/>
    <w:rsid w:val="0047034D"/>
    <w:rsid w:val="00472136"/>
    <w:rsid w:val="004724B2"/>
    <w:rsid w:val="0047278E"/>
    <w:rsid w:val="0048061E"/>
    <w:rsid w:val="00480D16"/>
    <w:rsid w:val="00480E90"/>
    <w:rsid w:val="004875D1"/>
    <w:rsid w:val="00487E2E"/>
    <w:rsid w:val="0049060F"/>
    <w:rsid w:val="0049152B"/>
    <w:rsid w:val="004964DC"/>
    <w:rsid w:val="00497A22"/>
    <w:rsid w:val="00497ABA"/>
    <w:rsid w:val="004A59A2"/>
    <w:rsid w:val="004A5E6C"/>
    <w:rsid w:val="004A7435"/>
    <w:rsid w:val="004A74BE"/>
    <w:rsid w:val="004B0C0A"/>
    <w:rsid w:val="004B0F64"/>
    <w:rsid w:val="004B3F1C"/>
    <w:rsid w:val="004B4ACB"/>
    <w:rsid w:val="004B7330"/>
    <w:rsid w:val="004C19C6"/>
    <w:rsid w:val="004C22E1"/>
    <w:rsid w:val="004C3666"/>
    <w:rsid w:val="004C6D0E"/>
    <w:rsid w:val="004C7E30"/>
    <w:rsid w:val="004D05A6"/>
    <w:rsid w:val="004D1507"/>
    <w:rsid w:val="004D545C"/>
    <w:rsid w:val="004D639C"/>
    <w:rsid w:val="004D73E3"/>
    <w:rsid w:val="004E182D"/>
    <w:rsid w:val="004E1FD7"/>
    <w:rsid w:val="004E4C05"/>
    <w:rsid w:val="004E4C73"/>
    <w:rsid w:val="004E619D"/>
    <w:rsid w:val="004E67D8"/>
    <w:rsid w:val="004E717D"/>
    <w:rsid w:val="004E7EFA"/>
    <w:rsid w:val="004F2273"/>
    <w:rsid w:val="004F5039"/>
    <w:rsid w:val="004F5380"/>
    <w:rsid w:val="004F693A"/>
    <w:rsid w:val="004F7F87"/>
    <w:rsid w:val="00500A82"/>
    <w:rsid w:val="0050129A"/>
    <w:rsid w:val="005029FF"/>
    <w:rsid w:val="00502CC0"/>
    <w:rsid w:val="00502D82"/>
    <w:rsid w:val="00503024"/>
    <w:rsid w:val="00503A62"/>
    <w:rsid w:val="00503B09"/>
    <w:rsid w:val="00505971"/>
    <w:rsid w:val="00507811"/>
    <w:rsid w:val="005117BA"/>
    <w:rsid w:val="00512EAB"/>
    <w:rsid w:val="0051314E"/>
    <w:rsid w:val="00515612"/>
    <w:rsid w:val="0051665C"/>
    <w:rsid w:val="005204C3"/>
    <w:rsid w:val="00526A69"/>
    <w:rsid w:val="005312EC"/>
    <w:rsid w:val="00533DFC"/>
    <w:rsid w:val="005370BD"/>
    <w:rsid w:val="00540114"/>
    <w:rsid w:val="00540B10"/>
    <w:rsid w:val="00541CCA"/>
    <w:rsid w:val="00545514"/>
    <w:rsid w:val="0054569C"/>
    <w:rsid w:val="005462D3"/>
    <w:rsid w:val="00547225"/>
    <w:rsid w:val="0055534A"/>
    <w:rsid w:val="00557A80"/>
    <w:rsid w:val="00557CE7"/>
    <w:rsid w:val="005612C1"/>
    <w:rsid w:val="00562114"/>
    <w:rsid w:val="00564718"/>
    <w:rsid w:val="0056731E"/>
    <w:rsid w:val="00570778"/>
    <w:rsid w:val="00570BF9"/>
    <w:rsid w:val="0058273D"/>
    <w:rsid w:val="00582932"/>
    <w:rsid w:val="00584B48"/>
    <w:rsid w:val="00586E55"/>
    <w:rsid w:val="00586FF6"/>
    <w:rsid w:val="00594DB2"/>
    <w:rsid w:val="00596F22"/>
    <w:rsid w:val="005A0491"/>
    <w:rsid w:val="005A05B2"/>
    <w:rsid w:val="005A4A9E"/>
    <w:rsid w:val="005A7258"/>
    <w:rsid w:val="005A7F38"/>
    <w:rsid w:val="005B0222"/>
    <w:rsid w:val="005B64EF"/>
    <w:rsid w:val="005B6EB1"/>
    <w:rsid w:val="005B7DBF"/>
    <w:rsid w:val="005C0379"/>
    <w:rsid w:val="005C10F2"/>
    <w:rsid w:val="005C3B9B"/>
    <w:rsid w:val="005C45C4"/>
    <w:rsid w:val="005C5CA1"/>
    <w:rsid w:val="005C5E60"/>
    <w:rsid w:val="005C5FF6"/>
    <w:rsid w:val="005C6EC4"/>
    <w:rsid w:val="005C7BEE"/>
    <w:rsid w:val="005D1318"/>
    <w:rsid w:val="005D1849"/>
    <w:rsid w:val="005D1C64"/>
    <w:rsid w:val="005D2350"/>
    <w:rsid w:val="005D28F4"/>
    <w:rsid w:val="005D2A06"/>
    <w:rsid w:val="005E08D1"/>
    <w:rsid w:val="005E1B39"/>
    <w:rsid w:val="005E6D1B"/>
    <w:rsid w:val="005F0DA3"/>
    <w:rsid w:val="005F2FD2"/>
    <w:rsid w:val="005F4B4D"/>
    <w:rsid w:val="005F5885"/>
    <w:rsid w:val="005F5D37"/>
    <w:rsid w:val="00600512"/>
    <w:rsid w:val="006007BF"/>
    <w:rsid w:val="0060232D"/>
    <w:rsid w:val="00602DF1"/>
    <w:rsid w:val="0060562D"/>
    <w:rsid w:val="00605977"/>
    <w:rsid w:val="006118ED"/>
    <w:rsid w:val="0061201C"/>
    <w:rsid w:val="00613115"/>
    <w:rsid w:val="00613F30"/>
    <w:rsid w:val="00614595"/>
    <w:rsid w:val="006151F9"/>
    <w:rsid w:val="00620383"/>
    <w:rsid w:val="00622A45"/>
    <w:rsid w:val="00622D33"/>
    <w:rsid w:val="00624328"/>
    <w:rsid w:val="0062690B"/>
    <w:rsid w:val="0063068D"/>
    <w:rsid w:val="006312B9"/>
    <w:rsid w:val="0063331E"/>
    <w:rsid w:val="00634B13"/>
    <w:rsid w:val="00636107"/>
    <w:rsid w:val="0063662E"/>
    <w:rsid w:val="00636A70"/>
    <w:rsid w:val="00640DB3"/>
    <w:rsid w:val="006416E7"/>
    <w:rsid w:val="0064342B"/>
    <w:rsid w:val="00645DFD"/>
    <w:rsid w:val="006464D1"/>
    <w:rsid w:val="00646ACD"/>
    <w:rsid w:val="0064792F"/>
    <w:rsid w:val="00653E56"/>
    <w:rsid w:val="00653EF7"/>
    <w:rsid w:val="00655E8B"/>
    <w:rsid w:val="006574C2"/>
    <w:rsid w:val="00667C8D"/>
    <w:rsid w:val="00670B05"/>
    <w:rsid w:val="006713F1"/>
    <w:rsid w:val="006804AB"/>
    <w:rsid w:val="00683077"/>
    <w:rsid w:val="006851E0"/>
    <w:rsid w:val="0068520F"/>
    <w:rsid w:val="00687DA0"/>
    <w:rsid w:val="006918D1"/>
    <w:rsid w:val="00692DC1"/>
    <w:rsid w:val="00693322"/>
    <w:rsid w:val="00694FD3"/>
    <w:rsid w:val="00696A0A"/>
    <w:rsid w:val="006A039A"/>
    <w:rsid w:val="006A197C"/>
    <w:rsid w:val="006A2AC6"/>
    <w:rsid w:val="006A2C92"/>
    <w:rsid w:val="006A38B7"/>
    <w:rsid w:val="006A55FB"/>
    <w:rsid w:val="006A5900"/>
    <w:rsid w:val="006A75A3"/>
    <w:rsid w:val="006B0FDA"/>
    <w:rsid w:val="006B183A"/>
    <w:rsid w:val="006B189A"/>
    <w:rsid w:val="006B19E6"/>
    <w:rsid w:val="006B29A1"/>
    <w:rsid w:val="006B6CD8"/>
    <w:rsid w:val="006C1F35"/>
    <w:rsid w:val="006C6661"/>
    <w:rsid w:val="006C7EAE"/>
    <w:rsid w:val="006D14DB"/>
    <w:rsid w:val="006D2759"/>
    <w:rsid w:val="006D3537"/>
    <w:rsid w:val="006D50BD"/>
    <w:rsid w:val="006D5286"/>
    <w:rsid w:val="006D6040"/>
    <w:rsid w:val="006E20A4"/>
    <w:rsid w:val="006E3F87"/>
    <w:rsid w:val="006E65D2"/>
    <w:rsid w:val="006E7ACC"/>
    <w:rsid w:val="006F00F1"/>
    <w:rsid w:val="006F0830"/>
    <w:rsid w:val="006F6221"/>
    <w:rsid w:val="006F6AC7"/>
    <w:rsid w:val="00700331"/>
    <w:rsid w:val="00704BC8"/>
    <w:rsid w:val="007107B8"/>
    <w:rsid w:val="007123D9"/>
    <w:rsid w:val="00713A73"/>
    <w:rsid w:val="00714690"/>
    <w:rsid w:val="00714BD8"/>
    <w:rsid w:val="00715255"/>
    <w:rsid w:val="007165F4"/>
    <w:rsid w:val="007209EB"/>
    <w:rsid w:val="007212E0"/>
    <w:rsid w:val="007220B1"/>
    <w:rsid w:val="00722157"/>
    <w:rsid w:val="00725E48"/>
    <w:rsid w:val="007272B2"/>
    <w:rsid w:val="00727CD5"/>
    <w:rsid w:val="00731B8D"/>
    <w:rsid w:val="00731CCC"/>
    <w:rsid w:val="00731E68"/>
    <w:rsid w:val="00733E3B"/>
    <w:rsid w:val="00735E8F"/>
    <w:rsid w:val="00740B9D"/>
    <w:rsid w:val="00742BB9"/>
    <w:rsid w:val="00743064"/>
    <w:rsid w:val="00747374"/>
    <w:rsid w:val="007524EC"/>
    <w:rsid w:val="007611B3"/>
    <w:rsid w:val="00765901"/>
    <w:rsid w:val="00766A43"/>
    <w:rsid w:val="00767EF5"/>
    <w:rsid w:val="00772D8E"/>
    <w:rsid w:val="0077444D"/>
    <w:rsid w:val="00774581"/>
    <w:rsid w:val="007748B8"/>
    <w:rsid w:val="00775EE9"/>
    <w:rsid w:val="00777DE3"/>
    <w:rsid w:val="00781616"/>
    <w:rsid w:val="007828E2"/>
    <w:rsid w:val="007871C6"/>
    <w:rsid w:val="007903F3"/>
    <w:rsid w:val="0079166A"/>
    <w:rsid w:val="007954C0"/>
    <w:rsid w:val="007A0EB7"/>
    <w:rsid w:val="007A5FC8"/>
    <w:rsid w:val="007A6FF8"/>
    <w:rsid w:val="007B0A18"/>
    <w:rsid w:val="007B11F2"/>
    <w:rsid w:val="007B18FA"/>
    <w:rsid w:val="007B304B"/>
    <w:rsid w:val="007B5E6B"/>
    <w:rsid w:val="007B7A22"/>
    <w:rsid w:val="007C01B6"/>
    <w:rsid w:val="007C17C4"/>
    <w:rsid w:val="007C1F43"/>
    <w:rsid w:val="007C208D"/>
    <w:rsid w:val="007C372D"/>
    <w:rsid w:val="007D4A2B"/>
    <w:rsid w:val="007D5D88"/>
    <w:rsid w:val="007D6AA0"/>
    <w:rsid w:val="007D70CB"/>
    <w:rsid w:val="007E1540"/>
    <w:rsid w:val="007E188E"/>
    <w:rsid w:val="007E1F3E"/>
    <w:rsid w:val="007E33EA"/>
    <w:rsid w:val="007E3C5B"/>
    <w:rsid w:val="007E4981"/>
    <w:rsid w:val="007E5C1B"/>
    <w:rsid w:val="007E5EC8"/>
    <w:rsid w:val="007E702F"/>
    <w:rsid w:val="007F1BB3"/>
    <w:rsid w:val="007F2AF8"/>
    <w:rsid w:val="007F4D7A"/>
    <w:rsid w:val="007F5303"/>
    <w:rsid w:val="007F74DE"/>
    <w:rsid w:val="007F787D"/>
    <w:rsid w:val="007F7E65"/>
    <w:rsid w:val="008001DE"/>
    <w:rsid w:val="0080096C"/>
    <w:rsid w:val="00801488"/>
    <w:rsid w:val="00802CB4"/>
    <w:rsid w:val="00802DE0"/>
    <w:rsid w:val="008079B2"/>
    <w:rsid w:val="00807C9D"/>
    <w:rsid w:val="00812407"/>
    <w:rsid w:val="008147C5"/>
    <w:rsid w:val="0081557A"/>
    <w:rsid w:val="00816422"/>
    <w:rsid w:val="00816E03"/>
    <w:rsid w:val="008223D6"/>
    <w:rsid w:val="00822590"/>
    <w:rsid w:val="008233E7"/>
    <w:rsid w:val="00824273"/>
    <w:rsid w:val="008321FC"/>
    <w:rsid w:val="00833D10"/>
    <w:rsid w:val="00833EF0"/>
    <w:rsid w:val="00837C0D"/>
    <w:rsid w:val="0084446E"/>
    <w:rsid w:val="008519D9"/>
    <w:rsid w:val="00853627"/>
    <w:rsid w:val="00854B72"/>
    <w:rsid w:val="00855AAD"/>
    <w:rsid w:val="0085627A"/>
    <w:rsid w:val="0085672C"/>
    <w:rsid w:val="00860F13"/>
    <w:rsid w:val="00863478"/>
    <w:rsid w:val="00863D9C"/>
    <w:rsid w:val="0086476C"/>
    <w:rsid w:val="00867370"/>
    <w:rsid w:val="00867F7A"/>
    <w:rsid w:val="00875CA9"/>
    <w:rsid w:val="00880889"/>
    <w:rsid w:val="008856D0"/>
    <w:rsid w:val="00886220"/>
    <w:rsid w:val="00887A92"/>
    <w:rsid w:val="00890335"/>
    <w:rsid w:val="00890CDC"/>
    <w:rsid w:val="00893E3B"/>
    <w:rsid w:val="00897993"/>
    <w:rsid w:val="008A3349"/>
    <w:rsid w:val="008A6CE9"/>
    <w:rsid w:val="008B4794"/>
    <w:rsid w:val="008B544C"/>
    <w:rsid w:val="008B593C"/>
    <w:rsid w:val="008C172C"/>
    <w:rsid w:val="008C6C77"/>
    <w:rsid w:val="008C7595"/>
    <w:rsid w:val="008D6905"/>
    <w:rsid w:val="008D6EB7"/>
    <w:rsid w:val="008D6EFE"/>
    <w:rsid w:val="008E01B4"/>
    <w:rsid w:val="008E2706"/>
    <w:rsid w:val="008E44B1"/>
    <w:rsid w:val="008E5732"/>
    <w:rsid w:val="008E6C5A"/>
    <w:rsid w:val="008F0F40"/>
    <w:rsid w:val="008F28BB"/>
    <w:rsid w:val="008F2FD6"/>
    <w:rsid w:val="00900F5A"/>
    <w:rsid w:val="00902ED1"/>
    <w:rsid w:val="00910B79"/>
    <w:rsid w:val="00912021"/>
    <w:rsid w:val="009126AC"/>
    <w:rsid w:val="00912B0F"/>
    <w:rsid w:val="00914DA2"/>
    <w:rsid w:val="009173B1"/>
    <w:rsid w:val="009219DA"/>
    <w:rsid w:val="00923ECB"/>
    <w:rsid w:val="00926236"/>
    <w:rsid w:val="009264D3"/>
    <w:rsid w:val="00926A32"/>
    <w:rsid w:val="00927850"/>
    <w:rsid w:val="00936929"/>
    <w:rsid w:val="00940030"/>
    <w:rsid w:val="0094040E"/>
    <w:rsid w:val="00940430"/>
    <w:rsid w:val="00945111"/>
    <w:rsid w:val="0094606A"/>
    <w:rsid w:val="00946516"/>
    <w:rsid w:val="009467C9"/>
    <w:rsid w:val="009470C0"/>
    <w:rsid w:val="00950AAB"/>
    <w:rsid w:val="00951019"/>
    <w:rsid w:val="00952C36"/>
    <w:rsid w:val="00955A77"/>
    <w:rsid w:val="00963CF5"/>
    <w:rsid w:val="00965744"/>
    <w:rsid w:val="0096675F"/>
    <w:rsid w:val="00966D4C"/>
    <w:rsid w:val="00966E29"/>
    <w:rsid w:val="00970541"/>
    <w:rsid w:val="009709B9"/>
    <w:rsid w:val="00970CB0"/>
    <w:rsid w:val="009711DF"/>
    <w:rsid w:val="00971482"/>
    <w:rsid w:val="00971EF3"/>
    <w:rsid w:val="00971FA3"/>
    <w:rsid w:val="0097275D"/>
    <w:rsid w:val="00973979"/>
    <w:rsid w:val="00976C48"/>
    <w:rsid w:val="00982A2D"/>
    <w:rsid w:val="0098635C"/>
    <w:rsid w:val="00986C1F"/>
    <w:rsid w:val="0099163B"/>
    <w:rsid w:val="00992227"/>
    <w:rsid w:val="00996F1E"/>
    <w:rsid w:val="009A05D1"/>
    <w:rsid w:val="009A2E48"/>
    <w:rsid w:val="009A3E0E"/>
    <w:rsid w:val="009A7D3A"/>
    <w:rsid w:val="009B65D3"/>
    <w:rsid w:val="009B7CC2"/>
    <w:rsid w:val="009C0DFD"/>
    <w:rsid w:val="009C2B21"/>
    <w:rsid w:val="009C2E14"/>
    <w:rsid w:val="009C60E3"/>
    <w:rsid w:val="009C6B04"/>
    <w:rsid w:val="009C7FE6"/>
    <w:rsid w:val="009D2E1F"/>
    <w:rsid w:val="009D4FD3"/>
    <w:rsid w:val="009E2296"/>
    <w:rsid w:val="009E28C8"/>
    <w:rsid w:val="009E2F20"/>
    <w:rsid w:val="009E4048"/>
    <w:rsid w:val="009E4E1B"/>
    <w:rsid w:val="009E56D7"/>
    <w:rsid w:val="009E6278"/>
    <w:rsid w:val="009E7BA4"/>
    <w:rsid w:val="009F179E"/>
    <w:rsid w:val="009F19F9"/>
    <w:rsid w:val="009F201E"/>
    <w:rsid w:val="009F27AB"/>
    <w:rsid w:val="009F313A"/>
    <w:rsid w:val="009F4C8F"/>
    <w:rsid w:val="009F583F"/>
    <w:rsid w:val="009F6067"/>
    <w:rsid w:val="009F7217"/>
    <w:rsid w:val="009F7AA0"/>
    <w:rsid w:val="00A011AB"/>
    <w:rsid w:val="00A050F3"/>
    <w:rsid w:val="00A1135B"/>
    <w:rsid w:val="00A1290F"/>
    <w:rsid w:val="00A14686"/>
    <w:rsid w:val="00A175D3"/>
    <w:rsid w:val="00A17F4A"/>
    <w:rsid w:val="00A21E94"/>
    <w:rsid w:val="00A223E1"/>
    <w:rsid w:val="00A22DAC"/>
    <w:rsid w:val="00A23900"/>
    <w:rsid w:val="00A23CED"/>
    <w:rsid w:val="00A24C0B"/>
    <w:rsid w:val="00A25AC7"/>
    <w:rsid w:val="00A326CB"/>
    <w:rsid w:val="00A36C23"/>
    <w:rsid w:val="00A446BC"/>
    <w:rsid w:val="00A45110"/>
    <w:rsid w:val="00A45F72"/>
    <w:rsid w:val="00A47A11"/>
    <w:rsid w:val="00A50FDA"/>
    <w:rsid w:val="00A525FF"/>
    <w:rsid w:val="00A52C14"/>
    <w:rsid w:val="00A56AB6"/>
    <w:rsid w:val="00A571EF"/>
    <w:rsid w:val="00A57884"/>
    <w:rsid w:val="00A60078"/>
    <w:rsid w:val="00A61223"/>
    <w:rsid w:val="00A65E50"/>
    <w:rsid w:val="00A66B40"/>
    <w:rsid w:val="00A71BD5"/>
    <w:rsid w:val="00A72799"/>
    <w:rsid w:val="00A77EE5"/>
    <w:rsid w:val="00A81872"/>
    <w:rsid w:val="00A83965"/>
    <w:rsid w:val="00A903E9"/>
    <w:rsid w:val="00A904F7"/>
    <w:rsid w:val="00A92A92"/>
    <w:rsid w:val="00A938E0"/>
    <w:rsid w:val="00A93C31"/>
    <w:rsid w:val="00A93FEC"/>
    <w:rsid w:val="00A9658C"/>
    <w:rsid w:val="00A977C7"/>
    <w:rsid w:val="00AA0353"/>
    <w:rsid w:val="00AA0B7F"/>
    <w:rsid w:val="00AA1E4B"/>
    <w:rsid w:val="00AA4A38"/>
    <w:rsid w:val="00AA5209"/>
    <w:rsid w:val="00AB1B7D"/>
    <w:rsid w:val="00AC2152"/>
    <w:rsid w:val="00AC3419"/>
    <w:rsid w:val="00AC5147"/>
    <w:rsid w:val="00AD559E"/>
    <w:rsid w:val="00AD691C"/>
    <w:rsid w:val="00AE2922"/>
    <w:rsid w:val="00AF4AF1"/>
    <w:rsid w:val="00AF55C0"/>
    <w:rsid w:val="00AF66BF"/>
    <w:rsid w:val="00B01D39"/>
    <w:rsid w:val="00B02735"/>
    <w:rsid w:val="00B02CB8"/>
    <w:rsid w:val="00B03E50"/>
    <w:rsid w:val="00B04C76"/>
    <w:rsid w:val="00B05485"/>
    <w:rsid w:val="00B05B98"/>
    <w:rsid w:val="00B05DD9"/>
    <w:rsid w:val="00B07E56"/>
    <w:rsid w:val="00B101F0"/>
    <w:rsid w:val="00B15E68"/>
    <w:rsid w:val="00B166A1"/>
    <w:rsid w:val="00B16B61"/>
    <w:rsid w:val="00B2038E"/>
    <w:rsid w:val="00B224E6"/>
    <w:rsid w:val="00B26BAA"/>
    <w:rsid w:val="00B27E97"/>
    <w:rsid w:val="00B309DC"/>
    <w:rsid w:val="00B31713"/>
    <w:rsid w:val="00B321E4"/>
    <w:rsid w:val="00B330D9"/>
    <w:rsid w:val="00B4001E"/>
    <w:rsid w:val="00B41FC4"/>
    <w:rsid w:val="00B44B80"/>
    <w:rsid w:val="00B466E4"/>
    <w:rsid w:val="00B46D03"/>
    <w:rsid w:val="00B47860"/>
    <w:rsid w:val="00B478A3"/>
    <w:rsid w:val="00B479E5"/>
    <w:rsid w:val="00B47B60"/>
    <w:rsid w:val="00B5039C"/>
    <w:rsid w:val="00B53F99"/>
    <w:rsid w:val="00B5491D"/>
    <w:rsid w:val="00B55983"/>
    <w:rsid w:val="00B57755"/>
    <w:rsid w:val="00B610B2"/>
    <w:rsid w:val="00B63526"/>
    <w:rsid w:val="00B647B8"/>
    <w:rsid w:val="00B64AF8"/>
    <w:rsid w:val="00B6561F"/>
    <w:rsid w:val="00B65BF6"/>
    <w:rsid w:val="00B6691B"/>
    <w:rsid w:val="00B66F1A"/>
    <w:rsid w:val="00B71418"/>
    <w:rsid w:val="00B74561"/>
    <w:rsid w:val="00B74BF3"/>
    <w:rsid w:val="00B81DF0"/>
    <w:rsid w:val="00B82568"/>
    <w:rsid w:val="00B8324A"/>
    <w:rsid w:val="00B835EE"/>
    <w:rsid w:val="00B87405"/>
    <w:rsid w:val="00B87FB6"/>
    <w:rsid w:val="00B91CDF"/>
    <w:rsid w:val="00BA152D"/>
    <w:rsid w:val="00BA1694"/>
    <w:rsid w:val="00BA3432"/>
    <w:rsid w:val="00BA3CC2"/>
    <w:rsid w:val="00BA6C8F"/>
    <w:rsid w:val="00BA6D9B"/>
    <w:rsid w:val="00BC0DFD"/>
    <w:rsid w:val="00BC2C66"/>
    <w:rsid w:val="00BC3B28"/>
    <w:rsid w:val="00BC47C7"/>
    <w:rsid w:val="00BC713A"/>
    <w:rsid w:val="00BD0ABD"/>
    <w:rsid w:val="00BD0B82"/>
    <w:rsid w:val="00BD2E8B"/>
    <w:rsid w:val="00BD60D7"/>
    <w:rsid w:val="00BD67FE"/>
    <w:rsid w:val="00BD7C82"/>
    <w:rsid w:val="00BE5773"/>
    <w:rsid w:val="00BE5BE6"/>
    <w:rsid w:val="00BE5E5B"/>
    <w:rsid w:val="00BF03C1"/>
    <w:rsid w:val="00BF6BC1"/>
    <w:rsid w:val="00BF7CDA"/>
    <w:rsid w:val="00C03B2D"/>
    <w:rsid w:val="00C05086"/>
    <w:rsid w:val="00C0518E"/>
    <w:rsid w:val="00C058F6"/>
    <w:rsid w:val="00C06D80"/>
    <w:rsid w:val="00C100AF"/>
    <w:rsid w:val="00C11492"/>
    <w:rsid w:val="00C1293B"/>
    <w:rsid w:val="00C12AA6"/>
    <w:rsid w:val="00C134F4"/>
    <w:rsid w:val="00C174D9"/>
    <w:rsid w:val="00C20D6C"/>
    <w:rsid w:val="00C23497"/>
    <w:rsid w:val="00C31734"/>
    <w:rsid w:val="00C32DA0"/>
    <w:rsid w:val="00C33158"/>
    <w:rsid w:val="00C3558D"/>
    <w:rsid w:val="00C36837"/>
    <w:rsid w:val="00C40E7A"/>
    <w:rsid w:val="00C42B52"/>
    <w:rsid w:val="00C439FC"/>
    <w:rsid w:val="00C458BE"/>
    <w:rsid w:val="00C5230E"/>
    <w:rsid w:val="00C6049E"/>
    <w:rsid w:val="00C60DD3"/>
    <w:rsid w:val="00C615C2"/>
    <w:rsid w:val="00C61A91"/>
    <w:rsid w:val="00C624EB"/>
    <w:rsid w:val="00C62F1A"/>
    <w:rsid w:val="00C64060"/>
    <w:rsid w:val="00C67371"/>
    <w:rsid w:val="00C67970"/>
    <w:rsid w:val="00C70F51"/>
    <w:rsid w:val="00C70F69"/>
    <w:rsid w:val="00C70FF4"/>
    <w:rsid w:val="00C716F1"/>
    <w:rsid w:val="00C72AB2"/>
    <w:rsid w:val="00C74A34"/>
    <w:rsid w:val="00C85323"/>
    <w:rsid w:val="00C85E3B"/>
    <w:rsid w:val="00C85EF5"/>
    <w:rsid w:val="00C86D2B"/>
    <w:rsid w:val="00C86D4C"/>
    <w:rsid w:val="00C87690"/>
    <w:rsid w:val="00C92B8B"/>
    <w:rsid w:val="00C92FE5"/>
    <w:rsid w:val="00C946BC"/>
    <w:rsid w:val="00C94FAA"/>
    <w:rsid w:val="00C95E4B"/>
    <w:rsid w:val="00C972B7"/>
    <w:rsid w:val="00CA3D30"/>
    <w:rsid w:val="00CA4BB2"/>
    <w:rsid w:val="00CA570A"/>
    <w:rsid w:val="00CB1EE3"/>
    <w:rsid w:val="00CB2C98"/>
    <w:rsid w:val="00CB4739"/>
    <w:rsid w:val="00CB5542"/>
    <w:rsid w:val="00CB7743"/>
    <w:rsid w:val="00CB7E46"/>
    <w:rsid w:val="00CC2064"/>
    <w:rsid w:val="00CC25B0"/>
    <w:rsid w:val="00CC310C"/>
    <w:rsid w:val="00CC3B77"/>
    <w:rsid w:val="00CD1850"/>
    <w:rsid w:val="00CD1D7A"/>
    <w:rsid w:val="00CD26BD"/>
    <w:rsid w:val="00CD295E"/>
    <w:rsid w:val="00CD2DDB"/>
    <w:rsid w:val="00CE2FBE"/>
    <w:rsid w:val="00CE380D"/>
    <w:rsid w:val="00CE41BC"/>
    <w:rsid w:val="00CE41CE"/>
    <w:rsid w:val="00CF1FB9"/>
    <w:rsid w:val="00CF48F7"/>
    <w:rsid w:val="00CF4B64"/>
    <w:rsid w:val="00CF5FCF"/>
    <w:rsid w:val="00D0012E"/>
    <w:rsid w:val="00D02DBB"/>
    <w:rsid w:val="00D04683"/>
    <w:rsid w:val="00D0635F"/>
    <w:rsid w:val="00D0729D"/>
    <w:rsid w:val="00D0783B"/>
    <w:rsid w:val="00D07C58"/>
    <w:rsid w:val="00D12F0B"/>
    <w:rsid w:val="00D170D6"/>
    <w:rsid w:val="00D17237"/>
    <w:rsid w:val="00D17BE6"/>
    <w:rsid w:val="00D22816"/>
    <w:rsid w:val="00D22B5C"/>
    <w:rsid w:val="00D24BC4"/>
    <w:rsid w:val="00D24E66"/>
    <w:rsid w:val="00D268F3"/>
    <w:rsid w:val="00D2720B"/>
    <w:rsid w:val="00D32150"/>
    <w:rsid w:val="00D325F0"/>
    <w:rsid w:val="00D3352D"/>
    <w:rsid w:val="00D35EF0"/>
    <w:rsid w:val="00D4093A"/>
    <w:rsid w:val="00D43A95"/>
    <w:rsid w:val="00D44AEF"/>
    <w:rsid w:val="00D458D4"/>
    <w:rsid w:val="00D4601D"/>
    <w:rsid w:val="00D47BCE"/>
    <w:rsid w:val="00D50C81"/>
    <w:rsid w:val="00D54802"/>
    <w:rsid w:val="00D55AB6"/>
    <w:rsid w:val="00D57145"/>
    <w:rsid w:val="00D61982"/>
    <w:rsid w:val="00D65B21"/>
    <w:rsid w:val="00D6649B"/>
    <w:rsid w:val="00D70F77"/>
    <w:rsid w:val="00D73451"/>
    <w:rsid w:val="00D741F4"/>
    <w:rsid w:val="00D74238"/>
    <w:rsid w:val="00D74727"/>
    <w:rsid w:val="00D751B1"/>
    <w:rsid w:val="00D775C9"/>
    <w:rsid w:val="00D80C7A"/>
    <w:rsid w:val="00D80D2B"/>
    <w:rsid w:val="00D83862"/>
    <w:rsid w:val="00D83DBE"/>
    <w:rsid w:val="00D8422B"/>
    <w:rsid w:val="00D869CD"/>
    <w:rsid w:val="00D91002"/>
    <w:rsid w:val="00D92151"/>
    <w:rsid w:val="00D92F51"/>
    <w:rsid w:val="00D93D2A"/>
    <w:rsid w:val="00D940B2"/>
    <w:rsid w:val="00D956AD"/>
    <w:rsid w:val="00D95CC6"/>
    <w:rsid w:val="00D97CD4"/>
    <w:rsid w:val="00DA7470"/>
    <w:rsid w:val="00DC06A5"/>
    <w:rsid w:val="00DC08CF"/>
    <w:rsid w:val="00DC3A6D"/>
    <w:rsid w:val="00DC4682"/>
    <w:rsid w:val="00DC5372"/>
    <w:rsid w:val="00DC7F9C"/>
    <w:rsid w:val="00DD3A51"/>
    <w:rsid w:val="00DD7460"/>
    <w:rsid w:val="00DD7EF3"/>
    <w:rsid w:val="00DE0E4C"/>
    <w:rsid w:val="00DE181D"/>
    <w:rsid w:val="00DE5590"/>
    <w:rsid w:val="00DE571C"/>
    <w:rsid w:val="00DE6843"/>
    <w:rsid w:val="00DF07B2"/>
    <w:rsid w:val="00DF37EA"/>
    <w:rsid w:val="00E00262"/>
    <w:rsid w:val="00E0193F"/>
    <w:rsid w:val="00E023EB"/>
    <w:rsid w:val="00E035F1"/>
    <w:rsid w:val="00E049A9"/>
    <w:rsid w:val="00E04B2F"/>
    <w:rsid w:val="00E05BDA"/>
    <w:rsid w:val="00E06822"/>
    <w:rsid w:val="00E07195"/>
    <w:rsid w:val="00E11145"/>
    <w:rsid w:val="00E12FA2"/>
    <w:rsid w:val="00E161F7"/>
    <w:rsid w:val="00E174D5"/>
    <w:rsid w:val="00E17787"/>
    <w:rsid w:val="00E2024B"/>
    <w:rsid w:val="00E208B4"/>
    <w:rsid w:val="00E21156"/>
    <w:rsid w:val="00E23111"/>
    <w:rsid w:val="00E23232"/>
    <w:rsid w:val="00E263FF"/>
    <w:rsid w:val="00E2652B"/>
    <w:rsid w:val="00E26805"/>
    <w:rsid w:val="00E32138"/>
    <w:rsid w:val="00E32726"/>
    <w:rsid w:val="00E3333A"/>
    <w:rsid w:val="00E3424E"/>
    <w:rsid w:val="00E36462"/>
    <w:rsid w:val="00E36EAE"/>
    <w:rsid w:val="00E40A2A"/>
    <w:rsid w:val="00E40B97"/>
    <w:rsid w:val="00E40BFA"/>
    <w:rsid w:val="00E45218"/>
    <w:rsid w:val="00E4561C"/>
    <w:rsid w:val="00E523EF"/>
    <w:rsid w:val="00E52ACF"/>
    <w:rsid w:val="00E52C15"/>
    <w:rsid w:val="00E5337E"/>
    <w:rsid w:val="00E53A31"/>
    <w:rsid w:val="00E571C1"/>
    <w:rsid w:val="00E57F30"/>
    <w:rsid w:val="00E6087D"/>
    <w:rsid w:val="00E61A88"/>
    <w:rsid w:val="00E629B3"/>
    <w:rsid w:val="00E66DAD"/>
    <w:rsid w:val="00E66FC8"/>
    <w:rsid w:val="00E707C5"/>
    <w:rsid w:val="00E74F2E"/>
    <w:rsid w:val="00E76113"/>
    <w:rsid w:val="00E7678F"/>
    <w:rsid w:val="00E81E10"/>
    <w:rsid w:val="00E82B4A"/>
    <w:rsid w:val="00E8551E"/>
    <w:rsid w:val="00E917E5"/>
    <w:rsid w:val="00E967D3"/>
    <w:rsid w:val="00E975C4"/>
    <w:rsid w:val="00EA1ACE"/>
    <w:rsid w:val="00EA230C"/>
    <w:rsid w:val="00EA2841"/>
    <w:rsid w:val="00EA42A8"/>
    <w:rsid w:val="00EA70C7"/>
    <w:rsid w:val="00EB04F4"/>
    <w:rsid w:val="00EB2770"/>
    <w:rsid w:val="00EB56DE"/>
    <w:rsid w:val="00EB5F91"/>
    <w:rsid w:val="00EB6A58"/>
    <w:rsid w:val="00EB6F0F"/>
    <w:rsid w:val="00EB77C5"/>
    <w:rsid w:val="00EC2242"/>
    <w:rsid w:val="00EC329E"/>
    <w:rsid w:val="00EC627C"/>
    <w:rsid w:val="00EC6F53"/>
    <w:rsid w:val="00ED1040"/>
    <w:rsid w:val="00ED2403"/>
    <w:rsid w:val="00ED343C"/>
    <w:rsid w:val="00ED4252"/>
    <w:rsid w:val="00EE043E"/>
    <w:rsid w:val="00EE32F3"/>
    <w:rsid w:val="00EE6D73"/>
    <w:rsid w:val="00EE72DD"/>
    <w:rsid w:val="00EF03C9"/>
    <w:rsid w:val="00EF04C9"/>
    <w:rsid w:val="00EF2E47"/>
    <w:rsid w:val="00EF2F43"/>
    <w:rsid w:val="00EF3121"/>
    <w:rsid w:val="00EF3DDA"/>
    <w:rsid w:val="00EF51F3"/>
    <w:rsid w:val="00F0408E"/>
    <w:rsid w:val="00F04363"/>
    <w:rsid w:val="00F0539D"/>
    <w:rsid w:val="00F053EE"/>
    <w:rsid w:val="00F05541"/>
    <w:rsid w:val="00F059CD"/>
    <w:rsid w:val="00F06888"/>
    <w:rsid w:val="00F068DA"/>
    <w:rsid w:val="00F075D5"/>
    <w:rsid w:val="00F1142D"/>
    <w:rsid w:val="00F116C6"/>
    <w:rsid w:val="00F1483E"/>
    <w:rsid w:val="00F1561A"/>
    <w:rsid w:val="00F16D96"/>
    <w:rsid w:val="00F17166"/>
    <w:rsid w:val="00F17985"/>
    <w:rsid w:val="00F211CE"/>
    <w:rsid w:val="00F21AEE"/>
    <w:rsid w:val="00F2248C"/>
    <w:rsid w:val="00F270C1"/>
    <w:rsid w:val="00F27D1D"/>
    <w:rsid w:val="00F30DA2"/>
    <w:rsid w:val="00F31043"/>
    <w:rsid w:val="00F32281"/>
    <w:rsid w:val="00F35103"/>
    <w:rsid w:val="00F414D4"/>
    <w:rsid w:val="00F425C6"/>
    <w:rsid w:val="00F42A6A"/>
    <w:rsid w:val="00F43DDE"/>
    <w:rsid w:val="00F45C72"/>
    <w:rsid w:val="00F476DA"/>
    <w:rsid w:val="00F500A9"/>
    <w:rsid w:val="00F508D3"/>
    <w:rsid w:val="00F6112D"/>
    <w:rsid w:val="00F634E6"/>
    <w:rsid w:val="00F67062"/>
    <w:rsid w:val="00F70397"/>
    <w:rsid w:val="00F7069E"/>
    <w:rsid w:val="00F70962"/>
    <w:rsid w:val="00F72B97"/>
    <w:rsid w:val="00F76ACB"/>
    <w:rsid w:val="00F84D40"/>
    <w:rsid w:val="00F85340"/>
    <w:rsid w:val="00F87AA1"/>
    <w:rsid w:val="00F87DB9"/>
    <w:rsid w:val="00F87FFB"/>
    <w:rsid w:val="00F90226"/>
    <w:rsid w:val="00F90599"/>
    <w:rsid w:val="00F92031"/>
    <w:rsid w:val="00F93131"/>
    <w:rsid w:val="00F93D2B"/>
    <w:rsid w:val="00F96497"/>
    <w:rsid w:val="00FA0300"/>
    <w:rsid w:val="00FA27FA"/>
    <w:rsid w:val="00FA35C9"/>
    <w:rsid w:val="00FA7DC3"/>
    <w:rsid w:val="00FB0907"/>
    <w:rsid w:val="00FB3E9A"/>
    <w:rsid w:val="00FB3F94"/>
    <w:rsid w:val="00FB45AD"/>
    <w:rsid w:val="00FB5FD1"/>
    <w:rsid w:val="00FC282B"/>
    <w:rsid w:val="00FC6889"/>
    <w:rsid w:val="00FC69D2"/>
    <w:rsid w:val="00FC6B1B"/>
    <w:rsid w:val="00FD0E2C"/>
    <w:rsid w:val="00FD5F2B"/>
    <w:rsid w:val="00FE224A"/>
    <w:rsid w:val="00FE3F78"/>
    <w:rsid w:val="00FE3F8F"/>
    <w:rsid w:val="00FE6864"/>
    <w:rsid w:val="00FF00FC"/>
    <w:rsid w:val="00FF0E6C"/>
    <w:rsid w:val="00FF4ECA"/>
    <w:rsid w:val="00FF50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9529F97-C618-4953-B24A-9E47E7C6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557A80"/>
    <w:pPr>
      <w:spacing w:before="100" w:beforeAutospacing="1" w:after="119" w:line="240" w:lineRule="auto"/>
    </w:pPr>
    <w:rPr>
      <w:rFonts w:ascii="Times New Roman" w:eastAsia="Times New Roman" w:hAnsi="Times New Roman" w:cs="Times New Roman"/>
      <w:sz w:val="24"/>
      <w:szCs w:val="24"/>
    </w:rPr>
  </w:style>
  <w:style w:type="paragraph" w:customStyle="1" w:styleId="Normalaftertitle">
    <w:name w:val="Normal after title"/>
    <w:basedOn w:val="Normal"/>
    <w:next w:val="Normal"/>
    <w:rsid w:val="00C05086"/>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customStyle="1" w:styleId="toc0">
    <w:name w:val="toc 0"/>
    <w:basedOn w:val="Normal"/>
    <w:next w:val="TOC1"/>
    <w:rsid w:val="00C05086"/>
    <w:pPr>
      <w:tabs>
        <w:tab w:val="right" w:pos="9781"/>
      </w:tabs>
      <w:overflowPunct w:val="0"/>
      <w:autoSpaceDE w:val="0"/>
      <w:autoSpaceDN w:val="0"/>
      <w:adjustRightInd w:val="0"/>
      <w:spacing w:before="120" w:after="0" w:line="240" w:lineRule="auto"/>
      <w:textAlignment w:val="baseline"/>
    </w:pPr>
    <w:rPr>
      <w:rFonts w:ascii="Calibri" w:eastAsia="Times New Roman" w:hAnsi="Calibri" w:cs="Times New Roman"/>
      <w:b/>
      <w:sz w:val="24"/>
      <w:szCs w:val="20"/>
      <w:lang w:val="en-GB" w:eastAsia="en-US"/>
    </w:rPr>
  </w:style>
  <w:style w:type="paragraph" w:customStyle="1" w:styleId="Title1">
    <w:name w:val="Title 1"/>
    <w:basedOn w:val="Normal"/>
    <w:next w:val="Normal"/>
    <w:rsid w:val="00C05086"/>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pPr>
    <w:rPr>
      <w:rFonts w:ascii="Calibri" w:eastAsia="Times New Roman" w:hAnsi="Calibri" w:cs="Times New Roman"/>
      <w:caps/>
      <w:sz w:val="28"/>
      <w:szCs w:val="20"/>
      <w:lang w:val="en-GB" w:eastAsia="en-US"/>
    </w:rPr>
  </w:style>
  <w:style w:type="paragraph" w:customStyle="1" w:styleId="Normalpv">
    <w:name w:val="Normal pv"/>
    <w:basedOn w:val="Normal"/>
    <w:rsid w:val="00C0508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eastAsia="en-US"/>
    </w:rPr>
  </w:style>
  <w:style w:type="paragraph" w:styleId="TOC1">
    <w:name w:val="toc 1"/>
    <w:basedOn w:val="Normal"/>
    <w:next w:val="Normal"/>
    <w:autoRedefine/>
    <w:uiPriority w:val="39"/>
    <w:semiHidden/>
    <w:unhideWhenUsed/>
    <w:rsid w:val="00C05086"/>
    <w:pPr>
      <w:spacing w:after="100"/>
    </w:pPr>
  </w:style>
  <w:style w:type="paragraph" w:styleId="Header">
    <w:name w:val="header"/>
    <w:basedOn w:val="Normal"/>
    <w:link w:val="HeaderChar"/>
    <w:unhideWhenUsed/>
    <w:rsid w:val="000418F6"/>
    <w:pPr>
      <w:tabs>
        <w:tab w:val="center" w:pos="4680"/>
        <w:tab w:val="right" w:pos="9360"/>
      </w:tabs>
      <w:spacing w:after="0" w:line="240" w:lineRule="auto"/>
    </w:pPr>
  </w:style>
  <w:style w:type="character" w:customStyle="1" w:styleId="HeaderChar">
    <w:name w:val="Header Char"/>
    <w:basedOn w:val="DefaultParagraphFont"/>
    <w:link w:val="Header"/>
    <w:rsid w:val="000418F6"/>
  </w:style>
  <w:style w:type="paragraph" w:styleId="Footer">
    <w:name w:val="footer"/>
    <w:basedOn w:val="Normal"/>
    <w:link w:val="FooterChar"/>
    <w:uiPriority w:val="99"/>
    <w:unhideWhenUsed/>
    <w:rsid w:val="00041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8F6"/>
  </w:style>
  <w:style w:type="paragraph" w:customStyle="1" w:styleId="Body">
    <w:name w:val="Body"/>
    <w:rsid w:val="000B1ED3"/>
    <w:pPr>
      <w:pBdr>
        <w:top w:val="nil"/>
        <w:left w:val="nil"/>
        <w:bottom w:val="nil"/>
        <w:right w:val="nil"/>
        <w:between w:val="nil"/>
        <w:bar w:val="nil"/>
      </w:pBdr>
    </w:pPr>
    <w:rPr>
      <w:rFonts w:ascii="Calibri" w:eastAsia="Calibri" w:hAnsi="Calibri" w:cs="Calibri"/>
      <w:color w:val="000000"/>
      <w:u w:color="000000"/>
      <w:bdr w:val="nil"/>
      <w:lang w:val="en-AU" w:eastAsia="en-AU"/>
    </w:rPr>
  </w:style>
  <w:style w:type="character" w:styleId="Hyperlink">
    <w:name w:val="Hyperlink"/>
    <w:basedOn w:val="DefaultParagraphFont"/>
    <w:uiPriority w:val="99"/>
    <w:unhideWhenUsed/>
    <w:rsid w:val="00BD0B82"/>
    <w:rPr>
      <w:color w:val="0000FF" w:themeColor="hyperlink"/>
      <w:u w:val="single"/>
    </w:rPr>
  </w:style>
  <w:style w:type="paragraph" w:customStyle="1" w:styleId="firstfooter">
    <w:name w:val="firstfooter"/>
    <w:basedOn w:val="Normal"/>
    <w:rsid w:val="00CA4BB2"/>
    <w:pPr>
      <w:spacing w:before="100" w:beforeAutospacing="1" w:after="100" w:afterAutospacing="1" w:line="240" w:lineRule="auto"/>
    </w:pPr>
    <w:rPr>
      <w:rFonts w:ascii="Calibri" w:eastAsia="SimSun" w:hAnsi="Calibri" w:cs="Times New Roman"/>
      <w:sz w:val="24"/>
      <w:szCs w:val="24"/>
    </w:rPr>
  </w:style>
  <w:style w:type="character" w:styleId="PageNumber">
    <w:name w:val="page number"/>
    <w:basedOn w:val="DefaultParagraphFont"/>
    <w:rsid w:val="00CA4BB2"/>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547223">
      <w:bodyDiv w:val="1"/>
      <w:marLeft w:val="0"/>
      <w:marRight w:val="0"/>
      <w:marTop w:val="0"/>
      <w:marBottom w:val="0"/>
      <w:divBdr>
        <w:top w:val="none" w:sz="0" w:space="0" w:color="auto"/>
        <w:left w:val="none" w:sz="0" w:space="0" w:color="auto"/>
        <w:bottom w:val="none" w:sz="0" w:space="0" w:color="auto"/>
        <w:right w:val="none" w:sz="0" w:space="0" w:color="auto"/>
      </w:divBdr>
      <w:divsChild>
        <w:div w:id="1451782380">
          <w:marLeft w:val="0"/>
          <w:marRight w:val="0"/>
          <w:marTop w:val="0"/>
          <w:marBottom w:val="0"/>
          <w:divBdr>
            <w:top w:val="none" w:sz="0" w:space="0" w:color="auto"/>
            <w:left w:val="none" w:sz="0" w:space="0" w:color="auto"/>
            <w:bottom w:val="none" w:sz="0" w:space="0" w:color="auto"/>
            <w:right w:val="none" w:sz="0" w:space="0" w:color="auto"/>
          </w:divBdr>
          <w:divsChild>
            <w:div w:id="269896444">
              <w:marLeft w:val="0"/>
              <w:marRight w:val="0"/>
              <w:marTop w:val="0"/>
              <w:marBottom w:val="0"/>
              <w:divBdr>
                <w:top w:val="none" w:sz="0" w:space="0" w:color="auto"/>
                <w:left w:val="none" w:sz="0" w:space="0" w:color="auto"/>
                <w:bottom w:val="none" w:sz="0" w:space="0" w:color="auto"/>
                <w:right w:val="none" w:sz="0" w:space="0" w:color="auto"/>
              </w:divBdr>
              <w:divsChild>
                <w:div w:id="1558007707">
                  <w:marLeft w:val="0"/>
                  <w:marRight w:val="0"/>
                  <w:marTop w:val="0"/>
                  <w:marBottom w:val="0"/>
                  <w:divBdr>
                    <w:top w:val="none" w:sz="0" w:space="0" w:color="auto"/>
                    <w:left w:val="none" w:sz="0" w:space="0" w:color="auto"/>
                    <w:bottom w:val="none" w:sz="0" w:space="0" w:color="auto"/>
                    <w:right w:val="none" w:sz="0" w:space="0" w:color="auto"/>
                  </w:divBdr>
                  <w:divsChild>
                    <w:div w:id="1059206590">
                      <w:marLeft w:val="0"/>
                      <w:marRight w:val="0"/>
                      <w:marTop w:val="0"/>
                      <w:marBottom w:val="0"/>
                      <w:divBdr>
                        <w:top w:val="none" w:sz="0" w:space="0" w:color="auto"/>
                        <w:left w:val="none" w:sz="0" w:space="0" w:color="auto"/>
                        <w:bottom w:val="none" w:sz="0" w:space="0" w:color="auto"/>
                        <w:right w:val="none" w:sz="0" w:space="0" w:color="auto"/>
                      </w:divBdr>
                      <w:divsChild>
                        <w:div w:id="1176117182">
                          <w:marLeft w:val="0"/>
                          <w:marRight w:val="0"/>
                          <w:marTop w:val="0"/>
                          <w:marBottom w:val="0"/>
                          <w:divBdr>
                            <w:top w:val="none" w:sz="0" w:space="0" w:color="auto"/>
                            <w:left w:val="none" w:sz="0" w:space="0" w:color="auto"/>
                            <w:bottom w:val="none" w:sz="0" w:space="0" w:color="auto"/>
                            <w:right w:val="none" w:sz="0" w:space="0" w:color="auto"/>
                          </w:divBdr>
                          <w:divsChild>
                            <w:div w:id="1681079942">
                              <w:marLeft w:val="0"/>
                              <w:marRight w:val="0"/>
                              <w:marTop w:val="0"/>
                              <w:marBottom w:val="0"/>
                              <w:divBdr>
                                <w:top w:val="none" w:sz="0" w:space="0" w:color="auto"/>
                                <w:left w:val="none" w:sz="0" w:space="0" w:color="auto"/>
                                <w:bottom w:val="none" w:sz="0" w:space="0" w:color="auto"/>
                                <w:right w:val="none" w:sz="0" w:space="0" w:color="auto"/>
                              </w:divBdr>
                              <w:divsChild>
                                <w:div w:id="542015206">
                                  <w:marLeft w:val="0"/>
                                  <w:marRight w:val="0"/>
                                  <w:marTop w:val="0"/>
                                  <w:marBottom w:val="0"/>
                                  <w:divBdr>
                                    <w:top w:val="none" w:sz="0" w:space="0" w:color="auto"/>
                                    <w:left w:val="none" w:sz="0" w:space="0" w:color="auto"/>
                                    <w:bottom w:val="none" w:sz="0" w:space="0" w:color="auto"/>
                                    <w:right w:val="none" w:sz="0" w:space="0" w:color="auto"/>
                                  </w:divBdr>
                                  <w:divsChild>
                                    <w:div w:id="1392193730">
                                      <w:marLeft w:val="0"/>
                                      <w:marRight w:val="0"/>
                                      <w:marTop w:val="0"/>
                                      <w:marBottom w:val="0"/>
                                      <w:divBdr>
                                        <w:top w:val="none" w:sz="0" w:space="0" w:color="auto"/>
                                        <w:left w:val="none" w:sz="0" w:space="0" w:color="auto"/>
                                        <w:bottom w:val="none" w:sz="0" w:space="0" w:color="auto"/>
                                        <w:right w:val="none" w:sz="0" w:space="0" w:color="auto"/>
                                      </w:divBdr>
                                      <w:divsChild>
                                        <w:div w:id="788276626">
                                          <w:marLeft w:val="0"/>
                                          <w:marRight w:val="0"/>
                                          <w:marTop w:val="0"/>
                                          <w:marBottom w:val="0"/>
                                          <w:divBdr>
                                            <w:top w:val="none" w:sz="0" w:space="0" w:color="auto"/>
                                            <w:left w:val="none" w:sz="0" w:space="0" w:color="auto"/>
                                            <w:bottom w:val="none" w:sz="0" w:space="0" w:color="auto"/>
                                            <w:right w:val="none" w:sz="0" w:space="0" w:color="auto"/>
                                          </w:divBdr>
                                          <w:divsChild>
                                            <w:div w:id="848712531">
                                              <w:marLeft w:val="0"/>
                                              <w:marRight w:val="0"/>
                                              <w:marTop w:val="0"/>
                                              <w:marBottom w:val="0"/>
                                              <w:divBdr>
                                                <w:top w:val="none" w:sz="0" w:space="0" w:color="auto"/>
                                                <w:left w:val="none" w:sz="0" w:space="0" w:color="auto"/>
                                                <w:bottom w:val="none" w:sz="0" w:space="0" w:color="auto"/>
                                                <w:right w:val="none" w:sz="0" w:space="0" w:color="auto"/>
                                              </w:divBdr>
                                              <w:divsChild>
                                                <w:div w:id="1643465801">
                                                  <w:marLeft w:val="0"/>
                                                  <w:marRight w:val="0"/>
                                                  <w:marTop w:val="0"/>
                                                  <w:marBottom w:val="0"/>
                                                  <w:divBdr>
                                                    <w:top w:val="none" w:sz="0" w:space="0" w:color="auto"/>
                                                    <w:left w:val="none" w:sz="0" w:space="0" w:color="auto"/>
                                                    <w:bottom w:val="none" w:sz="0" w:space="0" w:color="auto"/>
                                                    <w:right w:val="none" w:sz="0" w:space="0" w:color="auto"/>
                                                  </w:divBdr>
                                                  <w:divsChild>
                                                    <w:div w:id="462424007">
                                                      <w:marLeft w:val="0"/>
                                                      <w:marRight w:val="0"/>
                                                      <w:marTop w:val="0"/>
                                                      <w:marBottom w:val="0"/>
                                                      <w:divBdr>
                                                        <w:top w:val="none" w:sz="0" w:space="0" w:color="auto"/>
                                                        <w:left w:val="none" w:sz="0" w:space="0" w:color="auto"/>
                                                        <w:bottom w:val="none" w:sz="0" w:space="0" w:color="auto"/>
                                                        <w:right w:val="none" w:sz="0" w:space="0" w:color="auto"/>
                                                      </w:divBdr>
                                                      <w:divsChild>
                                                        <w:div w:id="515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308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4-PP-C-0147/en" TargetMode="External"/><Relationship Id="rId13" Type="http://schemas.openxmlformats.org/officeDocument/2006/relationships/hyperlink" Target="http://www.itu.int/md/S14-PP-C-0084/e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tu.int/md/S14-PP-C-0151/en" TargetMode="External"/><Relationship Id="rId12" Type="http://schemas.openxmlformats.org/officeDocument/2006/relationships/hyperlink" Target="http://www.itu.int/md/S14-PP-C-0079/e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itu.int/md/S14-PP-C-0153/en"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itu.int/md/S14-PP-C-0153/en" TargetMode="External"/><Relationship Id="rId4" Type="http://schemas.openxmlformats.org/officeDocument/2006/relationships/footnotes" Target="footnotes.xml"/><Relationship Id="rId9" Type="http://schemas.openxmlformats.org/officeDocument/2006/relationships/hyperlink" Target="http://www.itu.int/md/S14-PP-C-0147/en" TargetMode="External"/><Relationship Id="rId14" Type="http://schemas.openxmlformats.org/officeDocument/2006/relationships/hyperlink" Target="http://www.itu.int/md/S14-PP-C-0118/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plenipotenti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1948</Words>
  <Characters>11105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Jemaa, Tracy</dc:creator>
  <cp:lastModifiedBy>Janin, Patricia</cp:lastModifiedBy>
  <cp:revision>4</cp:revision>
  <cp:lastPrinted>2014-11-14T09:09:00Z</cp:lastPrinted>
  <dcterms:created xsi:type="dcterms:W3CDTF">2014-11-14T13:47:00Z</dcterms:created>
  <dcterms:modified xsi:type="dcterms:W3CDTF">2014-11-28T12:49:00Z</dcterms:modified>
</cp:coreProperties>
</file>