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217A3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bookmarkStart w:id="2" w:name="_GoBack"/>
            <w:bookmarkEnd w:id="2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3" w:name="ditulogo"/>
            <w:bookmarkEnd w:id="3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8FEA885" wp14:editId="6C93C98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22333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22333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C710E5" w:rsidRPr="007F0374" w:rsidRDefault="00811D55" w:rsidP="00016AE4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016AE4">
              <w:rPr>
                <w:rFonts w:cstheme="minorHAnsi"/>
                <w:b/>
                <w:szCs w:val="24"/>
              </w:rPr>
              <w:t>66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016AE4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 w:rsidR="00016AE4">
              <w:rPr>
                <w:rFonts w:cstheme="minorHAnsi"/>
                <w:b/>
                <w:bCs/>
                <w:szCs w:val="24"/>
              </w:rPr>
              <w:t>4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016AE4">
              <w:rPr>
                <w:rFonts w:cstheme="minorHAnsi"/>
                <w:b/>
                <w:bCs/>
                <w:szCs w:val="24"/>
              </w:rPr>
              <w:t>3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016AE4">
              <w:rPr>
                <w:rFonts w:cstheme="minorHAnsi"/>
                <w:b/>
                <w:bCs/>
                <w:szCs w:val="24"/>
              </w:rPr>
              <w:t>20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223330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16AE4" w:rsidTr="00223330">
        <w:trPr>
          <w:cantSplit/>
        </w:trPr>
        <w:tc>
          <w:tcPr>
            <w:tcW w:w="10031" w:type="dxa"/>
            <w:gridSpan w:val="2"/>
          </w:tcPr>
          <w:p w:rsidR="00016AE4" w:rsidRDefault="00016AE4" w:rsidP="00016AE4">
            <w:pPr>
              <w:pStyle w:val="Source"/>
            </w:pPr>
            <w:bookmarkStart w:id="5" w:name="dsource" w:colFirst="0" w:colLast="0"/>
            <w:bookmarkEnd w:id="1"/>
            <w:bookmarkEnd w:id="4"/>
            <w:proofErr w:type="spellStart"/>
            <w:r w:rsidRPr="00F656E7">
              <w:rPr>
                <w:rFonts w:hint="eastAsia"/>
              </w:rPr>
              <w:t>秘书长的说明</w:t>
            </w:r>
            <w:proofErr w:type="spellEnd"/>
          </w:p>
        </w:tc>
      </w:tr>
      <w:tr w:rsidR="00016AE4" w:rsidTr="00223330">
        <w:trPr>
          <w:cantSplit/>
        </w:trPr>
        <w:tc>
          <w:tcPr>
            <w:tcW w:w="10031" w:type="dxa"/>
            <w:gridSpan w:val="2"/>
          </w:tcPr>
          <w:p w:rsidR="00016AE4" w:rsidRDefault="00016AE4" w:rsidP="00016AE4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 w:rsidRPr="00F656E7">
              <w:rPr>
                <w:rFonts w:hint="eastAsia"/>
                <w:lang w:eastAsia="zh-CN"/>
              </w:rPr>
              <w:t>无线电规则委员会委员</w:t>
            </w:r>
            <w:r w:rsidRPr="00F656E7">
              <w:rPr>
                <w:lang w:eastAsia="zh-CN"/>
              </w:rPr>
              <w:br/>
            </w:r>
            <w:r w:rsidRPr="00F656E7">
              <w:rPr>
                <w:rFonts w:hint="eastAsia"/>
                <w:lang w:eastAsia="zh-CN"/>
              </w:rPr>
              <w:t>职位候选人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016AE4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8D1D41" w:rsidRPr="00F656E7" w:rsidRDefault="008D1D41" w:rsidP="008D1D41">
      <w:pPr>
        <w:ind w:firstLineChars="200" w:firstLine="480"/>
        <w:rPr>
          <w:lang w:eastAsia="zh-CN"/>
        </w:rPr>
      </w:pPr>
      <w:r w:rsidRPr="00F656E7">
        <w:rPr>
          <w:lang w:eastAsia="zh-CN"/>
        </w:rPr>
        <w:t>根据</w:t>
      </w:r>
      <w:r w:rsidRPr="00F656E7">
        <w:rPr>
          <w:lang w:eastAsia="zh-CN"/>
        </w:rPr>
        <w:t>3</w:t>
      </w:r>
      <w:r w:rsidRPr="00F656E7">
        <w:rPr>
          <w:lang w:eastAsia="zh-CN"/>
        </w:rPr>
        <w:t>号文件的内容，我荣幸地将附件</w:t>
      </w:r>
      <w:r w:rsidRPr="00F656E7">
        <w:rPr>
          <w:rFonts w:hint="eastAsia"/>
          <w:lang w:eastAsia="zh-CN"/>
        </w:rPr>
        <w:t>中关于</w:t>
      </w:r>
      <w:r w:rsidRPr="00F656E7">
        <w:rPr>
          <w:lang w:eastAsia="zh-CN"/>
        </w:rPr>
        <w:t>无线电规则委员会委员职位候选人</w:t>
      </w:r>
      <w:r w:rsidRPr="00F656E7">
        <w:rPr>
          <w:rFonts w:hint="eastAsia"/>
          <w:lang w:eastAsia="zh-CN"/>
        </w:rPr>
        <w:t>：</w:t>
      </w:r>
    </w:p>
    <w:p w:rsidR="008D1D41" w:rsidRPr="002D497C" w:rsidRDefault="008D1D41" w:rsidP="008D1D41">
      <w:pPr>
        <w:jc w:val="center"/>
        <w:rPr>
          <w:lang w:val="en-US" w:eastAsia="zh-CN"/>
        </w:rPr>
      </w:pPr>
      <w:proofErr w:type="spellStart"/>
      <w:r>
        <w:rPr>
          <w:rFonts w:hint="eastAsia"/>
          <w:b/>
          <w:bCs/>
          <w:lang w:eastAsia="zh-CN"/>
        </w:rPr>
        <w:t>Meiditomo</w:t>
      </w:r>
      <w:proofErr w:type="spellEnd"/>
      <w:r>
        <w:rPr>
          <w:rFonts w:hint="eastAsia"/>
          <w:b/>
          <w:bCs/>
          <w:lang w:eastAsia="zh-CN"/>
        </w:rPr>
        <w:t xml:space="preserve"> SUTYARJOKO</w:t>
      </w:r>
      <w:r w:rsidRPr="00A00173">
        <w:rPr>
          <w:b/>
          <w:bCs/>
          <w:lang w:eastAsia="zh-CN"/>
        </w:rPr>
        <w:t>先生（</w:t>
      </w:r>
      <w:r>
        <w:rPr>
          <w:rFonts w:hint="eastAsia"/>
          <w:b/>
          <w:bCs/>
          <w:lang w:eastAsia="zh-CN"/>
        </w:rPr>
        <w:t>印度尼西亚共和国）</w:t>
      </w:r>
      <w:r w:rsidRPr="00F656E7">
        <w:rPr>
          <w:lang w:eastAsia="zh-CN"/>
        </w:rPr>
        <w:t>的资料转呈大会</w:t>
      </w:r>
      <w:r>
        <w:rPr>
          <w:rFonts w:hint="eastAsia"/>
          <w:lang w:val="en-US" w:eastAsia="zh-CN"/>
        </w:rPr>
        <w:t>。</w:t>
      </w:r>
    </w:p>
    <w:p w:rsidR="008D1D41" w:rsidRPr="00F656E7" w:rsidRDefault="008D1D41" w:rsidP="008D1D41">
      <w:pPr>
        <w:rPr>
          <w:lang w:eastAsia="zh-CN"/>
        </w:rPr>
      </w:pPr>
    </w:p>
    <w:p w:rsidR="008D1D41" w:rsidRPr="00F656E7" w:rsidRDefault="008D1D41" w:rsidP="008D1D41">
      <w:pPr>
        <w:rPr>
          <w:lang w:eastAsia="zh-CN"/>
        </w:rPr>
      </w:pPr>
    </w:p>
    <w:p w:rsidR="008D1D41" w:rsidRPr="00F656E7" w:rsidRDefault="008D1D41" w:rsidP="008D1D41">
      <w:pPr>
        <w:rPr>
          <w:lang w:eastAsia="zh-CN"/>
        </w:rPr>
      </w:pPr>
    </w:p>
    <w:p w:rsidR="008D1D41" w:rsidRPr="00F656E7" w:rsidRDefault="008D1D41" w:rsidP="008D1D41">
      <w:pPr>
        <w:tabs>
          <w:tab w:val="center" w:pos="7938"/>
        </w:tabs>
        <w:rPr>
          <w:lang w:eastAsia="zh-CN"/>
        </w:rPr>
      </w:pPr>
      <w:r w:rsidRPr="00F656E7">
        <w:rPr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F656E7">
        <w:rPr>
          <w:rFonts w:hint="eastAsia"/>
          <w:lang w:eastAsia="zh-CN"/>
        </w:rPr>
        <w:t>秘书长</w:t>
      </w:r>
      <w:r w:rsidRPr="00F656E7">
        <w:rPr>
          <w:lang w:eastAsia="zh-CN"/>
        </w:rPr>
        <w:br/>
      </w:r>
      <w:r w:rsidRPr="00F656E7">
        <w:rPr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F656E7">
        <w:rPr>
          <w:rFonts w:hint="eastAsia"/>
          <w:lang w:eastAsia="zh-CN"/>
        </w:rPr>
        <w:t>哈玛德·图埃博士</w:t>
      </w:r>
    </w:p>
    <w:p w:rsidR="008D1D41" w:rsidRPr="00F656E7" w:rsidRDefault="008D1D41" w:rsidP="008D1D41">
      <w:pPr>
        <w:rPr>
          <w:lang w:eastAsia="zh-CN"/>
        </w:rPr>
      </w:pPr>
    </w:p>
    <w:p w:rsidR="008D1D41" w:rsidRPr="00F656E7" w:rsidRDefault="008D1D41" w:rsidP="008D1D41">
      <w:pPr>
        <w:rPr>
          <w:lang w:eastAsia="zh-CN"/>
        </w:rPr>
      </w:pPr>
    </w:p>
    <w:p w:rsidR="008D1D41" w:rsidRPr="00F656E7" w:rsidRDefault="008D1D41" w:rsidP="008D1D41">
      <w:pPr>
        <w:rPr>
          <w:lang w:eastAsia="zh-CN"/>
        </w:rPr>
      </w:pPr>
    </w:p>
    <w:p w:rsidR="008D1D41" w:rsidRPr="00F656E7" w:rsidRDefault="008D1D41" w:rsidP="008D1D41">
      <w:pPr>
        <w:rPr>
          <w:lang w:eastAsia="zh-CN"/>
        </w:rPr>
      </w:pPr>
    </w:p>
    <w:p w:rsidR="008D1D41" w:rsidRPr="00F656E7" w:rsidRDefault="008D1D41" w:rsidP="008D1D41">
      <w:pPr>
        <w:rPr>
          <w:lang w:eastAsia="zh-CN"/>
        </w:rPr>
      </w:pPr>
    </w:p>
    <w:p w:rsidR="008D1D41" w:rsidRPr="00F656E7" w:rsidRDefault="008D1D41" w:rsidP="008D1D41">
      <w:pPr>
        <w:rPr>
          <w:lang w:eastAsia="zh-CN"/>
        </w:rPr>
      </w:pPr>
    </w:p>
    <w:p w:rsidR="008D1D41" w:rsidRPr="00F656E7" w:rsidRDefault="008D1D41" w:rsidP="008D1D41">
      <w:pPr>
        <w:rPr>
          <w:lang w:eastAsia="zh-CN"/>
        </w:rPr>
      </w:pPr>
    </w:p>
    <w:p w:rsidR="008D1D41" w:rsidRPr="00F656E7" w:rsidRDefault="008D1D41" w:rsidP="008D1D41">
      <w:pPr>
        <w:rPr>
          <w:lang w:eastAsia="zh-CN"/>
        </w:rPr>
      </w:pPr>
      <w:r w:rsidRPr="00A00173">
        <w:rPr>
          <w:rFonts w:hint="eastAsia"/>
          <w:b/>
          <w:bCs/>
          <w:lang w:eastAsia="zh-CN"/>
        </w:rPr>
        <w:t>附件：</w:t>
      </w:r>
      <w:r w:rsidRPr="00F656E7">
        <w:rPr>
          <w:rFonts w:hint="eastAsia"/>
          <w:lang w:eastAsia="zh-CN"/>
        </w:rPr>
        <w:t>1</w:t>
      </w:r>
      <w:r w:rsidRPr="00F656E7">
        <w:rPr>
          <w:rFonts w:hint="eastAsia"/>
          <w:lang w:eastAsia="zh-CN"/>
        </w:rPr>
        <w:t>件</w:t>
      </w:r>
    </w:p>
    <w:p w:rsidR="008D1D41" w:rsidRPr="00A00173" w:rsidRDefault="008D1D41" w:rsidP="008D1D41">
      <w:pPr>
        <w:rPr>
          <w:lang w:eastAsia="zh-CN"/>
        </w:rPr>
      </w:pPr>
    </w:p>
    <w:p w:rsidR="008D1D41" w:rsidRDefault="008D1D41" w:rsidP="008D1D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8D1D41" w:rsidRPr="00F656E7" w:rsidRDefault="008D1D41" w:rsidP="008D1D41">
      <w:pPr>
        <w:pStyle w:val="AnnexNo"/>
        <w:rPr>
          <w:lang w:eastAsia="zh-CN"/>
        </w:rPr>
      </w:pPr>
      <w:r w:rsidRPr="00F656E7">
        <w:rPr>
          <w:rFonts w:hint="eastAsia"/>
          <w:lang w:eastAsia="zh-CN"/>
        </w:rPr>
        <w:lastRenderedPageBreak/>
        <w:t>附件</w:t>
      </w:r>
    </w:p>
    <w:p w:rsidR="008D1D41" w:rsidRPr="00F656E7" w:rsidRDefault="008D1D41" w:rsidP="008D1D41">
      <w:pPr>
        <w:pStyle w:val="Title1"/>
        <w:rPr>
          <w:lang w:eastAsia="zh-CN"/>
        </w:rPr>
      </w:pPr>
      <w:r>
        <w:rPr>
          <w:rFonts w:hint="eastAsia"/>
          <w:lang w:eastAsia="zh-CN"/>
        </w:rPr>
        <w:t>印度尼西亚共和国常驻日内瓦联合国、世贸组织和其他国际组织代表团</w:t>
      </w:r>
    </w:p>
    <w:p w:rsidR="008D1D41" w:rsidRPr="00F656E7" w:rsidRDefault="008D1D41" w:rsidP="008D1D41">
      <w:pPr>
        <w:rPr>
          <w:lang w:eastAsia="zh-CN"/>
        </w:rPr>
      </w:pPr>
    </w:p>
    <w:p w:rsidR="008D1D41" w:rsidRPr="00F656E7" w:rsidRDefault="008D1D41" w:rsidP="008D1D41">
      <w:pPr>
        <w:rPr>
          <w:lang w:eastAsia="zh-CN"/>
        </w:rPr>
      </w:pPr>
      <w:bookmarkStart w:id="9" w:name="OLE_LINK1"/>
      <w:bookmarkStart w:id="10" w:name="OLE_LINK2"/>
      <w:r w:rsidRPr="00F656E7">
        <w:rPr>
          <w:rFonts w:hint="eastAsia"/>
          <w:lang w:eastAsia="zh-CN"/>
        </w:rPr>
        <w:t>参考文号</w:t>
      </w:r>
      <w:r>
        <w:rPr>
          <w:rFonts w:hint="eastAsia"/>
          <w:lang w:eastAsia="zh-CN"/>
        </w:rPr>
        <w:t>：</w:t>
      </w:r>
      <w:r w:rsidRPr="00F656E7">
        <w:rPr>
          <w:lang w:eastAsia="zh-CN"/>
        </w:rPr>
        <w:tab/>
      </w:r>
      <w:r>
        <w:rPr>
          <w:rFonts w:hint="eastAsia"/>
          <w:lang w:eastAsia="zh-CN"/>
        </w:rPr>
        <w:t>778/ADM</w:t>
      </w:r>
      <w:r w:rsidRPr="00F656E7">
        <w:rPr>
          <w:lang w:eastAsia="zh-CN"/>
        </w:rPr>
        <w:t>/</w:t>
      </w:r>
      <w:r>
        <w:rPr>
          <w:rFonts w:hint="eastAsia"/>
          <w:lang w:eastAsia="zh-CN"/>
        </w:rPr>
        <w:t>2014</w:t>
      </w:r>
    </w:p>
    <w:bookmarkEnd w:id="9"/>
    <w:bookmarkEnd w:id="10"/>
    <w:p w:rsidR="008D1D41" w:rsidRDefault="008D1D41" w:rsidP="008D1D41">
      <w:pPr>
        <w:ind w:firstLineChars="200" w:firstLine="480"/>
        <w:rPr>
          <w:lang w:eastAsia="zh-CN"/>
        </w:rPr>
      </w:pPr>
    </w:p>
    <w:p w:rsidR="008D1D41" w:rsidRDefault="008D1D41" w:rsidP="008D1D4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印度尼西共和国亚常驻日内瓦联合国、世贸组织和其他国际组织代表团向国际电信联盟（</w:t>
      </w:r>
      <w:r>
        <w:rPr>
          <w:rFonts w:hint="eastAsia"/>
          <w:lang w:eastAsia="zh-CN"/>
        </w:rPr>
        <w:t>ITU</w:t>
      </w:r>
      <w:r>
        <w:rPr>
          <w:rFonts w:hint="eastAsia"/>
          <w:lang w:eastAsia="zh-CN"/>
        </w:rPr>
        <w:t>）秘书处致敬并荣幸转呈印度尼西亚共和国政府有关提名</w:t>
      </w:r>
      <w:proofErr w:type="spellStart"/>
      <w:r>
        <w:rPr>
          <w:rFonts w:hint="eastAsia"/>
          <w:lang w:eastAsia="zh-CN"/>
        </w:rPr>
        <w:t>Meiditomo</w:t>
      </w:r>
      <w:proofErr w:type="spellEnd"/>
      <w:r>
        <w:rPr>
          <w:rFonts w:hint="eastAsia"/>
          <w:lang w:eastAsia="zh-CN"/>
        </w:rPr>
        <w:t xml:space="preserve"> SUTYARJOKO</w:t>
      </w:r>
      <w:r>
        <w:rPr>
          <w:rFonts w:hint="eastAsia"/>
          <w:lang w:eastAsia="zh-CN"/>
        </w:rPr>
        <w:t>先生作为国际电信联盟无线电规则委员会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 w:rsidR="00CF3CCA">
        <w:rPr>
          <w:lang w:eastAsia="zh-CN"/>
        </w:rPr>
        <w:t xml:space="preserve"> – 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E</w:t>
      </w:r>
      <w:r>
        <w:rPr>
          <w:rFonts w:hint="eastAsia"/>
          <w:lang w:eastAsia="zh-CN"/>
        </w:rPr>
        <w:t>区委员候选人参加国际电信联盟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日韩国釜山全权代表大会期间举行的选举的决定。</w:t>
      </w:r>
      <w:r w:rsidRPr="00F656E7">
        <w:rPr>
          <w:rFonts w:hint="eastAsia"/>
          <w:lang w:eastAsia="zh-CN"/>
        </w:rPr>
        <w:t xml:space="preserve"> </w:t>
      </w:r>
    </w:p>
    <w:p w:rsidR="008D1D41" w:rsidRDefault="008D1D41" w:rsidP="008D1D4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随函附上</w:t>
      </w:r>
      <w:proofErr w:type="spellStart"/>
      <w:r>
        <w:rPr>
          <w:rFonts w:hint="eastAsia"/>
          <w:lang w:eastAsia="zh-CN"/>
        </w:rPr>
        <w:t>Meiditomo</w:t>
      </w:r>
      <w:proofErr w:type="spellEnd"/>
      <w:r>
        <w:rPr>
          <w:rFonts w:hint="eastAsia"/>
          <w:lang w:eastAsia="zh-CN"/>
        </w:rPr>
        <w:t xml:space="preserve"> SUTYARJOKO</w:t>
      </w:r>
      <w:r>
        <w:rPr>
          <w:rFonts w:hint="eastAsia"/>
          <w:lang w:eastAsia="zh-CN"/>
        </w:rPr>
        <w:t>先生的简历。</w:t>
      </w:r>
    </w:p>
    <w:p w:rsidR="008D1D41" w:rsidRPr="00F656E7" w:rsidRDefault="008D1D41" w:rsidP="008D1D4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印度尼西共和国亚常驻日内瓦联合国、世贸组织和其他国际组织代表团借此机会</w:t>
      </w:r>
      <w:r w:rsidR="003D1BF0">
        <w:rPr>
          <w:rFonts w:hint="eastAsia"/>
          <w:lang w:eastAsia="zh-CN"/>
        </w:rPr>
        <w:t>再次</w:t>
      </w:r>
      <w:r>
        <w:rPr>
          <w:rFonts w:hint="eastAsia"/>
          <w:lang w:eastAsia="zh-CN"/>
        </w:rPr>
        <w:t>向国际电信联盟秘书处致以崇高敬意。</w:t>
      </w:r>
    </w:p>
    <w:p w:rsidR="008D1D41" w:rsidRPr="00F656E7" w:rsidRDefault="008D1D41" w:rsidP="008D1D41">
      <w:pPr>
        <w:ind w:firstLineChars="200" w:firstLine="480"/>
        <w:rPr>
          <w:lang w:eastAsia="zh-CN"/>
        </w:rPr>
      </w:pPr>
    </w:p>
    <w:p w:rsidR="008D1D41" w:rsidRDefault="008D1D41" w:rsidP="008D1D41">
      <w:pPr>
        <w:rPr>
          <w:lang w:eastAsia="zh-CN"/>
        </w:rPr>
      </w:pPr>
    </w:p>
    <w:p w:rsidR="003D1BF0" w:rsidRPr="00F656E7" w:rsidRDefault="003D1BF0" w:rsidP="008D1D41">
      <w:pPr>
        <w:rPr>
          <w:lang w:eastAsia="zh-CN"/>
        </w:rPr>
      </w:pPr>
    </w:p>
    <w:p w:rsidR="008D1D41" w:rsidRDefault="008D1D41" w:rsidP="003D1BF0">
      <w:pPr>
        <w:jc w:val="right"/>
        <w:rPr>
          <w:rFonts w:ascii="STKaiti" w:eastAsia="STKaiti" w:hAnsi="STKaiti"/>
          <w:lang w:eastAsia="zh-CN"/>
        </w:rPr>
      </w:pPr>
      <w:r>
        <w:rPr>
          <w:rFonts w:ascii="STKaiti" w:eastAsia="STKaiti" w:hAnsi="STKaiti" w:hint="eastAsia"/>
          <w:lang w:eastAsia="zh-CN"/>
        </w:rPr>
        <w:t>2014年8月</w:t>
      </w:r>
      <w:r w:rsidR="003D1BF0">
        <w:rPr>
          <w:rFonts w:ascii="STKaiti" w:eastAsia="STKaiti" w:hAnsi="STKaiti"/>
          <w:lang w:eastAsia="zh-CN"/>
        </w:rPr>
        <w:t>3</w:t>
      </w:r>
      <w:r>
        <w:rPr>
          <w:rFonts w:ascii="STKaiti" w:eastAsia="STKaiti" w:hAnsi="STKaiti" w:hint="eastAsia"/>
          <w:lang w:eastAsia="zh-CN"/>
        </w:rPr>
        <w:t>日于日内瓦</w:t>
      </w:r>
    </w:p>
    <w:p w:rsidR="008D1D41" w:rsidRDefault="008D1D41" w:rsidP="003D1BF0">
      <w:pPr>
        <w:jc w:val="right"/>
        <w:rPr>
          <w:rFonts w:ascii="STKaiti" w:eastAsia="STKaiti" w:hAnsi="STKaiti"/>
          <w:lang w:eastAsia="zh-CN"/>
        </w:rPr>
      </w:pPr>
      <w:r>
        <w:rPr>
          <w:rFonts w:ascii="STKaiti" w:eastAsia="STKaiti" w:hAnsi="STKaiti" w:hint="eastAsia"/>
          <w:lang w:eastAsia="zh-CN"/>
        </w:rPr>
        <w:t>印度尼西亚共和国常驻日内瓦代表团（</w:t>
      </w:r>
      <w:r w:rsidR="003D1BF0">
        <w:rPr>
          <w:rFonts w:ascii="STKaiti" w:eastAsia="STKaiti" w:hAnsi="STKaiti" w:hint="eastAsia"/>
          <w:lang w:eastAsia="zh-CN"/>
        </w:rPr>
        <w:t>印章</w:t>
      </w:r>
      <w:r>
        <w:rPr>
          <w:rFonts w:ascii="STKaiti" w:eastAsia="STKaiti" w:hAnsi="STKaiti" w:hint="eastAsia"/>
          <w:lang w:eastAsia="zh-CN"/>
        </w:rPr>
        <w:t>）</w:t>
      </w:r>
    </w:p>
    <w:p w:rsidR="008D1D41" w:rsidRDefault="008D1D41" w:rsidP="008D1D41">
      <w:pPr>
        <w:rPr>
          <w:rFonts w:ascii="STKaiti" w:eastAsia="STKaiti" w:hAnsi="STKaiti"/>
          <w:lang w:eastAsia="zh-CN"/>
        </w:rPr>
      </w:pPr>
    </w:p>
    <w:p w:rsidR="003D1BF0" w:rsidRDefault="003D1BF0" w:rsidP="008D1D41">
      <w:pPr>
        <w:rPr>
          <w:rFonts w:ascii="STKaiti" w:eastAsia="STKaiti" w:hAnsi="STKaiti"/>
          <w:lang w:eastAsia="zh-CN"/>
        </w:rPr>
      </w:pPr>
    </w:p>
    <w:p w:rsidR="003D1BF0" w:rsidRDefault="003D1BF0" w:rsidP="008D1D41">
      <w:pPr>
        <w:rPr>
          <w:rFonts w:ascii="STKaiti" w:eastAsia="STKaiti" w:hAnsi="STKaiti"/>
          <w:lang w:eastAsia="zh-CN"/>
        </w:rPr>
      </w:pPr>
    </w:p>
    <w:p w:rsidR="008D1D41" w:rsidRDefault="008D1D41" w:rsidP="008D1D41">
      <w:pPr>
        <w:rPr>
          <w:rFonts w:ascii="STKaiti" w:eastAsia="STKaiti" w:hAnsi="STKaiti"/>
          <w:lang w:eastAsia="zh-CN"/>
        </w:rPr>
      </w:pPr>
      <w:r>
        <w:rPr>
          <w:rFonts w:ascii="STKaiti" w:eastAsia="STKaiti" w:hAnsi="STKaiti" w:hint="eastAsia"/>
          <w:lang w:eastAsia="zh-CN"/>
        </w:rPr>
        <w:t>国际电信联盟秘书处</w:t>
      </w:r>
      <w:r w:rsidR="003D1BF0">
        <w:rPr>
          <w:rFonts w:ascii="STKaiti" w:eastAsia="STKaiti" w:hAnsi="STKaiti"/>
          <w:lang w:eastAsia="zh-CN"/>
        </w:rPr>
        <w:br/>
      </w:r>
      <w:r>
        <w:rPr>
          <w:rFonts w:ascii="STKaiti" w:eastAsia="STKaiti" w:hAnsi="STKaiti" w:hint="eastAsia"/>
          <w:lang w:eastAsia="zh-CN"/>
        </w:rPr>
        <w:t>日内瓦</w:t>
      </w:r>
    </w:p>
    <w:p w:rsidR="008D1D41" w:rsidRDefault="008D1D41" w:rsidP="008D1D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="STKaiti" w:eastAsia="STKaiti" w:hAnsi="STKaiti"/>
          <w:lang w:eastAsia="zh-CN"/>
        </w:rPr>
      </w:pPr>
      <w:r>
        <w:rPr>
          <w:rFonts w:ascii="STKaiti" w:eastAsia="STKaiti" w:hAnsi="STKaiti"/>
          <w:lang w:eastAsia="zh-CN"/>
        </w:rPr>
        <w:br w:type="page"/>
      </w:r>
    </w:p>
    <w:p w:rsidR="008D1D41" w:rsidRDefault="008D1D41" w:rsidP="00C23E8D">
      <w:pPr>
        <w:pStyle w:val="Headingb"/>
        <w:rPr>
          <w:lang w:eastAsia="zh-CN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969"/>
        <w:gridCol w:w="3543"/>
      </w:tblGrid>
      <w:tr w:rsidR="00C23E8D" w:rsidTr="00BB0C56">
        <w:trPr>
          <w:trHeight w:val="98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E8D" w:rsidRPr="00BB0C56" w:rsidRDefault="00BB0C56" w:rsidP="00BB0C56">
            <w:pPr>
              <w:pStyle w:val="Aaoeeu"/>
              <w:rPr>
                <w:rFonts w:ascii="Arial Narrow" w:hAnsi="Arial Narrow"/>
                <w:b/>
                <w:bCs/>
                <w:smallCaps/>
                <w:spacing w:val="40"/>
                <w:sz w:val="28"/>
                <w:szCs w:val="28"/>
              </w:rPr>
            </w:pPr>
            <w:r w:rsidRPr="00BB0C56">
              <w:rPr>
                <w:rFonts w:ascii="SimSun" w:eastAsia="SimSun" w:hAnsi="SimSun" w:cs="SimSun" w:hint="eastAsia"/>
                <w:b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E8D" w:rsidRDefault="00C23E8D" w:rsidP="003D5B3B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  <w:lang w:eastAsia="zh-CN"/>
              </w:rPr>
              <w:drawing>
                <wp:anchor distT="0" distB="0" distL="114300" distR="114300" simplePos="0" relativeHeight="251660288" behindDoc="1" locked="0" layoutInCell="1" allowOverlap="1" wp14:anchorId="2EDEC9C3" wp14:editId="33EF17D4">
                  <wp:simplePos x="0" y="0"/>
                  <wp:positionH relativeFrom="column">
                    <wp:posOffset>5396230</wp:posOffset>
                  </wp:positionH>
                  <wp:positionV relativeFrom="paragraph">
                    <wp:posOffset>685800</wp:posOffset>
                  </wp:positionV>
                  <wp:extent cx="1273810" cy="1371600"/>
                  <wp:effectExtent l="0" t="0" r="254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bCs/>
                <w:noProof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7671FF9F" wp14:editId="0E686E47">
                  <wp:simplePos x="0" y="0"/>
                  <wp:positionH relativeFrom="column">
                    <wp:posOffset>5396230</wp:posOffset>
                  </wp:positionH>
                  <wp:positionV relativeFrom="paragraph">
                    <wp:posOffset>685800</wp:posOffset>
                  </wp:positionV>
                  <wp:extent cx="1273810" cy="1371600"/>
                  <wp:effectExtent l="0" t="0" r="254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3E8D" w:rsidRDefault="00C23E8D" w:rsidP="003D5B3B">
            <w:pPr>
              <w:pStyle w:val="Eaoaeaa"/>
              <w:widowControl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  <w:lang w:eastAsia="zh-CN"/>
              </w:rPr>
              <w:drawing>
                <wp:inline distT="0" distB="0" distL="0" distR="0" wp14:anchorId="575B427A" wp14:editId="6312345C">
                  <wp:extent cx="1747521" cy="1882432"/>
                  <wp:effectExtent l="0" t="0" r="508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utyarjok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279" cy="18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3E8D" w:rsidRDefault="00C23E8D" w:rsidP="003D5B3B">
            <w:pPr>
              <w:pStyle w:val="Eaoaeaa"/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C23E8D" w:rsidTr="00BB0C56">
        <w:trPr>
          <w:trHeight w:val="69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3E8D" w:rsidRPr="00C154B0" w:rsidRDefault="00C23E8D" w:rsidP="00C23E8D">
            <w:pPr>
              <w:jc w:val="right"/>
              <w:rPr>
                <w:b/>
                <w:bCs/>
                <w:u w:val="single"/>
                <w:lang w:eastAsia="zh-CN"/>
              </w:rPr>
            </w:pPr>
            <w:r w:rsidRPr="00C154B0">
              <w:rPr>
                <w:rFonts w:hint="eastAsia"/>
                <w:b/>
                <w:bCs/>
                <w:u w:val="single"/>
                <w:lang w:eastAsia="zh-CN"/>
              </w:rPr>
              <w:t>个人资料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23E8D" w:rsidRPr="002076B3" w:rsidRDefault="00C23E8D" w:rsidP="00C23E8D">
            <w:pPr>
              <w:pStyle w:val="Aaoeeu"/>
              <w:rPr>
                <w:rFonts w:ascii="Arial Narrow" w:hAnsi="Arial Narrow"/>
                <w:b/>
                <w:bCs/>
                <w:smallCaps/>
                <w:spacing w:val="40"/>
                <w:sz w:val="28"/>
              </w:rPr>
            </w:pPr>
          </w:p>
        </w:tc>
        <w:tc>
          <w:tcPr>
            <w:tcW w:w="3543" w:type="dxa"/>
            <w:vMerge/>
            <w:tcBorders>
              <w:left w:val="nil"/>
              <w:bottom w:val="nil"/>
              <w:right w:val="nil"/>
            </w:tcBorders>
          </w:tcPr>
          <w:p w:rsidR="00C23E8D" w:rsidRDefault="00C23E8D" w:rsidP="00C23E8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C23E8D" w:rsidTr="00BB0C56">
        <w:trPr>
          <w:trHeight w:val="351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3E8D" w:rsidRDefault="00C23E8D" w:rsidP="00C23E8D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23E8D" w:rsidRPr="002076B3" w:rsidRDefault="00C23E8D" w:rsidP="00C23E8D">
            <w:pPr>
              <w:pStyle w:val="Aaoeeu"/>
              <w:rPr>
                <w:rFonts w:ascii="Arial Narrow" w:hAnsi="Arial Narrow"/>
                <w:b/>
                <w:bCs/>
                <w:smallCaps/>
                <w:spacing w:val="40"/>
                <w:sz w:val="28"/>
              </w:rPr>
            </w:pPr>
            <w:proofErr w:type="spellStart"/>
            <w:r w:rsidRPr="002076B3">
              <w:rPr>
                <w:rFonts w:asciiTheme="minorHAnsi" w:hAnsiTheme="minorHAnsi"/>
                <w:b/>
                <w:bCs/>
                <w:sz w:val="28"/>
                <w:szCs w:val="28"/>
              </w:rPr>
              <w:t>Meiditomo</w:t>
            </w:r>
            <w:proofErr w:type="spellEnd"/>
            <w:r w:rsidRPr="002076B3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76B3">
              <w:rPr>
                <w:rFonts w:asciiTheme="minorHAnsi" w:hAnsiTheme="minorHAnsi"/>
                <w:b/>
                <w:bCs/>
                <w:sz w:val="28"/>
                <w:szCs w:val="28"/>
              </w:rPr>
              <w:t>Sutyarjoko</w:t>
            </w:r>
            <w:proofErr w:type="spellEnd"/>
            <w:r w:rsidRPr="002076B3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2076B3">
              <w:rPr>
                <w:rFonts w:asciiTheme="minorHAnsi" w:hAnsiTheme="minorHAnsi"/>
                <w:b/>
                <w:bCs/>
                <w:sz w:val="28"/>
                <w:szCs w:val="28"/>
              </w:rPr>
              <w:t>Meidi</w:t>
            </w:r>
            <w:proofErr w:type="spellEnd"/>
            <w:r w:rsidRPr="002076B3">
              <w:rPr>
                <w:rFonts w:asciiTheme="minorHAnsi" w:hAnsi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43" w:type="dxa"/>
            <w:vMerge/>
            <w:tcBorders>
              <w:left w:val="nil"/>
              <w:bottom w:val="nil"/>
              <w:right w:val="nil"/>
            </w:tcBorders>
          </w:tcPr>
          <w:p w:rsidR="00C23E8D" w:rsidRDefault="00C23E8D" w:rsidP="00C23E8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C23E8D" w:rsidTr="00BB0C56">
        <w:trPr>
          <w:trHeight w:val="351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3E8D" w:rsidRDefault="00C23E8D" w:rsidP="00C23E8D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3E8D" w:rsidRDefault="00C23E8D" w:rsidP="00C23E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1964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28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3543" w:type="dxa"/>
            <w:vMerge/>
            <w:tcBorders>
              <w:left w:val="nil"/>
              <w:bottom w:val="nil"/>
              <w:right w:val="nil"/>
            </w:tcBorders>
          </w:tcPr>
          <w:p w:rsidR="00C23E8D" w:rsidRDefault="00C23E8D" w:rsidP="00C23E8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C23E8D" w:rsidTr="00BB0C56">
        <w:trPr>
          <w:trHeight w:val="351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3E8D" w:rsidRDefault="00C23E8D" w:rsidP="00C23E8D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国籍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3E8D" w:rsidRDefault="00C23E8D" w:rsidP="00C23E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印度尼西亚</w:t>
            </w:r>
          </w:p>
        </w:tc>
        <w:tc>
          <w:tcPr>
            <w:tcW w:w="3543" w:type="dxa"/>
            <w:vMerge/>
            <w:tcBorders>
              <w:left w:val="nil"/>
              <w:bottom w:val="nil"/>
              <w:right w:val="nil"/>
            </w:tcBorders>
          </w:tcPr>
          <w:p w:rsidR="00C23E8D" w:rsidRDefault="00C23E8D" w:rsidP="00C23E8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C23E8D" w:rsidTr="00BB0C56">
        <w:trPr>
          <w:trHeight w:val="351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3E8D" w:rsidRDefault="00C23E8D" w:rsidP="00C23E8D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家庭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3E8D" w:rsidRDefault="00C23E8D" w:rsidP="00C23E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一女一子</w:t>
            </w:r>
          </w:p>
        </w:tc>
        <w:tc>
          <w:tcPr>
            <w:tcW w:w="3543" w:type="dxa"/>
            <w:vMerge/>
            <w:tcBorders>
              <w:left w:val="nil"/>
              <w:bottom w:val="nil"/>
              <w:right w:val="nil"/>
            </w:tcBorders>
          </w:tcPr>
          <w:p w:rsidR="00C23E8D" w:rsidRDefault="00C23E8D" w:rsidP="00C23E8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C23E8D" w:rsidTr="00BB0C56">
        <w:trPr>
          <w:trHeight w:val="351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23E8D" w:rsidRPr="0022532A" w:rsidRDefault="00C23E8D" w:rsidP="003D5B3B">
            <w:pPr>
              <w:pStyle w:val="Aaoeeu"/>
              <w:jc w:val="right"/>
              <w:rPr>
                <w:rFonts w:asciiTheme="minorHAnsi" w:hAnsiTheme="minorHAnsi"/>
                <w:b/>
                <w:bCs/>
                <w:smallCaps/>
                <w:u w:val="single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23E8D" w:rsidRPr="0022532A" w:rsidRDefault="00C23E8D" w:rsidP="003D5B3B">
            <w:pPr>
              <w:pStyle w:val="Aaoeeu"/>
              <w:rPr>
                <w:rFonts w:ascii="Arial Narrow" w:hAnsi="Arial Narrow"/>
                <w:bCs/>
                <w:smallCaps/>
                <w:spacing w:val="40"/>
                <w:sz w:val="22"/>
                <w:szCs w:val="28"/>
              </w:rPr>
            </w:pPr>
          </w:p>
        </w:tc>
        <w:tc>
          <w:tcPr>
            <w:tcW w:w="3543" w:type="dxa"/>
            <w:vMerge/>
            <w:tcBorders>
              <w:left w:val="nil"/>
              <w:bottom w:val="nil"/>
              <w:right w:val="nil"/>
            </w:tcBorders>
          </w:tcPr>
          <w:p w:rsidR="00C23E8D" w:rsidRDefault="00C23E8D" w:rsidP="003D5B3B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</w:rPr>
            </w:pPr>
          </w:p>
        </w:tc>
      </w:tr>
    </w:tbl>
    <w:p w:rsidR="00C23E8D" w:rsidRDefault="00C23E8D" w:rsidP="00C23E8D">
      <w:pPr>
        <w:spacing w:befor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60"/>
      </w:tblGrid>
      <w:tr w:rsidR="008D1D41" w:rsidTr="00BB0C56">
        <w:tc>
          <w:tcPr>
            <w:tcW w:w="1985" w:type="dxa"/>
          </w:tcPr>
          <w:p w:rsidR="008D1D41" w:rsidRPr="00C154B0" w:rsidRDefault="008D1D41" w:rsidP="003D5B3B">
            <w:pPr>
              <w:jc w:val="right"/>
              <w:rPr>
                <w:b/>
                <w:bCs/>
                <w:lang w:eastAsia="zh-CN"/>
              </w:rPr>
            </w:pPr>
            <w:r w:rsidRPr="00C154B0">
              <w:rPr>
                <w:rFonts w:hint="eastAsia"/>
                <w:b/>
                <w:bCs/>
                <w:lang w:eastAsia="zh-CN"/>
              </w:rPr>
              <w:t>职务</w:t>
            </w:r>
          </w:p>
        </w:tc>
        <w:tc>
          <w:tcPr>
            <w:tcW w:w="7660" w:type="dxa"/>
          </w:tcPr>
          <w:p w:rsidR="008D1D41" w:rsidRDefault="008D1D41" w:rsidP="003D5B3B">
            <w:pPr>
              <w:pStyle w:val="ListParagraph"/>
              <w:numPr>
                <w:ilvl w:val="0"/>
                <w:numId w:val="1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印度尼西亚宽带广播卫星公司工程和运营部高级副总裁</w:t>
            </w:r>
          </w:p>
          <w:p w:rsidR="008D1D41" w:rsidRDefault="008D1D41" w:rsidP="003D5B3B">
            <w:pPr>
              <w:pStyle w:val="ListParagraph"/>
              <w:numPr>
                <w:ilvl w:val="0"/>
                <w:numId w:val="1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PT. </w:t>
            </w:r>
            <w:proofErr w:type="spellStart"/>
            <w:r>
              <w:rPr>
                <w:rFonts w:hint="eastAsia"/>
                <w:lang w:eastAsia="zh-CN"/>
              </w:rPr>
              <w:t>Sarana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Mukti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Adijaya</w:t>
            </w:r>
            <w:proofErr w:type="spellEnd"/>
            <w:r>
              <w:rPr>
                <w:rFonts w:hint="eastAsia"/>
                <w:lang w:eastAsia="zh-CN"/>
              </w:rPr>
              <w:t>总裁</w:t>
            </w:r>
          </w:p>
          <w:p w:rsidR="008D1D41" w:rsidRDefault="008D1D41" w:rsidP="003D5B3B">
            <w:pPr>
              <w:pStyle w:val="ListParagraph"/>
              <w:numPr>
                <w:ilvl w:val="0"/>
                <w:numId w:val="1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印度尼西亚通信和信息科技部（</w:t>
            </w:r>
            <w:r>
              <w:rPr>
                <w:rFonts w:hint="eastAsia"/>
                <w:lang w:eastAsia="zh-CN"/>
              </w:rPr>
              <w:t>MCIT</w:t>
            </w:r>
            <w:r>
              <w:rPr>
                <w:rFonts w:hint="eastAsia"/>
                <w:lang w:eastAsia="zh-CN"/>
              </w:rPr>
              <w:t>）顾问</w:t>
            </w:r>
          </w:p>
          <w:p w:rsidR="008D1D41" w:rsidRDefault="008D1D41" w:rsidP="003D5B3B">
            <w:pPr>
              <w:pStyle w:val="ListParagraph"/>
              <w:numPr>
                <w:ilvl w:val="0"/>
                <w:numId w:val="1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印度尼西亚电信学会（</w:t>
            </w:r>
            <w:r>
              <w:rPr>
                <w:rFonts w:hint="eastAsia"/>
                <w:lang w:eastAsia="zh-CN"/>
              </w:rPr>
              <w:t>MASTEL</w:t>
            </w:r>
            <w:r>
              <w:rPr>
                <w:rFonts w:hint="eastAsia"/>
                <w:lang w:eastAsia="zh-CN"/>
              </w:rPr>
              <w:t>）成员</w:t>
            </w:r>
          </w:p>
          <w:p w:rsidR="008D1D41" w:rsidRDefault="008D1D41" w:rsidP="003D5B3B">
            <w:pPr>
              <w:pStyle w:val="ListParagraph"/>
              <w:numPr>
                <w:ilvl w:val="0"/>
                <w:numId w:val="1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印度尼西亚互联网提供商学会（</w:t>
            </w:r>
            <w:r>
              <w:rPr>
                <w:rFonts w:hint="eastAsia"/>
                <w:lang w:eastAsia="zh-CN"/>
              </w:rPr>
              <w:t>ASSI</w:t>
            </w:r>
            <w:r>
              <w:rPr>
                <w:rFonts w:hint="eastAsia"/>
                <w:lang w:eastAsia="zh-CN"/>
              </w:rPr>
              <w:t>）成员</w:t>
            </w:r>
          </w:p>
          <w:p w:rsidR="008D1D41" w:rsidRDefault="008D1D41" w:rsidP="003D5B3B">
            <w:pPr>
              <w:pStyle w:val="ListParagraph"/>
              <w:numPr>
                <w:ilvl w:val="0"/>
                <w:numId w:val="1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印度尼西亚卫星协会成员</w:t>
            </w:r>
          </w:p>
        </w:tc>
      </w:tr>
      <w:tr w:rsidR="008D1D41" w:rsidTr="00BB0C56">
        <w:tc>
          <w:tcPr>
            <w:tcW w:w="1985" w:type="dxa"/>
          </w:tcPr>
          <w:p w:rsidR="008D1D41" w:rsidRPr="00C154B0" w:rsidRDefault="008D1D41" w:rsidP="003D5B3B">
            <w:pPr>
              <w:jc w:val="right"/>
              <w:rPr>
                <w:b/>
                <w:bCs/>
                <w:lang w:eastAsia="zh-CN"/>
              </w:rPr>
            </w:pPr>
          </w:p>
        </w:tc>
        <w:tc>
          <w:tcPr>
            <w:tcW w:w="7660" w:type="dxa"/>
          </w:tcPr>
          <w:p w:rsidR="008D1D41" w:rsidRDefault="008D1D41" w:rsidP="003D5B3B">
            <w:pPr>
              <w:pStyle w:val="ListParagraph"/>
              <w:rPr>
                <w:lang w:eastAsia="zh-CN"/>
              </w:rPr>
            </w:pPr>
          </w:p>
        </w:tc>
      </w:tr>
      <w:tr w:rsidR="008D1D41" w:rsidTr="00BB0C56">
        <w:tc>
          <w:tcPr>
            <w:tcW w:w="1985" w:type="dxa"/>
          </w:tcPr>
          <w:p w:rsidR="008D1D41" w:rsidRPr="00C154B0" w:rsidRDefault="008D1D41" w:rsidP="003D5B3B">
            <w:pPr>
              <w:jc w:val="right"/>
              <w:rPr>
                <w:b/>
                <w:bCs/>
                <w:u w:val="single"/>
                <w:lang w:eastAsia="zh-CN"/>
              </w:rPr>
            </w:pPr>
            <w:r w:rsidRPr="00C154B0">
              <w:rPr>
                <w:rFonts w:hint="eastAsia"/>
                <w:b/>
                <w:bCs/>
                <w:u w:val="single"/>
                <w:lang w:eastAsia="zh-CN"/>
              </w:rPr>
              <w:t>教育和培训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1988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1991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1992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1993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1994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2010</w:t>
            </w:r>
          </w:p>
        </w:tc>
        <w:tc>
          <w:tcPr>
            <w:tcW w:w="7660" w:type="dxa"/>
          </w:tcPr>
          <w:p w:rsidR="008D1D41" w:rsidRDefault="008D1D41" w:rsidP="003D5B3B">
            <w:pPr>
              <w:rPr>
                <w:lang w:eastAsia="zh-CN"/>
              </w:rPr>
            </w:pPr>
          </w:p>
          <w:p w:rsidR="008D1D41" w:rsidRDefault="008D1D41" w:rsidP="003D5B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印度尼西亚万隆理工学院，工学学士</w:t>
            </w:r>
          </w:p>
          <w:p w:rsidR="008D1D41" w:rsidRDefault="008D1D41" w:rsidP="003D5B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美国加州</w:t>
            </w:r>
            <w:r>
              <w:rPr>
                <w:rFonts w:hint="eastAsia"/>
                <w:lang w:eastAsia="zh-CN"/>
              </w:rPr>
              <w:t>El Segundo</w:t>
            </w:r>
            <w:r>
              <w:rPr>
                <w:rFonts w:hint="eastAsia"/>
                <w:lang w:eastAsia="zh-CN"/>
              </w:rPr>
              <w:t>休斯航天和通信集团，先进天线理论和设计</w:t>
            </w:r>
            <w:r>
              <w:rPr>
                <w:rFonts w:hint="eastAsia"/>
                <w:lang w:eastAsia="zh-CN"/>
              </w:rPr>
              <w:t>1</w:t>
            </w:r>
          </w:p>
          <w:p w:rsidR="008D1D41" w:rsidRDefault="008D1D41" w:rsidP="003D5B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美国加州</w:t>
            </w:r>
            <w:r>
              <w:rPr>
                <w:rFonts w:hint="eastAsia"/>
                <w:lang w:eastAsia="zh-CN"/>
              </w:rPr>
              <w:t>El Segundo</w:t>
            </w:r>
            <w:r>
              <w:rPr>
                <w:rFonts w:hint="eastAsia"/>
                <w:lang w:eastAsia="zh-CN"/>
              </w:rPr>
              <w:t>休斯航天和通信集团，先进天线理论和设计</w:t>
            </w:r>
            <w:r>
              <w:rPr>
                <w:rFonts w:hint="eastAsia"/>
                <w:lang w:eastAsia="zh-CN"/>
              </w:rPr>
              <w:t>2</w:t>
            </w:r>
          </w:p>
          <w:p w:rsidR="008D1D41" w:rsidRDefault="008D1D41" w:rsidP="003D5B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美国加州</w:t>
            </w:r>
            <w:r>
              <w:rPr>
                <w:rFonts w:hint="eastAsia"/>
                <w:lang w:eastAsia="zh-CN"/>
              </w:rPr>
              <w:t>El Segundo</w:t>
            </w:r>
            <w:r>
              <w:rPr>
                <w:rFonts w:hint="eastAsia"/>
                <w:lang w:eastAsia="zh-CN"/>
              </w:rPr>
              <w:t>休斯航天和通信集团，先进天线理论和设计</w:t>
            </w:r>
            <w:r>
              <w:rPr>
                <w:rFonts w:hint="eastAsia"/>
                <w:lang w:eastAsia="zh-CN"/>
              </w:rPr>
              <w:t>3</w:t>
            </w:r>
          </w:p>
          <w:p w:rsidR="008D1D41" w:rsidRDefault="008D1D41" w:rsidP="003D5B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美国加州南加州大学电气工程理学硕士</w:t>
            </w:r>
          </w:p>
          <w:p w:rsidR="008D1D41" w:rsidRPr="001000D9" w:rsidRDefault="008D1D41" w:rsidP="003D5B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印度尼西亚，印度尼西亚大学战略管理博士</w:t>
            </w:r>
          </w:p>
        </w:tc>
      </w:tr>
      <w:tr w:rsidR="008D1D41" w:rsidTr="00BB0C56">
        <w:tc>
          <w:tcPr>
            <w:tcW w:w="1985" w:type="dxa"/>
          </w:tcPr>
          <w:p w:rsidR="008D1D41" w:rsidRPr="00C154B0" w:rsidRDefault="008D1D41" w:rsidP="003D5B3B">
            <w:pPr>
              <w:jc w:val="right"/>
              <w:rPr>
                <w:b/>
                <w:bCs/>
                <w:u w:val="single"/>
                <w:lang w:eastAsia="zh-CN"/>
              </w:rPr>
            </w:pPr>
          </w:p>
        </w:tc>
        <w:tc>
          <w:tcPr>
            <w:tcW w:w="7660" w:type="dxa"/>
          </w:tcPr>
          <w:p w:rsidR="008D1D41" w:rsidRDefault="008D1D41" w:rsidP="003D5B3B">
            <w:pPr>
              <w:rPr>
                <w:lang w:eastAsia="zh-CN"/>
              </w:rPr>
            </w:pPr>
          </w:p>
        </w:tc>
      </w:tr>
      <w:tr w:rsidR="008D1D41" w:rsidTr="00BB0C56">
        <w:tc>
          <w:tcPr>
            <w:tcW w:w="1985" w:type="dxa"/>
          </w:tcPr>
          <w:p w:rsidR="008D1D41" w:rsidRDefault="008D1D41" w:rsidP="003D5B3B">
            <w:pPr>
              <w:jc w:val="right"/>
              <w:rPr>
                <w:b/>
                <w:bCs/>
                <w:u w:val="single"/>
                <w:lang w:eastAsia="zh-CN"/>
              </w:rPr>
            </w:pPr>
            <w:r>
              <w:rPr>
                <w:rFonts w:hint="eastAsia"/>
                <w:b/>
                <w:bCs/>
                <w:u w:val="single"/>
                <w:lang w:eastAsia="zh-CN"/>
              </w:rPr>
              <w:t>工作经历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 w:rsidRPr="00C154B0">
              <w:rPr>
                <w:rFonts w:hint="eastAsia"/>
                <w:lang w:eastAsia="zh-CN"/>
              </w:rPr>
              <w:t>1989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1997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1998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2007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2008</w:t>
            </w:r>
          </w:p>
          <w:p w:rsidR="008D1D41" w:rsidRPr="00C154B0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2011</w:t>
            </w:r>
          </w:p>
        </w:tc>
        <w:tc>
          <w:tcPr>
            <w:tcW w:w="7660" w:type="dxa"/>
          </w:tcPr>
          <w:p w:rsidR="008D1D41" w:rsidRDefault="008D1D41" w:rsidP="003D5B3B">
            <w:pPr>
              <w:rPr>
                <w:lang w:eastAsia="zh-CN"/>
              </w:rPr>
            </w:pPr>
          </w:p>
          <w:p w:rsidR="008D1D41" w:rsidRDefault="008D1D41" w:rsidP="003D5B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美国加州</w:t>
            </w:r>
            <w:r>
              <w:rPr>
                <w:rFonts w:hint="eastAsia"/>
                <w:lang w:eastAsia="zh-CN"/>
              </w:rPr>
              <w:t>El Segundo</w:t>
            </w:r>
            <w:r>
              <w:rPr>
                <w:rFonts w:hint="eastAsia"/>
                <w:lang w:eastAsia="zh-CN"/>
              </w:rPr>
              <w:t>休斯航天和通信集团卫星系统工程师</w:t>
            </w:r>
          </w:p>
          <w:p w:rsidR="008D1D41" w:rsidRDefault="008D1D41" w:rsidP="003D5B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印度尼西亚</w:t>
            </w:r>
            <w:r w:rsidRPr="00C154B0">
              <w:rPr>
                <w:rFonts w:hint="eastAsia"/>
                <w:lang w:eastAsia="zh-CN"/>
              </w:rPr>
              <w:t>努桑塔拉</w:t>
            </w:r>
            <w:r>
              <w:rPr>
                <w:rFonts w:hint="eastAsia"/>
                <w:lang w:eastAsia="zh-CN"/>
              </w:rPr>
              <w:t>飞机工业公司航天处副总裁</w:t>
            </w:r>
          </w:p>
          <w:p w:rsidR="008D1D41" w:rsidRDefault="008D1D41" w:rsidP="003D5B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印度尼西亚亚太蜂窝卫星公司首席技术官</w:t>
            </w:r>
          </w:p>
          <w:p w:rsidR="008D1D41" w:rsidRDefault="008D1D41" w:rsidP="003D5B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印度尼西亚国际海事卫星处，运营主任</w:t>
            </w:r>
          </w:p>
          <w:p w:rsidR="008D1D41" w:rsidRDefault="008D1D41" w:rsidP="003D5B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阿联酋迪拜</w:t>
            </w:r>
            <w:r>
              <w:rPr>
                <w:rFonts w:hint="eastAsia"/>
                <w:lang w:eastAsia="zh-CN"/>
              </w:rPr>
              <w:t>S2M</w:t>
            </w:r>
            <w:r>
              <w:rPr>
                <w:rFonts w:hint="eastAsia"/>
                <w:lang w:eastAsia="zh-CN"/>
              </w:rPr>
              <w:t>集团首席技术官</w:t>
            </w:r>
          </w:p>
          <w:p w:rsidR="008D1D41" w:rsidRPr="00FC0B07" w:rsidRDefault="008D1D41" w:rsidP="003D5B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印度尼西亚宽带广播卫星公司工程和运营部高级副总裁</w:t>
            </w:r>
          </w:p>
        </w:tc>
      </w:tr>
      <w:tr w:rsidR="008D1D41" w:rsidTr="00BB0C56">
        <w:tc>
          <w:tcPr>
            <w:tcW w:w="1985" w:type="dxa"/>
          </w:tcPr>
          <w:p w:rsidR="008D1D41" w:rsidRDefault="008D1D41" w:rsidP="003D5B3B">
            <w:pPr>
              <w:jc w:val="right"/>
              <w:rPr>
                <w:b/>
                <w:bCs/>
                <w:u w:val="single"/>
                <w:lang w:eastAsia="zh-CN"/>
              </w:rPr>
            </w:pPr>
          </w:p>
        </w:tc>
        <w:tc>
          <w:tcPr>
            <w:tcW w:w="7660" w:type="dxa"/>
          </w:tcPr>
          <w:p w:rsidR="008D1D41" w:rsidRDefault="008D1D41" w:rsidP="003D5B3B">
            <w:pPr>
              <w:rPr>
                <w:lang w:eastAsia="zh-CN"/>
              </w:rPr>
            </w:pPr>
          </w:p>
        </w:tc>
      </w:tr>
      <w:tr w:rsidR="008D1D41" w:rsidTr="00BB0C56">
        <w:tc>
          <w:tcPr>
            <w:tcW w:w="1985" w:type="dxa"/>
          </w:tcPr>
          <w:p w:rsidR="008D1D41" w:rsidRDefault="008D1D41" w:rsidP="003D5B3B">
            <w:pPr>
              <w:jc w:val="right"/>
              <w:rPr>
                <w:b/>
                <w:bCs/>
                <w:u w:val="single"/>
                <w:lang w:eastAsia="zh-CN"/>
              </w:rPr>
            </w:pPr>
            <w:r>
              <w:rPr>
                <w:rFonts w:hint="eastAsia"/>
                <w:b/>
                <w:bCs/>
                <w:u w:val="single"/>
                <w:lang w:eastAsia="zh-CN"/>
              </w:rPr>
              <w:lastRenderedPageBreak/>
              <w:t>管理经验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 w:rsidRPr="00C154B0">
              <w:rPr>
                <w:rFonts w:hint="eastAsia"/>
                <w:lang w:eastAsia="zh-CN"/>
              </w:rPr>
              <w:t>2003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2004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2004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2006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2006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2007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2008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2008</w:t>
            </w:r>
          </w:p>
          <w:p w:rsidR="008D1D41" w:rsidRPr="00C154B0" w:rsidRDefault="008D1D41" w:rsidP="003D5B3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2013</w:t>
            </w:r>
          </w:p>
        </w:tc>
        <w:tc>
          <w:tcPr>
            <w:tcW w:w="7660" w:type="dxa"/>
          </w:tcPr>
          <w:p w:rsidR="008D1D41" w:rsidRDefault="008D1D41" w:rsidP="003D5B3B">
            <w:pPr>
              <w:rPr>
                <w:lang w:eastAsia="zh-CN"/>
              </w:rPr>
            </w:pPr>
          </w:p>
          <w:p w:rsidR="008D1D41" w:rsidRDefault="008D1D41" w:rsidP="003D5B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新加坡</w:t>
            </w:r>
            <w:r>
              <w:rPr>
                <w:rFonts w:hint="eastAsia"/>
                <w:lang w:eastAsia="zh-CN"/>
              </w:rPr>
              <w:t>L-</w:t>
            </w:r>
            <w:r>
              <w:rPr>
                <w:rFonts w:hint="eastAsia"/>
                <w:lang w:eastAsia="zh-CN"/>
              </w:rPr>
              <w:t>波段运营机构审查会议（</w:t>
            </w:r>
            <w:r>
              <w:rPr>
                <w:rFonts w:hint="eastAsia"/>
                <w:lang w:eastAsia="zh-CN"/>
              </w:rPr>
              <w:t>ORM</w:t>
            </w:r>
            <w:r>
              <w:rPr>
                <w:rFonts w:hint="eastAsia"/>
                <w:lang w:eastAsia="zh-CN"/>
              </w:rPr>
              <w:t>）主席</w:t>
            </w:r>
          </w:p>
          <w:p w:rsidR="008D1D41" w:rsidRDefault="008D1D41" w:rsidP="003D5B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阿联酋迪拜</w:t>
            </w:r>
            <w:r>
              <w:rPr>
                <w:rFonts w:hint="eastAsia"/>
                <w:lang w:eastAsia="zh-CN"/>
              </w:rPr>
              <w:t>L-</w:t>
            </w:r>
            <w:r>
              <w:rPr>
                <w:rFonts w:hint="eastAsia"/>
                <w:lang w:eastAsia="zh-CN"/>
              </w:rPr>
              <w:t>波段</w:t>
            </w:r>
            <w:r>
              <w:rPr>
                <w:rFonts w:hint="eastAsia"/>
                <w:lang w:eastAsia="zh-CN"/>
              </w:rPr>
              <w:t>ORM</w:t>
            </w:r>
            <w:r>
              <w:rPr>
                <w:rFonts w:hint="eastAsia"/>
                <w:lang w:eastAsia="zh-CN"/>
              </w:rPr>
              <w:t>会议，代表团团长</w:t>
            </w:r>
          </w:p>
          <w:p w:rsidR="008D1D41" w:rsidRDefault="008D1D41" w:rsidP="00CD089B">
            <w:pPr>
              <w:spacing w:befor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阿联酋迪拜多边会议（</w:t>
            </w:r>
            <w:r>
              <w:rPr>
                <w:rFonts w:hint="eastAsia"/>
                <w:lang w:eastAsia="zh-CN"/>
              </w:rPr>
              <w:t>MLM</w:t>
            </w:r>
            <w:r>
              <w:rPr>
                <w:rFonts w:hint="eastAsia"/>
                <w:lang w:eastAsia="zh-CN"/>
              </w:rPr>
              <w:t>）代表团副团长</w:t>
            </w:r>
          </w:p>
          <w:p w:rsidR="008D1D41" w:rsidRDefault="008D1D41" w:rsidP="00CD089B">
            <w:pPr>
              <w:spacing w:befor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荷兰诺的维克</w:t>
            </w:r>
            <w:r>
              <w:rPr>
                <w:rFonts w:hint="eastAsia"/>
                <w:lang w:eastAsia="zh-CN"/>
              </w:rPr>
              <w:t>L-band ORM</w:t>
            </w:r>
            <w:r>
              <w:rPr>
                <w:rFonts w:hint="eastAsia"/>
                <w:lang w:eastAsia="zh-CN"/>
              </w:rPr>
              <w:t>会议代表团团长</w:t>
            </w:r>
          </w:p>
          <w:p w:rsidR="008D1D41" w:rsidRDefault="008D1D41" w:rsidP="00CD089B">
            <w:pPr>
              <w:spacing w:befor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土耳其安塔利亚全权代表大会印度尼西亚代表团成员</w:t>
            </w:r>
          </w:p>
          <w:p w:rsidR="008D1D41" w:rsidRDefault="008D1D41" w:rsidP="00CD089B">
            <w:pPr>
              <w:spacing w:befor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日本东京</w:t>
            </w:r>
            <w:r>
              <w:rPr>
                <w:rFonts w:hint="eastAsia"/>
                <w:lang w:eastAsia="zh-CN"/>
              </w:rPr>
              <w:t>L-band ORM</w:t>
            </w:r>
            <w:r>
              <w:rPr>
                <w:rFonts w:hint="eastAsia"/>
                <w:lang w:eastAsia="zh-CN"/>
              </w:rPr>
              <w:t>会议代表团团长</w:t>
            </w:r>
          </w:p>
          <w:p w:rsidR="008D1D41" w:rsidRDefault="008D1D41" w:rsidP="00CD089B">
            <w:pPr>
              <w:spacing w:befor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中东</w:t>
            </w:r>
            <w:r>
              <w:rPr>
                <w:rFonts w:hint="eastAsia"/>
                <w:lang w:eastAsia="zh-CN"/>
              </w:rPr>
              <w:t>ITU2000</w:t>
            </w:r>
            <w:r>
              <w:rPr>
                <w:rFonts w:hint="eastAsia"/>
                <w:lang w:eastAsia="zh-CN"/>
              </w:rPr>
              <w:t>暨卫星</w:t>
            </w:r>
            <w:r>
              <w:rPr>
                <w:rFonts w:hint="eastAsia"/>
                <w:lang w:eastAsia="zh-CN"/>
              </w:rPr>
              <w:t>S-</w:t>
            </w:r>
            <w:r>
              <w:rPr>
                <w:rFonts w:hint="eastAsia"/>
                <w:lang w:eastAsia="zh-CN"/>
              </w:rPr>
              <w:t>波段频谱协调工作</w:t>
            </w:r>
          </w:p>
          <w:p w:rsidR="008D1D41" w:rsidRDefault="008D1D41" w:rsidP="00CD089B">
            <w:pPr>
              <w:spacing w:befor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日内瓦</w:t>
            </w:r>
            <w:r>
              <w:rPr>
                <w:rFonts w:hint="eastAsia"/>
                <w:lang w:eastAsia="zh-CN"/>
              </w:rPr>
              <w:t>L-band ORM</w:t>
            </w:r>
            <w:r>
              <w:rPr>
                <w:rFonts w:hint="eastAsia"/>
                <w:lang w:eastAsia="zh-CN"/>
              </w:rPr>
              <w:t>会议</w:t>
            </w:r>
            <w:proofErr w:type="spellStart"/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eS</w:t>
            </w:r>
            <w:proofErr w:type="spellEnd"/>
            <w:r>
              <w:rPr>
                <w:rFonts w:hint="eastAsia"/>
                <w:lang w:eastAsia="zh-CN"/>
              </w:rPr>
              <w:t>顾问</w:t>
            </w:r>
          </w:p>
          <w:p w:rsidR="008D1D41" w:rsidRPr="008F48FE" w:rsidRDefault="008D1D41" w:rsidP="00CD089B">
            <w:pPr>
              <w:spacing w:befor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MCIT</w:t>
            </w:r>
            <w:r>
              <w:rPr>
                <w:rFonts w:hint="eastAsia"/>
                <w:lang w:eastAsia="zh-CN"/>
              </w:rPr>
              <w:t>卫星协调，规划频段顾问</w:t>
            </w:r>
          </w:p>
        </w:tc>
      </w:tr>
      <w:tr w:rsidR="008D1D41" w:rsidTr="00BB0C56">
        <w:tc>
          <w:tcPr>
            <w:tcW w:w="1985" w:type="dxa"/>
          </w:tcPr>
          <w:p w:rsidR="008D1D41" w:rsidRDefault="008D1D41" w:rsidP="003D5B3B">
            <w:pPr>
              <w:jc w:val="right"/>
              <w:rPr>
                <w:b/>
                <w:bCs/>
                <w:u w:val="single"/>
                <w:lang w:eastAsia="zh-CN"/>
              </w:rPr>
            </w:pPr>
          </w:p>
        </w:tc>
        <w:tc>
          <w:tcPr>
            <w:tcW w:w="7660" w:type="dxa"/>
          </w:tcPr>
          <w:p w:rsidR="008D1D41" w:rsidRDefault="008D1D41" w:rsidP="003D5B3B">
            <w:pPr>
              <w:rPr>
                <w:lang w:eastAsia="zh-CN"/>
              </w:rPr>
            </w:pPr>
          </w:p>
        </w:tc>
      </w:tr>
      <w:tr w:rsidR="008D1D41" w:rsidTr="00BB0C56">
        <w:tc>
          <w:tcPr>
            <w:tcW w:w="1985" w:type="dxa"/>
          </w:tcPr>
          <w:p w:rsidR="008D1D41" w:rsidRDefault="008D1D41" w:rsidP="003D5B3B">
            <w:pPr>
              <w:jc w:val="right"/>
              <w:rPr>
                <w:b/>
                <w:bCs/>
                <w:u w:val="single"/>
                <w:lang w:eastAsia="zh-CN"/>
              </w:rPr>
            </w:pPr>
            <w:r>
              <w:rPr>
                <w:rFonts w:hint="eastAsia"/>
                <w:b/>
                <w:bCs/>
                <w:u w:val="single"/>
                <w:lang w:eastAsia="zh-CN"/>
              </w:rPr>
              <w:t>著作</w:t>
            </w:r>
          </w:p>
          <w:p w:rsidR="008D1D41" w:rsidRDefault="008D1D41" w:rsidP="003D5B3B">
            <w:pPr>
              <w:jc w:val="right"/>
              <w:rPr>
                <w:lang w:eastAsia="zh-CN"/>
              </w:rPr>
            </w:pPr>
          </w:p>
          <w:p w:rsidR="008D1D41" w:rsidRDefault="008D1D41" w:rsidP="003D5B3B">
            <w:pPr>
              <w:jc w:val="right"/>
              <w:rPr>
                <w:lang w:eastAsia="zh-CN"/>
              </w:rPr>
            </w:pPr>
          </w:p>
          <w:p w:rsidR="008D1D41" w:rsidRPr="00421C36" w:rsidRDefault="008D1D41" w:rsidP="003D5B3B">
            <w:pPr>
              <w:jc w:val="right"/>
              <w:rPr>
                <w:lang w:eastAsia="zh-CN"/>
              </w:rPr>
            </w:pPr>
          </w:p>
        </w:tc>
        <w:tc>
          <w:tcPr>
            <w:tcW w:w="7660" w:type="dxa"/>
          </w:tcPr>
          <w:p w:rsidR="008D1D41" w:rsidRDefault="008D1D41" w:rsidP="003D5B3B">
            <w:pPr>
              <w:ind w:right="480"/>
              <w:rPr>
                <w:lang w:eastAsia="zh-CN"/>
              </w:rPr>
            </w:pPr>
          </w:p>
          <w:p w:rsidR="008D1D41" w:rsidRDefault="008D1D41" w:rsidP="00C23E8D">
            <w:pPr>
              <w:pStyle w:val="ListParagraph"/>
              <w:numPr>
                <w:ilvl w:val="0"/>
                <w:numId w:val="2"/>
              </w:numPr>
              <w:spacing w:before="240" w:after="240"/>
              <w:ind w:right="480"/>
              <w:rPr>
                <w:lang w:eastAsia="zh-CN"/>
              </w:rPr>
            </w:pPr>
            <w:r w:rsidRPr="00C23E8D">
              <w:rPr>
                <w:rFonts w:hint="eastAsia"/>
                <w:b/>
                <w:lang w:eastAsia="zh-CN"/>
              </w:rPr>
              <w:t>应用类型和用户体验推动多技术接收模式：印度尼西亚移动互联网的实证研究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2010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月拉斯维加斯，国际管理与商务研究院（</w:t>
            </w:r>
            <w:r>
              <w:rPr>
                <w:rFonts w:hint="eastAsia"/>
                <w:lang w:eastAsia="zh-CN"/>
              </w:rPr>
              <w:t>IAMB</w:t>
            </w:r>
            <w:r>
              <w:rPr>
                <w:rFonts w:hint="eastAsia"/>
                <w:lang w:eastAsia="zh-CN"/>
              </w:rPr>
              <w:t>）</w:t>
            </w:r>
          </w:p>
          <w:p w:rsidR="008D1D41" w:rsidRDefault="008D1D41" w:rsidP="00C23E8D">
            <w:pPr>
              <w:pStyle w:val="ListParagraph"/>
              <w:numPr>
                <w:ilvl w:val="0"/>
                <w:numId w:val="2"/>
              </w:numPr>
              <w:spacing w:before="240" w:after="240"/>
              <w:ind w:right="480"/>
              <w:rPr>
                <w:lang w:eastAsia="zh-CN"/>
              </w:rPr>
            </w:pPr>
            <w:r w:rsidRPr="00C23E8D">
              <w:rPr>
                <w:rFonts w:hint="eastAsia"/>
                <w:b/>
                <w:lang w:eastAsia="zh-CN"/>
              </w:rPr>
              <w:t>移动电视广播星对地链路损坏分析</w:t>
            </w:r>
            <w:r>
              <w:rPr>
                <w:rFonts w:hint="eastAsia"/>
                <w:lang w:eastAsia="zh-CN"/>
              </w:rPr>
              <w:t>，与</w:t>
            </w:r>
            <w:proofErr w:type="spellStart"/>
            <w:r>
              <w:rPr>
                <w:rFonts w:hint="eastAsia"/>
                <w:lang w:eastAsia="zh-CN"/>
              </w:rPr>
              <w:t>Alirza</w:t>
            </w:r>
            <w:proofErr w:type="spellEnd"/>
            <w:r>
              <w:rPr>
                <w:rFonts w:hint="eastAsia"/>
                <w:lang w:eastAsia="zh-CN"/>
              </w:rPr>
              <w:t>博士合著，</w:t>
            </w:r>
            <w:r>
              <w:rPr>
                <w:rFonts w:hint="eastAsia"/>
                <w:lang w:eastAsia="zh-CN"/>
              </w:rPr>
              <w:t>2009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—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>日西班牙巴塞罗那发表，</w:t>
            </w:r>
            <w:r>
              <w:rPr>
                <w:rFonts w:hint="eastAsia"/>
                <w:lang w:eastAsia="zh-CN"/>
              </w:rPr>
              <w:t>IEEE</w:t>
            </w:r>
            <w:r>
              <w:rPr>
                <w:rFonts w:hint="eastAsia"/>
                <w:lang w:eastAsia="zh-CN"/>
              </w:rPr>
              <w:t>杂志</w:t>
            </w:r>
          </w:p>
          <w:p w:rsidR="008D1D41" w:rsidRDefault="008D1D41" w:rsidP="00C23E8D">
            <w:pPr>
              <w:pStyle w:val="ListParagraph"/>
              <w:numPr>
                <w:ilvl w:val="0"/>
                <w:numId w:val="2"/>
              </w:numPr>
              <w:spacing w:before="240" w:after="240"/>
              <w:ind w:right="480"/>
              <w:rPr>
                <w:lang w:eastAsia="zh-CN"/>
              </w:rPr>
            </w:pPr>
            <w:r w:rsidRPr="00C23E8D">
              <w:rPr>
                <w:rFonts w:hint="eastAsia"/>
                <w:b/>
                <w:lang w:eastAsia="zh-CN"/>
              </w:rPr>
              <w:t>同一地理区域内</w:t>
            </w:r>
            <w:r w:rsidRPr="00C23E8D">
              <w:rPr>
                <w:rFonts w:hint="eastAsia"/>
                <w:b/>
                <w:lang w:eastAsia="zh-CN"/>
              </w:rPr>
              <w:t>S2M</w:t>
            </w:r>
            <w:r w:rsidRPr="00C23E8D">
              <w:rPr>
                <w:rFonts w:hint="eastAsia"/>
                <w:b/>
                <w:lang w:eastAsia="zh-CN"/>
              </w:rPr>
              <w:t>系统与</w:t>
            </w:r>
            <w:r w:rsidRPr="00C23E8D">
              <w:rPr>
                <w:rFonts w:hint="eastAsia"/>
                <w:b/>
                <w:lang w:eastAsia="zh-CN"/>
              </w:rPr>
              <w:t>IMT-2000</w:t>
            </w:r>
            <w:r w:rsidRPr="00C23E8D">
              <w:rPr>
                <w:rFonts w:hint="eastAsia"/>
                <w:b/>
                <w:lang w:eastAsia="zh-CN"/>
              </w:rPr>
              <w:t>的共用研究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2008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</w:p>
          <w:p w:rsidR="008D1D41" w:rsidRDefault="008D1D41" w:rsidP="00C23E8D">
            <w:pPr>
              <w:pStyle w:val="ListParagraph"/>
              <w:numPr>
                <w:ilvl w:val="0"/>
                <w:numId w:val="2"/>
              </w:numPr>
              <w:spacing w:before="240" w:after="240"/>
              <w:ind w:right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中东和北非</w:t>
            </w:r>
            <w:r>
              <w:rPr>
                <w:rFonts w:hint="eastAsia"/>
                <w:lang w:eastAsia="zh-CN"/>
              </w:rPr>
              <w:t>S2M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IMT-2000</w:t>
            </w:r>
            <w:r>
              <w:rPr>
                <w:rFonts w:hint="eastAsia"/>
                <w:lang w:eastAsia="zh-CN"/>
              </w:rPr>
              <w:t>频谱协调的建议，</w:t>
            </w:r>
            <w:r>
              <w:rPr>
                <w:rFonts w:hint="eastAsia"/>
                <w:lang w:eastAsia="zh-CN"/>
              </w:rPr>
              <w:t>2008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</w:p>
          <w:p w:rsidR="008D1D41" w:rsidRDefault="008D1D41" w:rsidP="00C23E8D">
            <w:pPr>
              <w:pStyle w:val="ListParagraph"/>
              <w:numPr>
                <w:ilvl w:val="0"/>
                <w:numId w:val="2"/>
              </w:numPr>
              <w:spacing w:before="240" w:after="240"/>
              <w:ind w:right="480"/>
              <w:rPr>
                <w:lang w:eastAsia="zh-CN"/>
              </w:rPr>
            </w:pPr>
            <w:r w:rsidRPr="00C23E8D">
              <w:rPr>
                <w:rFonts w:hint="eastAsia"/>
                <w:b/>
                <w:lang w:eastAsia="zh-CN"/>
              </w:rPr>
              <w:t>S2M</w:t>
            </w:r>
            <w:r w:rsidRPr="00C23E8D">
              <w:rPr>
                <w:rFonts w:hint="eastAsia"/>
                <w:b/>
                <w:lang w:eastAsia="zh-CN"/>
              </w:rPr>
              <w:t>移动电视技术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2008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月在美国帕洛阿尔托劳拉空间系统用户大会上发表</w:t>
            </w:r>
          </w:p>
          <w:p w:rsidR="008D1D41" w:rsidRDefault="008D1D41" w:rsidP="00C23E8D">
            <w:pPr>
              <w:pStyle w:val="ListParagraph"/>
              <w:numPr>
                <w:ilvl w:val="0"/>
                <w:numId w:val="2"/>
              </w:numPr>
              <w:spacing w:before="240" w:after="240"/>
              <w:ind w:right="480"/>
              <w:rPr>
                <w:lang w:eastAsia="zh-CN"/>
              </w:rPr>
            </w:pPr>
            <w:r w:rsidRPr="00C23E8D">
              <w:rPr>
                <w:rFonts w:hint="eastAsia"/>
                <w:b/>
                <w:lang w:eastAsia="zh-CN"/>
              </w:rPr>
              <w:t>S2M</w:t>
            </w:r>
            <w:r w:rsidRPr="00C23E8D">
              <w:rPr>
                <w:rFonts w:hint="eastAsia"/>
                <w:b/>
                <w:lang w:eastAsia="zh-CN"/>
              </w:rPr>
              <w:t>系统近况：移动电视标准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2008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月</w:t>
            </w:r>
          </w:p>
          <w:p w:rsidR="008D1D41" w:rsidRDefault="008D1D41" w:rsidP="00C23E8D">
            <w:pPr>
              <w:pStyle w:val="ListParagraph"/>
              <w:numPr>
                <w:ilvl w:val="0"/>
                <w:numId w:val="2"/>
              </w:numPr>
              <w:spacing w:before="240" w:after="240"/>
              <w:ind w:right="480"/>
              <w:rPr>
                <w:lang w:eastAsia="zh-CN"/>
              </w:rPr>
            </w:pPr>
            <w:r w:rsidRPr="00C23E8D">
              <w:rPr>
                <w:rFonts w:hint="eastAsia"/>
                <w:b/>
                <w:lang w:eastAsia="zh-CN"/>
              </w:rPr>
              <w:t>FCC</w:t>
            </w:r>
            <w:r w:rsidRPr="00C23E8D">
              <w:rPr>
                <w:rFonts w:hint="eastAsia"/>
                <w:b/>
                <w:lang w:eastAsia="zh-CN"/>
              </w:rPr>
              <w:t>和国际电联关于</w:t>
            </w:r>
            <w:r w:rsidRPr="00C23E8D">
              <w:rPr>
                <w:rFonts w:hint="eastAsia"/>
                <w:b/>
                <w:lang w:eastAsia="zh-CN"/>
              </w:rPr>
              <w:t>ATC</w:t>
            </w:r>
            <w:r w:rsidRPr="00C23E8D">
              <w:rPr>
                <w:rFonts w:hint="eastAsia"/>
                <w:b/>
                <w:lang w:eastAsia="zh-CN"/>
              </w:rPr>
              <w:t>（</w:t>
            </w:r>
            <w:r w:rsidRPr="00C23E8D">
              <w:rPr>
                <w:rFonts w:hint="eastAsia"/>
                <w:b/>
                <w:lang w:eastAsia="zh-CN"/>
              </w:rPr>
              <w:t>MSS</w:t>
            </w:r>
            <w:r w:rsidRPr="00C23E8D">
              <w:rPr>
                <w:rFonts w:hint="eastAsia"/>
                <w:b/>
                <w:lang w:eastAsia="zh-CN"/>
              </w:rPr>
              <w:t>）和</w:t>
            </w:r>
            <w:r w:rsidRPr="00C23E8D">
              <w:rPr>
                <w:rFonts w:hint="eastAsia"/>
                <w:b/>
                <w:lang w:eastAsia="zh-CN"/>
              </w:rPr>
              <w:t>BAS/</w:t>
            </w:r>
            <w:r w:rsidRPr="00C23E8D">
              <w:rPr>
                <w:rFonts w:hint="eastAsia"/>
                <w:b/>
                <w:lang w:eastAsia="zh-CN"/>
              </w:rPr>
              <w:t>混合系统（</w:t>
            </w:r>
            <w:r w:rsidRPr="00C23E8D">
              <w:rPr>
                <w:rFonts w:hint="eastAsia"/>
                <w:b/>
                <w:lang w:eastAsia="zh-CN"/>
              </w:rPr>
              <w:t>BSS</w:t>
            </w:r>
            <w:r w:rsidRPr="00C23E8D">
              <w:rPr>
                <w:rFonts w:hint="eastAsia"/>
                <w:b/>
                <w:lang w:eastAsia="zh-CN"/>
              </w:rPr>
              <w:t>）概念裁定的研究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S2M</w:t>
            </w:r>
            <w:r>
              <w:rPr>
                <w:rFonts w:hint="eastAsia"/>
                <w:lang w:eastAsia="zh-CN"/>
              </w:rPr>
              <w:t>系统的监管和适用性，</w:t>
            </w:r>
            <w:r>
              <w:rPr>
                <w:rFonts w:hint="eastAsia"/>
                <w:lang w:eastAsia="zh-CN"/>
              </w:rPr>
              <w:t>2008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月</w:t>
            </w:r>
          </w:p>
          <w:p w:rsidR="008D1D41" w:rsidRDefault="008D1D41" w:rsidP="00320960">
            <w:pPr>
              <w:pStyle w:val="ListParagraph"/>
              <w:numPr>
                <w:ilvl w:val="0"/>
                <w:numId w:val="2"/>
              </w:numPr>
              <w:spacing w:before="240" w:after="240"/>
              <w:ind w:right="480"/>
              <w:rPr>
                <w:lang w:eastAsia="zh-CN"/>
              </w:rPr>
            </w:pPr>
            <w:r w:rsidRPr="00C23E8D">
              <w:rPr>
                <w:rFonts w:hint="eastAsia"/>
                <w:b/>
                <w:lang w:eastAsia="zh-CN"/>
              </w:rPr>
              <w:t>资源再配置</w:t>
            </w:r>
            <w:r w:rsidR="00CD089B" w:rsidRPr="00C23E8D">
              <w:rPr>
                <w:rFonts w:hint="eastAsia"/>
                <w:b/>
                <w:lang w:eastAsia="zh-CN"/>
              </w:rPr>
              <w:t>及</w:t>
            </w:r>
            <w:r w:rsidRPr="00C23E8D">
              <w:rPr>
                <w:rFonts w:hint="eastAsia"/>
                <w:b/>
                <w:lang w:eastAsia="zh-CN"/>
              </w:rPr>
              <w:t>国际电联在新产品开发中的角色：雅加达</w:t>
            </w:r>
            <w:r w:rsidRPr="00C23E8D">
              <w:rPr>
                <w:rFonts w:hint="eastAsia"/>
                <w:b/>
                <w:lang w:eastAsia="zh-CN"/>
              </w:rPr>
              <w:t>-</w:t>
            </w:r>
            <w:r w:rsidRPr="00C23E8D">
              <w:rPr>
                <w:rFonts w:hint="eastAsia"/>
                <w:b/>
                <w:lang w:eastAsia="zh-CN"/>
              </w:rPr>
              <w:t>巴丹</w:t>
            </w:r>
            <w:r w:rsidRPr="00C23E8D">
              <w:rPr>
                <w:rFonts w:hint="eastAsia"/>
                <w:b/>
                <w:lang w:eastAsia="zh-CN"/>
              </w:rPr>
              <w:t>-</w:t>
            </w:r>
            <w:r w:rsidRPr="00C23E8D">
              <w:rPr>
                <w:rFonts w:hint="eastAsia"/>
                <w:b/>
                <w:lang w:eastAsia="zh-CN"/>
              </w:rPr>
              <w:t>新加坡技术企业案例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2005</w:t>
            </w:r>
            <w:r>
              <w:rPr>
                <w:rFonts w:hint="eastAsia"/>
                <w:lang w:eastAsia="zh-CN"/>
              </w:rPr>
              <w:t>年印度尼西亚大学，管理研究系列，组织理论博士论文</w:t>
            </w:r>
          </w:p>
          <w:p w:rsidR="008D1D41" w:rsidRDefault="008D1D41" w:rsidP="00C23E8D">
            <w:pPr>
              <w:pStyle w:val="ListParagraph"/>
              <w:numPr>
                <w:ilvl w:val="0"/>
                <w:numId w:val="2"/>
              </w:numPr>
              <w:spacing w:before="240" w:after="240"/>
              <w:ind w:right="480"/>
              <w:rPr>
                <w:lang w:eastAsia="zh-CN"/>
              </w:rPr>
            </w:pPr>
            <w:r w:rsidRPr="00C23E8D">
              <w:rPr>
                <w:rFonts w:hint="eastAsia"/>
                <w:b/>
                <w:lang w:eastAsia="zh-CN"/>
              </w:rPr>
              <w:t>技术资产和再配置功能的绩效影响：雅加达</w:t>
            </w:r>
            <w:r w:rsidRPr="00C23E8D">
              <w:rPr>
                <w:rFonts w:hint="eastAsia"/>
                <w:b/>
                <w:lang w:eastAsia="zh-CN"/>
              </w:rPr>
              <w:t>-</w:t>
            </w:r>
            <w:r w:rsidRPr="00C23E8D">
              <w:rPr>
                <w:rFonts w:hint="eastAsia"/>
                <w:b/>
                <w:lang w:eastAsia="zh-CN"/>
              </w:rPr>
              <w:t>巴丹</w:t>
            </w:r>
            <w:r w:rsidRPr="00C23E8D">
              <w:rPr>
                <w:rFonts w:hint="eastAsia"/>
                <w:b/>
                <w:lang w:eastAsia="zh-CN"/>
              </w:rPr>
              <w:t>-</w:t>
            </w:r>
            <w:r w:rsidRPr="00C23E8D">
              <w:rPr>
                <w:rFonts w:hint="eastAsia"/>
                <w:b/>
                <w:lang w:eastAsia="zh-CN"/>
              </w:rPr>
              <w:t>新加坡制造业</w:t>
            </w:r>
            <w:r w:rsidR="00CD089B" w:rsidRPr="00C23E8D">
              <w:rPr>
                <w:rFonts w:hint="eastAsia"/>
                <w:b/>
                <w:lang w:eastAsia="zh-CN"/>
              </w:rPr>
              <w:t>案例</w:t>
            </w:r>
            <w:r w:rsidRPr="00C23E8D">
              <w:rPr>
                <w:rFonts w:hint="eastAsia"/>
                <w:b/>
                <w:lang w:eastAsia="zh-CN"/>
              </w:rPr>
              <w:t>的复制研究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2005</w:t>
            </w:r>
            <w:r>
              <w:rPr>
                <w:rFonts w:hint="eastAsia"/>
                <w:lang w:eastAsia="zh-CN"/>
              </w:rPr>
              <w:t>年印度尼西亚大学，管理研究系列，博士论文</w:t>
            </w:r>
          </w:p>
          <w:p w:rsidR="008D1D41" w:rsidRDefault="008D1D41" w:rsidP="00C23E8D">
            <w:pPr>
              <w:pStyle w:val="ListParagraph"/>
              <w:numPr>
                <w:ilvl w:val="0"/>
                <w:numId w:val="2"/>
              </w:numPr>
              <w:spacing w:before="240" w:after="240"/>
              <w:ind w:right="480"/>
              <w:rPr>
                <w:lang w:eastAsia="zh-CN"/>
              </w:rPr>
            </w:pPr>
            <w:r w:rsidRPr="00C23E8D">
              <w:rPr>
                <w:rFonts w:hint="eastAsia"/>
                <w:b/>
                <w:lang w:eastAsia="zh-CN"/>
              </w:rPr>
              <w:t>亚洲蜂窝卫星（</w:t>
            </w:r>
            <w:proofErr w:type="spellStart"/>
            <w:r w:rsidRPr="00C23E8D">
              <w:rPr>
                <w:rFonts w:hint="eastAsia"/>
                <w:b/>
                <w:lang w:eastAsia="zh-CN"/>
              </w:rPr>
              <w:t>ACeS</w:t>
            </w:r>
            <w:proofErr w:type="spellEnd"/>
            <w:r w:rsidRPr="00C23E8D">
              <w:rPr>
                <w:rFonts w:hint="eastAsia"/>
                <w:b/>
                <w:lang w:eastAsia="zh-CN"/>
              </w:rPr>
              <w:t>）技术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2006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月，</w:t>
            </w:r>
            <w:r>
              <w:rPr>
                <w:rFonts w:hint="eastAsia"/>
                <w:lang w:eastAsia="zh-CN"/>
              </w:rPr>
              <w:t>APSCC</w:t>
            </w:r>
          </w:p>
          <w:p w:rsidR="008D1D41" w:rsidRDefault="008D1D41" w:rsidP="00C23E8D">
            <w:pPr>
              <w:pStyle w:val="ListParagraph"/>
              <w:numPr>
                <w:ilvl w:val="0"/>
                <w:numId w:val="2"/>
              </w:numPr>
              <w:spacing w:before="240" w:after="240"/>
              <w:ind w:right="480"/>
              <w:rPr>
                <w:lang w:eastAsia="zh-CN"/>
              </w:rPr>
            </w:pPr>
            <w:r w:rsidRPr="00C23E8D">
              <w:rPr>
                <w:rFonts w:hint="eastAsia"/>
                <w:b/>
                <w:lang w:eastAsia="zh-CN"/>
              </w:rPr>
              <w:t>亚洲蜂窝卫星（</w:t>
            </w:r>
            <w:proofErr w:type="spellStart"/>
            <w:r w:rsidRPr="00C23E8D">
              <w:rPr>
                <w:rFonts w:hint="eastAsia"/>
                <w:b/>
                <w:lang w:eastAsia="zh-CN"/>
              </w:rPr>
              <w:t>ACeS</w:t>
            </w:r>
            <w:proofErr w:type="spellEnd"/>
            <w:r w:rsidRPr="00C23E8D">
              <w:rPr>
                <w:rFonts w:hint="eastAsia"/>
                <w:b/>
                <w:lang w:eastAsia="zh-CN"/>
              </w:rPr>
              <w:t>）</w:t>
            </w:r>
            <w:r w:rsidRPr="00C23E8D">
              <w:rPr>
                <w:rFonts w:hint="eastAsia"/>
                <w:b/>
                <w:lang w:eastAsia="zh-CN"/>
              </w:rPr>
              <w:t>GMPCS</w:t>
            </w:r>
            <w:r w:rsidRPr="00C23E8D">
              <w:rPr>
                <w:rFonts w:hint="eastAsia"/>
                <w:b/>
                <w:lang w:eastAsia="zh-CN"/>
              </w:rPr>
              <w:t>应用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2005</w:t>
            </w:r>
            <w:r>
              <w:rPr>
                <w:rFonts w:hint="eastAsia"/>
                <w:lang w:eastAsia="zh-CN"/>
              </w:rPr>
              <w:t>年洛马商业空间系统（</w:t>
            </w:r>
            <w:r>
              <w:rPr>
                <w:rFonts w:hint="eastAsia"/>
                <w:lang w:eastAsia="zh-CN"/>
              </w:rPr>
              <w:t>LMCSS</w:t>
            </w:r>
            <w:r>
              <w:rPr>
                <w:rFonts w:hint="eastAsia"/>
                <w:lang w:eastAsia="zh-CN"/>
              </w:rPr>
              <w:t>）卫星用户大会上发表</w:t>
            </w:r>
          </w:p>
        </w:tc>
      </w:tr>
      <w:tr w:rsidR="008D1D41" w:rsidTr="00BB0C56">
        <w:tc>
          <w:tcPr>
            <w:tcW w:w="1985" w:type="dxa"/>
          </w:tcPr>
          <w:p w:rsidR="008D1D41" w:rsidRPr="00C23E8D" w:rsidRDefault="008D1D41" w:rsidP="003D5B3B">
            <w:pPr>
              <w:jc w:val="right"/>
              <w:rPr>
                <w:b/>
                <w:bCs/>
                <w:u w:val="single"/>
                <w:lang w:eastAsia="zh-CN"/>
              </w:rPr>
            </w:pPr>
            <w:r w:rsidRPr="00C23E8D">
              <w:rPr>
                <w:rFonts w:hint="eastAsia"/>
                <w:b/>
                <w:bCs/>
                <w:u w:val="single"/>
                <w:lang w:eastAsia="zh-CN"/>
              </w:rPr>
              <w:t>专利</w:t>
            </w:r>
          </w:p>
          <w:p w:rsidR="008D1D41" w:rsidRDefault="008D1D41" w:rsidP="003D5B3B">
            <w:pPr>
              <w:jc w:val="right"/>
              <w:rPr>
                <w:b/>
                <w:bCs/>
                <w:u w:val="single"/>
                <w:lang w:eastAsia="zh-CN"/>
              </w:rPr>
            </w:pPr>
          </w:p>
        </w:tc>
        <w:tc>
          <w:tcPr>
            <w:tcW w:w="7660" w:type="dxa"/>
          </w:tcPr>
          <w:p w:rsidR="008D1D41" w:rsidRDefault="008D1D41" w:rsidP="003D5B3B">
            <w:pPr>
              <w:rPr>
                <w:lang w:eastAsia="zh-CN"/>
              </w:rPr>
            </w:pPr>
          </w:p>
          <w:p w:rsidR="008D1D41" w:rsidRDefault="008D1D41" w:rsidP="003D5B3B">
            <w:pPr>
              <w:pStyle w:val="ListParagraph"/>
              <w:numPr>
                <w:ilvl w:val="0"/>
                <w:numId w:val="3"/>
              </w:numPr>
              <w:rPr>
                <w:lang w:eastAsia="zh-CN"/>
              </w:rPr>
            </w:pPr>
            <w:r w:rsidRPr="00C23E8D">
              <w:rPr>
                <w:rFonts w:hint="eastAsia"/>
                <w:b/>
                <w:lang w:eastAsia="zh-CN"/>
              </w:rPr>
              <w:t>应用单天线和路由器的卫星链路频谱多样化过程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2011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月（美国和国际专利，</w:t>
            </w:r>
            <w:r>
              <w:rPr>
                <w:rFonts w:hint="eastAsia"/>
                <w:lang w:eastAsia="zh-CN"/>
              </w:rPr>
              <w:t>ABS</w:t>
            </w:r>
            <w:r>
              <w:rPr>
                <w:rFonts w:hint="eastAsia"/>
                <w:lang w:eastAsia="zh-CN"/>
              </w:rPr>
              <w:t>，合作者，</w:t>
            </w:r>
            <w:r w:rsidRPr="00C23E8D">
              <w:rPr>
                <w:rFonts w:hint="eastAsia"/>
                <w:b/>
                <w:lang w:eastAsia="zh-CN"/>
              </w:rPr>
              <w:t xml:space="preserve">Thomas </w:t>
            </w:r>
            <w:proofErr w:type="spellStart"/>
            <w:r w:rsidRPr="00C23E8D">
              <w:rPr>
                <w:rFonts w:hint="eastAsia"/>
                <w:b/>
                <w:lang w:eastAsia="zh-CN"/>
              </w:rPr>
              <w:t>Kyo</w:t>
            </w:r>
            <w:proofErr w:type="spellEnd"/>
            <w:r w:rsidRPr="00C23E8D">
              <w:rPr>
                <w:rFonts w:hint="eastAsia"/>
                <w:b/>
                <w:lang w:eastAsia="zh-CN"/>
              </w:rPr>
              <w:t xml:space="preserve"> Choi</w:t>
            </w:r>
            <w:r>
              <w:rPr>
                <w:rFonts w:hint="eastAsia"/>
                <w:lang w:eastAsia="zh-CN"/>
              </w:rPr>
              <w:t>）</w:t>
            </w:r>
          </w:p>
          <w:p w:rsidR="008D1D41" w:rsidRDefault="008D1D41" w:rsidP="00C23E8D">
            <w:pPr>
              <w:pStyle w:val="ListParagraph"/>
              <w:numPr>
                <w:ilvl w:val="0"/>
                <w:numId w:val="3"/>
              </w:numPr>
              <w:rPr>
                <w:lang w:eastAsia="zh-CN"/>
              </w:rPr>
            </w:pPr>
            <w:r w:rsidRPr="00C23E8D">
              <w:rPr>
                <w:rFonts w:hint="eastAsia"/>
                <w:b/>
                <w:lang w:eastAsia="zh-CN"/>
              </w:rPr>
              <w:t>CMMB</w:t>
            </w:r>
            <w:r w:rsidRPr="00C23E8D">
              <w:rPr>
                <w:rFonts w:hint="eastAsia"/>
                <w:b/>
                <w:lang w:eastAsia="zh-CN"/>
              </w:rPr>
              <w:t>移动电视标准的修改方案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2009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10</w:t>
            </w:r>
            <w:r w:rsidR="00C23E8D"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12</w:t>
            </w:r>
            <w:r w:rsidR="00C23E8D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（由</w:t>
            </w:r>
            <w:r>
              <w:rPr>
                <w:rFonts w:hint="eastAsia"/>
                <w:lang w:eastAsia="zh-CN"/>
              </w:rPr>
              <w:t>S2M</w:t>
            </w:r>
            <w:r>
              <w:rPr>
                <w:rFonts w:hint="eastAsia"/>
                <w:lang w:eastAsia="zh-CN"/>
              </w:rPr>
              <w:t>提交）</w:t>
            </w:r>
          </w:p>
        </w:tc>
      </w:tr>
    </w:tbl>
    <w:p w:rsidR="00476923" w:rsidRDefault="008D1D41" w:rsidP="00CD089B">
      <w:pPr>
        <w:jc w:val="center"/>
        <w:rPr>
          <w:lang w:val="en-US" w:eastAsia="zh-CN"/>
        </w:rPr>
      </w:pPr>
      <w:r>
        <w:rPr>
          <w:lang w:eastAsia="zh-CN"/>
        </w:rPr>
        <w:t>______________</w:t>
      </w:r>
    </w:p>
    <w:sectPr w:rsidR="00476923" w:rsidSect="00BA20B6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1D" w:rsidRDefault="00F1361D">
      <w:r>
        <w:separator/>
      </w:r>
    </w:p>
  </w:endnote>
  <w:endnote w:type="continuationSeparator" w:id="0">
    <w:p w:rsidR="00F1361D" w:rsidRDefault="00F1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MS Mincho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1D" w:rsidRDefault="00F1361D">
      <w:r>
        <w:t>____________________</w:t>
      </w:r>
    </w:p>
  </w:footnote>
  <w:footnote w:type="continuationSeparator" w:id="0">
    <w:p w:rsidR="00F1361D" w:rsidRDefault="00F13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318B0">
      <w:rPr>
        <w:noProof/>
      </w:rPr>
      <w:t>2</w:t>
    </w:r>
    <w:r>
      <w:fldChar w:fldCharType="end"/>
    </w:r>
  </w:p>
  <w:p w:rsidR="00811D55" w:rsidRPr="00C710E5" w:rsidRDefault="00811D55" w:rsidP="00811D55">
    <w:pPr>
      <w:pStyle w:val="Header"/>
    </w:pPr>
    <w:r>
      <w:t>PP14/</w:t>
    </w:r>
    <w:r w:rsidR="00016AE4">
      <w:t>66</w:t>
    </w:r>
    <w:r>
      <w:t>-</w:t>
    </w:r>
    <w:r w:rsidRPr="00C929E0">
      <w:t>C</w:t>
    </w:r>
  </w:p>
  <w:p w:rsidR="00C710E5" w:rsidRPr="00811D55" w:rsidRDefault="00C710E5" w:rsidP="00811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51E"/>
    <w:multiLevelType w:val="hybridMultilevel"/>
    <w:tmpl w:val="1B96B2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D264E7"/>
    <w:multiLevelType w:val="hybridMultilevel"/>
    <w:tmpl w:val="AF6C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88417D"/>
    <w:multiLevelType w:val="hybridMultilevel"/>
    <w:tmpl w:val="10804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D"/>
    <w:rsid w:val="000134DB"/>
    <w:rsid w:val="00014808"/>
    <w:rsid w:val="00016AE4"/>
    <w:rsid w:val="00040A47"/>
    <w:rsid w:val="00057B6E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A0EEB"/>
    <w:rsid w:val="001A4A66"/>
    <w:rsid w:val="001B25D1"/>
    <w:rsid w:val="002155B0"/>
    <w:rsid w:val="00217A36"/>
    <w:rsid w:val="00231ABC"/>
    <w:rsid w:val="00241DDB"/>
    <w:rsid w:val="002578B4"/>
    <w:rsid w:val="002A0F5C"/>
    <w:rsid w:val="002A2125"/>
    <w:rsid w:val="002B39F5"/>
    <w:rsid w:val="002E37AF"/>
    <w:rsid w:val="00307225"/>
    <w:rsid w:val="00320960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3D1BF0"/>
    <w:rsid w:val="004014B0"/>
    <w:rsid w:val="00414872"/>
    <w:rsid w:val="00426AC1"/>
    <w:rsid w:val="0045019C"/>
    <w:rsid w:val="004676C0"/>
    <w:rsid w:val="00476923"/>
    <w:rsid w:val="00476CAF"/>
    <w:rsid w:val="00485E71"/>
    <w:rsid w:val="004D3182"/>
    <w:rsid w:val="005061F9"/>
    <w:rsid w:val="00517E65"/>
    <w:rsid w:val="005356FD"/>
    <w:rsid w:val="00542073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F0211"/>
    <w:rsid w:val="007235A4"/>
    <w:rsid w:val="0073319E"/>
    <w:rsid w:val="00750829"/>
    <w:rsid w:val="00770CF8"/>
    <w:rsid w:val="007917DE"/>
    <w:rsid w:val="007B558F"/>
    <w:rsid w:val="007C4DC3"/>
    <w:rsid w:val="00811D55"/>
    <w:rsid w:val="00814482"/>
    <w:rsid w:val="008160BF"/>
    <w:rsid w:val="008433E4"/>
    <w:rsid w:val="00850AEF"/>
    <w:rsid w:val="008726C7"/>
    <w:rsid w:val="008B44F5"/>
    <w:rsid w:val="008D1D41"/>
    <w:rsid w:val="008D3BE2"/>
    <w:rsid w:val="008D7300"/>
    <w:rsid w:val="008E4324"/>
    <w:rsid w:val="008E45D4"/>
    <w:rsid w:val="008E6AE7"/>
    <w:rsid w:val="008E6BC6"/>
    <w:rsid w:val="008F1FAB"/>
    <w:rsid w:val="00904E65"/>
    <w:rsid w:val="00905B6A"/>
    <w:rsid w:val="00950E0F"/>
    <w:rsid w:val="0099173A"/>
    <w:rsid w:val="009A47A2"/>
    <w:rsid w:val="009C4B97"/>
    <w:rsid w:val="009D1E93"/>
    <w:rsid w:val="00A03693"/>
    <w:rsid w:val="00A23536"/>
    <w:rsid w:val="00A57AC2"/>
    <w:rsid w:val="00A6085C"/>
    <w:rsid w:val="00A62DA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B0C56"/>
    <w:rsid w:val="00BF720B"/>
    <w:rsid w:val="00C04511"/>
    <w:rsid w:val="00C101EE"/>
    <w:rsid w:val="00C16846"/>
    <w:rsid w:val="00C16AC0"/>
    <w:rsid w:val="00C23E8D"/>
    <w:rsid w:val="00C318B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D089B"/>
    <w:rsid w:val="00CE40BB"/>
    <w:rsid w:val="00CF05C0"/>
    <w:rsid w:val="00CF3CCA"/>
    <w:rsid w:val="00D2057D"/>
    <w:rsid w:val="00D215E8"/>
    <w:rsid w:val="00D57C64"/>
    <w:rsid w:val="00D65220"/>
    <w:rsid w:val="00D82A9F"/>
    <w:rsid w:val="00D97614"/>
    <w:rsid w:val="00DD26B1"/>
    <w:rsid w:val="00DF23FC"/>
    <w:rsid w:val="00DF39CD"/>
    <w:rsid w:val="00DF51DD"/>
    <w:rsid w:val="00E121F2"/>
    <w:rsid w:val="00E26F09"/>
    <w:rsid w:val="00E56E57"/>
    <w:rsid w:val="00EF2642"/>
    <w:rsid w:val="00EF3681"/>
    <w:rsid w:val="00EF5523"/>
    <w:rsid w:val="00F00FD0"/>
    <w:rsid w:val="00F02A26"/>
    <w:rsid w:val="00F1361D"/>
    <w:rsid w:val="00F20BC2"/>
    <w:rsid w:val="00F24F0A"/>
    <w:rsid w:val="00F342E4"/>
    <w:rsid w:val="00F44613"/>
    <w:rsid w:val="00F574D8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D1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D41"/>
    <w:pPr>
      <w:ind w:left="720"/>
      <w:contextualSpacing/>
    </w:pPr>
  </w:style>
  <w:style w:type="paragraph" w:customStyle="1" w:styleId="Aaoeeu">
    <w:name w:val="Aaoeeu"/>
    <w:rsid w:val="00C23E8D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Eaoaeaa">
    <w:name w:val="Eaoae?aa"/>
    <w:basedOn w:val="Aaoeeu"/>
    <w:rsid w:val="00C23E8D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D1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D41"/>
    <w:pPr>
      <w:ind w:left="720"/>
      <w:contextualSpacing/>
    </w:pPr>
  </w:style>
  <w:style w:type="paragraph" w:customStyle="1" w:styleId="Aaoeeu">
    <w:name w:val="Aaoeeu"/>
    <w:rsid w:val="00C23E8D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Eaoaeaa">
    <w:name w:val="Eaoae?aa"/>
    <w:basedOn w:val="Aaoeeu"/>
    <w:rsid w:val="00C23E8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1</TotalTime>
  <Pages>4</Pages>
  <Words>1468</Words>
  <Characters>646</Characters>
  <Application>Microsoft Office Word</Application>
  <DocSecurity>4</DocSecurity>
  <Lines>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2110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Yuan, Tianxiang</dc:creator>
  <cp:keywords>PP-06</cp:keywords>
  <dc:description>PC_PP10.dotx  For: _x000d_Document date: _x000d_Saved by ITU51009317 at 11:14:59 on 19/03/2013</dc:description>
  <cp:lastModifiedBy>Brouard, Ricarda</cp:lastModifiedBy>
  <cp:revision>2</cp:revision>
  <cp:lastPrinted>2014-08-21T13:51:00Z</cp:lastPrinted>
  <dcterms:created xsi:type="dcterms:W3CDTF">2014-08-25T14:46:00Z</dcterms:created>
  <dcterms:modified xsi:type="dcterms:W3CDTF">2014-08-25T14:46:00Z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