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760CA8" w:rsidTr="006A046E">
        <w:trPr>
          <w:cantSplit/>
        </w:trPr>
        <w:tc>
          <w:tcPr>
            <w:tcW w:w="6911" w:type="dxa"/>
          </w:tcPr>
          <w:p w:rsidR="00BD1614" w:rsidRPr="00760CA8" w:rsidRDefault="00BD1614" w:rsidP="004A435B">
            <w:pPr>
              <w:rPr>
                <w:b/>
                <w:bCs/>
                <w:position w:val="6"/>
                <w:szCs w:val="24"/>
              </w:rPr>
            </w:pPr>
            <w:bookmarkStart w:id="0" w:name="dbreak"/>
            <w:bookmarkStart w:id="1" w:name="dpp"/>
            <w:bookmarkEnd w:id="0"/>
            <w:bookmarkEnd w:id="1"/>
            <w:r w:rsidRPr="00760CA8">
              <w:rPr>
                <w:rFonts w:cs="Times"/>
                <w:b/>
                <w:sz w:val="30"/>
                <w:szCs w:val="30"/>
              </w:rPr>
              <w:t>Conférence de plénipotentiaires</w:t>
            </w:r>
            <w:r w:rsidRPr="00760CA8">
              <w:rPr>
                <w:b/>
                <w:smallCaps/>
                <w:sz w:val="30"/>
                <w:szCs w:val="30"/>
              </w:rPr>
              <w:t xml:space="preserve"> (PP-14)</w:t>
            </w:r>
            <w:r w:rsidRPr="00760CA8">
              <w:rPr>
                <w:b/>
                <w:smallCaps/>
                <w:sz w:val="36"/>
              </w:rPr>
              <w:br/>
            </w:r>
            <w:r w:rsidRPr="00760CA8">
              <w:rPr>
                <w:rFonts w:cs="Times New Roman Bold"/>
                <w:b/>
                <w:bCs/>
                <w:szCs w:val="24"/>
              </w:rPr>
              <w:t>Busan, 20 octobre - 7 novembre 2014</w:t>
            </w:r>
          </w:p>
        </w:tc>
        <w:tc>
          <w:tcPr>
            <w:tcW w:w="3120" w:type="dxa"/>
          </w:tcPr>
          <w:p w:rsidR="00BD1614" w:rsidRPr="00760CA8" w:rsidRDefault="00BD1614" w:rsidP="004A435B">
            <w:pPr>
              <w:spacing w:before="0"/>
              <w:rPr>
                <w:rFonts w:cstheme="minorHAnsi"/>
              </w:rPr>
            </w:pPr>
            <w:bookmarkStart w:id="2" w:name="ditulogo"/>
            <w:bookmarkEnd w:id="2"/>
            <w:r w:rsidRPr="00760CA8">
              <w:rPr>
                <w:rFonts w:cstheme="minorHAnsi"/>
                <w:b/>
                <w:bCs/>
                <w:noProof/>
                <w:lang w:val="en-US" w:eastAsia="zh-CN"/>
              </w:rPr>
              <w:drawing>
                <wp:inline distT="0" distB="0" distL="0" distR="0" wp14:anchorId="6C4FF56B" wp14:editId="528705F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760CA8" w:rsidTr="006A046E">
        <w:trPr>
          <w:cantSplit/>
        </w:trPr>
        <w:tc>
          <w:tcPr>
            <w:tcW w:w="6911" w:type="dxa"/>
            <w:tcBorders>
              <w:bottom w:val="single" w:sz="12" w:space="0" w:color="auto"/>
            </w:tcBorders>
          </w:tcPr>
          <w:p w:rsidR="00BD1614" w:rsidRPr="00760CA8" w:rsidRDefault="00BD1614" w:rsidP="004A435B">
            <w:pPr>
              <w:spacing w:before="0" w:after="48"/>
              <w:rPr>
                <w:rFonts w:cstheme="minorHAnsi"/>
                <w:b/>
                <w:smallCaps/>
                <w:szCs w:val="24"/>
              </w:rPr>
            </w:pPr>
            <w:bookmarkStart w:id="3" w:name="dhead"/>
          </w:p>
        </w:tc>
        <w:tc>
          <w:tcPr>
            <w:tcW w:w="3120" w:type="dxa"/>
            <w:tcBorders>
              <w:bottom w:val="single" w:sz="12" w:space="0" w:color="auto"/>
            </w:tcBorders>
          </w:tcPr>
          <w:p w:rsidR="00BD1614" w:rsidRPr="00760CA8" w:rsidRDefault="00BD1614" w:rsidP="004A435B">
            <w:pPr>
              <w:spacing w:before="0"/>
              <w:rPr>
                <w:rFonts w:cstheme="minorHAnsi"/>
                <w:szCs w:val="24"/>
              </w:rPr>
            </w:pPr>
          </w:p>
        </w:tc>
      </w:tr>
      <w:tr w:rsidR="00BD1614" w:rsidRPr="00760CA8" w:rsidTr="006A046E">
        <w:trPr>
          <w:cantSplit/>
        </w:trPr>
        <w:tc>
          <w:tcPr>
            <w:tcW w:w="6911" w:type="dxa"/>
            <w:tcBorders>
              <w:top w:val="single" w:sz="12" w:space="0" w:color="auto"/>
            </w:tcBorders>
          </w:tcPr>
          <w:p w:rsidR="00BD1614" w:rsidRPr="00760CA8" w:rsidRDefault="00BD1614" w:rsidP="004A435B">
            <w:pPr>
              <w:spacing w:before="0" w:after="48"/>
              <w:rPr>
                <w:rFonts w:cstheme="minorHAnsi"/>
                <w:b/>
                <w:smallCaps/>
                <w:szCs w:val="24"/>
              </w:rPr>
            </w:pPr>
          </w:p>
        </w:tc>
        <w:tc>
          <w:tcPr>
            <w:tcW w:w="3120" w:type="dxa"/>
            <w:tcBorders>
              <w:top w:val="single" w:sz="12" w:space="0" w:color="auto"/>
            </w:tcBorders>
          </w:tcPr>
          <w:p w:rsidR="00BD1614" w:rsidRPr="00760CA8" w:rsidRDefault="00BD1614" w:rsidP="004A435B">
            <w:pPr>
              <w:spacing w:before="0"/>
              <w:rPr>
                <w:rFonts w:cstheme="minorHAnsi"/>
                <w:szCs w:val="24"/>
              </w:rPr>
            </w:pPr>
          </w:p>
        </w:tc>
      </w:tr>
      <w:tr w:rsidR="00BD1614" w:rsidRPr="00760CA8" w:rsidTr="006A046E">
        <w:trPr>
          <w:cantSplit/>
        </w:trPr>
        <w:tc>
          <w:tcPr>
            <w:tcW w:w="6911" w:type="dxa"/>
          </w:tcPr>
          <w:p w:rsidR="00BD1614" w:rsidRPr="00760CA8" w:rsidRDefault="00407795" w:rsidP="004A435B">
            <w:pPr>
              <w:pStyle w:val="Committee"/>
              <w:framePr w:hSpace="0" w:wrap="auto" w:hAnchor="text" w:yAlign="inline"/>
              <w:spacing w:line="240" w:lineRule="auto"/>
              <w:rPr>
                <w:lang w:val="fr-FR"/>
              </w:rPr>
            </w:pPr>
            <w:r w:rsidRPr="00760CA8">
              <w:rPr>
                <w:lang w:val="fr-FR"/>
              </w:rPr>
              <w:t>SÉANCE PLÉNIÈRE</w:t>
            </w:r>
          </w:p>
        </w:tc>
        <w:tc>
          <w:tcPr>
            <w:tcW w:w="3120" w:type="dxa"/>
          </w:tcPr>
          <w:p w:rsidR="00BD1614" w:rsidRPr="00760CA8" w:rsidRDefault="00407795" w:rsidP="004A435B">
            <w:pPr>
              <w:spacing w:before="0"/>
              <w:rPr>
                <w:rFonts w:cstheme="minorHAnsi"/>
                <w:szCs w:val="24"/>
              </w:rPr>
            </w:pPr>
            <w:r w:rsidRPr="00760CA8">
              <w:rPr>
                <w:rFonts w:cstheme="minorHAnsi"/>
                <w:b/>
                <w:szCs w:val="24"/>
              </w:rPr>
              <w:t xml:space="preserve">Document </w:t>
            </w:r>
            <w:r w:rsidR="0034512E" w:rsidRPr="00760CA8">
              <w:rPr>
                <w:rFonts w:cstheme="minorHAnsi"/>
                <w:b/>
                <w:szCs w:val="24"/>
              </w:rPr>
              <w:t>36</w:t>
            </w:r>
            <w:r w:rsidRPr="00760CA8">
              <w:rPr>
                <w:rFonts w:cstheme="minorHAnsi"/>
                <w:b/>
                <w:szCs w:val="24"/>
              </w:rPr>
              <w:t>-F</w:t>
            </w:r>
          </w:p>
        </w:tc>
      </w:tr>
      <w:tr w:rsidR="00BD1614" w:rsidRPr="00760CA8" w:rsidTr="006A046E">
        <w:trPr>
          <w:cantSplit/>
        </w:trPr>
        <w:tc>
          <w:tcPr>
            <w:tcW w:w="6911" w:type="dxa"/>
          </w:tcPr>
          <w:p w:rsidR="00BD1614" w:rsidRPr="00760CA8" w:rsidRDefault="00BD1614" w:rsidP="004A435B">
            <w:pPr>
              <w:spacing w:before="0" w:after="48"/>
              <w:rPr>
                <w:rFonts w:cstheme="minorHAnsi"/>
                <w:b/>
                <w:smallCaps/>
                <w:szCs w:val="24"/>
              </w:rPr>
            </w:pPr>
          </w:p>
        </w:tc>
        <w:tc>
          <w:tcPr>
            <w:tcW w:w="3120" w:type="dxa"/>
          </w:tcPr>
          <w:p w:rsidR="00BD1614" w:rsidRPr="00760CA8" w:rsidRDefault="0034512E" w:rsidP="004A435B">
            <w:pPr>
              <w:spacing w:before="0"/>
              <w:rPr>
                <w:rFonts w:cstheme="minorHAnsi"/>
                <w:b/>
                <w:szCs w:val="24"/>
              </w:rPr>
            </w:pPr>
            <w:r w:rsidRPr="00760CA8">
              <w:rPr>
                <w:rFonts w:cstheme="minorHAnsi"/>
                <w:b/>
                <w:szCs w:val="24"/>
              </w:rPr>
              <w:t>13 mars 2014</w:t>
            </w:r>
          </w:p>
        </w:tc>
      </w:tr>
      <w:tr w:rsidR="00BD1614" w:rsidRPr="00760CA8" w:rsidTr="006A046E">
        <w:trPr>
          <w:cantSplit/>
        </w:trPr>
        <w:tc>
          <w:tcPr>
            <w:tcW w:w="6911" w:type="dxa"/>
          </w:tcPr>
          <w:p w:rsidR="00BD1614" w:rsidRPr="00760CA8" w:rsidRDefault="00BD1614" w:rsidP="004A435B">
            <w:pPr>
              <w:spacing w:before="0" w:after="48"/>
              <w:rPr>
                <w:rFonts w:cstheme="minorHAnsi"/>
                <w:b/>
                <w:smallCaps/>
                <w:szCs w:val="24"/>
              </w:rPr>
            </w:pPr>
          </w:p>
        </w:tc>
        <w:tc>
          <w:tcPr>
            <w:tcW w:w="3120" w:type="dxa"/>
          </w:tcPr>
          <w:p w:rsidR="00BD1614" w:rsidRPr="00760CA8" w:rsidRDefault="00407795" w:rsidP="004A435B">
            <w:pPr>
              <w:spacing w:before="0"/>
              <w:rPr>
                <w:rFonts w:cstheme="minorHAnsi"/>
                <w:b/>
                <w:szCs w:val="24"/>
              </w:rPr>
            </w:pPr>
            <w:r w:rsidRPr="00760CA8">
              <w:rPr>
                <w:rFonts w:cstheme="minorHAnsi"/>
                <w:b/>
                <w:szCs w:val="24"/>
              </w:rPr>
              <w:t>Original: anglais</w:t>
            </w:r>
          </w:p>
        </w:tc>
      </w:tr>
      <w:tr w:rsidR="00BD1614" w:rsidRPr="00760CA8" w:rsidTr="006A046E">
        <w:trPr>
          <w:cantSplit/>
        </w:trPr>
        <w:tc>
          <w:tcPr>
            <w:tcW w:w="10031" w:type="dxa"/>
            <w:gridSpan w:val="2"/>
          </w:tcPr>
          <w:p w:rsidR="00BD1614" w:rsidRPr="00760CA8" w:rsidRDefault="00BD1614" w:rsidP="004A435B">
            <w:pPr>
              <w:spacing w:before="0"/>
              <w:rPr>
                <w:rFonts w:cstheme="minorHAnsi"/>
                <w:b/>
                <w:szCs w:val="24"/>
              </w:rPr>
            </w:pPr>
          </w:p>
        </w:tc>
      </w:tr>
      <w:tr w:rsidR="00BD1614" w:rsidRPr="00760CA8" w:rsidTr="006A046E">
        <w:trPr>
          <w:cantSplit/>
        </w:trPr>
        <w:tc>
          <w:tcPr>
            <w:tcW w:w="10031" w:type="dxa"/>
            <w:gridSpan w:val="2"/>
          </w:tcPr>
          <w:p w:rsidR="00BD1614" w:rsidRPr="00760CA8" w:rsidRDefault="0034512E" w:rsidP="004A435B">
            <w:pPr>
              <w:pStyle w:val="Source"/>
            </w:pPr>
            <w:bookmarkStart w:id="4" w:name="dsource" w:colFirst="0" w:colLast="0"/>
            <w:bookmarkEnd w:id="3"/>
            <w:r w:rsidRPr="00760CA8">
              <w:t>Note du Secrétaire général</w:t>
            </w:r>
          </w:p>
        </w:tc>
      </w:tr>
      <w:tr w:rsidR="00BD1614" w:rsidRPr="00760CA8" w:rsidTr="006A046E">
        <w:trPr>
          <w:cantSplit/>
        </w:trPr>
        <w:tc>
          <w:tcPr>
            <w:tcW w:w="10031" w:type="dxa"/>
            <w:gridSpan w:val="2"/>
          </w:tcPr>
          <w:p w:rsidR="00BD1614" w:rsidRPr="00760CA8" w:rsidRDefault="00FB109B" w:rsidP="004A435B">
            <w:pPr>
              <w:pStyle w:val="Title1"/>
            </w:pPr>
            <w:bookmarkStart w:id="5" w:name="dtitle1" w:colFirst="0" w:colLast="0"/>
            <w:bookmarkEnd w:id="4"/>
            <w:r w:rsidRPr="00760CA8">
              <w:rPr>
                <w:rFonts w:asciiTheme="minorHAnsi" w:hAnsiTheme="minorHAnsi"/>
              </w:rPr>
              <w:t xml:space="preserve">CANDIDATURE AU POSTE DE MEMBRE DU COMITÉ </w:t>
            </w:r>
            <w:r w:rsidRPr="00760CA8">
              <w:rPr>
                <w:rFonts w:asciiTheme="minorHAnsi" w:hAnsiTheme="minorHAnsi"/>
              </w:rPr>
              <w:br/>
              <w:t>DU RÈGLEMENT DES RADIOCOMMUNICATIONS</w:t>
            </w:r>
          </w:p>
        </w:tc>
      </w:tr>
      <w:tr w:rsidR="00BD1614" w:rsidRPr="00760CA8" w:rsidTr="006A046E">
        <w:trPr>
          <w:cantSplit/>
        </w:trPr>
        <w:tc>
          <w:tcPr>
            <w:tcW w:w="10031" w:type="dxa"/>
            <w:gridSpan w:val="2"/>
          </w:tcPr>
          <w:p w:rsidR="00BD1614" w:rsidRPr="00760CA8" w:rsidRDefault="00BD1614" w:rsidP="004A435B">
            <w:pPr>
              <w:pStyle w:val="Title2"/>
            </w:pPr>
            <w:bookmarkStart w:id="6" w:name="dtitle2" w:colFirst="0" w:colLast="0"/>
            <w:bookmarkEnd w:id="5"/>
          </w:p>
        </w:tc>
      </w:tr>
      <w:tr w:rsidR="00BD1614" w:rsidRPr="00760CA8" w:rsidTr="006A046E">
        <w:trPr>
          <w:cantSplit/>
        </w:trPr>
        <w:tc>
          <w:tcPr>
            <w:tcW w:w="10031" w:type="dxa"/>
            <w:gridSpan w:val="2"/>
          </w:tcPr>
          <w:p w:rsidR="00BD1614" w:rsidRPr="00760CA8" w:rsidRDefault="00BD1614" w:rsidP="004A435B">
            <w:pPr>
              <w:pStyle w:val="Agendaitem"/>
              <w:rPr>
                <w:lang w:val="fr-FR"/>
              </w:rPr>
            </w:pPr>
            <w:bookmarkStart w:id="7" w:name="dtitle3" w:colFirst="0" w:colLast="0"/>
            <w:bookmarkEnd w:id="6"/>
          </w:p>
        </w:tc>
      </w:tr>
    </w:tbl>
    <w:bookmarkEnd w:id="7"/>
    <w:p w:rsidR="00FB109B" w:rsidRPr="00760CA8" w:rsidRDefault="00FB109B" w:rsidP="004A435B">
      <w:pPr>
        <w:rPr>
          <w:rFonts w:asciiTheme="minorHAnsi" w:hAnsiTheme="minorHAnsi"/>
        </w:rPr>
      </w:pPr>
      <w:r w:rsidRPr="00760CA8">
        <w:rPr>
          <w:rFonts w:asciiTheme="minorHAnsi" w:hAnsiTheme="minorHAnsi"/>
        </w:rPr>
        <w:t>En complément des informations données dans le Document 3, j'ai l'honneur de transmettre à la Conférence, en annexe, la candidature de:</w:t>
      </w:r>
    </w:p>
    <w:p w:rsidR="00FB109B" w:rsidRPr="00760CA8" w:rsidRDefault="00FB109B" w:rsidP="004A435B">
      <w:pPr>
        <w:jc w:val="center"/>
        <w:rPr>
          <w:rFonts w:asciiTheme="minorHAnsi" w:hAnsiTheme="minorHAnsi"/>
          <w:b/>
          <w:bCs/>
        </w:rPr>
      </w:pPr>
      <w:r w:rsidRPr="00760CA8">
        <w:rPr>
          <w:rFonts w:asciiTheme="minorHAnsi" w:hAnsiTheme="minorHAnsi"/>
          <w:b/>
          <w:bCs/>
        </w:rPr>
        <w:t xml:space="preserve">M. Alireza </w:t>
      </w:r>
      <w:r w:rsidR="006E011B" w:rsidRPr="00760CA8">
        <w:rPr>
          <w:rFonts w:asciiTheme="minorHAnsi" w:hAnsiTheme="minorHAnsi"/>
          <w:b/>
          <w:bCs/>
        </w:rPr>
        <w:t>DARVISHI</w:t>
      </w:r>
      <w:r w:rsidRPr="00760CA8">
        <w:rPr>
          <w:rFonts w:asciiTheme="minorHAnsi" w:hAnsiTheme="minorHAnsi"/>
          <w:b/>
          <w:bCs/>
        </w:rPr>
        <w:t xml:space="preserve"> (République islamique d'Iran)</w:t>
      </w:r>
    </w:p>
    <w:p w:rsidR="00FB109B" w:rsidRPr="00760CA8" w:rsidRDefault="00FB109B" w:rsidP="004A435B">
      <w:pPr>
        <w:rPr>
          <w:rFonts w:asciiTheme="minorHAnsi" w:hAnsiTheme="minorHAnsi"/>
        </w:rPr>
      </w:pPr>
      <w:r w:rsidRPr="00760CA8">
        <w:rPr>
          <w:rFonts w:asciiTheme="minorHAnsi" w:hAnsiTheme="minorHAnsi"/>
        </w:rPr>
        <w:t>au poste de membre du Comité du Règlement des radiocommunications.</w:t>
      </w:r>
    </w:p>
    <w:p w:rsidR="00FB109B" w:rsidRPr="00760CA8" w:rsidRDefault="00FB109B" w:rsidP="004A435B">
      <w:pPr>
        <w:tabs>
          <w:tab w:val="clear" w:pos="567"/>
          <w:tab w:val="clear" w:pos="1134"/>
          <w:tab w:val="clear" w:pos="1701"/>
          <w:tab w:val="clear" w:pos="2268"/>
          <w:tab w:val="clear" w:pos="2835"/>
          <w:tab w:val="center" w:pos="7088"/>
        </w:tabs>
        <w:spacing w:before="1440"/>
        <w:rPr>
          <w:rFonts w:asciiTheme="minorHAnsi" w:hAnsiTheme="minorHAnsi"/>
        </w:rPr>
      </w:pPr>
      <w:r w:rsidRPr="00760CA8">
        <w:rPr>
          <w:rFonts w:asciiTheme="minorHAnsi" w:hAnsiTheme="minorHAnsi"/>
        </w:rPr>
        <w:tab/>
        <w:t>Dr Hamadoun I. TOURÉ</w:t>
      </w:r>
      <w:r w:rsidRPr="00760CA8">
        <w:rPr>
          <w:rFonts w:asciiTheme="minorHAnsi" w:hAnsiTheme="minorHAnsi"/>
        </w:rPr>
        <w:br/>
      </w:r>
      <w:r w:rsidRPr="00760CA8">
        <w:rPr>
          <w:rFonts w:asciiTheme="minorHAnsi" w:hAnsiTheme="minorHAnsi"/>
        </w:rPr>
        <w:tab/>
        <w:t>Secrétaire général</w:t>
      </w:r>
    </w:p>
    <w:p w:rsidR="00FB109B" w:rsidRPr="00760CA8" w:rsidRDefault="00FB109B" w:rsidP="004A435B">
      <w:pPr>
        <w:spacing w:before="2520"/>
        <w:rPr>
          <w:rFonts w:asciiTheme="minorHAnsi" w:hAnsiTheme="minorHAnsi" w:cs="Times New Roman Bold"/>
        </w:rPr>
      </w:pPr>
      <w:r w:rsidRPr="00760CA8">
        <w:rPr>
          <w:rFonts w:asciiTheme="minorHAnsi" w:hAnsiTheme="minorHAnsi"/>
          <w:b/>
        </w:rPr>
        <w:t>Annexe</w:t>
      </w:r>
      <w:r w:rsidRPr="00760CA8">
        <w:rPr>
          <w:rFonts w:asciiTheme="minorHAnsi" w:hAnsiTheme="minorHAnsi"/>
        </w:rPr>
        <w:t>: 1</w:t>
      </w:r>
    </w:p>
    <w:p w:rsidR="000D15FB" w:rsidRPr="00760CA8" w:rsidRDefault="000D15FB" w:rsidP="004A435B"/>
    <w:p w:rsidR="00BD1614" w:rsidRPr="00760CA8" w:rsidRDefault="00BD1614" w:rsidP="004A435B">
      <w:pPr>
        <w:tabs>
          <w:tab w:val="clear" w:pos="567"/>
          <w:tab w:val="clear" w:pos="1134"/>
          <w:tab w:val="clear" w:pos="1701"/>
          <w:tab w:val="clear" w:pos="2268"/>
          <w:tab w:val="clear" w:pos="2835"/>
        </w:tabs>
        <w:overflowPunct/>
        <w:autoSpaceDE/>
        <w:autoSpaceDN/>
        <w:adjustRightInd/>
        <w:spacing w:before="0"/>
        <w:textAlignment w:val="auto"/>
      </w:pPr>
      <w:r w:rsidRPr="00760CA8">
        <w:br w:type="page"/>
      </w:r>
    </w:p>
    <w:p w:rsidR="006668D7" w:rsidRPr="00760CA8" w:rsidRDefault="006668D7" w:rsidP="00717636">
      <w:pPr>
        <w:pStyle w:val="AnnexNo"/>
      </w:pPr>
      <w:r w:rsidRPr="00760CA8">
        <w:lastRenderedPageBreak/>
        <w:t>ANNEXE</w:t>
      </w:r>
    </w:p>
    <w:p w:rsidR="00107743" w:rsidRPr="00760CA8" w:rsidRDefault="00107743" w:rsidP="004A435B">
      <w:pPr>
        <w:spacing w:before="600"/>
        <w:rPr>
          <w:rFonts w:asciiTheme="minorHAnsi" w:hAnsiTheme="minorHAnsi"/>
          <w:szCs w:val="24"/>
        </w:rPr>
      </w:pPr>
      <w:r w:rsidRPr="00760CA8">
        <w:rPr>
          <w:rFonts w:asciiTheme="minorHAnsi" w:hAnsiTheme="minorHAnsi"/>
          <w:szCs w:val="24"/>
        </w:rPr>
        <w:t xml:space="preserve">Mission permanente </w:t>
      </w:r>
      <w:r w:rsidR="006E011B">
        <w:rPr>
          <w:rFonts w:asciiTheme="minorHAnsi" w:hAnsiTheme="minorHAnsi"/>
          <w:szCs w:val="24"/>
        </w:rPr>
        <w:br/>
      </w:r>
      <w:r w:rsidRPr="00760CA8">
        <w:rPr>
          <w:rFonts w:asciiTheme="minorHAnsi" w:hAnsiTheme="minorHAnsi"/>
          <w:szCs w:val="24"/>
        </w:rPr>
        <w:t>de la République Islamique d'Iran</w:t>
      </w:r>
      <w:r w:rsidRPr="00760CA8">
        <w:rPr>
          <w:rFonts w:asciiTheme="minorHAnsi" w:hAnsiTheme="minorHAnsi"/>
          <w:szCs w:val="24"/>
        </w:rPr>
        <w:br/>
      </w:r>
      <w:r w:rsidR="00373D11" w:rsidRPr="00760CA8">
        <w:rPr>
          <w:rFonts w:asciiTheme="minorHAnsi" w:hAnsiTheme="minorHAnsi"/>
          <w:szCs w:val="24"/>
        </w:rPr>
        <w:t>a</w:t>
      </w:r>
      <w:r w:rsidRPr="00760CA8">
        <w:rPr>
          <w:rFonts w:asciiTheme="minorHAnsi" w:hAnsiTheme="minorHAnsi"/>
          <w:szCs w:val="24"/>
        </w:rPr>
        <w:t xml:space="preserve">uprès des Nations Unies </w:t>
      </w:r>
      <w:r w:rsidRPr="00760CA8">
        <w:rPr>
          <w:rFonts w:asciiTheme="minorHAnsi" w:hAnsiTheme="minorHAnsi"/>
          <w:szCs w:val="24"/>
        </w:rPr>
        <w:br/>
        <w:t>et des autres organisations internationales à Genève</w:t>
      </w:r>
    </w:p>
    <w:p w:rsidR="00A24FF7" w:rsidRPr="00760CA8" w:rsidRDefault="00A24FF7" w:rsidP="004A435B">
      <w:pPr>
        <w:pStyle w:val="Heading1"/>
        <w:jc w:val="center"/>
        <w:rPr>
          <w:b w:val="0"/>
          <w:bCs/>
          <w:i/>
          <w:iCs/>
          <w:sz w:val="24"/>
          <w:szCs w:val="24"/>
        </w:rPr>
      </w:pPr>
      <w:r w:rsidRPr="00760CA8">
        <w:rPr>
          <w:b w:val="0"/>
          <w:bCs/>
          <w:i/>
          <w:iCs/>
          <w:sz w:val="24"/>
          <w:szCs w:val="24"/>
        </w:rPr>
        <w:t>Au nom de Dieu, le Clément, le Miséricordieux</w:t>
      </w:r>
    </w:p>
    <w:p w:rsidR="00107743" w:rsidRPr="00760CA8" w:rsidRDefault="00107743" w:rsidP="004A435B">
      <w:pPr>
        <w:spacing w:before="600"/>
        <w:rPr>
          <w:rFonts w:asciiTheme="minorHAnsi" w:hAnsiTheme="minorHAnsi"/>
          <w:szCs w:val="24"/>
        </w:rPr>
      </w:pPr>
      <w:r w:rsidRPr="00760CA8">
        <w:rPr>
          <w:rFonts w:asciiTheme="minorHAnsi" w:hAnsiTheme="minorHAnsi"/>
          <w:szCs w:val="24"/>
        </w:rPr>
        <w:t>N°</w:t>
      </w:r>
      <w:r w:rsidR="006E011B">
        <w:rPr>
          <w:rFonts w:asciiTheme="minorHAnsi" w:hAnsiTheme="minorHAnsi"/>
          <w:szCs w:val="24"/>
        </w:rPr>
        <w:t xml:space="preserve"> </w:t>
      </w:r>
      <w:r w:rsidRPr="00760CA8">
        <w:rPr>
          <w:rFonts w:asciiTheme="minorHAnsi" w:hAnsiTheme="minorHAnsi"/>
          <w:szCs w:val="24"/>
        </w:rPr>
        <w:t>2050/3056</w:t>
      </w:r>
    </w:p>
    <w:p w:rsidR="00317E42" w:rsidRPr="00760CA8" w:rsidRDefault="00317E42" w:rsidP="004A435B">
      <w:pPr>
        <w:spacing w:before="600"/>
        <w:rPr>
          <w:rFonts w:asciiTheme="minorHAnsi" w:hAnsiTheme="minorHAnsi"/>
          <w:szCs w:val="24"/>
        </w:rPr>
      </w:pPr>
      <w:r w:rsidRPr="00760CA8">
        <w:rPr>
          <w:rFonts w:asciiTheme="minorHAnsi" w:hAnsiTheme="minorHAnsi"/>
          <w:szCs w:val="24"/>
        </w:rPr>
        <w:t>La Mission permanente de la République islamique d'Iran auprès des Nations Unies et des autres organisations internationales à Genève présente ses compliments à l'Union internationale des télécommunications (UIT) et a l'honneur de l'informer que le Gouvernement de la République islamique d'Iran a décidé de présenter la candidature de M. Alireza Darvishi au poste de membre du Comité du Règlement des radiocommunications (RRB) de l'UIT lors des élections qui auront lieu pendant la prochaine Conférence de plénipotentiaires</w:t>
      </w:r>
      <w:r w:rsidR="004A435B" w:rsidRPr="00760CA8">
        <w:rPr>
          <w:rFonts w:asciiTheme="minorHAnsi" w:hAnsiTheme="minorHAnsi"/>
          <w:szCs w:val="24"/>
        </w:rPr>
        <w:t xml:space="preserve"> de l'UIT</w:t>
      </w:r>
      <w:r w:rsidRPr="00760CA8">
        <w:rPr>
          <w:rFonts w:asciiTheme="minorHAnsi" w:hAnsiTheme="minorHAnsi"/>
          <w:szCs w:val="24"/>
        </w:rPr>
        <w:t xml:space="preserve">, qui se tiendra du </w:t>
      </w:r>
      <w:r w:rsidR="004A435B" w:rsidRPr="00760CA8">
        <w:rPr>
          <w:rFonts w:asciiTheme="minorHAnsi" w:hAnsiTheme="minorHAnsi"/>
          <w:szCs w:val="24"/>
        </w:rPr>
        <w:t>20 octobre au 7 </w:t>
      </w:r>
      <w:r w:rsidR="00373D11" w:rsidRPr="00760CA8">
        <w:rPr>
          <w:rFonts w:asciiTheme="minorHAnsi" w:hAnsiTheme="minorHAnsi"/>
          <w:szCs w:val="24"/>
        </w:rPr>
        <w:t>novembre 2014 à Busan (République de Corée)</w:t>
      </w:r>
      <w:r w:rsidRPr="00760CA8">
        <w:rPr>
          <w:rFonts w:asciiTheme="minorHAnsi" w:hAnsiTheme="minorHAnsi"/>
          <w:szCs w:val="24"/>
        </w:rPr>
        <w:t>.</w:t>
      </w:r>
    </w:p>
    <w:p w:rsidR="00317E42" w:rsidRPr="00760CA8" w:rsidRDefault="00317E42" w:rsidP="004A435B">
      <w:pPr>
        <w:rPr>
          <w:rFonts w:asciiTheme="minorHAnsi" w:hAnsiTheme="minorHAnsi"/>
          <w:szCs w:val="24"/>
        </w:rPr>
      </w:pPr>
      <w:r w:rsidRPr="00760CA8">
        <w:rPr>
          <w:rFonts w:asciiTheme="minorHAnsi" w:hAnsiTheme="minorHAnsi"/>
          <w:szCs w:val="24"/>
        </w:rPr>
        <w:t>M. Darvishi, dont le curriculum vitae est joint à la présente communication, occupe actuellement les fonctions de Directeur du Bureau des organisations internationales spécialisées de l'Autorité de régulation des communications relevant du Ministère des technologies de l'information et de la communication de la République islamique d'Iran. Grâce à sa connaissance approfondie des questions techniques et réglementaires concernant les radiocommunications et la gestion des fréquences et à sa participation active à de nombreuses réunions et activités de l'UIT et de la Télécommunauté Asie</w:t>
      </w:r>
      <w:r w:rsidRPr="00760CA8">
        <w:rPr>
          <w:rFonts w:asciiTheme="minorHAnsi" w:hAnsiTheme="minorHAnsi"/>
          <w:szCs w:val="24"/>
        </w:rPr>
        <w:noBreakHyphen/>
        <w:t xml:space="preserve">Pacifique (APT) dans ces domaines, M. Darvishi contribuera grandement, en tant que membre du RRB, à la réalisation des objectifs de l'UIT. </w:t>
      </w:r>
    </w:p>
    <w:p w:rsidR="00317E42" w:rsidRPr="00760CA8" w:rsidRDefault="00317E42" w:rsidP="004A435B">
      <w:pPr>
        <w:rPr>
          <w:rFonts w:asciiTheme="minorHAnsi" w:hAnsiTheme="minorHAnsi"/>
          <w:szCs w:val="24"/>
        </w:rPr>
      </w:pPr>
      <w:r w:rsidRPr="00760CA8">
        <w:rPr>
          <w:rFonts w:asciiTheme="minorHAnsi" w:hAnsiTheme="minorHAnsi"/>
          <w:szCs w:val="24"/>
        </w:rPr>
        <w:t>Nous vous serions reconnaissants de bien vouloir enregistrer la candidature de M. Darvishi et de la transmettre aux Etats Membres de l'UIT, conformément à la procédure applicable.</w:t>
      </w:r>
    </w:p>
    <w:p w:rsidR="00317E42" w:rsidRPr="00760CA8" w:rsidRDefault="00317E42" w:rsidP="004A435B">
      <w:pPr>
        <w:rPr>
          <w:rFonts w:asciiTheme="minorHAnsi" w:hAnsiTheme="minorHAnsi"/>
          <w:szCs w:val="24"/>
        </w:rPr>
      </w:pPr>
      <w:r w:rsidRPr="00760CA8">
        <w:rPr>
          <w:rFonts w:asciiTheme="minorHAnsi" w:hAnsiTheme="minorHAnsi"/>
          <w:szCs w:val="24"/>
        </w:rPr>
        <w:t xml:space="preserve">La Mission permanente de la République islamique d'Iran auprès des Nations Unies et des autres organisations internationales à Genève saisit cette occasion pour renouveler à l'Union internationale des télécommunications les assurances de sa très haute considération. </w:t>
      </w:r>
    </w:p>
    <w:p w:rsidR="00317E42" w:rsidRPr="00760CA8" w:rsidRDefault="00317E42" w:rsidP="004A435B"/>
    <w:p w:rsidR="00317E42" w:rsidRPr="00760CA8" w:rsidRDefault="00317E42" w:rsidP="004A435B">
      <w:pPr>
        <w:ind w:firstLine="720"/>
        <w:jc w:val="right"/>
        <w:rPr>
          <w:rFonts w:asciiTheme="minorHAnsi" w:hAnsiTheme="minorHAnsi"/>
          <w:szCs w:val="24"/>
        </w:rPr>
      </w:pPr>
      <w:r w:rsidRPr="00760CA8">
        <w:rPr>
          <w:rFonts w:asciiTheme="minorHAnsi" w:hAnsiTheme="minorHAnsi"/>
          <w:szCs w:val="24"/>
        </w:rPr>
        <w:t xml:space="preserve">Genève, le </w:t>
      </w:r>
      <w:r w:rsidR="00373D11" w:rsidRPr="00760CA8">
        <w:rPr>
          <w:rFonts w:asciiTheme="minorHAnsi" w:hAnsiTheme="minorHAnsi"/>
          <w:szCs w:val="24"/>
        </w:rPr>
        <w:t>11 mars 2014</w:t>
      </w:r>
    </w:p>
    <w:p w:rsidR="00317E42" w:rsidRPr="00760CA8" w:rsidRDefault="00317E42" w:rsidP="006E011B">
      <w:pPr>
        <w:spacing w:before="0"/>
        <w:rPr>
          <w:rFonts w:asciiTheme="minorHAnsi" w:hAnsiTheme="minorHAnsi"/>
          <w:szCs w:val="24"/>
        </w:rPr>
      </w:pPr>
      <w:r w:rsidRPr="00760CA8">
        <w:rPr>
          <w:rFonts w:asciiTheme="minorHAnsi" w:hAnsiTheme="minorHAnsi"/>
          <w:szCs w:val="24"/>
        </w:rPr>
        <w:t>Union internationale des télécommunications (UIT)</w:t>
      </w:r>
      <w:r w:rsidRPr="00760CA8">
        <w:rPr>
          <w:rFonts w:asciiTheme="minorHAnsi" w:hAnsiTheme="minorHAnsi"/>
          <w:szCs w:val="24"/>
        </w:rPr>
        <w:br/>
        <w:t xml:space="preserve">Place des Nations </w:t>
      </w:r>
      <w:r w:rsidRPr="00760CA8">
        <w:rPr>
          <w:rFonts w:asciiTheme="minorHAnsi" w:hAnsiTheme="minorHAnsi"/>
          <w:szCs w:val="24"/>
        </w:rPr>
        <w:br/>
        <w:t>1211 Genève 20</w:t>
      </w:r>
      <w:r w:rsidRPr="00760CA8">
        <w:rPr>
          <w:rFonts w:asciiTheme="minorHAnsi" w:hAnsiTheme="minorHAnsi"/>
          <w:szCs w:val="24"/>
        </w:rPr>
        <w:br/>
      </w:r>
      <w:r w:rsidR="004A435B" w:rsidRPr="00760CA8">
        <w:rPr>
          <w:rFonts w:asciiTheme="minorHAnsi" w:hAnsiTheme="minorHAnsi"/>
          <w:szCs w:val="24"/>
        </w:rPr>
        <w:t>Télécopie</w:t>
      </w:r>
      <w:r w:rsidRPr="00760CA8">
        <w:rPr>
          <w:rFonts w:asciiTheme="minorHAnsi" w:hAnsiTheme="minorHAnsi"/>
          <w:szCs w:val="24"/>
        </w:rPr>
        <w:t>: 022 73</w:t>
      </w:r>
      <w:r w:rsidR="004A435B" w:rsidRPr="00760CA8">
        <w:rPr>
          <w:rFonts w:asciiTheme="minorHAnsi" w:hAnsiTheme="minorHAnsi"/>
          <w:szCs w:val="24"/>
        </w:rPr>
        <w:t>3</w:t>
      </w:r>
      <w:r w:rsidRPr="00760CA8">
        <w:rPr>
          <w:rFonts w:asciiTheme="minorHAnsi" w:hAnsiTheme="minorHAnsi"/>
          <w:szCs w:val="24"/>
        </w:rPr>
        <w:t xml:space="preserve"> </w:t>
      </w:r>
      <w:r w:rsidR="004A435B" w:rsidRPr="00760CA8">
        <w:rPr>
          <w:rFonts w:asciiTheme="minorHAnsi" w:hAnsiTheme="minorHAnsi"/>
          <w:szCs w:val="24"/>
        </w:rPr>
        <w:t>72</w:t>
      </w:r>
      <w:r w:rsidR="006E011B">
        <w:rPr>
          <w:rFonts w:asciiTheme="minorHAnsi" w:hAnsiTheme="minorHAnsi"/>
          <w:szCs w:val="24"/>
        </w:rPr>
        <w:t>56/022 730 64</w:t>
      </w:r>
      <w:r w:rsidR="004A435B" w:rsidRPr="00760CA8">
        <w:rPr>
          <w:rFonts w:asciiTheme="minorHAnsi" w:hAnsiTheme="minorHAnsi"/>
          <w:szCs w:val="24"/>
        </w:rPr>
        <w:t>53</w:t>
      </w:r>
    </w:p>
    <w:p w:rsidR="00317E42" w:rsidRPr="00760CA8" w:rsidRDefault="00317E42" w:rsidP="004A435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760CA8">
        <w:rPr>
          <w:rFonts w:asciiTheme="minorHAnsi" w:hAnsiTheme="minorHAnsi"/>
        </w:rPr>
        <w:br w:type="page"/>
      </w:r>
    </w:p>
    <w:tbl>
      <w:tblPr>
        <w:tblW w:w="0" w:type="auto"/>
        <w:tblLook w:val="0000" w:firstRow="0" w:lastRow="0" w:firstColumn="0" w:lastColumn="0" w:noHBand="0" w:noVBand="0"/>
      </w:tblPr>
      <w:tblGrid>
        <w:gridCol w:w="3369"/>
        <w:gridCol w:w="2551"/>
        <w:gridCol w:w="3827"/>
      </w:tblGrid>
      <w:tr w:rsidR="00B67878" w:rsidRPr="00760CA8" w:rsidTr="00814B5C">
        <w:trPr>
          <w:trHeight w:val="3415"/>
        </w:trPr>
        <w:tc>
          <w:tcPr>
            <w:tcW w:w="5920" w:type="dxa"/>
            <w:gridSpan w:val="2"/>
            <w:vAlign w:val="center"/>
          </w:tcPr>
          <w:p w:rsidR="00B67878" w:rsidRPr="006E011B" w:rsidRDefault="00B67878" w:rsidP="004A435B">
            <w:pPr>
              <w:jc w:val="both"/>
              <w:rPr>
                <w:rFonts w:asciiTheme="minorHAnsi" w:hAnsiTheme="minorHAnsi"/>
                <w:b/>
                <w:bCs/>
                <w:sz w:val="28"/>
                <w:szCs w:val="28"/>
              </w:rPr>
            </w:pPr>
            <w:r w:rsidRPr="006E011B">
              <w:rPr>
                <w:rFonts w:asciiTheme="minorHAnsi" w:hAnsiTheme="minorHAnsi"/>
                <w:b/>
                <w:bCs/>
                <w:sz w:val="28"/>
                <w:szCs w:val="28"/>
              </w:rPr>
              <w:lastRenderedPageBreak/>
              <w:t>Alireza Darvishi</w:t>
            </w:r>
          </w:p>
          <w:p w:rsidR="00B67878" w:rsidRPr="00760CA8" w:rsidRDefault="00B67878" w:rsidP="00717636">
            <w:pPr>
              <w:spacing w:before="240"/>
              <w:rPr>
                <w:rFonts w:asciiTheme="minorHAnsi" w:hAnsiTheme="minorHAnsi"/>
                <w:b/>
                <w:bCs/>
                <w:sz w:val="32"/>
                <w:szCs w:val="32"/>
              </w:rPr>
            </w:pPr>
            <w:r w:rsidRPr="006E011B">
              <w:rPr>
                <w:rFonts w:asciiTheme="minorHAnsi" w:hAnsiTheme="minorHAnsi"/>
                <w:b/>
                <w:bCs/>
                <w:sz w:val="28"/>
                <w:szCs w:val="28"/>
              </w:rPr>
              <w:t xml:space="preserve">Candidat de la République islamique d'Iran </w:t>
            </w:r>
            <w:r w:rsidRPr="006E011B">
              <w:rPr>
                <w:rFonts w:asciiTheme="minorHAnsi" w:hAnsiTheme="minorHAnsi"/>
                <w:b/>
                <w:bCs/>
                <w:sz w:val="28"/>
                <w:szCs w:val="28"/>
              </w:rPr>
              <w:br/>
              <w:t>au poste de membre du</w:t>
            </w:r>
            <w:r w:rsidR="008E598C" w:rsidRPr="006E011B">
              <w:rPr>
                <w:rFonts w:asciiTheme="minorHAnsi" w:hAnsiTheme="minorHAnsi"/>
                <w:b/>
                <w:bCs/>
                <w:sz w:val="28"/>
                <w:szCs w:val="28"/>
              </w:rPr>
              <w:t xml:space="preserve"> Comité du Règlement des radiocommunications</w:t>
            </w:r>
            <w:r w:rsidRPr="006E011B">
              <w:rPr>
                <w:rFonts w:asciiTheme="minorHAnsi" w:hAnsiTheme="minorHAnsi"/>
                <w:b/>
                <w:bCs/>
                <w:sz w:val="28"/>
                <w:szCs w:val="28"/>
              </w:rPr>
              <w:t xml:space="preserve"> </w:t>
            </w:r>
            <w:r w:rsidR="008E598C" w:rsidRPr="006E011B">
              <w:rPr>
                <w:rFonts w:asciiTheme="minorHAnsi" w:hAnsiTheme="minorHAnsi"/>
                <w:b/>
                <w:bCs/>
                <w:sz w:val="28"/>
                <w:szCs w:val="28"/>
              </w:rPr>
              <w:t>(</w:t>
            </w:r>
            <w:r w:rsidRPr="006E011B">
              <w:rPr>
                <w:rFonts w:asciiTheme="minorHAnsi" w:hAnsiTheme="minorHAnsi"/>
                <w:b/>
                <w:bCs/>
                <w:sz w:val="28"/>
                <w:szCs w:val="28"/>
              </w:rPr>
              <w:t>RRB</w:t>
            </w:r>
            <w:r w:rsidR="008E598C" w:rsidRPr="006E011B">
              <w:rPr>
                <w:rFonts w:asciiTheme="minorHAnsi" w:hAnsiTheme="minorHAnsi"/>
                <w:b/>
                <w:bCs/>
                <w:sz w:val="28"/>
                <w:szCs w:val="28"/>
              </w:rPr>
              <w:t>)</w:t>
            </w:r>
          </w:p>
        </w:tc>
        <w:tc>
          <w:tcPr>
            <w:tcW w:w="3827" w:type="dxa"/>
          </w:tcPr>
          <w:p w:rsidR="00B67878" w:rsidRPr="00760CA8" w:rsidRDefault="00B67878" w:rsidP="004A435B">
            <w:pPr>
              <w:jc w:val="both"/>
              <w:rPr>
                <w:rFonts w:asciiTheme="minorHAnsi" w:hAnsiTheme="minorHAnsi"/>
              </w:rPr>
            </w:pPr>
            <w:r w:rsidRPr="00760CA8">
              <w:rPr>
                <w:rFonts w:asciiTheme="minorHAnsi" w:hAnsiTheme="minorHAnsi"/>
                <w:noProof/>
                <w:lang w:val="en-US" w:eastAsia="zh-CN"/>
              </w:rPr>
              <w:drawing>
                <wp:inline distT="0" distB="0" distL="0" distR="0" wp14:anchorId="20FC33B0" wp14:editId="0657BCCF">
                  <wp:extent cx="1676400" cy="2152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2152650"/>
                          </a:xfrm>
                          <a:prstGeom prst="rect">
                            <a:avLst/>
                          </a:prstGeom>
                          <a:noFill/>
                          <a:ln>
                            <a:noFill/>
                          </a:ln>
                        </pic:spPr>
                      </pic:pic>
                    </a:graphicData>
                  </a:graphic>
                </wp:inline>
              </w:drawing>
            </w:r>
          </w:p>
        </w:tc>
      </w:tr>
      <w:tr w:rsidR="00B67878" w:rsidRPr="00760CA8" w:rsidTr="00814B5C">
        <w:tblPrEx>
          <w:tblLook w:val="01E0" w:firstRow="1" w:lastRow="1" w:firstColumn="1" w:lastColumn="1" w:noHBand="0" w:noVBand="0"/>
        </w:tblPrEx>
        <w:tc>
          <w:tcPr>
            <w:tcW w:w="3369" w:type="dxa"/>
          </w:tcPr>
          <w:p w:rsidR="00B67878" w:rsidRPr="00760CA8" w:rsidRDefault="008E598C" w:rsidP="00717636">
            <w:pPr>
              <w:spacing w:before="480"/>
              <w:jc w:val="both"/>
              <w:rPr>
                <w:rFonts w:asciiTheme="minorHAnsi" w:hAnsiTheme="minorHAnsi"/>
                <w:b/>
                <w:bCs/>
                <w:szCs w:val="24"/>
              </w:rPr>
            </w:pPr>
            <w:r w:rsidRPr="00760CA8">
              <w:rPr>
                <w:rFonts w:asciiTheme="minorHAnsi" w:hAnsiTheme="minorHAnsi"/>
                <w:b/>
                <w:bCs/>
                <w:szCs w:val="24"/>
              </w:rPr>
              <w:t>RENSEIGNEMENTS PERSONNELS</w:t>
            </w:r>
          </w:p>
        </w:tc>
        <w:tc>
          <w:tcPr>
            <w:tcW w:w="6378" w:type="dxa"/>
            <w:gridSpan w:val="2"/>
          </w:tcPr>
          <w:p w:rsidR="00B67878" w:rsidRPr="00760CA8" w:rsidRDefault="00B67878" w:rsidP="0095528D">
            <w:pPr>
              <w:rPr>
                <w:rFonts w:asciiTheme="minorHAnsi" w:hAnsiTheme="minorHAnsi"/>
                <w:b/>
              </w:rPr>
            </w:pPr>
          </w:p>
        </w:tc>
      </w:tr>
      <w:tr w:rsidR="00B67878" w:rsidRPr="00760CA8" w:rsidTr="00814B5C">
        <w:tblPrEx>
          <w:tblLook w:val="01E0" w:firstRow="1" w:lastRow="1" w:firstColumn="1" w:lastColumn="1" w:noHBand="0" w:noVBand="0"/>
        </w:tblPrEx>
        <w:tc>
          <w:tcPr>
            <w:tcW w:w="3369" w:type="dxa"/>
          </w:tcPr>
          <w:p w:rsidR="00B67878" w:rsidRPr="00760CA8" w:rsidRDefault="00B67878" w:rsidP="00717636">
            <w:pPr>
              <w:spacing w:before="0"/>
              <w:jc w:val="both"/>
              <w:rPr>
                <w:rFonts w:asciiTheme="minorHAnsi" w:hAnsiTheme="minorHAnsi"/>
                <w:b/>
                <w:bCs/>
                <w:sz w:val="28"/>
                <w:szCs w:val="28"/>
              </w:rPr>
            </w:pPr>
          </w:p>
        </w:tc>
        <w:tc>
          <w:tcPr>
            <w:tcW w:w="6378" w:type="dxa"/>
            <w:gridSpan w:val="2"/>
          </w:tcPr>
          <w:p w:rsidR="00B67878" w:rsidRPr="00760CA8" w:rsidRDefault="00B67878" w:rsidP="00717636">
            <w:pPr>
              <w:spacing w:before="0"/>
              <w:rPr>
                <w:rFonts w:asciiTheme="minorHAnsi" w:hAnsiTheme="minorHAnsi"/>
                <w:b/>
              </w:rPr>
            </w:pPr>
          </w:p>
        </w:tc>
      </w:tr>
      <w:tr w:rsidR="00B67878" w:rsidRPr="00760CA8" w:rsidTr="00814B5C">
        <w:tblPrEx>
          <w:tblLook w:val="01E0" w:firstRow="1" w:lastRow="1" w:firstColumn="1" w:lastColumn="1" w:noHBand="0" w:noVBand="0"/>
        </w:tblPrEx>
        <w:tc>
          <w:tcPr>
            <w:tcW w:w="3369" w:type="dxa"/>
          </w:tcPr>
          <w:p w:rsidR="00B67878" w:rsidRPr="006E011B" w:rsidRDefault="008E598C" w:rsidP="0095528D">
            <w:pPr>
              <w:pStyle w:val="Tabletext"/>
              <w:rPr>
                <w:sz w:val="24"/>
                <w:szCs w:val="24"/>
              </w:rPr>
            </w:pPr>
            <w:r w:rsidRPr="006E011B">
              <w:rPr>
                <w:sz w:val="24"/>
                <w:szCs w:val="24"/>
              </w:rPr>
              <w:t>Nom</w:t>
            </w:r>
          </w:p>
        </w:tc>
        <w:tc>
          <w:tcPr>
            <w:tcW w:w="6378" w:type="dxa"/>
            <w:gridSpan w:val="2"/>
          </w:tcPr>
          <w:p w:rsidR="00B67878" w:rsidRPr="006E011B" w:rsidRDefault="00B67878" w:rsidP="0095528D">
            <w:pPr>
              <w:pStyle w:val="Tabletext"/>
              <w:rPr>
                <w:sz w:val="24"/>
                <w:szCs w:val="24"/>
              </w:rPr>
            </w:pPr>
            <w:r w:rsidRPr="006E011B">
              <w:rPr>
                <w:sz w:val="24"/>
                <w:szCs w:val="24"/>
              </w:rPr>
              <w:t>Alireza Darvishi</w:t>
            </w:r>
          </w:p>
        </w:tc>
      </w:tr>
      <w:tr w:rsidR="008E598C" w:rsidRPr="00760CA8" w:rsidTr="00814B5C">
        <w:tblPrEx>
          <w:tblLook w:val="01E0" w:firstRow="1" w:lastRow="1" w:firstColumn="1" w:lastColumn="1" w:noHBand="0" w:noVBand="0"/>
        </w:tblPrEx>
        <w:tc>
          <w:tcPr>
            <w:tcW w:w="3369" w:type="dxa"/>
          </w:tcPr>
          <w:p w:rsidR="008E598C" w:rsidRPr="006E011B" w:rsidRDefault="008E598C" w:rsidP="0095528D">
            <w:pPr>
              <w:pStyle w:val="Tabletext"/>
              <w:rPr>
                <w:sz w:val="24"/>
                <w:szCs w:val="24"/>
              </w:rPr>
            </w:pPr>
            <w:r w:rsidRPr="006E011B">
              <w:rPr>
                <w:sz w:val="24"/>
                <w:szCs w:val="24"/>
              </w:rPr>
              <w:t>Nationalité</w:t>
            </w:r>
          </w:p>
        </w:tc>
        <w:tc>
          <w:tcPr>
            <w:tcW w:w="6378" w:type="dxa"/>
            <w:gridSpan w:val="2"/>
          </w:tcPr>
          <w:p w:rsidR="008E598C" w:rsidRPr="006E011B" w:rsidRDefault="008E598C" w:rsidP="0095528D">
            <w:pPr>
              <w:pStyle w:val="Tabletext"/>
              <w:rPr>
                <w:sz w:val="24"/>
                <w:szCs w:val="24"/>
              </w:rPr>
            </w:pPr>
            <w:r w:rsidRPr="006E011B">
              <w:rPr>
                <w:sz w:val="24"/>
                <w:szCs w:val="24"/>
              </w:rPr>
              <w:t>Iranienne</w:t>
            </w:r>
          </w:p>
        </w:tc>
      </w:tr>
      <w:tr w:rsidR="008E598C" w:rsidRPr="00760CA8" w:rsidTr="00814B5C">
        <w:tblPrEx>
          <w:tblLook w:val="01E0" w:firstRow="1" w:lastRow="1" w:firstColumn="1" w:lastColumn="1" w:noHBand="0" w:noVBand="0"/>
        </w:tblPrEx>
        <w:tc>
          <w:tcPr>
            <w:tcW w:w="3369" w:type="dxa"/>
          </w:tcPr>
          <w:p w:rsidR="008E598C" w:rsidRPr="006E011B" w:rsidRDefault="008E598C" w:rsidP="0095528D">
            <w:pPr>
              <w:pStyle w:val="Tabletext"/>
              <w:rPr>
                <w:sz w:val="24"/>
                <w:szCs w:val="24"/>
              </w:rPr>
            </w:pPr>
            <w:r w:rsidRPr="006E011B">
              <w:rPr>
                <w:sz w:val="24"/>
                <w:szCs w:val="24"/>
              </w:rPr>
              <w:t>Date de naissance</w:t>
            </w:r>
          </w:p>
        </w:tc>
        <w:tc>
          <w:tcPr>
            <w:tcW w:w="6378" w:type="dxa"/>
            <w:gridSpan w:val="2"/>
          </w:tcPr>
          <w:p w:rsidR="008E598C" w:rsidRPr="006E011B" w:rsidRDefault="008E598C" w:rsidP="0095528D">
            <w:pPr>
              <w:pStyle w:val="Tabletext"/>
              <w:rPr>
                <w:sz w:val="24"/>
                <w:szCs w:val="24"/>
              </w:rPr>
            </w:pPr>
            <w:r w:rsidRPr="006E011B">
              <w:rPr>
                <w:sz w:val="24"/>
                <w:szCs w:val="24"/>
              </w:rPr>
              <w:t>9 juillet 1971</w:t>
            </w:r>
          </w:p>
        </w:tc>
      </w:tr>
      <w:tr w:rsidR="008E598C" w:rsidRPr="00760CA8" w:rsidTr="00814B5C">
        <w:tblPrEx>
          <w:tblLook w:val="01E0" w:firstRow="1" w:lastRow="1" w:firstColumn="1" w:lastColumn="1" w:noHBand="0" w:noVBand="0"/>
        </w:tblPrEx>
        <w:tc>
          <w:tcPr>
            <w:tcW w:w="3369" w:type="dxa"/>
          </w:tcPr>
          <w:p w:rsidR="008E598C" w:rsidRPr="006E011B" w:rsidRDefault="008E598C" w:rsidP="0095528D">
            <w:pPr>
              <w:pStyle w:val="Tabletext"/>
              <w:rPr>
                <w:sz w:val="24"/>
                <w:szCs w:val="24"/>
              </w:rPr>
            </w:pPr>
            <w:r w:rsidRPr="006E011B">
              <w:rPr>
                <w:sz w:val="24"/>
                <w:szCs w:val="24"/>
              </w:rPr>
              <w:t>Etat civil</w:t>
            </w:r>
          </w:p>
        </w:tc>
        <w:tc>
          <w:tcPr>
            <w:tcW w:w="6378" w:type="dxa"/>
            <w:gridSpan w:val="2"/>
          </w:tcPr>
          <w:p w:rsidR="008E598C" w:rsidRPr="006E011B" w:rsidRDefault="008E598C" w:rsidP="0095528D">
            <w:pPr>
              <w:pStyle w:val="Tabletext"/>
              <w:rPr>
                <w:sz w:val="24"/>
                <w:szCs w:val="24"/>
              </w:rPr>
            </w:pPr>
            <w:r w:rsidRPr="006E011B">
              <w:rPr>
                <w:sz w:val="24"/>
                <w:szCs w:val="24"/>
              </w:rPr>
              <w:t>Marié, un enfant</w:t>
            </w:r>
          </w:p>
        </w:tc>
      </w:tr>
      <w:tr w:rsidR="008E598C" w:rsidRPr="00760CA8" w:rsidTr="00814B5C">
        <w:tblPrEx>
          <w:tblLook w:val="01E0" w:firstRow="1" w:lastRow="1" w:firstColumn="1" w:lastColumn="1" w:noHBand="0" w:noVBand="0"/>
        </w:tblPrEx>
        <w:tc>
          <w:tcPr>
            <w:tcW w:w="3369" w:type="dxa"/>
          </w:tcPr>
          <w:p w:rsidR="008E598C" w:rsidRPr="006E011B" w:rsidRDefault="008E598C" w:rsidP="0095528D">
            <w:pPr>
              <w:pStyle w:val="Tabletext"/>
              <w:rPr>
                <w:sz w:val="24"/>
                <w:szCs w:val="24"/>
              </w:rPr>
            </w:pPr>
            <w:r w:rsidRPr="006E011B">
              <w:rPr>
                <w:sz w:val="24"/>
                <w:szCs w:val="24"/>
              </w:rPr>
              <w:t>Poste actuel</w:t>
            </w:r>
          </w:p>
        </w:tc>
        <w:tc>
          <w:tcPr>
            <w:tcW w:w="6378" w:type="dxa"/>
            <w:gridSpan w:val="2"/>
          </w:tcPr>
          <w:p w:rsidR="008E598C" w:rsidRPr="006E011B" w:rsidRDefault="008E598C" w:rsidP="0095528D">
            <w:pPr>
              <w:pStyle w:val="Tabletext"/>
              <w:rPr>
                <w:sz w:val="24"/>
                <w:szCs w:val="24"/>
              </w:rPr>
            </w:pPr>
            <w:r w:rsidRPr="006E011B">
              <w:rPr>
                <w:sz w:val="24"/>
                <w:szCs w:val="24"/>
              </w:rPr>
              <w:t>Directeur du Bureau des organisations internationales spécialisées, Autorité de régulation des communications (CRA), Ministère des technologies de l'information et de la communication (MICT)</w:t>
            </w:r>
          </w:p>
        </w:tc>
      </w:tr>
      <w:tr w:rsidR="00B67878" w:rsidRPr="00760CA8" w:rsidTr="00814B5C">
        <w:tblPrEx>
          <w:tblLook w:val="01E0" w:firstRow="1" w:lastRow="1" w:firstColumn="1" w:lastColumn="1" w:noHBand="0" w:noVBand="0"/>
        </w:tblPrEx>
        <w:tc>
          <w:tcPr>
            <w:tcW w:w="3369" w:type="dxa"/>
          </w:tcPr>
          <w:p w:rsidR="00B67878" w:rsidRPr="006E011B" w:rsidRDefault="009F013E" w:rsidP="0095528D">
            <w:pPr>
              <w:pStyle w:val="Tabletext"/>
              <w:rPr>
                <w:sz w:val="24"/>
                <w:szCs w:val="24"/>
              </w:rPr>
            </w:pPr>
            <w:r w:rsidRPr="006E011B">
              <w:rPr>
                <w:sz w:val="24"/>
                <w:szCs w:val="24"/>
              </w:rPr>
              <w:t>Adresse officielle</w:t>
            </w:r>
          </w:p>
        </w:tc>
        <w:tc>
          <w:tcPr>
            <w:tcW w:w="6378" w:type="dxa"/>
            <w:gridSpan w:val="2"/>
          </w:tcPr>
          <w:p w:rsidR="00B67878" w:rsidRPr="006E011B" w:rsidRDefault="00B67878" w:rsidP="0095528D">
            <w:pPr>
              <w:pStyle w:val="Tabletext"/>
              <w:rPr>
                <w:sz w:val="24"/>
                <w:szCs w:val="24"/>
              </w:rPr>
            </w:pPr>
            <w:r w:rsidRPr="006E011B">
              <w:rPr>
                <w:sz w:val="24"/>
                <w:szCs w:val="24"/>
              </w:rPr>
              <w:t>B</w:t>
            </w:r>
            <w:r w:rsidR="0095528D" w:rsidRPr="006E011B">
              <w:rPr>
                <w:sz w:val="24"/>
                <w:szCs w:val="24"/>
              </w:rPr>
              <w:t>P</w:t>
            </w:r>
            <w:r w:rsidRPr="006E011B">
              <w:rPr>
                <w:sz w:val="24"/>
                <w:szCs w:val="24"/>
              </w:rPr>
              <w:t xml:space="preserve"> 15875-4415, </w:t>
            </w:r>
            <w:r w:rsidR="009F013E" w:rsidRPr="006E011B">
              <w:rPr>
                <w:sz w:val="24"/>
                <w:szCs w:val="24"/>
              </w:rPr>
              <w:t>Téhéran</w:t>
            </w:r>
            <w:r w:rsidRPr="006E011B">
              <w:rPr>
                <w:sz w:val="24"/>
                <w:szCs w:val="24"/>
              </w:rPr>
              <w:t xml:space="preserve">, </w:t>
            </w:r>
            <w:r w:rsidR="009F013E" w:rsidRPr="006E011B">
              <w:rPr>
                <w:sz w:val="24"/>
                <w:szCs w:val="24"/>
              </w:rPr>
              <w:t>République islamique d'Iran</w:t>
            </w:r>
            <w:r w:rsidRPr="006E011B">
              <w:rPr>
                <w:sz w:val="24"/>
                <w:szCs w:val="24"/>
              </w:rPr>
              <w:t xml:space="preserve"> </w:t>
            </w:r>
            <w:r w:rsidRPr="006E011B">
              <w:rPr>
                <w:sz w:val="24"/>
                <w:szCs w:val="24"/>
              </w:rPr>
              <w:br/>
              <w:t>T</w:t>
            </w:r>
            <w:r w:rsidR="009F013E" w:rsidRPr="006E011B">
              <w:rPr>
                <w:sz w:val="24"/>
                <w:szCs w:val="24"/>
              </w:rPr>
              <w:t>é</w:t>
            </w:r>
            <w:r w:rsidRPr="006E011B">
              <w:rPr>
                <w:sz w:val="24"/>
                <w:szCs w:val="24"/>
              </w:rPr>
              <w:t>l</w:t>
            </w:r>
            <w:r w:rsidR="0095528D" w:rsidRPr="006E011B">
              <w:rPr>
                <w:sz w:val="24"/>
                <w:szCs w:val="24"/>
              </w:rPr>
              <w:t>.</w:t>
            </w:r>
            <w:r w:rsidRPr="006E011B">
              <w:rPr>
                <w:sz w:val="24"/>
                <w:szCs w:val="24"/>
              </w:rPr>
              <w:t>: +98 21 88501221 / 88114230</w:t>
            </w:r>
            <w:r w:rsidRPr="006E011B">
              <w:rPr>
                <w:sz w:val="24"/>
                <w:szCs w:val="24"/>
              </w:rPr>
              <w:br/>
            </w:r>
            <w:r w:rsidR="009F013E" w:rsidRPr="006E011B">
              <w:rPr>
                <w:sz w:val="24"/>
                <w:szCs w:val="24"/>
              </w:rPr>
              <w:t>Télécopie</w:t>
            </w:r>
            <w:r w:rsidRPr="006E011B">
              <w:rPr>
                <w:sz w:val="24"/>
                <w:szCs w:val="24"/>
              </w:rPr>
              <w:t>: +98 21 8846 8999</w:t>
            </w:r>
          </w:p>
          <w:p w:rsidR="00B67878" w:rsidRPr="006E011B" w:rsidRDefault="009F013E" w:rsidP="0095528D">
            <w:pPr>
              <w:pStyle w:val="Tabletext"/>
              <w:rPr>
                <w:sz w:val="24"/>
                <w:szCs w:val="24"/>
              </w:rPr>
            </w:pPr>
            <w:r w:rsidRPr="006E011B">
              <w:rPr>
                <w:sz w:val="24"/>
                <w:szCs w:val="24"/>
              </w:rPr>
              <w:t>Courriel</w:t>
            </w:r>
            <w:r w:rsidR="00B67878" w:rsidRPr="006E011B">
              <w:rPr>
                <w:sz w:val="24"/>
                <w:szCs w:val="24"/>
              </w:rPr>
              <w:t xml:space="preserve">: </w:t>
            </w:r>
            <w:hyperlink r:id="rId11" w:history="1">
              <w:r w:rsidR="006E011B" w:rsidRPr="005B0FF5">
                <w:rPr>
                  <w:rStyle w:val="Hyperlink"/>
                  <w:sz w:val="24"/>
                  <w:szCs w:val="24"/>
                </w:rPr>
                <w:t>darvishi@cra.ir</w:t>
              </w:r>
            </w:hyperlink>
            <w:r w:rsidR="006E011B">
              <w:rPr>
                <w:sz w:val="24"/>
                <w:szCs w:val="24"/>
              </w:rPr>
              <w:t xml:space="preserve"> </w:t>
            </w:r>
          </w:p>
        </w:tc>
      </w:tr>
    </w:tbl>
    <w:p w:rsidR="00B67878" w:rsidRPr="00760CA8" w:rsidRDefault="00B67878" w:rsidP="0095528D">
      <w:pPr>
        <w:jc w:val="both"/>
        <w:rPr>
          <w:rFonts w:asciiTheme="minorHAnsi" w:hAnsiTheme="minorHAnsi"/>
          <w:b/>
          <w:bCs/>
        </w:rPr>
      </w:pPr>
    </w:p>
    <w:tbl>
      <w:tblPr>
        <w:tblW w:w="0" w:type="auto"/>
        <w:tblLook w:val="01E0" w:firstRow="1" w:lastRow="1" w:firstColumn="1" w:lastColumn="1" w:noHBand="0" w:noVBand="0"/>
      </w:tblPr>
      <w:tblGrid>
        <w:gridCol w:w="3369"/>
        <w:gridCol w:w="6378"/>
      </w:tblGrid>
      <w:tr w:rsidR="00B67878" w:rsidRPr="00760CA8" w:rsidTr="00760CA8">
        <w:trPr>
          <w:cantSplit/>
        </w:trPr>
        <w:tc>
          <w:tcPr>
            <w:tcW w:w="3369" w:type="dxa"/>
          </w:tcPr>
          <w:p w:rsidR="00B67878" w:rsidRPr="006E011B" w:rsidRDefault="00B67878" w:rsidP="00717636">
            <w:pPr>
              <w:spacing w:after="120"/>
              <w:jc w:val="both"/>
              <w:rPr>
                <w:rFonts w:asciiTheme="minorHAnsi" w:hAnsiTheme="minorHAnsi"/>
                <w:b/>
                <w:bCs/>
                <w:szCs w:val="24"/>
              </w:rPr>
            </w:pPr>
            <w:r w:rsidRPr="006E011B">
              <w:rPr>
                <w:rFonts w:asciiTheme="minorHAnsi" w:hAnsiTheme="minorHAnsi"/>
                <w:b/>
                <w:bCs/>
                <w:szCs w:val="24"/>
              </w:rPr>
              <w:br w:type="page"/>
            </w:r>
            <w:r w:rsidR="005417ED" w:rsidRPr="006E011B">
              <w:rPr>
                <w:rFonts w:asciiTheme="minorHAnsi" w:hAnsiTheme="minorHAnsi"/>
                <w:b/>
                <w:bCs/>
                <w:szCs w:val="24"/>
              </w:rPr>
              <w:t>ETUDES</w:t>
            </w:r>
          </w:p>
        </w:tc>
        <w:tc>
          <w:tcPr>
            <w:tcW w:w="6378" w:type="dxa"/>
          </w:tcPr>
          <w:p w:rsidR="00B67878" w:rsidRPr="006E011B" w:rsidRDefault="00B67878" w:rsidP="0095528D">
            <w:pPr>
              <w:jc w:val="both"/>
              <w:rPr>
                <w:rFonts w:asciiTheme="minorHAnsi" w:hAnsiTheme="minorHAnsi"/>
                <w:b/>
                <w:bCs/>
                <w:szCs w:val="24"/>
              </w:rPr>
            </w:pPr>
          </w:p>
        </w:tc>
      </w:tr>
      <w:tr w:rsidR="00B67878" w:rsidRPr="00760CA8" w:rsidTr="00760CA8">
        <w:trPr>
          <w:cantSplit/>
        </w:trPr>
        <w:tc>
          <w:tcPr>
            <w:tcW w:w="3369" w:type="dxa"/>
          </w:tcPr>
          <w:p w:rsidR="00B67878" w:rsidRPr="006E011B" w:rsidRDefault="00B67878" w:rsidP="0095528D">
            <w:pPr>
              <w:pStyle w:val="Tabletext"/>
              <w:rPr>
                <w:sz w:val="24"/>
                <w:szCs w:val="24"/>
              </w:rPr>
            </w:pPr>
            <w:r w:rsidRPr="006E011B">
              <w:rPr>
                <w:sz w:val="24"/>
                <w:szCs w:val="24"/>
              </w:rPr>
              <w:t>1995-1997</w:t>
            </w:r>
          </w:p>
        </w:tc>
        <w:tc>
          <w:tcPr>
            <w:tcW w:w="6378" w:type="dxa"/>
          </w:tcPr>
          <w:p w:rsidR="00B67878" w:rsidRPr="006E011B" w:rsidRDefault="005417ED" w:rsidP="006E011B">
            <w:pPr>
              <w:pStyle w:val="Tabletext"/>
              <w:rPr>
                <w:sz w:val="24"/>
                <w:szCs w:val="24"/>
              </w:rPr>
            </w:pPr>
            <w:r w:rsidRPr="006E011B">
              <w:rPr>
                <w:sz w:val="24"/>
                <w:szCs w:val="24"/>
              </w:rPr>
              <w:t>Mast</w:t>
            </w:r>
            <w:r w:rsidR="0095528D" w:rsidRPr="006E011B">
              <w:rPr>
                <w:bCs/>
                <w:sz w:val="24"/>
                <w:szCs w:val="24"/>
              </w:rPr>
              <w:t>er</w:t>
            </w:r>
            <w:r w:rsidRPr="006E011B">
              <w:rPr>
                <w:sz w:val="24"/>
                <w:szCs w:val="24"/>
              </w:rPr>
              <w:t xml:space="preserve"> (M. Sc</w:t>
            </w:r>
            <w:r w:rsidRPr="006E011B">
              <w:rPr>
                <w:bCs/>
                <w:sz w:val="24"/>
                <w:szCs w:val="24"/>
              </w:rPr>
              <w:t xml:space="preserve">.) </w:t>
            </w:r>
            <w:r w:rsidRPr="006E011B">
              <w:rPr>
                <w:sz w:val="24"/>
                <w:szCs w:val="24"/>
              </w:rPr>
              <w:t>en génie des communications</w:t>
            </w:r>
            <w:r w:rsidR="006E011B">
              <w:rPr>
                <w:b/>
                <w:bCs/>
                <w:sz w:val="24"/>
                <w:szCs w:val="24"/>
              </w:rPr>
              <w:br/>
            </w:r>
            <w:r w:rsidRPr="006E011B">
              <w:rPr>
                <w:sz w:val="24"/>
                <w:szCs w:val="24"/>
              </w:rPr>
              <w:t>Université de technologie Amirkabir (Ecole polytechnique de Téhéran), Téhéran</w:t>
            </w:r>
            <w:r w:rsidR="006E011B">
              <w:rPr>
                <w:sz w:val="24"/>
                <w:szCs w:val="24"/>
              </w:rPr>
              <w:br/>
            </w:r>
            <w:r w:rsidRPr="006E011B">
              <w:rPr>
                <w:sz w:val="24"/>
                <w:szCs w:val="24"/>
              </w:rPr>
              <w:t>Département du génie électrique</w:t>
            </w:r>
          </w:p>
        </w:tc>
      </w:tr>
      <w:tr w:rsidR="00DF5C97" w:rsidRPr="00760CA8" w:rsidTr="00760CA8">
        <w:trPr>
          <w:cantSplit/>
        </w:trPr>
        <w:tc>
          <w:tcPr>
            <w:tcW w:w="3369" w:type="dxa"/>
          </w:tcPr>
          <w:p w:rsidR="00DF5C97" w:rsidRPr="006E011B" w:rsidRDefault="00DF5C97" w:rsidP="0095528D">
            <w:pPr>
              <w:pStyle w:val="Tabletext"/>
              <w:rPr>
                <w:sz w:val="24"/>
                <w:szCs w:val="24"/>
              </w:rPr>
            </w:pPr>
            <w:r w:rsidRPr="006E011B">
              <w:rPr>
                <w:sz w:val="24"/>
                <w:szCs w:val="24"/>
              </w:rPr>
              <w:t>1990-1994</w:t>
            </w:r>
          </w:p>
        </w:tc>
        <w:tc>
          <w:tcPr>
            <w:tcW w:w="6378" w:type="dxa"/>
          </w:tcPr>
          <w:p w:rsidR="00DF5C97" w:rsidRPr="006E011B" w:rsidRDefault="00DF5C97" w:rsidP="006E011B">
            <w:pPr>
              <w:pStyle w:val="Tabletext"/>
              <w:rPr>
                <w:i/>
                <w:iCs/>
                <w:sz w:val="24"/>
                <w:szCs w:val="24"/>
              </w:rPr>
            </w:pPr>
            <w:r w:rsidRPr="006E011B">
              <w:rPr>
                <w:sz w:val="24"/>
                <w:szCs w:val="24"/>
              </w:rPr>
              <w:t xml:space="preserve">Licence (B.Sc.) en génie des communications </w:t>
            </w:r>
            <w:r w:rsidR="006E011B">
              <w:rPr>
                <w:sz w:val="24"/>
                <w:szCs w:val="24"/>
              </w:rPr>
              <w:br/>
              <w:t>U</w:t>
            </w:r>
            <w:r w:rsidRPr="006E011B">
              <w:rPr>
                <w:sz w:val="24"/>
                <w:szCs w:val="24"/>
              </w:rPr>
              <w:t>niversité des sciences et technologies, Téhéran</w:t>
            </w:r>
            <w:r w:rsidR="006E011B">
              <w:rPr>
                <w:sz w:val="24"/>
                <w:szCs w:val="24"/>
              </w:rPr>
              <w:br/>
            </w:r>
            <w:r w:rsidRPr="006E011B">
              <w:rPr>
                <w:sz w:val="24"/>
                <w:szCs w:val="24"/>
              </w:rPr>
              <w:t>Département du génie électrique</w:t>
            </w:r>
          </w:p>
        </w:tc>
      </w:tr>
    </w:tbl>
    <w:p w:rsidR="00717636" w:rsidRDefault="00717636">
      <w:r>
        <w:br w:type="page"/>
      </w:r>
    </w:p>
    <w:tbl>
      <w:tblPr>
        <w:tblW w:w="0" w:type="auto"/>
        <w:tblLook w:val="01E0" w:firstRow="1" w:lastRow="1" w:firstColumn="1" w:lastColumn="1" w:noHBand="0" w:noVBand="0"/>
      </w:tblPr>
      <w:tblGrid>
        <w:gridCol w:w="3369"/>
        <w:gridCol w:w="6378"/>
      </w:tblGrid>
      <w:tr w:rsidR="00B67878" w:rsidRPr="00760CA8" w:rsidTr="00760CA8">
        <w:trPr>
          <w:cantSplit/>
        </w:trPr>
        <w:tc>
          <w:tcPr>
            <w:tcW w:w="3369" w:type="dxa"/>
          </w:tcPr>
          <w:p w:rsidR="00B67878" w:rsidRPr="006E011B" w:rsidRDefault="00C8455A" w:rsidP="00717636">
            <w:pPr>
              <w:spacing w:before="240"/>
              <w:jc w:val="both"/>
              <w:rPr>
                <w:rFonts w:asciiTheme="minorHAnsi" w:hAnsiTheme="minorHAnsi"/>
                <w:b/>
                <w:bCs/>
                <w:szCs w:val="24"/>
              </w:rPr>
            </w:pPr>
            <w:r w:rsidRPr="006E011B">
              <w:rPr>
                <w:rFonts w:asciiTheme="minorHAnsi" w:hAnsiTheme="minorHAnsi"/>
                <w:b/>
                <w:bCs/>
                <w:szCs w:val="24"/>
              </w:rPr>
              <w:lastRenderedPageBreak/>
              <w:t>PARCOURS PROFESSIONNEL</w:t>
            </w:r>
          </w:p>
        </w:tc>
        <w:tc>
          <w:tcPr>
            <w:tcW w:w="6378" w:type="dxa"/>
          </w:tcPr>
          <w:p w:rsidR="00B67878" w:rsidRPr="006E011B" w:rsidRDefault="00B67878" w:rsidP="006E011B">
            <w:pPr>
              <w:jc w:val="both"/>
              <w:rPr>
                <w:rFonts w:asciiTheme="minorHAnsi" w:hAnsiTheme="minorHAnsi"/>
                <w:b/>
                <w:bCs/>
                <w:szCs w:val="24"/>
              </w:rPr>
            </w:pPr>
          </w:p>
        </w:tc>
      </w:tr>
      <w:tr w:rsidR="00B67878" w:rsidRPr="00760CA8" w:rsidTr="00760CA8">
        <w:trPr>
          <w:cantSplit/>
        </w:trPr>
        <w:tc>
          <w:tcPr>
            <w:tcW w:w="3369" w:type="dxa"/>
          </w:tcPr>
          <w:p w:rsidR="00B67878" w:rsidRPr="006E011B" w:rsidRDefault="0002002A" w:rsidP="00717636">
            <w:pPr>
              <w:pStyle w:val="Tabletext"/>
              <w:spacing w:before="180"/>
              <w:rPr>
                <w:sz w:val="24"/>
                <w:szCs w:val="24"/>
              </w:rPr>
            </w:pPr>
            <w:r w:rsidRPr="006E011B">
              <w:rPr>
                <w:sz w:val="24"/>
                <w:szCs w:val="24"/>
              </w:rPr>
              <w:t>Depuis 2008</w:t>
            </w:r>
          </w:p>
        </w:tc>
        <w:tc>
          <w:tcPr>
            <w:tcW w:w="6378" w:type="dxa"/>
          </w:tcPr>
          <w:p w:rsidR="00B67878" w:rsidRPr="006E011B" w:rsidRDefault="0002002A" w:rsidP="00717636">
            <w:pPr>
              <w:pStyle w:val="Tabletext"/>
              <w:spacing w:before="180"/>
              <w:rPr>
                <w:sz w:val="24"/>
                <w:szCs w:val="24"/>
              </w:rPr>
            </w:pPr>
            <w:r w:rsidRPr="006E011B">
              <w:rPr>
                <w:sz w:val="24"/>
                <w:szCs w:val="24"/>
              </w:rPr>
              <w:t>Directeur</w:t>
            </w:r>
            <w:r w:rsidR="006E011B">
              <w:rPr>
                <w:sz w:val="24"/>
                <w:szCs w:val="24"/>
              </w:rPr>
              <w:br/>
            </w:r>
            <w:r w:rsidRPr="006E011B">
              <w:rPr>
                <w:sz w:val="24"/>
                <w:szCs w:val="24"/>
              </w:rPr>
              <w:t>Bureau des organisations internationales spécialisées, Autorité de régulation des communications</w:t>
            </w:r>
          </w:p>
        </w:tc>
      </w:tr>
      <w:tr w:rsidR="00B67878" w:rsidRPr="00760CA8" w:rsidTr="00760CA8">
        <w:trPr>
          <w:cantSplit/>
        </w:trPr>
        <w:tc>
          <w:tcPr>
            <w:tcW w:w="3369" w:type="dxa"/>
          </w:tcPr>
          <w:p w:rsidR="00B67878" w:rsidRPr="006E011B" w:rsidRDefault="00B67878" w:rsidP="006E011B">
            <w:pPr>
              <w:pStyle w:val="Tabletext"/>
              <w:keepNext/>
              <w:keepLines/>
              <w:rPr>
                <w:sz w:val="24"/>
                <w:szCs w:val="24"/>
              </w:rPr>
            </w:pPr>
            <w:r w:rsidRPr="006E011B">
              <w:rPr>
                <w:sz w:val="24"/>
                <w:szCs w:val="24"/>
              </w:rPr>
              <w:t>1999-2008</w:t>
            </w:r>
          </w:p>
        </w:tc>
        <w:tc>
          <w:tcPr>
            <w:tcW w:w="6378" w:type="dxa"/>
          </w:tcPr>
          <w:p w:rsidR="00B67878" w:rsidRPr="006E011B" w:rsidRDefault="00794152" w:rsidP="006E011B">
            <w:pPr>
              <w:pStyle w:val="Tabletext"/>
              <w:keepNext/>
              <w:keepLines/>
              <w:rPr>
                <w:sz w:val="24"/>
                <w:szCs w:val="24"/>
              </w:rPr>
            </w:pPr>
            <w:r w:rsidRPr="006E011B">
              <w:rPr>
                <w:sz w:val="24"/>
                <w:szCs w:val="24"/>
              </w:rPr>
              <w:t>Expert principal</w:t>
            </w:r>
            <w:r w:rsidR="006E011B">
              <w:rPr>
                <w:sz w:val="24"/>
                <w:szCs w:val="24"/>
              </w:rPr>
              <w:br/>
            </w:r>
            <w:r w:rsidRPr="006E011B">
              <w:rPr>
                <w:sz w:val="24"/>
                <w:szCs w:val="24"/>
              </w:rPr>
              <w:t>Bureau des organisations internationales spécialisées, Autorité de régulation des communications</w:t>
            </w:r>
          </w:p>
        </w:tc>
      </w:tr>
      <w:tr w:rsidR="00B67878" w:rsidRPr="00760CA8" w:rsidTr="00760CA8">
        <w:trPr>
          <w:cantSplit/>
        </w:trPr>
        <w:tc>
          <w:tcPr>
            <w:tcW w:w="3369" w:type="dxa"/>
          </w:tcPr>
          <w:p w:rsidR="00B67878" w:rsidRPr="006E011B" w:rsidRDefault="00B67878" w:rsidP="0095528D">
            <w:pPr>
              <w:pStyle w:val="Tabletext"/>
              <w:rPr>
                <w:sz w:val="24"/>
                <w:szCs w:val="24"/>
              </w:rPr>
            </w:pPr>
            <w:r w:rsidRPr="006E011B">
              <w:rPr>
                <w:sz w:val="24"/>
                <w:szCs w:val="24"/>
              </w:rPr>
              <w:t>1997-1999</w:t>
            </w:r>
          </w:p>
        </w:tc>
        <w:tc>
          <w:tcPr>
            <w:tcW w:w="6378" w:type="dxa"/>
          </w:tcPr>
          <w:p w:rsidR="00B67878" w:rsidRPr="006E011B" w:rsidRDefault="00794152" w:rsidP="006E011B">
            <w:pPr>
              <w:pStyle w:val="Tabletext"/>
              <w:rPr>
                <w:b/>
                <w:bCs/>
                <w:i/>
                <w:iCs/>
                <w:sz w:val="24"/>
                <w:szCs w:val="24"/>
              </w:rPr>
            </w:pPr>
            <w:r w:rsidRPr="006E011B">
              <w:rPr>
                <w:sz w:val="24"/>
                <w:szCs w:val="24"/>
              </w:rPr>
              <w:t>Expert</w:t>
            </w:r>
            <w:r w:rsidR="006E011B">
              <w:rPr>
                <w:sz w:val="24"/>
                <w:szCs w:val="24"/>
              </w:rPr>
              <w:br/>
            </w:r>
            <w:r w:rsidRPr="006E011B">
              <w:rPr>
                <w:sz w:val="24"/>
                <w:szCs w:val="24"/>
              </w:rPr>
              <w:t>Département de gestion du spectre, Autorité de régulation des communications</w:t>
            </w:r>
          </w:p>
        </w:tc>
      </w:tr>
    </w:tbl>
    <w:p w:rsidR="006E011B" w:rsidRDefault="006E011B" w:rsidP="006E011B">
      <w:pPr>
        <w:pStyle w:val="Heading1"/>
      </w:pPr>
      <w:r w:rsidRPr="00760CA8">
        <w:t>ACTIVITÉS AU NIVEAU NATIONAL</w:t>
      </w:r>
    </w:p>
    <w:p w:rsidR="006E011B" w:rsidRPr="006E011B" w:rsidRDefault="006E011B" w:rsidP="00717636">
      <w:pPr>
        <w:pStyle w:val="enumlev1"/>
        <w:spacing w:before="120"/>
      </w:pPr>
      <w:r w:rsidRPr="006E011B">
        <w:t>•</w:t>
      </w:r>
      <w:r w:rsidRPr="006E011B">
        <w:tab/>
        <w:t>Coordonnateur de l'Autorité de régulation des communications (CRA) de la République islamique d'Iran sur les questions réglementaires et chargé de liaison avec l'UIT-R</w:t>
      </w:r>
    </w:p>
    <w:p w:rsidR="006E011B" w:rsidRPr="006E011B" w:rsidRDefault="006E011B" w:rsidP="00717636">
      <w:pPr>
        <w:pStyle w:val="enumlev1"/>
        <w:spacing w:before="120"/>
      </w:pPr>
      <w:r w:rsidRPr="006E011B">
        <w:t>•</w:t>
      </w:r>
      <w:r w:rsidRPr="006E011B">
        <w:tab/>
        <w:t>Responsable des questions techniques internationales au sein de la CRA</w:t>
      </w:r>
    </w:p>
    <w:p w:rsidR="006E011B" w:rsidRDefault="006E011B" w:rsidP="00717636">
      <w:pPr>
        <w:pStyle w:val="enumlev1"/>
        <w:spacing w:before="120"/>
      </w:pPr>
      <w:r w:rsidRPr="006E011B">
        <w:t>•</w:t>
      </w:r>
      <w:r w:rsidRPr="006E011B">
        <w:tab/>
        <w:t>Responsable des questions relatives à la coordination et à la notification internationales des fréquences</w:t>
      </w:r>
    </w:p>
    <w:p w:rsidR="006E011B" w:rsidRPr="006E011B" w:rsidRDefault="006E011B" w:rsidP="00717636">
      <w:pPr>
        <w:pStyle w:val="enumlev1"/>
        <w:spacing w:before="120"/>
        <w:rPr>
          <w:b/>
          <w:bCs/>
        </w:rPr>
      </w:pPr>
      <w:r w:rsidRPr="006E011B">
        <w:t>•</w:t>
      </w:r>
      <w:r w:rsidRPr="006E011B">
        <w:tab/>
        <w:t>Responsable de l'examen des projets de Règles de procédure et de la formulation d'observations sur ces projets de Règles pour soumission au RRB</w:t>
      </w:r>
    </w:p>
    <w:p w:rsidR="006E011B" w:rsidRPr="006E011B" w:rsidRDefault="006E011B" w:rsidP="00717636">
      <w:pPr>
        <w:pStyle w:val="enumlev1"/>
        <w:spacing w:before="120"/>
      </w:pPr>
      <w:r w:rsidRPr="006E011B">
        <w:t>•</w:t>
      </w:r>
      <w:r w:rsidRPr="006E011B">
        <w:tab/>
        <w:t>Membre de la délégation de la République islamique d'Iran à la CMR-2000, à la CMR-07, à la PP-10, à la CMDT-10 et à l'AMNT-12</w:t>
      </w:r>
    </w:p>
    <w:p w:rsidR="006E011B" w:rsidRPr="006E011B" w:rsidRDefault="006E011B" w:rsidP="00717636">
      <w:pPr>
        <w:pStyle w:val="enumlev1"/>
        <w:spacing w:before="120"/>
      </w:pPr>
      <w:r w:rsidRPr="006E011B">
        <w:t>•</w:t>
      </w:r>
      <w:r w:rsidRPr="006E011B">
        <w:tab/>
        <w:t>Chef/Chef adjoint de la délégation de la République islamique d'Iran à la CMR-12 et à la CMTI-12</w:t>
      </w:r>
    </w:p>
    <w:p w:rsidR="006E011B" w:rsidRDefault="006E011B" w:rsidP="00717636">
      <w:pPr>
        <w:pStyle w:val="enumlev1"/>
        <w:spacing w:before="120"/>
      </w:pPr>
      <w:r w:rsidRPr="006E011B">
        <w:t>•</w:t>
      </w:r>
      <w:r w:rsidRPr="006E011B">
        <w:tab/>
        <w:t>Responsable</w:t>
      </w:r>
      <w:r>
        <w:t xml:space="preserve"> du Comité</w:t>
      </w:r>
      <w:r w:rsidRPr="006E011B">
        <w:t xml:space="preserve"> en relation avec les commissions d'études au sein de l'Autorité de régulation des communications</w:t>
      </w:r>
    </w:p>
    <w:p w:rsidR="006E011B" w:rsidRPr="006E011B" w:rsidRDefault="006E011B" w:rsidP="00717636">
      <w:pPr>
        <w:pStyle w:val="enumlev1"/>
        <w:spacing w:before="120"/>
      </w:pPr>
      <w:r w:rsidRPr="006E011B">
        <w:t>•</w:t>
      </w:r>
      <w:r w:rsidRPr="006E011B">
        <w:tab/>
        <w:t xml:space="preserve">Chef de la délégation iranienne à diverses réunions régionales et internationales </w:t>
      </w:r>
    </w:p>
    <w:p w:rsidR="006E011B" w:rsidRPr="006E011B" w:rsidRDefault="006E011B" w:rsidP="00717636">
      <w:pPr>
        <w:pStyle w:val="enumlev1"/>
        <w:spacing w:before="120"/>
      </w:pPr>
      <w:r w:rsidRPr="006E011B">
        <w:t>•</w:t>
      </w:r>
      <w:r w:rsidRPr="006E011B">
        <w:tab/>
        <w:t>Chef de la délégation iranienne à différentes réunions bilatérales et multilatérales de coordination des fréquences</w:t>
      </w:r>
    </w:p>
    <w:p w:rsidR="006E011B" w:rsidRPr="006E011B" w:rsidRDefault="006E011B" w:rsidP="00717636">
      <w:pPr>
        <w:pStyle w:val="enumlev1"/>
        <w:spacing w:before="120"/>
      </w:pPr>
      <w:r w:rsidRPr="006E011B">
        <w:t>•</w:t>
      </w:r>
      <w:r w:rsidRPr="006E011B">
        <w:tab/>
        <w:t>Membre du groupe chargé de l'élaboration du Tableau national d'attribution des bandes de fréquences</w:t>
      </w:r>
    </w:p>
    <w:p w:rsidR="006E011B" w:rsidRDefault="006E011B" w:rsidP="00717636">
      <w:pPr>
        <w:pStyle w:val="enumlev1"/>
        <w:spacing w:before="120"/>
      </w:pPr>
      <w:r w:rsidRPr="006E011B">
        <w:t>•</w:t>
      </w:r>
      <w:r w:rsidRPr="006E011B">
        <w:tab/>
        <w:t>Membre du groupe chargé de l'élaboration de la réglementation nationale des radiocommunications et du plan national d'assignation de fréquences</w:t>
      </w:r>
    </w:p>
    <w:p w:rsidR="006E011B" w:rsidRPr="006E011B" w:rsidRDefault="006E011B" w:rsidP="00717636">
      <w:pPr>
        <w:pStyle w:val="enumlev1"/>
        <w:spacing w:before="120"/>
      </w:pPr>
      <w:r w:rsidRPr="006E011B">
        <w:t>•</w:t>
      </w:r>
      <w:r w:rsidRPr="006E011B">
        <w:tab/>
        <w:t>Membre du groupe chargé de la réforme de la régulation de la tarification</w:t>
      </w:r>
    </w:p>
    <w:p w:rsidR="00717636" w:rsidRDefault="00717636">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95528D" w:rsidRDefault="006E011B" w:rsidP="006E011B">
      <w:pPr>
        <w:pStyle w:val="Heading1"/>
      </w:pPr>
      <w:r w:rsidRPr="006E011B">
        <w:lastRenderedPageBreak/>
        <w:t>ACTIVITÉS AUX NIVEAUX RÉGIONAL ET INTERNATIONAL</w:t>
      </w:r>
    </w:p>
    <w:p w:rsidR="001B5FB1" w:rsidRPr="006E011B" w:rsidRDefault="001B5FB1" w:rsidP="00717636">
      <w:pPr>
        <w:pStyle w:val="enumlev1"/>
        <w:spacing w:before="120" w:after="120"/>
      </w:pPr>
      <w:r w:rsidRPr="006E011B">
        <w:t>•</w:t>
      </w:r>
      <w:r w:rsidRPr="006E011B">
        <w:tab/>
        <w:t>Vice-Président de la Commission d'études 4 de l'UIT-R (Services par satellite)</w:t>
      </w:r>
    </w:p>
    <w:p w:rsidR="001B5FB1" w:rsidRPr="006E011B" w:rsidRDefault="001B5FB1" w:rsidP="00717636">
      <w:pPr>
        <w:pStyle w:val="enumlev1"/>
        <w:spacing w:before="120" w:after="120"/>
      </w:pPr>
      <w:r w:rsidRPr="006E011B">
        <w:t>•</w:t>
      </w:r>
      <w:r w:rsidRPr="006E011B">
        <w:tab/>
        <w:t xml:space="preserve">Président du Groupe de travail spécial chargé des questions relatives au </w:t>
      </w:r>
      <w:r>
        <w:t>S</w:t>
      </w:r>
      <w:r w:rsidRPr="006E011B">
        <w:t>ecteur des radiocommunications dans le cadre des réunions préparatoires de l'APT pour la Conférence de plénipotentiaires de l'UIT de 2014 (PP-14)</w:t>
      </w:r>
    </w:p>
    <w:p w:rsidR="001B5FB1" w:rsidRPr="006E011B" w:rsidRDefault="001B5FB1" w:rsidP="00717636">
      <w:pPr>
        <w:pStyle w:val="enumlev1"/>
        <w:spacing w:before="120" w:after="120"/>
      </w:pPr>
      <w:r w:rsidRPr="006E011B">
        <w:t>•</w:t>
      </w:r>
      <w:r w:rsidRPr="006E011B">
        <w:tab/>
        <w:t>Rapporteur du CG4 chargé des questions relatives au Secteur des radiocommunications dans le cadre des réunions préparatoires de l'APT pour la Conférence de plénipotentiaires de l'UIT de 2010 (PP-10)</w:t>
      </w:r>
    </w:p>
    <w:p w:rsidR="001B5FB1" w:rsidRPr="006E011B" w:rsidRDefault="001B5FB1" w:rsidP="00717636">
      <w:pPr>
        <w:pStyle w:val="enumlev1"/>
        <w:spacing w:before="120" w:after="120"/>
      </w:pPr>
      <w:r w:rsidRPr="006E011B">
        <w:t>•</w:t>
      </w:r>
      <w:r w:rsidRPr="006E011B">
        <w:tab/>
        <w:t>Membre de l'équipe ayant mis au point le logiciel de gestion du spectre de l'UIT pour les pays en développement (SMS4DC)</w:t>
      </w:r>
    </w:p>
    <w:p w:rsidR="006E011B" w:rsidRDefault="001B5FB1" w:rsidP="00717636">
      <w:pPr>
        <w:pStyle w:val="enumlev1"/>
        <w:spacing w:before="120" w:after="120"/>
      </w:pPr>
      <w:r w:rsidRPr="006E011B">
        <w:t>•</w:t>
      </w:r>
      <w:r w:rsidRPr="006E011B">
        <w:tab/>
        <w:t>Membre de l'équipe ayant mis au point le Programme de formation à la gestion du spectre (SMTP) de l'UIT</w:t>
      </w:r>
    </w:p>
    <w:p w:rsidR="001B5FB1" w:rsidRDefault="001B5FB1" w:rsidP="00717636">
      <w:pPr>
        <w:pStyle w:val="enumlev1"/>
        <w:spacing w:before="120" w:after="120"/>
      </w:pPr>
      <w:r w:rsidRPr="006E011B">
        <w:t>•</w:t>
      </w:r>
      <w:r w:rsidRPr="006E011B">
        <w:tab/>
      </w:r>
      <w:r w:rsidRPr="006E011B">
        <w:rPr>
          <w:rFonts w:asciiTheme="minorHAnsi" w:hAnsiTheme="minorHAnsi"/>
        </w:rPr>
        <w:t>Formateur dans plusieurs pays en tant que consultant de l'UIT sur les fonctions du logiciel SMS4DC, l'attribution des fréquences, l'assignation des fréquences et les calculs de la coordination et des brouillages</w:t>
      </w:r>
    </w:p>
    <w:p w:rsidR="001B5FB1" w:rsidRDefault="001B5FB1" w:rsidP="00717636">
      <w:pPr>
        <w:pStyle w:val="enumlev1"/>
        <w:spacing w:before="120" w:after="120"/>
      </w:pPr>
      <w:r w:rsidRPr="006E011B">
        <w:t>•</w:t>
      </w:r>
      <w:r w:rsidRPr="006E011B">
        <w:tab/>
        <w:t>Instructeur du noeud du Centre d'excellence de l'UIT de la région Asie-Pacifique dans le domaine de la gestion du spectre</w:t>
      </w:r>
    </w:p>
    <w:p w:rsidR="001B5FB1" w:rsidRPr="006E011B" w:rsidRDefault="001B5FB1" w:rsidP="00717636">
      <w:pPr>
        <w:pStyle w:val="enumlev1"/>
        <w:spacing w:before="120" w:after="120"/>
      </w:pPr>
      <w:r w:rsidRPr="006E011B">
        <w:t>•</w:t>
      </w:r>
      <w:r w:rsidRPr="006E011B">
        <w:tab/>
        <w:t>Depuis 1999, participation aux activités des réunions et conférences régionales ou internationales suivantes:</w:t>
      </w:r>
    </w:p>
    <w:p w:rsidR="001B5FB1" w:rsidRPr="006E011B" w:rsidRDefault="001B5FB1" w:rsidP="001B5FB1">
      <w:pPr>
        <w:pStyle w:val="enumlev2"/>
      </w:pPr>
      <w:r w:rsidRPr="006E011B">
        <w:t>–</w:t>
      </w:r>
      <w:r w:rsidRPr="006E011B">
        <w:tab/>
        <w:t>Conférence mondiale des télécommunications internationales (CMTI-12), Dubaï (Emirats arabes unis), 3-14 décembre 2012</w:t>
      </w:r>
    </w:p>
    <w:p w:rsidR="001B5FB1" w:rsidRPr="006E011B" w:rsidRDefault="001B5FB1" w:rsidP="001B5FB1">
      <w:pPr>
        <w:pStyle w:val="enumlev2"/>
      </w:pPr>
      <w:r w:rsidRPr="006E011B">
        <w:t>–</w:t>
      </w:r>
      <w:r w:rsidRPr="006E011B">
        <w:tab/>
        <w:t>Assemblée mondiale de normalisation des télécommunications (AMNT-12), Dubaï (Emirats arabes unis), 20-29 novembre 2012</w:t>
      </w:r>
    </w:p>
    <w:p w:rsidR="001B5FB1" w:rsidRPr="006E011B" w:rsidRDefault="001B5FB1" w:rsidP="001B5FB1">
      <w:pPr>
        <w:pStyle w:val="enumlev2"/>
      </w:pPr>
      <w:r w:rsidRPr="006E011B">
        <w:t>–</w:t>
      </w:r>
      <w:r w:rsidRPr="006E011B">
        <w:tab/>
        <w:t>Conférence mondiale des radiocommunications de 2012 (CMR-12), Genève (Suisse), 2012</w:t>
      </w:r>
    </w:p>
    <w:p w:rsidR="001B5FB1" w:rsidRPr="006E011B" w:rsidRDefault="001B5FB1" w:rsidP="001B5FB1">
      <w:pPr>
        <w:pStyle w:val="enumlev2"/>
      </w:pPr>
      <w:r w:rsidRPr="006E011B">
        <w:t>–</w:t>
      </w:r>
      <w:r w:rsidRPr="006E011B">
        <w:tab/>
        <w:t>Réunion de préparation à la Conférence en vue de la CMR-12 (RPC-11), Genève (Suisse), février 2011</w:t>
      </w:r>
    </w:p>
    <w:p w:rsidR="001B5FB1" w:rsidRPr="006E011B" w:rsidRDefault="001B5FB1" w:rsidP="001B5FB1">
      <w:pPr>
        <w:pStyle w:val="enumlev2"/>
      </w:pPr>
      <w:r w:rsidRPr="006E011B">
        <w:t>–</w:t>
      </w:r>
      <w:r w:rsidRPr="006E011B">
        <w:tab/>
        <w:t>Conférence de plénipotentiaires de 2010 (PP-10), 4-22 octobre 2010, Guadalajara (Mexique)</w:t>
      </w:r>
    </w:p>
    <w:p w:rsidR="001B5FB1" w:rsidRPr="006E011B" w:rsidRDefault="001B5FB1" w:rsidP="001B5FB1">
      <w:pPr>
        <w:pStyle w:val="enumlev2"/>
      </w:pPr>
      <w:r w:rsidRPr="006E011B">
        <w:t>–</w:t>
      </w:r>
      <w:r w:rsidRPr="006E011B">
        <w:tab/>
        <w:t>Conférence mondiale de développement des télécommunications (CMDT-10), 24 mai </w:t>
      </w:r>
      <w:r w:rsidRPr="006E011B">
        <w:noBreakHyphen/>
        <w:t> 2 juin 2010, Inde</w:t>
      </w:r>
    </w:p>
    <w:p w:rsidR="001B5FB1" w:rsidRPr="006E011B" w:rsidRDefault="001B5FB1" w:rsidP="001B5FB1">
      <w:pPr>
        <w:pStyle w:val="enumlev2"/>
      </w:pPr>
      <w:r w:rsidRPr="006E011B">
        <w:t>–</w:t>
      </w:r>
      <w:r w:rsidRPr="006E011B">
        <w:tab/>
        <w:t>Conférence mondiale des radiocommunications de 2007 (CMR-07), Genève (Suisse), 2007</w:t>
      </w:r>
    </w:p>
    <w:p w:rsidR="001B5FB1" w:rsidRPr="006E011B" w:rsidRDefault="001B5FB1" w:rsidP="001B5FB1">
      <w:pPr>
        <w:pStyle w:val="enumlev2"/>
      </w:pPr>
      <w:r w:rsidRPr="006E011B">
        <w:t>–</w:t>
      </w:r>
      <w:r w:rsidRPr="006E011B">
        <w:tab/>
        <w:t>Réunion de préparation à la Conférence (RPC-06), Genève (Suisse), 2006</w:t>
      </w:r>
    </w:p>
    <w:p w:rsidR="001B5FB1" w:rsidRPr="006E011B" w:rsidRDefault="001B5FB1" w:rsidP="001B5FB1">
      <w:pPr>
        <w:pStyle w:val="enumlev2"/>
      </w:pPr>
      <w:r w:rsidRPr="006E011B">
        <w:t>–</w:t>
      </w:r>
      <w:r w:rsidRPr="006E011B">
        <w:tab/>
        <w:t>Conférence mondiale des radiocommunications de 2003 (CMR-03), Genève (Suisse), 2003</w:t>
      </w:r>
    </w:p>
    <w:p w:rsidR="001B5FB1" w:rsidRPr="006E011B" w:rsidRDefault="001B5FB1" w:rsidP="001B5FB1">
      <w:pPr>
        <w:pStyle w:val="enumlev2"/>
      </w:pPr>
      <w:r w:rsidRPr="006E011B">
        <w:t>–</w:t>
      </w:r>
      <w:r w:rsidRPr="006E011B">
        <w:tab/>
        <w:t>Conférence mondiale des radiocommunications de 2000 (CMR-2000), Istanbul (Turquie), 2000</w:t>
      </w:r>
    </w:p>
    <w:p w:rsidR="001B5FB1" w:rsidRDefault="001B5FB1" w:rsidP="001B5FB1">
      <w:pPr>
        <w:pStyle w:val="enumlev2"/>
      </w:pPr>
      <w:r w:rsidRPr="006E011B">
        <w:t>–</w:t>
      </w:r>
      <w:r w:rsidRPr="006E011B">
        <w:tab/>
        <w:t>Réunion de préparation à la Conférence en vue de la CMR-2000 (RPC-99), Genève (Suisse), 1999</w:t>
      </w:r>
    </w:p>
    <w:p w:rsidR="00717636" w:rsidRDefault="00717636" w:rsidP="001B5FB1">
      <w:pPr>
        <w:pStyle w:val="Heading1"/>
      </w:pPr>
    </w:p>
    <w:p w:rsidR="001B5FB1" w:rsidRDefault="001B5FB1" w:rsidP="00717636">
      <w:pPr>
        <w:pStyle w:val="Heading1"/>
        <w:spacing w:before="0"/>
      </w:pPr>
      <w:r w:rsidRPr="006E011B">
        <w:t>Engagement</w:t>
      </w:r>
    </w:p>
    <w:p w:rsidR="001B5FB1" w:rsidRPr="006E011B" w:rsidRDefault="001B5FB1" w:rsidP="00717636">
      <w:pPr>
        <w:spacing w:after="120"/>
        <w:rPr>
          <w:rFonts w:asciiTheme="minorHAnsi" w:hAnsiTheme="minorHAnsi"/>
        </w:rPr>
      </w:pPr>
      <w:r w:rsidRPr="006E011B">
        <w:t>M. Alireza Darvishi a acquis une longue expérience des questions techniques et réglementaires liées aux radiocommunications et à la gestion du spectre. Il assume les fonctions de coordonnateur de la République islamique d'Iran pour ce qui concerne les radiocommunications et la coordination des fréquences. En outre, il a activement participé et contribué aux différentes conférences et activités internationales relatives aux radiocommunications</w:t>
      </w:r>
      <w:r w:rsidRPr="006E011B">
        <w:rPr>
          <w:rFonts w:asciiTheme="minorHAnsi" w:hAnsiTheme="minorHAnsi"/>
        </w:rPr>
        <w:t>.</w:t>
      </w:r>
    </w:p>
    <w:p w:rsidR="001B5FB1" w:rsidRPr="006E011B" w:rsidRDefault="001B5FB1" w:rsidP="00717636">
      <w:pPr>
        <w:spacing w:after="120"/>
        <w:rPr>
          <w:rFonts w:asciiTheme="minorHAnsi" w:hAnsiTheme="minorHAnsi"/>
        </w:rPr>
      </w:pPr>
      <w:r w:rsidRPr="006E011B">
        <w:t>Il fait partie de l'équipe ayant conçu le logiciel de gestion du spectre de l'UIT pour les pays en développement (SMS4DC) et le Programme</w:t>
      </w:r>
      <w:r w:rsidRPr="006E011B">
        <w:rPr>
          <w:rFonts w:asciiTheme="minorHAnsi" w:hAnsiTheme="minorHAnsi"/>
        </w:rPr>
        <w:t xml:space="preserve"> de formation à la gestion du spectre (SMTP) de l'UIT. Il</w:t>
      </w:r>
      <w:r w:rsidRPr="006E011B">
        <w:t xml:space="preserve"> enseigne en tant qu'instructeur au nœud du Centre d'excellence de l'UIT de la région Asie-Pacifique dans le domaine de la gestion du spectre, lors de réunions traditionnelles ou virtuelles</w:t>
      </w:r>
      <w:r w:rsidRPr="006E011B">
        <w:rPr>
          <w:rFonts w:asciiTheme="minorHAnsi" w:hAnsiTheme="minorHAnsi"/>
        </w:rPr>
        <w:t>.</w:t>
      </w:r>
    </w:p>
    <w:p w:rsidR="001B5FB1" w:rsidRPr="001B5FB1" w:rsidRDefault="001B5FB1" w:rsidP="00717636">
      <w:pPr>
        <w:spacing w:after="120"/>
      </w:pPr>
      <w:r w:rsidRPr="006E011B">
        <w:t>Ses compétences techniques, sa connaissance du Règlement des radiocommunications et l'expérience qu'il a acquise dans ce domaine font de lui un candidat particulièrement apte à exercer les fonctions de membre du Comité du Règlement des radiocommunications au service des Membres de l'UIT</w:t>
      </w:r>
      <w:r w:rsidRPr="006E011B">
        <w:rPr>
          <w:rFonts w:asciiTheme="minorHAnsi" w:hAnsiTheme="minorHAnsi"/>
        </w:rPr>
        <w:t xml:space="preserve">. Il est et restera attaché au grand objectif que constitue l'amélioration du </w:t>
      </w:r>
      <w:r w:rsidRPr="006E011B">
        <w:t>bien</w:t>
      </w:r>
      <w:r w:rsidRPr="006E011B">
        <w:noBreakHyphen/>
        <w:t xml:space="preserve">être des </w:t>
      </w:r>
      <w:r w:rsidRPr="006E011B">
        <w:rPr>
          <w:rFonts w:asciiTheme="minorHAnsi" w:hAnsiTheme="minorHAnsi"/>
        </w:rPr>
        <w:t>personnes partout dans le monde grâce à l'utilisation des technologies de l'information et de la communication.</w:t>
      </w:r>
    </w:p>
    <w:p w:rsidR="00BD1614" w:rsidRPr="00760CA8" w:rsidRDefault="007F738D" w:rsidP="00717636">
      <w:pPr>
        <w:spacing w:before="840"/>
        <w:jc w:val="center"/>
      </w:pPr>
      <w:r w:rsidRPr="00760CA8">
        <w:t>______________</w:t>
      </w:r>
      <w:bookmarkStart w:id="8" w:name="_GoBack"/>
      <w:bookmarkEnd w:id="8"/>
    </w:p>
    <w:sectPr w:rsidR="00BD1614" w:rsidRPr="00760CA8" w:rsidSect="003A0B7D">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2E" w:rsidRDefault="0034512E">
      <w:r>
        <w:separator/>
      </w:r>
    </w:p>
  </w:endnote>
  <w:endnote w:type="continuationSeparator" w:id="0">
    <w:p w:rsidR="0034512E" w:rsidRDefault="003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Pr="004A435B" w:rsidRDefault="000C467B" w:rsidP="0064284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2E" w:rsidRDefault="0034512E">
      <w:r>
        <w:t>____________________</w:t>
      </w:r>
    </w:p>
  </w:footnote>
  <w:footnote w:type="continuationSeparator" w:id="0">
    <w:p w:rsidR="0034512E" w:rsidRDefault="00345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717636">
    <w:pPr>
      <w:pStyle w:val="Header"/>
    </w:pPr>
    <w:r>
      <w:fldChar w:fldCharType="begin"/>
    </w:r>
    <w:r>
      <w:instrText xml:space="preserve"> PAGE </w:instrText>
    </w:r>
    <w:r>
      <w:fldChar w:fldCharType="separate"/>
    </w:r>
    <w:r w:rsidR="00717636">
      <w:rPr>
        <w:noProof/>
      </w:rPr>
      <w:t>6</w:t>
    </w:r>
    <w:r>
      <w:fldChar w:fldCharType="end"/>
    </w:r>
  </w:p>
  <w:p w:rsidR="00BD1614" w:rsidRPr="00407795" w:rsidRDefault="00407795" w:rsidP="00343F0F">
    <w:pPr>
      <w:pStyle w:val="Header"/>
    </w:pPr>
    <w:r>
      <w:t>PP14/</w:t>
    </w:r>
    <w:r w:rsidR="00343F0F">
      <w:t>36</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302"/>
    <w:multiLevelType w:val="hybridMultilevel"/>
    <w:tmpl w:val="ACF0FCB0"/>
    <w:lvl w:ilvl="0" w:tplc="59766E5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1D578E5"/>
    <w:multiLevelType w:val="hybridMultilevel"/>
    <w:tmpl w:val="8F80C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590288"/>
    <w:multiLevelType w:val="hybridMultilevel"/>
    <w:tmpl w:val="8708A0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2E"/>
    <w:rsid w:val="000054D8"/>
    <w:rsid w:val="0002002A"/>
    <w:rsid w:val="00046C07"/>
    <w:rsid w:val="00072D5C"/>
    <w:rsid w:val="00084308"/>
    <w:rsid w:val="000B14B6"/>
    <w:rsid w:val="000B4811"/>
    <w:rsid w:val="000C467B"/>
    <w:rsid w:val="000D15FB"/>
    <w:rsid w:val="001051E4"/>
    <w:rsid w:val="00106A18"/>
    <w:rsid w:val="00107743"/>
    <w:rsid w:val="00111552"/>
    <w:rsid w:val="00133915"/>
    <w:rsid w:val="001354EA"/>
    <w:rsid w:val="00136FCE"/>
    <w:rsid w:val="00144D64"/>
    <w:rsid w:val="00153BA4"/>
    <w:rsid w:val="00190BCE"/>
    <w:rsid w:val="001941AD"/>
    <w:rsid w:val="001A0682"/>
    <w:rsid w:val="001A1C0C"/>
    <w:rsid w:val="001B5FB1"/>
    <w:rsid w:val="001E1B9B"/>
    <w:rsid w:val="001F6233"/>
    <w:rsid w:val="002250CF"/>
    <w:rsid w:val="002C1059"/>
    <w:rsid w:val="002C1E3B"/>
    <w:rsid w:val="002C2F9C"/>
    <w:rsid w:val="00317E42"/>
    <w:rsid w:val="00343F0F"/>
    <w:rsid w:val="0034512E"/>
    <w:rsid w:val="00361BBC"/>
    <w:rsid w:val="00373D11"/>
    <w:rsid w:val="003A0B7D"/>
    <w:rsid w:val="003A45C2"/>
    <w:rsid w:val="003C4BE2"/>
    <w:rsid w:val="003D147D"/>
    <w:rsid w:val="003F5BC4"/>
    <w:rsid w:val="00407795"/>
    <w:rsid w:val="00430015"/>
    <w:rsid w:val="004678D0"/>
    <w:rsid w:val="00471BF7"/>
    <w:rsid w:val="004749B6"/>
    <w:rsid w:val="00482954"/>
    <w:rsid w:val="004A435B"/>
    <w:rsid w:val="00524001"/>
    <w:rsid w:val="005260BA"/>
    <w:rsid w:val="005417ED"/>
    <w:rsid w:val="00564B63"/>
    <w:rsid w:val="00575DC7"/>
    <w:rsid w:val="005836C2"/>
    <w:rsid w:val="005A1E15"/>
    <w:rsid w:val="005A4EFD"/>
    <w:rsid w:val="005A5ABE"/>
    <w:rsid w:val="005C2ECC"/>
    <w:rsid w:val="005E419E"/>
    <w:rsid w:val="00611CF1"/>
    <w:rsid w:val="006201D9"/>
    <w:rsid w:val="006277DB"/>
    <w:rsid w:val="00635B7B"/>
    <w:rsid w:val="0064284E"/>
    <w:rsid w:val="006548C0"/>
    <w:rsid w:val="00655B98"/>
    <w:rsid w:val="006668D7"/>
    <w:rsid w:val="00671814"/>
    <w:rsid w:val="00686973"/>
    <w:rsid w:val="006A4554"/>
    <w:rsid w:val="006A6342"/>
    <w:rsid w:val="006B6C9C"/>
    <w:rsid w:val="006C7AE3"/>
    <w:rsid w:val="006D55E8"/>
    <w:rsid w:val="006E011B"/>
    <w:rsid w:val="006E1921"/>
    <w:rsid w:val="006F36F9"/>
    <w:rsid w:val="0070576B"/>
    <w:rsid w:val="00713335"/>
    <w:rsid w:val="00717636"/>
    <w:rsid w:val="00727C2F"/>
    <w:rsid w:val="00735F13"/>
    <w:rsid w:val="00760CA8"/>
    <w:rsid w:val="007717F2"/>
    <w:rsid w:val="0078134C"/>
    <w:rsid w:val="00794152"/>
    <w:rsid w:val="007A5830"/>
    <w:rsid w:val="007E69E5"/>
    <w:rsid w:val="007F738D"/>
    <w:rsid w:val="00801256"/>
    <w:rsid w:val="00814B5C"/>
    <w:rsid w:val="008703CB"/>
    <w:rsid w:val="00875897"/>
    <w:rsid w:val="0087758D"/>
    <w:rsid w:val="008A322F"/>
    <w:rsid w:val="008A3D87"/>
    <w:rsid w:val="008A7C0B"/>
    <w:rsid w:val="008C33C2"/>
    <w:rsid w:val="008C6137"/>
    <w:rsid w:val="008E2DB4"/>
    <w:rsid w:val="008E598C"/>
    <w:rsid w:val="00901DD5"/>
    <w:rsid w:val="00904191"/>
    <w:rsid w:val="0090735B"/>
    <w:rsid w:val="00912D5E"/>
    <w:rsid w:val="00930302"/>
    <w:rsid w:val="00934340"/>
    <w:rsid w:val="0095528D"/>
    <w:rsid w:val="00966CD3"/>
    <w:rsid w:val="00987A20"/>
    <w:rsid w:val="009A0E15"/>
    <w:rsid w:val="009E1B8D"/>
    <w:rsid w:val="009F013E"/>
    <w:rsid w:val="009F0592"/>
    <w:rsid w:val="00A20E72"/>
    <w:rsid w:val="00A246DC"/>
    <w:rsid w:val="00A24FF7"/>
    <w:rsid w:val="00A47BAF"/>
    <w:rsid w:val="00A5784F"/>
    <w:rsid w:val="00A8436E"/>
    <w:rsid w:val="00A95B66"/>
    <w:rsid w:val="00AE0667"/>
    <w:rsid w:val="00AE283B"/>
    <w:rsid w:val="00B41E0A"/>
    <w:rsid w:val="00B56DE0"/>
    <w:rsid w:val="00B67878"/>
    <w:rsid w:val="00B71F12"/>
    <w:rsid w:val="00B96B1E"/>
    <w:rsid w:val="00BA3604"/>
    <w:rsid w:val="00BB2A6F"/>
    <w:rsid w:val="00BC4B12"/>
    <w:rsid w:val="00BD1614"/>
    <w:rsid w:val="00BF7D25"/>
    <w:rsid w:val="00C010C0"/>
    <w:rsid w:val="00C54CE6"/>
    <w:rsid w:val="00C575E2"/>
    <w:rsid w:val="00C7368B"/>
    <w:rsid w:val="00C837B6"/>
    <w:rsid w:val="00C8455A"/>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5C97"/>
    <w:rsid w:val="00DF79B0"/>
    <w:rsid w:val="00E1047D"/>
    <w:rsid w:val="00E31E5F"/>
    <w:rsid w:val="00E372DD"/>
    <w:rsid w:val="00E408FC"/>
    <w:rsid w:val="00E443FA"/>
    <w:rsid w:val="00E54FCE"/>
    <w:rsid w:val="00E82FD1"/>
    <w:rsid w:val="00E93D35"/>
    <w:rsid w:val="00EA45DB"/>
    <w:rsid w:val="00ED2CD9"/>
    <w:rsid w:val="00F564C1"/>
    <w:rsid w:val="00F77FA2"/>
    <w:rsid w:val="00F8357A"/>
    <w:rsid w:val="00FA1B77"/>
    <w:rsid w:val="00FB0D90"/>
    <w:rsid w:val="00FB109B"/>
    <w:rsid w:val="00FB4B65"/>
    <w:rsid w:val="00FB74B8"/>
    <w:rsid w:val="00FC49E0"/>
    <w:rsid w:val="00FD3576"/>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styleId="Strong">
    <w:name w:val="Strong"/>
    <w:uiPriority w:val="99"/>
    <w:qFormat/>
    <w:rsid w:val="00B67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character" w:styleId="Strong">
    <w:name w:val="Strong"/>
    <w:uiPriority w:val="99"/>
    <w:qFormat/>
    <w:rsid w:val="00B67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vishi@cra.i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D6A99-A24F-4B01-B828-01D6E432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3</TotalTime>
  <Pages>6</Pages>
  <Words>1270</Words>
  <Characters>7838</Characters>
  <Application>Microsoft Office Word</Application>
  <DocSecurity>4</DocSecurity>
  <Lines>65</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9090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Fleur, Severine</dc:creator>
  <cp:keywords>PP-06</cp:keywords>
  <dc:description>PF_PP14.dotx  For: _x000d_Document date: _x000d_Saved by ITU51009317 at 10:31:32 on 19/03/2013</dc:description>
  <cp:lastModifiedBy>Brouard, Ricarda</cp:lastModifiedBy>
  <cp:revision>2</cp:revision>
  <cp:lastPrinted>2014-03-30T07:30:00Z</cp:lastPrinted>
  <dcterms:created xsi:type="dcterms:W3CDTF">2014-04-01T14:16:00Z</dcterms:created>
  <dcterms:modified xsi:type="dcterms:W3CDTF">2014-04-01T14:16:00Z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