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63464E" w:rsidRPr="00211CFF" w:rsidTr="004777FC">
        <w:trPr>
          <w:cantSplit/>
        </w:trPr>
        <w:tc>
          <w:tcPr>
            <w:tcW w:w="6912" w:type="dxa"/>
          </w:tcPr>
          <w:p w:rsidR="0063464E" w:rsidRPr="00211CFF" w:rsidRDefault="0063464E" w:rsidP="009C28CA">
            <w:pPr>
              <w:spacing w:before="360"/>
              <w:rPr>
                <w:rFonts w:asciiTheme="minorHAnsi" w:hAnsiTheme="minorHAnsi" w:cstheme="minorHAnsi"/>
                <w:szCs w:val="24"/>
              </w:rPr>
            </w:pPr>
            <w:bookmarkStart w:id="0" w:name="dpp"/>
            <w:bookmarkStart w:id="1" w:name="dbluepink" w:colFirst="0" w:colLast="0"/>
            <w:bookmarkStart w:id="2" w:name="_GoBack"/>
            <w:bookmarkEnd w:id="0"/>
            <w:bookmarkEnd w:id="2"/>
            <w:r w:rsidRPr="00211CFF">
              <w:rPr>
                <w:rFonts w:asciiTheme="minorHAnsi" w:hAnsiTheme="minorHAnsi" w:cstheme="minorHAnsi"/>
                <w:b/>
                <w:sz w:val="30"/>
                <w:szCs w:val="30"/>
              </w:rPr>
              <w:t>Conferencia de Plenipotenciarios (PP-1</w:t>
            </w:r>
            <w:r w:rsidR="009C28CA" w:rsidRPr="00211CFF">
              <w:rPr>
                <w:rFonts w:asciiTheme="minorHAnsi" w:hAnsiTheme="minorHAnsi" w:cstheme="minorHAnsi"/>
                <w:b/>
                <w:sz w:val="30"/>
                <w:szCs w:val="30"/>
              </w:rPr>
              <w:t>4</w:t>
            </w:r>
            <w:r w:rsidRPr="00211CFF">
              <w:rPr>
                <w:rFonts w:asciiTheme="minorHAnsi" w:hAnsiTheme="minorHAnsi" w:cstheme="minorHAnsi"/>
                <w:b/>
                <w:sz w:val="30"/>
                <w:szCs w:val="30"/>
              </w:rPr>
              <w:t>)</w:t>
            </w:r>
            <w:r w:rsidRPr="00211CFF">
              <w:rPr>
                <w:rFonts w:asciiTheme="minorHAnsi" w:hAnsiTheme="minorHAnsi" w:cstheme="minorHAnsi"/>
                <w:sz w:val="30"/>
                <w:szCs w:val="30"/>
              </w:rPr>
              <w:br/>
            </w:r>
            <w:r w:rsidR="009C28CA" w:rsidRPr="00211CFF">
              <w:rPr>
                <w:rFonts w:asciiTheme="minorHAnsi" w:hAnsiTheme="minorHAnsi" w:cstheme="minorHAnsi"/>
                <w:b/>
                <w:bCs/>
                <w:szCs w:val="24"/>
              </w:rPr>
              <w:t>Busán</w:t>
            </w:r>
            <w:r w:rsidRPr="00211CFF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="009C28CA" w:rsidRPr="00211CFF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  <w:r w:rsidRPr="00211CFF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octubre</w:t>
            </w:r>
            <w:r w:rsidR="009C28CA" w:rsidRPr="00211CFF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7 de noviembre</w:t>
            </w:r>
            <w:r w:rsidRPr="00211CFF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201</w:t>
            </w:r>
            <w:r w:rsidR="009C28CA" w:rsidRPr="00211CFF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</w:p>
        </w:tc>
        <w:tc>
          <w:tcPr>
            <w:tcW w:w="3261" w:type="dxa"/>
          </w:tcPr>
          <w:p w:rsidR="0063464E" w:rsidRPr="00211CFF" w:rsidRDefault="000113CD" w:rsidP="0063464E">
            <w:pPr>
              <w:spacing w:before="0"/>
              <w:rPr>
                <w:rFonts w:asciiTheme="minorHAnsi" w:hAnsiTheme="minorHAnsi" w:cstheme="minorHAnsi"/>
                <w:szCs w:val="24"/>
              </w:rPr>
            </w:pPr>
            <w:bookmarkStart w:id="3" w:name="ditulogo"/>
            <w:bookmarkEnd w:id="3"/>
            <w:r w:rsidRPr="00211CFF">
              <w:rPr>
                <w:rFonts w:asciiTheme="minorHAnsi" w:hAnsiTheme="minorHAnsi"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1D10F78" wp14:editId="1C4B2944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64E" w:rsidRPr="00211CFF" w:rsidTr="004777FC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63464E" w:rsidRPr="00211CFF" w:rsidRDefault="0063464E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3464E" w:rsidRPr="00211CFF" w:rsidTr="004777FC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63464E" w:rsidRPr="00211CFF" w:rsidRDefault="0063464E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3464E" w:rsidRPr="00211CFF" w:rsidRDefault="0063464E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3464E" w:rsidRPr="00211CFF" w:rsidTr="004777F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63464E" w:rsidRPr="00211CFF" w:rsidRDefault="0063464E" w:rsidP="0063464E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asciiTheme="minorHAnsi" w:hAnsiTheme="minorHAnsi" w:cstheme="minorHAnsi"/>
                <w:b/>
                <w:smallCaps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211CFF">
              <w:rPr>
                <w:rFonts w:asciiTheme="minorHAnsi" w:hAnsiTheme="minorHAnsi" w:cstheme="minorHAnsi"/>
                <w:b/>
                <w:smallCap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63464E" w:rsidRPr="00211CFF" w:rsidRDefault="001E549F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1CFF">
              <w:rPr>
                <w:rFonts w:asciiTheme="minorHAnsi" w:hAnsiTheme="minorHAnsi" w:cstheme="minorHAnsi"/>
                <w:b/>
                <w:bCs/>
                <w:szCs w:val="24"/>
              </w:rPr>
              <w:t>Documento 4</w:t>
            </w:r>
            <w:r w:rsidR="004777FC" w:rsidRPr="00211CFF">
              <w:rPr>
                <w:rFonts w:asciiTheme="minorHAnsi" w:hAnsiTheme="minorHAnsi" w:cstheme="minorHAnsi"/>
                <w:b/>
                <w:bCs/>
                <w:szCs w:val="24"/>
              </w:rPr>
              <w:t>(Rev.1)</w:t>
            </w:r>
            <w:r w:rsidR="0063464E" w:rsidRPr="00211CFF">
              <w:rPr>
                <w:rFonts w:asciiTheme="minorHAnsi" w:hAnsiTheme="minorHAnsi" w:cstheme="minorHAnsi"/>
                <w:b/>
                <w:bCs/>
                <w:szCs w:val="24"/>
              </w:rPr>
              <w:t>-S</w:t>
            </w:r>
          </w:p>
        </w:tc>
      </w:tr>
      <w:tr w:rsidR="0063464E" w:rsidRPr="00211CFF" w:rsidTr="004777F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63464E" w:rsidRPr="00211CFF" w:rsidRDefault="0063464E">
            <w:pPr>
              <w:shd w:val="solid" w:color="FFFFFF" w:fill="FFFFFF"/>
              <w:spacing w:before="0"/>
              <w:rPr>
                <w:rFonts w:asciiTheme="minorHAnsi" w:hAnsiTheme="minorHAnsi" w:cstheme="minorHAnsi"/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63464E" w:rsidRPr="00211CFF" w:rsidRDefault="004777FC" w:rsidP="001E549F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1CFF">
              <w:rPr>
                <w:rFonts w:asciiTheme="minorHAnsi" w:hAnsiTheme="minorHAnsi" w:cstheme="minorHAnsi"/>
                <w:b/>
                <w:bCs/>
                <w:szCs w:val="24"/>
              </w:rPr>
              <w:t xml:space="preserve">17 </w:t>
            </w:r>
            <w:r w:rsidR="0063464E" w:rsidRPr="00211CFF">
              <w:rPr>
                <w:rFonts w:asciiTheme="minorHAnsi" w:hAnsiTheme="minorHAnsi" w:cstheme="minorHAnsi"/>
                <w:b/>
                <w:bCs/>
                <w:szCs w:val="24"/>
              </w:rPr>
              <w:t xml:space="preserve">de </w:t>
            </w:r>
            <w:r w:rsidR="001E549F" w:rsidRPr="00211CFF">
              <w:rPr>
                <w:rFonts w:asciiTheme="minorHAnsi" w:hAnsiTheme="minorHAnsi" w:cstheme="minorHAnsi"/>
                <w:b/>
                <w:bCs/>
                <w:szCs w:val="24"/>
              </w:rPr>
              <w:t>junio</w:t>
            </w:r>
            <w:r w:rsidR="0063464E" w:rsidRPr="00211CFF">
              <w:rPr>
                <w:rFonts w:asciiTheme="minorHAnsi" w:hAnsiTheme="minorHAnsi" w:cstheme="minorHAnsi"/>
                <w:b/>
                <w:bCs/>
                <w:szCs w:val="24"/>
              </w:rPr>
              <w:t xml:space="preserve"> de 20</w:t>
            </w:r>
            <w:r w:rsidR="009C28CA" w:rsidRPr="00211CFF">
              <w:rPr>
                <w:rFonts w:asciiTheme="minorHAnsi" w:hAnsiTheme="minorHAnsi" w:cstheme="minorHAnsi"/>
                <w:b/>
                <w:bCs/>
                <w:szCs w:val="24"/>
              </w:rPr>
              <w:t>13</w:t>
            </w:r>
          </w:p>
        </w:tc>
      </w:tr>
      <w:tr w:rsidR="0063464E" w:rsidRPr="00211CFF" w:rsidTr="004777FC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63464E" w:rsidRPr="00211CFF" w:rsidRDefault="0063464E">
            <w:pPr>
              <w:shd w:val="solid" w:color="FFFFFF" w:fill="FFFFFF"/>
              <w:spacing w:before="0"/>
              <w:rPr>
                <w:rFonts w:asciiTheme="minorHAnsi" w:hAnsiTheme="minorHAnsi" w:cstheme="minorHAnsi"/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63464E" w:rsidRPr="00211CFF" w:rsidRDefault="0063464E" w:rsidP="004777FC">
            <w:pPr>
              <w:spacing w:befor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1CFF">
              <w:rPr>
                <w:rFonts w:asciiTheme="minorHAnsi" w:hAnsiTheme="minorHAnsi" w:cstheme="minorHAnsi"/>
                <w:b/>
                <w:bCs/>
                <w:szCs w:val="24"/>
              </w:rPr>
              <w:t xml:space="preserve">Original: </w:t>
            </w:r>
            <w:r w:rsidR="001E549F" w:rsidRPr="00211CFF">
              <w:rPr>
                <w:rFonts w:asciiTheme="minorHAnsi" w:hAnsiTheme="minorHAnsi" w:cstheme="minorHAnsi"/>
                <w:b/>
                <w:bCs/>
                <w:szCs w:val="24"/>
              </w:rPr>
              <w:t>francés</w:t>
            </w:r>
          </w:p>
        </w:tc>
      </w:tr>
      <w:tr w:rsidR="0063464E" w:rsidRPr="00211CFF" w:rsidTr="004777FC">
        <w:trPr>
          <w:cantSplit/>
        </w:trPr>
        <w:tc>
          <w:tcPr>
            <w:tcW w:w="10173" w:type="dxa"/>
            <w:gridSpan w:val="2"/>
          </w:tcPr>
          <w:p w:rsidR="0063464E" w:rsidRPr="00211CFF" w:rsidRDefault="0063464E">
            <w:pPr>
              <w:pStyle w:val="Source"/>
              <w:rPr>
                <w:rFonts w:asciiTheme="minorHAnsi" w:hAnsiTheme="minorHAnsi" w:cstheme="minorHAnsi"/>
              </w:rPr>
            </w:pPr>
            <w:bookmarkStart w:id="8" w:name="dsource" w:colFirst="0" w:colLast="0"/>
            <w:bookmarkEnd w:id="1"/>
            <w:bookmarkEnd w:id="7"/>
            <w:r w:rsidRPr="00211CFF">
              <w:rPr>
                <w:rFonts w:asciiTheme="minorHAnsi" w:hAnsiTheme="minorHAnsi" w:cstheme="minorHAnsi"/>
              </w:rPr>
              <w:t>Nota del Secretario General</w:t>
            </w:r>
          </w:p>
        </w:tc>
      </w:tr>
      <w:tr w:rsidR="0063464E" w:rsidRPr="00211CFF" w:rsidTr="004777FC">
        <w:trPr>
          <w:cantSplit/>
        </w:trPr>
        <w:tc>
          <w:tcPr>
            <w:tcW w:w="10173" w:type="dxa"/>
            <w:gridSpan w:val="2"/>
          </w:tcPr>
          <w:p w:rsidR="0063464E" w:rsidRPr="00211CFF" w:rsidRDefault="004777FC">
            <w:pPr>
              <w:pStyle w:val="Title1"/>
              <w:rPr>
                <w:rFonts w:asciiTheme="minorHAnsi" w:hAnsiTheme="minorHAnsi" w:cstheme="minorHAnsi"/>
              </w:rPr>
            </w:pPr>
            <w:bookmarkStart w:id="9" w:name="dtitle1" w:colFirst="0" w:colLast="0"/>
            <w:bookmarkEnd w:id="8"/>
            <w:r w:rsidRPr="00211CFF">
              <w:rPr>
                <w:rFonts w:asciiTheme="minorHAnsi" w:hAnsiTheme="minorHAnsi" w:cstheme="minorHAnsi"/>
              </w:rPr>
              <w:t xml:space="preserve">anulación de la </w:t>
            </w:r>
            <w:r w:rsidR="0063464E" w:rsidRPr="00211CFF">
              <w:rPr>
                <w:rFonts w:asciiTheme="minorHAnsi" w:hAnsiTheme="minorHAnsi" w:cstheme="minorHAnsi"/>
              </w:rPr>
              <w:t>CANDIDATURA PARA EL PUESTO DE VICESECRETARIO GENERAL</w:t>
            </w:r>
          </w:p>
        </w:tc>
      </w:tr>
      <w:tr w:rsidR="0063464E" w:rsidRPr="00211CFF" w:rsidTr="004777FC">
        <w:trPr>
          <w:cantSplit/>
        </w:trPr>
        <w:tc>
          <w:tcPr>
            <w:tcW w:w="10173" w:type="dxa"/>
            <w:gridSpan w:val="2"/>
          </w:tcPr>
          <w:p w:rsidR="0063464E" w:rsidRPr="00211CFF" w:rsidRDefault="0063464E" w:rsidP="0000322A">
            <w:pPr>
              <w:pStyle w:val="Title2"/>
              <w:spacing w:before="120"/>
              <w:rPr>
                <w:rFonts w:asciiTheme="minorHAnsi" w:hAnsiTheme="minorHAnsi" w:cstheme="minorHAnsi"/>
              </w:rPr>
            </w:pPr>
            <w:bookmarkStart w:id="10" w:name="dtitle2" w:colFirst="0" w:colLast="0"/>
            <w:bookmarkEnd w:id="9"/>
          </w:p>
        </w:tc>
      </w:tr>
      <w:tr w:rsidR="0063464E" w:rsidRPr="00211CFF" w:rsidTr="004777FC">
        <w:trPr>
          <w:cantSplit/>
        </w:trPr>
        <w:tc>
          <w:tcPr>
            <w:tcW w:w="10173" w:type="dxa"/>
            <w:gridSpan w:val="2"/>
          </w:tcPr>
          <w:p w:rsidR="0063464E" w:rsidRPr="00211CFF" w:rsidRDefault="0063464E" w:rsidP="0000322A">
            <w:pPr>
              <w:pStyle w:val="Title3"/>
              <w:spacing w:before="0"/>
              <w:rPr>
                <w:rFonts w:asciiTheme="minorHAnsi" w:hAnsiTheme="minorHAnsi" w:cstheme="minorHAnsi"/>
              </w:rPr>
            </w:pPr>
            <w:bookmarkStart w:id="11" w:name="dtitle3" w:colFirst="0" w:colLast="0"/>
            <w:bookmarkEnd w:id="10"/>
          </w:p>
        </w:tc>
      </w:tr>
    </w:tbl>
    <w:p w:rsidR="00B138F7" w:rsidRDefault="00B138F7" w:rsidP="00BD7443">
      <w:pPr>
        <w:rPr>
          <w:rFonts w:asciiTheme="minorHAnsi" w:hAnsiTheme="minorHAnsi" w:cstheme="minorHAnsi"/>
        </w:rPr>
      </w:pPr>
      <w:bookmarkStart w:id="12" w:name="dbreak"/>
      <w:bookmarkEnd w:id="11"/>
      <w:bookmarkEnd w:id="12"/>
    </w:p>
    <w:p w:rsidR="0063464E" w:rsidRPr="00211CFF" w:rsidRDefault="009524E6" w:rsidP="00BD7443">
      <w:pPr>
        <w:rPr>
          <w:rFonts w:asciiTheme="minorHAnsi" w:hAnsiTheme="minorHAnsi" w:cstheme="minorHAnsi"/>
        </w:rPr>
      </w:pPr>
      <w:r w:rsidRPr="00211CFF">
        <w:rPr>
          <w:rFonts w:asciiTheme="minorHAnsi" w:hAnsiTheme="minorHAnsi" w:cstheme="minorHAnsi"/>
        </w:rPr>
        <w:t>Con referencia a la nota verbal N</w:t>
      </w:r>
      <w:r w:rsidR="00BD7443">
        <w:rPr>
          <w:rFonts w:asciiTheme="minorHAnsi" w:hAnsiTheme="minorHAnsi" w:cstheme="minorHAnsi"/>
        </w:rPr>
        <w:t>º </w:t>
      </w:r>
      <w:r w:rsidRPr="00211CFF">
        <w:rPr>
          <w:rFonts w:asciiTheme="minorHAnsi" w:hAnsiTheme="minorHAnsi" w:cstheme="minorHAnsi"/>
        </w:rPr>
        <w:t xml:space="preserve">383 de 17 de junio de 2014 adjunta a la presente, recibida de la Misión Permanente de Túnez ante la Oficina de las Naciones Unidas en Ginebra y </w:t>
      </w:r>
      <w:r w:rsidR="00211CFF" w:rsidRPr="00211CFF">
        <w:rPr>
          <w:rFonts w:asciiTheme="minorHAnsi" w:hAnsiTheme="minorHAnsi" w:cstheme="minorHAnsi"/>
        </w:rPr>
        <w:t>las</w:t>
      </w:r>
      <w:r w:rsidRPr="00211CFF">
        <w:rPr>
          <w:rFonts w:asciiTheme="minorHAnsi" w:hAnsiTheme="minorHAnsi" w:cstheme="minorHAnsi"/>
        </w:rPr>
        <w:t xml:space="preserve"> </w:t>
      </w:r>
      <w:r w:rsidR="00A02DE3">
        <w:rPr>
          <w:rFonts w:asciiTheme="minorHAnsi" w:hAnsiTheme="minorHAnsi" w:cstheme="minorHAnsi"/>
        </w:rPr>
        <w:t>O</w:t>
      </w:r>
      <w:r w:rsidRPr="00211CFF">
        <w:rPr>
          <w:rFonts w:asciiTheme="minorHAnsi" w:hAnsiTheme="minorHAnsi" w:cstheme="minorHAnsi"/>
        </w:rPr>
        <w:t xml:space="preserve">rganizaciones </w:t>
      </w:r>
      <w:r w:rsidR="00A02DE3">
        <w:rPr>
          <w:rFonts w:asciiTheme="minorHAnsi" w:hAnsiTheme="minorHAnsi" w:cstheme="minorHAnsi"/>
        </w:rPr>
        <w:t>I</w:t>
      </w:r>
      <w:r w:rsidRPr="00211CFF">
        <w:rPr>
          <w:rFonts w:asciiTheme="minorHAnsi" w:hAnsiTheme="minorHAnsi" w:cstheme="minorHAnsi"/>
        </w:rPr>
        <w:t>nternacionales en Suiza, tengo el honor de comunicar la decisión del Gobierno de Túnez de retirar</w:t>
      </w:r>
      <w:r w:rsidR="0063464E" w:rsidRPr="00211CFF">
        <w:rPr>
          <w:rFonts w:asciiTheme="minorHAnsi" w:hAnsiTheme="minorHAnsi" w:cstheme="minorHAnsi"/>
        </w:rPr>
        <w:t xml:space="preserve"> la candidatura</w:t>
      </w:r>
      <w:r w:rsidR="00A02DE3">
        <w:rPr>
          <w:rFonts w:asciiTheme="minorHAnsi" w:hAnsiTheme="minorHAnsi" w:cstheme="minorHAnsi"/>
        </w:rPr>
        <w:t xml:space="preserve"> </w:t>
      </w:r>
      <w:r w:rsidR="0063464E" w:rsidRPr="00211CFF">
        <w:rPr>
          <w:rFonts w:asciiTheme="minorHAnsi" w:hAnsiTheme="minorHAnsi" w:cstheme="minorHAnsi"/>
        </w:rPr>
        <w:t>del</w:t>
      </w:r>
      <w:r w:rsidR="004777FC" w:rsidRPr="00211CFF">
        <w:rPr>
          <w:rFonts w:asciiTheme="minorHAnsi" w:hAnsiTheme="minorHAnsi" w:cstheme="minorHAnsi"/>
          <w:b/>
          <w:bCs/>
        </w:rPr>
        <w:t xml:space="preserve"> </w:t>
      </w:r>
      <w:r w:rsidR="0063464E" w:rsidRPr="00211CFF">
        <w:rPr>
          <w:rFonts w:asciiTheme="minorHAnsi" w:hAnsiTheme="minorHAnsi" w:cstheme="minorHAnsi"/>
        </w:rPr>
        <w:t xml:space="preserve">Sr. </w:t>
      </w:r>
      <w:r w:rsidR="00151195" w:rsidRPr="00211CFF">
        <w:rPr>
          <w:rFonts w:asciiTheme="minorHAnsi" w:hAnsiTheme="minorHAnsi" w:cstheme="minorHAnsi"/>
        </w:rPr>
        <w:t xml:space="preserve">Mongi HAMDI </w:t>
      </w:r>
      <w:r w:rsidR="0063464E" w:rsidRPr="00211CFF">
        <w:rPr>
          <w:rFonts w:asciiTheme="minorHAnsi" w:hAnsiTheme="minorHAnsi" w:cstheme="minorHAnsi"/>
        </w:rPr>
        <w:t>(</w:t>
      </w:r>
      <w:r w:rsidR="00151195" w:rsidRPr="00211CFF">
        <w:rPr>
          <w:rFonts w:asciiTheme="minorHAnsi" w:hAnsiTheme="minorHAnsi" w:cstheme="minorHAnsi"/>
        </w:rPr>
        <w:t>Túnez</w:t>
      </w:r>
      <w:r w:rsidR="0063464E" w:rsidRPr="00211CFF">
        <w:rPr>
          <w:rFonts w:asciiTheme="minorHAnsi" w:hAnsiTheme="minorHAnsi" w:cstheme="minorHAnsi"/>
        </w:rPr>
        <w:t>)</w:t>
      </w:r>
      <w:r w:rsidR="004777FC" w:rsidRPr="00211CFF">
        <w:rPr>
          <w:rFonts w:asciiTheme="minorHAnsi" w:hAnsiTheme="minorHAnsi" w:cstheme="minorHAnsi"/>
        </w:rPr>
        <w:t xml:space="preserve"> </w:t>
      </w:r>
      <w:r w:rsidR="0063464E" w:rsidRPr="00211CFF">
        <w:rPr>
          <w:rFonts w:asciiTheme="minorHAnsi" w:hAnsiTheme="minorHAnsi" w:cstheme="minorHAnsi"/>
        </w:rPr>
        <w:t>para el puesto de Vicesecretario General de la Unión Internacional de Telecomunicaciones.</w:t>
      </w:r>
    </w:p>
    <w:p w:rsidR="0063464E" w:rsidRPr="00211CFF" w:rsidRDefault="0063464E">
      <w:pPr>
        <w:rPr>
          <w:rFonts w:asciiTheme="minorHAnsi" w:hAnsiTheme="minorHAnsi" w:cstheme="minorHAnsi"/>
        </w:rPr>
      </w:pPr>
    </w:p>
    <w:p w:rsidR="0063464E" w:rsidRPr="00211CFF" w:rsidRDefault="0063464E">
      <w:pPr>
        <w:rPr>
          <w:rFonts w:asciiTheme="minorHAnsi" w:hAnsiTheme="minorHAnsi" w:cstheme="minorHAnsi"/>
        </w:rPr>
      </w:pPr>
    </w:p>
    <w:p w:rsidR="0063464E" w:rsidRPr="00211CFF" w:rsidRDefault="0063464E">
      <w:pPr>
        <w:rPr>
          <w:rFonts w:asciiTheme="minorHAnsi" w:hAnsiTheme="minorHAnsi" w:cstheme="minorHAnsi"/>
        </w:rPr>
      </w:pPr>
    </w:p>
    <w:p w:rsidR="0063464E" w:rsidRPr="00211CFF" w:rsidRDefault="0063464E" w:rsidP="004777F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</w:rPr>
      </w:pPr>
      <w:r w:rsidRPr="00211CFF">
        <w:rPr>
          <w:rFonts w:asciiTheme="minorHAnsi" w:hAnsiTheme="minorHAnsi" w:cstheme="minorHAnsi"/>
        </w:rPr>
        <w:tab/>
      </w:r>
      <w:r w:rsidR="006353AF">
        <w:rPr>
          <w:rFonts w:asciiTheme="minorHAnsi" w:hAnsiTheme="minorHAnsi" w:cstheme="minorHAnsi"/>
        </w:rPr>
        <w:t xml:space="preserve">Dr. </w:t>
      </w:r>
      <w:r w:rsidRPr="00211CFF">
        <w:rPr>
          <w:rFonts w:asciiTheme="minorHAnsi" w:hAnsiTheme="minorHAnsi" w:cstheme="minorHAnsi"/>
        </w:rPr>
        <w:t>Hamadoun I. TOUR</w:t>
      </w:r>
      <w:r w:rsidR="0000322A" w:rsidRPr="00211CFF">
        <w:rPr>
          <w:rFonts w:asciiTheme="minorHAnsi" w:hAnsiTheme="minorHAnsi" w:cstheme="minorHAnsi"/>
        </w:rPr>
        <w:t>É</w:t>
      </w:r>
      <w:r w:rsidRPr="00211CFF">
        <w:rPr>
          <w:rFonts w:asciiTheme="minorHAnsi" w:hAnsiTheme="minorHAnsi" w:cstheme="minorHAnsi"/>
        </w:rPr>
        <w:br/>
      </w:r>
      <w:r w:rsidRPr="00211CFF">
        <w:rPr>
          <w:rFonts w:asciiTheme="minorHAnsi" w:hAnsiTheme="minorHAnsi" w:cstheme="minorHAnsi"/>
        </w:rPr>
        <w:tab/>
        <w:t>Secretario General</w:t>
      </w:r>
    </w:p>
    <w:p w:rsidR="0063464E" w:rsidRPr="00211CFF" w:rsidRDefault="0063464E">
      <w:pPr>
        <w:rPr>
          <w:rFonts w:asciiTheme="minorHAnsi" w:hAnsiTheme="minorHAnsi" w:cstheme="minorHAnsi"/>
        </w:rPr>
      </w:pPr>
    </w:p>
    <w:p w:rsidR="0063464E" w:rsidRDefault="0063464E">
      <w:pPr>
        <w:rPr>
          <w:rFonts w:asciiTheme="minorHAnsi" w:hAnsiTheme="minorHAnsi" w:cstheme="minorHAnsi"/>
        </w:rPr>
      </w:pPr>
    </w:p>
    <w:p w:rsidR="00B138F7" w:rsidRDefault="00B138F7">
      <w:pPr>
        <w:rPr>
          <w:rFonts w:asciiTheme="minorHAnsi" w:hAnsiTheme="minorHAnsi" w:cstheme="minorHAnsi"/>
        </w:rPr>
      </w:pPr>
    </w:p>
    <w:p w:rsidR="00B138F7" w:rsidRDefault="00B138F7">
      <w:pPr>
        <w:rPr>
          <w:rFonts w:asciiTheme="minorHAnsi" w:hAnsiTheme="minorHAnsi" w:cstheme="minorHAnsi"/>
        </w:rPr>
      </w:pPr>
    </w:p>
    <w:p w:rsidR="00B138F7" w:rsidRDefault="00B138F7">
      <w:pPr>
        <w:rPr>
          <w:rFonts w:asciiTheme="minorHAnsi" w:hAnsiTheme="minorHAnsi" w:cstheme="minorHAnsi"/>
        </w:rPr>
      </w:pPr>
    </w:p>
    <w:p w:rsidR="00B138F7" w:rsidRDefault="00B138F7">
      <w:pPr>
        <w:rPr>
          <w:rFonts w:asciiTheme="minorHAnsi" w:hAnsiTheme="minorHAnsi" w:cstheme="minorHAnsi"/>
        </w:rPr>
      </w:pPr>
    </w:p>
    <w:p w:rsidR="00B138F7" w:rsidRDefault="00B138F7">
      <w:pPr>
        <w:rPr>
          <w:rFonts w:asciiTheme="minorHAnsi" w:hAnsiTheme="minorHAnsi" w:cstheme="minorHAnsi"/>
        </w:rPr>
      </w:pPr>
    </w:p>
    <w:p w:rsidR="00B138F7" w:rsidRDefault="00B138F7">
      <w:pPr>
        <w:rPr>
          <w:rFonts w:asciiTheme="minorHAnsi" w:hAnsiTheme="minorHAnsi" w:cstheme="minorHAnsi"/>
        </w:rPr>
      </w:pPr>
    </w:p>
    <w:p w:rsidR="00B138F7" w:rsidRPr="00211CFF" w:rsidRDefault="00B138F7">
      <w:pPr>
        <w:rPr>
          <w:rFonts w:asciiTheme="minorHAnsi" w:hAnsiTheme="minorHAnsi" w:cstheme="minorHAnsi"/>
        </w:rPr>
      </w:pPr>
    </w:p>
    <w:p w:rsidR="0063464E" w:rsidRPr="00211CFF" w:rsidRDefault="0063464E" w:rsidP="00524BCA">
      <w:pPr>
        <w:rPr>
          <w:rFonts w:asciiTheme="minorHAnsi" w:hAnsiTheme="minorHAnsi" w:cstheme="minorHAnsi"/>
        </w:rPr>
      </w:pPr>
      <w:r w:rsidRPr="00211CFF">
        <w:rPr>
          <w:rFonts w:asciiTheme="minorHAnsi" w:hAnsiTheme="minorHAnsi" w:cstheme="minorHAnsi"/>
          <w:b/>
          <w:bCs/>
        </w:rPr>
        <w:t>Anexo</w:t>
      </w:r>
      <w:r w:rsidRPr="00211CFF">
        <w:rPr>
          <w:rFonts w:asciiTheme="minorHAnsi" w:hAnsiTheme="minorHAnsi" w:cstheme="minorHAnsi"/>
        </w:rPr>
        <w:t>: 1</w:t>
      </w:r>
    </w:p>
    <w:p w:rsidR="00516B8D" w:rsidRPr="00211CFF" w:rsidRDefault="00516B8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8"/>
        </w:rPr>
      </w:pPr>
      <w:r w:rsidRPr="00211CFF">
        <w:rPr>
          <w:rFonts w:asciiTheme="minorHAnsi" w:hAnsiTheme="minorHAnsi" w:cstheme="minorHAnsi"/>
        </w:rPr>
        <w:br w:type="page"/>
      </w:r>
    </w:p>
    <w:p w:rsidR="00597C8E" w:rsidRPr="00597C8E" w:rsidRDefault="00597C8E" w:rsidP="00597C8E">
      <w:pPr>
        <w:pStyle w:val="AnnexNo"/>
        <w:rPr>
          <w:rFonts w:asciiTheme="minorHAnsi" w:hAnsiTheme="minorHAnsi" w:cstheme="minorHAnsi"/>
          <w:sz w:val="24"/>
          <w:szCs w:val="24"/>
          <w:lang w:eastAsia="zh-CN"/>
        </w:rPr>
      </w:pPr>
      <w:r w:rsidRPr="00597C8E">
        <w:rPr>
          <w:rFonts w:asciiTheme="minorHAnsi" w:hAnsiTheme="minorHAnsi" w:cstheme="minorHAnsi"/>
          <w:sz w:val="24"/>
          <w:szCs w:val="24"/>
          <w:lang w:eastAsia="zh-CN"/>
        </w:rPr>
        <w:lastRenderedPageBreak/>
        <w:t>Anexo</w:t>
      </w:r>
    </w:p>
    <w:p w:rsidR="00597C8E" w:rsidRPr="00597C8E" w:rsidRDefault="00597C8E" w:rsidP="00597C8E">
      <w:pPr>
        <w:pStyle w:val="Annexref"/>
        <w:rPr>
          <w:rFonts w:asciiTheme="minorHAnsi" w:hAnsiTheme="minorHAnsi" w:cstheme="minorHAnsi"/>
          <w:lang w:eastAsia="zh-CN"/>
        </w:rPr>
      </w:pPr>
    </w:p>
    <w:p w:rsidR="00FD6AC4" w:rsidRPr="00211CFF" w:rsidRDefault="00B34A97" w:rsidP="007A4B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Cs w:val="24"/>
          <w:lang w:eastAsia="zh-CN"/>
        </w:rPr>
      </w:pPr>
      <w:r w:rsidRPr="00211CFF">
        <w:rPr>
          <w:rFonts w:asciiTheme="minorHAnsi" w:hAnsiTheme="minorHAnsi" w:cstheme="minorHAnsi"/>
          <w:color w:val="000000"/>
          <w:szCs w:val="24"/>
          <w:lang w:eastAsia="zh-CN"/>
        </w:rPr>
        <w:t>MISIÓN PERMANENTE DE TÚNEZ</w:t>
      </w:r>
      <w:r w:rsidR="00FD6AC4" w:rsidRPr="00211CFF">
        <w:rPr>
          <w:rFonts w:asciiTheme="minorHAnsi" w:hAnsiTheme="minorHAnsi" w:cstheme="minorHAnsi"/>
          <w:color w:val="000000"/>
          <w:szCs w:val="24"/>
          <w:lang w:eastAsia="zh-CN"/>
        </w:rPr>
        <w:br/>
      </w:r>
      <w:r w:rsidR="007A4B12" w:rsidRPr="00211CFF">
        <w:rPr>
          <w:rFonts w:asciiTheme="minorHAnsi" w:hAnsiTheme="minorHAnsi" w:cstheme="minorHAnsi"/>
          <w:color w:val="000000"/>
          <w:szCs w:val="24"/>
          <w:lang w:eastAsia="zh-CN"/>
        </w:rPr>
        <w:t>a</w:t>
      </w:r>
      <w:r w:rsidR="00F40D98" w:rsidRPr="00211CFF">
        <w:rPr>
          <w:rFonts w:asciiTheme="minorHAnsi" w:hAnsiTheme="minorHAnsi" w:cstheme="minorHAnsi"/>
          <w:color w:val="000000"/>
          <w:szCs w:val="24"/>
          <w:lang w:eastAsia="zh-CN"/>
        </w:rPr>
        <w:t>nte</w:t>
      </w:r>
      <w:r w:rsidR="007A4B12" w:rsidRPr="00211CFF">
        <w:rPr>
          <w:rFonts w:asciiTheme="minorHAnsi" w:hAnsiTheme="minorHAnsi" w:cstheme="minorHAnsi"/>
          <w:color w:val="000000"/>
          <w:szCs w:val="24"/>
          <w:lang w:eastAsia="zh-CN"/>
        </w:rPr>
        <w:t xml:space="preserve"> la Oficina de las Naciones Unidas en Ginebra</w:t>
      </w:r>
      <w:r w:rsidR="00FD6AC4" w:rsidRPr="00211CFF">
        <w:rPr>
          <w:rFonts w:asciiTheme="minorHAnsi" w:hAnsiTheme="minorHAnsi" w:cstheme="minorHAnsi"/>
          <w:color w:val="000000"/>
          <w:szCs w:val="24"/>
          <w:lang w:eastAsia="zh-CN"/>
        </w:rPr>
        <w:br/>
      </w:r>
      <w:r w:rsidR="007F145B" w:rsidRPr="00211CFF">
        <w:rPr>
          <w:rFonts w:asciiTheme="minorHAnsi" w:hAnsiTheme="minorHAnsi" w:cstheme="minorHAnsi"/>
          <w:color w:val="000000"/>
          <w:szCs w:val="24"/>
          <w:lang w:eastAsia="zh-CN"/>
        </w:rPr>
        <w:t>y las Organiz</w:t>
      </w:r>
      <w:r w:rsidR="007A4B12" w:rsidRPr="00211CFF">
        <w:rPr>
          <w:rFonts w:asciiTheme="minorHAnsi" w:hAnsiTheme="minorHAnsi" w:cstheme="minorHAnsi"/>
          <w:color w:val="000000"/>
          <w:szCs w:val="24"/>
          <w:lang w:eastAsia="zh-CN"/>
        </w:rPr>
        <w:t>a</w:t>
      </w:r>
      <w:r w:rsidR="00B138F7">
        <w:rPr>
          <w:rFonts w:asciiTheme="minorHAnsi" w:hAnsiTheme="minorHAnsi" w:cstheme="minorHAnsi"/>
          <w:color w:val="000000"/>
          <w:szCs w:val="24"/>
          <w:lang w:eastAsia="zh-CN"/>
        </w:rPr>
        <w:t>ciones Internacionales en Suiza</w:t>
      </w:r>
    </w:p>
    <w:p w:rsidR="00FD6AC4" w:rsidRPr="00211CFF" w:rsidRDefault="006353AF" w:rsidP="00BD744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rFonts w:asciiTheme="minorHAnsi" w:hAnsiTheme="minorHAnsi" w:cstheme="minorHAnsi"/>
          <w:color w:val="000000"/>
          <w:szCs w:val="24"/>
          <w:lang w:eastAsia="zh-CN"/>
        </w:rPr>
      </w:pPr>
      <w:r>
        <w:rPr>
          <w:rFonts w:asciiTheme="minorHAnsi" w:eastAsia="PMingLiU" w:hAnsiTheme="minorHAnsi" w:cstheme="minorHAnsi"/>
          <w:color w:val="000000"/>
          <w:szCs w:val="24"/>
          <w:lang w:eastAsia="zh-TW"/>
        </w:rPr>
        <w:t>Nº</w:t>
      </w:r>
      <w:r w:rsidR="00FD6AC4" w:rsidRPr="00211CFF">
        <w:rPr>
          <w:rFonts w:asciiTheme="minorHAnsi" w:eastAsia="PMingLiU" w:hAnsiTheme="minorHAnsi" w:cstheme="minorHAnsi"/>
          <w:color w:val="000000"/>
          <w:szCs w:val="24"/>
          <w:lang w:eastAsia="zh-TW"/>
        </w:rPr>
        <w:t xml:space="preserve"> </w:t>
      </w:r>
      <w:r w:rsidR="00BD7443">
        <w:rPr>
          <w:rFonts w:asciiTheme="minorHAnsi" w:eastAsia="PMingLiU" w:hAnsiTheme="minorHAnsi" w:cstheme="minorHAnsi"/>
          <w:color w:val="000000"/>
          <w:szCs w:val="24"/>
          <w:lang w:eastAsia="zh-TW"/>
        </w:rPr>
        <w:t>0</w:t>
      </w:r>
      <w:r w:rsidR="00F40D98" w:rsidRPr="00211CFF">
        <w:rPr>
          <w:rFonts w:asciiTheme="minorHAnsi" w:eastAsia="PMingLiU" w:hAnsiTheme="minorHAnsi" w:cstheme="minorHAnsi"/>
          <w:color w:val="000000"/>
          <w:szCs w:val="24"/>
          <w:lang w:eastAsia="zh-TW"/>
        </w:rPr>
        <w:t>383</w:t>
      </w:r>
    </w:p>
    <w:p w:rsidR="00FD6AC4" w:rsidRPr="00211CFF" w:rsidRDefault="00FD6AC4" w:rsidP="00B34A97">
      <w:pPr>
        <w:spacing w:before="360"/>
        <w:rPr>
          <w:rFonts w:asciiTheme="minorHAnsi" w:hAnsiTheme="minorHAnsi" w:cstheme="minorHAnsi"/>
        </w:rPr>
      </w:pPr>
      <w:r w:rsidRPr="00211CFF">
        <w:rPr>
          <w:rFonts w:asciiTheme="minorHAnsi" w:hAnsiTheme="minorHAnsi" w:cstheme="minorHAnsi"/>
        </w:rPr>
        <w:t xml:space="preserve">La </w:t>
      </w:r>
      <w:r w:rsidR="00965832" w:rsidRPr="00211CFF">
        <w:rPr>
          <w:rFonts w:asciiTheme="minorHAnsi" w:hAnsiTheme="minorHAnsi" w:cstheme="minorHAnsi"/>
        </w:rPr>
        <w:t>Misión</w:t>
      </w:r>
      <w:r w:rsidRPr="00211CFF">
        <w:rPr>
          <w:rFonts w:asciiTheme="minorHAnsi" w:hAnsiTheme="minorHAnsi" w:cstheme="minorHAnsi"/>
        </w:rPr>
        <w:t xml:space="preserve"> </w:t>
      </w:r>
      <w:r w:rsidR="007F145B" w:rsidRPr="00211CFF">
        <w:rPr>
          <w:rFonts w:asciiTheme="minorHAnsi" w:hAnsiTheme="minorHAnsi" w:cstheme="minorHAnsi"/>
        </w:rPr>
        <w:t>Permanente de Túnez ante la O</w:t>
      </w:r>
      <w:r w:rsidRPr="00211CFF">
        <w:rPr>
          <w:rFonts w:asciiTheme="minorHAnsi" w:hAnsiTheme="minorHAnsi" w:cstheme="minorHAnsi"/>
        </w:rPr>
        <w:t>fi</w:t>
      </w:r>
      <w:r w:rsidR="007F145B" w:rsidRPr="00211CFF">
        <w:rPr>
          <w:rFonts w:asciiTheme="minorHAnsi" w:hAnsiTheme="minorHAnsi" w:cstheme="minorHAnsi"/>
        </w:rPr>
        <w:t>cina de las Naciones Unidas de G</w:t>
      </w:r>
      <w:r w:rsidRPr="00211CFF">
        <w:rPr>
          <w:rFonts w:asciiTheme="minorHAnsi" w:hAnsiTheme="minorHAnsi" w:cstheme="minorHAnsi"/>
        </w:rPr>
        <w:t xml:space="preserve">inebra y las </w:t>
      </w:r>
      <w:r w:rsidR="00B34A97">
        <w:rPr>
          <w:rFonts w:asciiTheme="minorHAnsi" w:hAnsiTheme="minorHAnsi" w:cstheme="minorHAnsi"/>
        </w:rPr>
        <w:t>O</w:t>
      </w:r>
      <w:r w:rsidR="009524E6" w:rsidRPr="00211CFF">
        <w:rPr>
          <w:rFonts w:asciiTheme="minorHAnsi" w:hAnsiTheme="minorHAnsi" w:cstheme="minorHAnsi"/>
        </w:rPr>
        <w:t xml:space="preserve">rganizaciones </w:t>
      </w:r>
      <w:r w:rsidR="00B34A97">
        <w:rPr>
          <w:rFonts w:asciiTheme="minorHAnsi" w:hAnsiTheme="minorHAnsi" w:cstheme="minorHAnsi"/>
        </w:rPr>
        <w:t>I</w:t>
      </w:r>
      <w:r w:rsidR="009524E6" w:rsidRPr="00211CFF">
        <w:rPr>
          <w:rFonts w:asciiTheme="minorHAnsi" w:hAnsiTheme="minorHAnsi" w:cstheme="minorHAnsi"/>
        </w:rPr>
        <w:t xml:space="preserve">nternacionales </w:t>
      </w:r>
      <w:r w:rsidRPr="00211CFF">
        <w:rPr>
          <w:rFonts w:asciiTheme="minorHAnsi" w:hAnsiTheme="minorHAnsi" w:cstheme="minorHAnsi"/>
        </w:rPr>
        <w:t>en Suiz</w:t>
      </w:r>
      <w:r w:rsidR="007F145B" w:rsidRPr="00211CFF">
        <w:rPr>
          <w:rFonts w:asciiTheme="minorHAnsi" w:hAnsiTheme="minorHAnsi" w:cstheme="minorHAnsi"/>
        </w:rPr>
        <w:t xml:space="preserve">a </w:t>
      </w:r>
      <w:r w:rsidR="009524E6" w:rsidRPr="00211CFF">
        <w:rPr>
          <w:rFonts w:asciiTheme="minorHAnsi" w:hAnsiTheme="minorHAnsi" w:cstheme="minorHAnsi"/>
        </w:rPr>
        <w:t xml:space="preserve">saluda </w:t>
      </w:r>
      <w:r w:rsidR="007F145B" w:rsidRPr="00211CFF">
        <w:rPr>
          <w:rFonts w:asciiTheme="minorHAnsi" w:hAnsiTheme="minorHAnsi" w:cstheme="minorHAnsi"/>
        </w:rPr>
        <w:t>a la Unió</w:t>
      </w:r>
      <w:r w:rsidRPr="00211CFF">
        <w:rPr>
          <w:rFonts w:asciiTheme="minorHAnsi" w:hAnsiTheme="minorHAnsi" w:cstheme="minorHAnsi"/>
        </w:rPr>
        <w:t>n Internacional de Telecomunicaciones</w:t>
      </w:r>
      <w:r w:rsidR="00211CFF" w:rsidRPr="00211CFF">
        <w:rPr>
          <w:rFonts w:asciiTheme="minorHAnsi" w:hAnsiTheme="minorHAnsi" w:cstheme="minorHAnsi"/>
        </w:rPr>
        <w:t>,</w:t>
      </w:r>
      <w:r w:rsidR="00B34A97">
        <w:rPr>
          <w:rFonts w:asciiTheme="minorHAnsi" w:hAnsiTheme="minorHAnsi" w:cstheme="minorHAnsi"/>
        </w:rPr>
        <w:t xml:space="preserve"> y</w:t>
      </w:r>
      <w:r w:rsidRPr="00211CFF">
        <w:rPr>
          <w:rFonts w:asciiTheme="minorHAnsi" w:hAnsiTheme="minorHAnsi" w:cstheme="minorHAnsi"/>
        </w:rPr>
        <w:t xml:space="preserve"> </w:t>
      </w:r>
      <w:r w:rsidR="00211CFF" w:rsidRPr="00211CFF">
        <w:rPr>
          <w:rFonts w:asciiTheme="minorHAnsi" w:hAnsiTheme="minorHAnsi" w:cstheme="minorHAnsi"/>
        </w:rPr>
        <w:t>se remite a la nota verbal N</w:t>
      </w:r>
      <w:r w:rsidR="006353AF" w:rsidRPr="006353AF">
        <w:rPr>
          <w:rFonts w:asciiTheme="minorHAnsi" w:hAnsiTheme="minorHAnsi" w:cstheme="minorHAnsi"/>
        </w:rPr>
        <w:t>º</w:t>
      </w:r>
      <w:r w:rsidR="00211CFF" w:rsidRPr="00211CFF">
        <w:rPr>
          <w:rFonts w:asciiTheme="minorHAnsi" w:hAnsiTheme="minorHAnsi" w:cstheme="minorHAnsi"/>
        </w:rPr>
        <w:t xml:space="preserve"> 200 de 21 de junio de 2013, y </w:t>
      </w:r>
      <w:r w:rsidRPr="00211CFF">
        <w:rPr>
          <w:rFonts w:asciiTheme="minorHAnsi" w:hAnsiTheme="minorHAnsi" w:cstheme="minorHAnsi"/>
        </w:rPr>
        <w:t>tien</w:t>
      </w:r>
      <w:r w:rsidR="007F145B" w:rsidRPr="00211CFF">
        <w:rPr>
          <w:rFonts w:asciiTheme="minorHAnsi" w:hAnsiTheme="minorHAnsi" w:cstheme="minorHAnsi"/>
        </w:rPr>
        <w:t>e el honor de informar que el Gobierno de Tú</w:t>
      </w:r>
      <w:r w:rsidRPr="00211CFF">
        <w:rPr>
          <w:rFonts w:asciiTheme="minorHAnsi" w:hAnsiTheme="minorHAnsi" w:cstheme="minorHAnsi"/>
        </w:rPr>
        <w:t xml:space="preserve">nez ha decidido </w:t>
      </w:r>
      <w:r w:rsidR="00211CFF" w:rsidRPr="00211CFF">
        <w:rPr>
          <w:rFonts w:asciiTheme="minorHAnsi" w:hAnsiTheme="minorHAnsi" w:cstheme="minorHAnsi"/>
        </w:rPr>
        <w:t xml:space="preserve">retirar </w:t>
      </w:r>
      <w:r w:rsidRPr="00211CFF">
        <w:rPr>
          <w:rFonts w:asciiTheme="minorHAnsi" w:hAnsiTheme="minorHAnsi" w:cstheme="minorHAnsi"/>
        </w:rPr>
        <w:t xml:space="preserve">la </w:t>
      </w:r>
      <w:r w:rsidR="007F145B" w:rsidRPr="00211CFF">
        <w:rPr>
          <w:rFonts w:asciiTheme="minorHAnsi" w:hAnsiTheme="minorHAnsi" w:cstheme="minorHAnsi"/>
        </w:rPr>
        <w:t>candidatura</w:t>
      </w:r>
      <w:r w:rsidRPr="00211CFF">
        <w:rPr>
          <w:rFonts w:asciiTheme="minorHAnsi" w:hAnsiTheme="minorHAnsi" w:cstheme="minorHAnsi"/>
        </w:rPr>
        <w:t xml:space="preserve"> del Sr</w:t>
      </w:r>
      <w:r w:rsidR="00211CFF" w:rsidRPr="00211CFF">
        <w:rPr>
          <w:rFonts w:asciiTheme="minorHAnsi" w:hAnsiTheme="minorHAnsi" w:cstheme="minorHAnsi"/>
        </w:rPr>
        <w:t>. </w:t>
      </w:r>
      <w:r w:rsidRPr="00211CFF">
        <w:rPr>
          <w:rFonts w:asciiTheme="minorHAnsi" w:hAnsiTheme="minorHAnsi" w:cstheme="minorHAnsi"/>
        </w:rPr>
        <w:t xml:space="preserve">Mongi HAMDI al puesto de Vicesecretario </w:t>
      </w:r>
      <w:r w:rsidR="007F145B" w:rsidRPr="00211CFF">
        <w:rPr>
          <w:rFonts w:asciiTheme="minorHAnsi" w:hAnsiTheme="minorHAnsi" w:cstheme="minorHAnsi"/>
        </w:rPr>
        <w:t>General de la Unió</w:t>
      </w:r>
      <w:r w:rsidRPr="00211CFF">
        <w:rPr>
          <w:rFonts w:asciiTheme="minorHAnsi" w:hAnsiTheme="minorHAnsi" w:cstheme="minorHAnsi"/>
        </w:rPr>
        <w:t xml:space="preserve">n Internacional de Telecomunicaciones </w:t>
      </w:r>
      <w:r w:rsidR="007F145B" w:rsidRPr="00211CFF">
        <w:rPr>
          <w:rFonts w:asciiTheme="minorHAnsi" w:hAnsiTheme="minorHAnsi" w:cstheme="minorHAnsi"/>
        </w:rPr>
        <w:t>en las el</w:t>
      </w:r>
      <w:r w:rsidRPr="00211CFF">
        <w:rPr>
          <w:rFonts w:asciiTheme="minorHAnsi" w:hAnsiTheme="minorHAnsi" w:cstheme="minorHAnsi"/>
        </w:rPr>
        <w:t xml:space="preserve">ecciones que tendrán lugar </w:t>
      </w:r>
      <w:r w:rsidR="007F145B" w:rsidRPr="00211CFF">
        <w:rPr>
          <w:rFonts w:asciiTheme="minorHAnsi" w:hAnsiTheme="minorHAnsi" w:cstheme="minorHAnsi"/>
        </w:rPr>
        <w:t xml:space="preserve">en la </w:t>
      </w:r>
      <w:r w:rsidR="00211CFF" w:rsidRPr="00211CFF">
        <w:rPr>
          <w:rFonts w:asciiTheme="minorHAnsi" w:hAnsiTheme="minorHAnsi" w:cstheme="minorHAnsi"/>
        </w:rPr>
        <w:t xml:space="preserve">próxima </w:t>
      </w:r>
      <w:r w:rsidR="007F145B" w:rsidRPr="00211CFF">
        <w:rPr>
          <w:rFonts w:asciiTheme="minorHAnsi" w:hAnsiTheme="minorHAnsi" w:cstheme="minorHAnsi"/>
        </w:rPr>
        <w:t>C</w:t>
      </w:r>
      <w:r w:rsidRPr="00211CFF">
        <w:rPr>
          <w:rFonts w:asciiTheme="minorHAnsi" w:hAnsiTheme="minorHAnsi" w:cstheme="minorHAnsi"/>
        </w:rPr>
        <w:t>onferencia de Plenipo</w:t>
      </w:r>
      <w:r w:rsidR="007F145B" w:rsidRPr="00211CFF">
        <w:rPr>
          <w:rFonts w:asciiTheme="minorHAnsi" w:hAnsiTheme="minorHAnsi" w:cstheme="minorHAnsi"/>
        </w:rPr>
        <w:t xml:space="preserve">tenciarios </w:t>
      </w:r>
      <w:r w:rsidR="00211CFF" w:rsidRPr="00211CFF">
        <w:rPr>
          <w:rFonts w:asciiTheme="minorHAnsi" w:hAnsiTheme="minorHAnsi" w:cstheme="minorHAnsi"/>
        </w:rPr>
        <w:t>(Busán,</w:t>
      </w:r>
      <w:r w:rsidRPr="00211CFF">
        <w:rPr>
          <w:rFonts w:asciiTheme="minorHAnsi" w:hAnsiTheme="minorHAnsi" w:cstheme="minorHAnsi"/>
        </w:rPr>
        <w:t xml:space="preserve"> 20 de octubre </w:t>
      </w:r>
      <w:r w:rsidR="00B34A97">
        <w:rPr>
          <w:rFonts w:asciiTheme="minorHAnsi" w:hAnsiTheme="minorHAnsi" w:cstheme="minorHAnsi"/>
        </w:rPr>
        <w:t>–</w:t>
      </w:r>
      <w:r w:rsidR="00211CFF" w:rsidRPr="00211CFF">
        <w:rPr>
          <w:rFonts w:asciiTheme="minorHAnsi" w:hAnsiTheme="minorHAnsi" w:cstheme="minorHAnsi"/>
        </w:rPr>
        <w:t xml:space="preserve"> </w:t>
      </w:r>
      <w:r w:rsidRPr="00211CFF">
        <w:rPr>
          <w:rFonts w:asciiTheme="minorHAnsi" w:hAnsiTheme="minorHAnsi" w:cstheme="minorHAnsi"/>
        </w:rPr>
        <w:t>7 de noviembre de 2014</w:t>
      </w:r>
      <w:r w:rsidR="00211CFF" w:rsidRPr="00211CFF">
        <w:rPr>
          <w:rFonts w:asciiTheme="minorHAnsi" w:hAnsiTheme="minorHAnsi" w:cstheme="minorHAnsi"/>
        </w:rPr>
        <w:t>)</w:t>
      </w:r>
      <w:r w:rsidRPr="00211CFF">
        <w:rPr>
          <w:rFonts w:asciiTheme="minorHAnsi" w:hAnsiTheme="minorHAnsi" w:cstheme="minorHAnsi"/>
        </w:rPr>
        <w:t>.</w:t>
      </w:r>
    </w:p>
    <w:p w:rsidR="00FD6AC4" w:rsidRPr="00211CFF" w:rsidRDefault="00FD6AC4" w:rsidP="007F145B">
      <w:pPr>
        <w:rPr>
          <w:rFonts w:asciiTheme="minorHAnsi" w:hAnsiTheme="minorHAnsi" w:cstheme="minorHAnsi"/>
        </w:rPr>
      </w:pPr>
      <w:r w:rsidRPr="00211CFF">
        <w:rPr>
          <w:rFonts w:asciiTheme="minorHAnsi" w:hAnsiTheme="minorHAnsi" w:cstheme="minorHAnsi"/>
        </w:rPr>
        <w:t>La Misi</w:t>
      </w:r>
      <w:r w:rsidR="007F145B" w:rsidRPr="00211CFF">
        <w:rPr>
          <w:rFonts w:asciiTheme="minorHAnsi" w:hAnsiTheme="minorHAnsi" w:cstheme="minorHAnsi"/>
        </w:rPr>
        <w:t>ón Permanente de Tú</w:t>
      </w:r>
      <w:r w:rsidRPr="00211CFF">
        <w:rPr>
          <w:rFonts w:asciiTheme="minorHAnsi" w:hAnsiTheme="minorHAnsi" w:cstheme="minorHAnsi"/>
        </w:rPr>
        <w:t xml:space="preserve">nez ante la Oficina de las Naciones Unidas en Ginebra y las Instituciones Especializadas en Suiza desea aprovechar la ocasión para manifestar a la </w:t>
      </w:r>
      <w:r w:rsidR="00965832" w:rsidRPr="00211CFF">
        <w:rPr>
          <w:rFonts w:asciiTheme="minorHAnsi" w:hAnsiTheme="minorHAnsi" w:cstheme="minorHAnsi"/>
        </w:rPr>
        <w:t>Unión</w:t>
      </w:r>
      <w:r w:rsidRPr="00211CFF">
        <w:rPr>
          <w:rFonts w:asciiTheme="minorHAnsi" w:hAnsiTheme="minorHAnsi" w:cstheme="minorHAnsi"/>
        </w:rPr>
        <w:t xml:space="preserve"> Internacional de </w:t>
      </w:r>
      <w:r w:rsidR="00965832" w:rsidRPr="00211CFF">
        <w:rPr>
          <w:rFonts w:asciiTheme="minorHAnsi" w:hAnsiTheme="minorHAnsi" w:cstheme="minorHAnsi"/>
        </w:rPr>
        <w:t>Telecomunicaciones</w:t>
      </w:r>
      <w:r w:rsidR="007F145B" w:rsidRPr="00211CFF">
        <w:rPr>
          <w:rFonts w:asciiTheme="minorHAnsi" w:hAnsiTheme="minorHAnsi" w:cstheme="minorHAnsi"/>
        </w:rPr>
        <w:t xml:space="preserve"> la seguridad de su má</w:t>
      </w:r>
      <w:r w:rsidRPr="00211CFF">
        <w:rPr>
          <w:rFonts w:asciiTheme="minorHAnsi" w:hAnsiTheme="minorHAnsi" w:cstheme="minorHAnsi"/>
        </w:rPr>
        <w:t>s alta consideración.</w:t>
      </w:r>
    </w:p>
    <w:p w:rsidR="00FD6AC4" w:rsidRPr="00211CFF" w:rsidRDefault="00FD6AC4" w:rsidP="00211CFF">
      <w:pPr>
        <w:tabs>
          <w:tab w:val="right" w:pos="9000"/>
        </w:tabs>
        <w:spacing w:before="360"/>
        <w:rPr>
          <w:rFonts w:asciiTheme="minorHAnsi" w:hAnsiTheme="minorHAnsi" w:cstheme="minorHAnsi"/>
        </w:rPr>
      </w:pPr>
      <w:r w:rsidRPr="00211CFF">
        <w:rPr>
          <w:rFonts w:asciiTheme="minorHAnsi" w:hAnsiTheme="minorHAnsi" w:cstheme="minorHAnsi"/>
        </w:rPr>
        <w:t xml:space="preserve">Ginebra, </w:t>
      </w:r>
      <w:r w:rsidR="00211CFF" w:rsidRPr="00211CFF">
        <w:rPr>
          <w:rFonts w:asciiTheme="minorHAnsi" w:hAnsiTheme="minorHAnsi" w:cstheme="minorHAnsi"/>
        </w:rPr>
        <w:t xml:space="preserve">17 </w:t>
      </w:r>
      <w:r w:rsidRPr="00211CFF">
        <w:rPr>
          <w:rFonts w:asciiTheme="minorHAnsi" w:hAnsiTheme="minorHAnsi" w:cstheme="minorHAnsi"/>
        </w:rPr>
        <w:t xml:space="preserve">de junio de </w:t>
      </w:r>
      <w:r w:rsidR="00211CFF" w:rsidRPr="00211CFF">
        <w:rPr>
          <w:rFonts w:asciiTheme="minorHAnsi" w:hAnsiTheme="minorHAnsi" w:cstheme="minorHAnsi"/>
        </w:rPr>
        <w:t>2014</w:t>
      </w:r>
    </w:p>
    <w:p w:rsidR="00FD6AC4" w:rsidRPr="00211CFF" w:rsidRDefault="00FD6AC4" w:rsidP="00FD6AC4">
      <w:pPr>
        <w:tabs>
          <w:tab w:val="right" w:pos="9000"/>
        </w:tabs>
        <w:spacing w:before="360"/>
        <w:rPr>
          <w:rFonts w:asciiTheme="minorHAnsi" w:hAnsiTheme="minorHAnsi" w:cstheme="minorHAnsi"/>
        </w:rPr>
      </w:pPr>
      <w:r w:rsidRPr="00211CFF">
        <w:rPr>
          <w:rFonts w:asciiTheme="minorHAnsi" w:hAnsiTheme="minorHAnsi" w:cstheme="minorHAnsi"/>
        </w:rPr>
        <w:t>(</w:t>
      </w:r>
      <w:r w:rsidRPr="00211CFF">
        <w:rPr>
          <w:rFonts w:asciiTheme="minorHAnsi" w:hAnsiTheme="minorHAnsi" w:cstheme="minorHAnsi"/>
          <w:i/>
          <w:iCs/>
        </w:rPr>
        <w:t>firmado</w:t>
      </w:r>
      <w:r w:rsidRPr="00211CFF">
        <w:rPr>
          <w:rFonts w:asciiTheme="minorHAnsi" w:hAnsiTheme="minorHAnsi" w:cstheme="minorHAnsi"/>
        </w:rPr>
        <w:t>)</w:t>
      </w:r>
    </w:p>
    <w:p w:rsidR="006353AF" w:rsidRDefault="006353AF" w:rsidP="006353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/>
          <w:szCs w:val="24"/>
          <w:lang w:eastAsia="zh-CN"/>
        </w:rPr>
      </w:pPr>
    </w:p>
    <w:p w:rsidR="006353AF" w:rsidRPr="00965832" w:rsidRDefault="006353AF" w:rsidP="006353AF">
      <w:pPr>
        <w:tabs>
          <w:tab w:val="right" w:pos="9000"/>
        </w:tabs>
        <w:spacing w:before="360"/>
        <w:rPr>
          <w:rFonts w:asciiTheme="minorHAnsi" w:hAnsiTheme="minorHAnsi" w:cstheme="minorHAnsi"/>
        </w:rPr>
      </w:pPr>
      <w:r w:rsidRPr="00965832">
        <w:rPr>
          <w:rFonts w:asciiTheme="minorHAnsi" w:hAnsiTheme="minorHAnsi" w:cstheme="minorHAnsi"/>
        </w:rPr>
        <w:t xml:space="preserve">Sello Oficial de la Misión Permanente de Túnez a la Oficina de las Naciones Unidas en Ginebra </w:t>
      </w:r>
      <w:r>
        <w:rPr>
          <w:rFonts w:asciiTheme="minorHAnsi" w:hAnsiTheme="minorHAnsi" w:cstheme="minorHAnsi"/>
        </w:rPr>
        <w:br/>
      </w:r>
      <w:r w:rsidRPr="00965832">
        <w:rPr>
          <w:rFonts w:asciiTheme="minorHAnsi" w:hAnsiTheme="minorHAnsi" w:cstheme="minorHAnsi"/>
        </w:rPr>
        <w:t>y las Organizaciones Internacionales en Suiza.</w:t>
      </w:r>
    </w:p>
    <w:p w:rsidR="004526BD" w:rsidRPr="00211CFF" w:rsidRDefault="00F756F8" w:rsidP="006353AF">
      <w:pPr>
        <w:spacing w:before="360"/>
      </w:pPr>
      <w:r w:rsidRPr="00211CFF">
        <w:rPr>
          <w:rFonts w:asciiTheme="minorHAnsi" w:hAnsiTheme="minorHAnsi" w:cstheme="minorHAnsi"/>
        </w:rPr>
        <w:t>Unió</w:t>
      </w:r>
      <w:r w:rsidR="00FD6AC4" w:rsidRPr="00211CFF">
        <w:rPr>
          <w:rFonts w:asciiTheme="minorHAnsi" w:hAnsiTheme="minorHAnsi" w:cstheme="minorHAnsi"/>
        </w:rPr>
        <w:t>n Internacional de Telecomunicaciones</w:t>
      </w:r>
      <w:r w:rsidR="00FD6AC4" w:rsidRPr="00211CFF">
        <w:rPr>
          <w:rFonts w:asciiTheme="minorHAnsi" w:hAnsiTheme="minorHAnsi" w:cstheme="minorHAnsi"/>
        </w:rPr>
        <w:br/>
        <w:t>Ginebra</w:t>
      </w:r>
    </w:p>
    <w:p w:rsidR="004526BD" w:rsidRPr="00211CFF" w:rsidRDefault="004526BD" w:rsidP="004526BD">
      <w:pPr>
        <w:pStyle w:val="enumlev1"/>
        <w:rPr>
          <w:szCs w:val="22"/>
        </w:rPr>
      </w:pPr>
    </w:p>
    <w:p w:rsidR="00211CFF" w:rsidRPr="00211CFF" w:rsidRDefault="00211CFF">
      <w:pPr>
        <w:pStyle w:val="enumlev1"/>
        <w:rPr>
          <w:szCs w:val="22"/>
        </w:rPr>
      </w:pPr>
    </w:p>
    <w:sectPr w:rsidR="00211CFF" w:rsidRPr="00211CFF">
      <w:head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FF" w:rsidRDefault="00211CFF">
      <w:r>
        <w:separator/>
      </w:r>
    </w:p>
  </w:endnote>
  <w:endnote w:type="continuationSeparator" w:id="0">
    <w:p w:rsidR="00211CFF" w:rsidRDefault="0021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E3" w:rsidRDefault="00A02DE3" w:rsidP="00A02DE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DB60C7">
      <w:rPr>
        <w:rStyle w:val="Hyperlink"/>
        <w:rFonts w:asciiTheme="minorHAnsi" w:hAnsiTheme="minorHAnsi"/>
        <w:sz w:val="18"/>
        <w:szCs w:val="18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55CEB" w:rsidRPr="00A02DE3" w:rsidRDefault="00755CEB" w:rsidP="00A02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FF" w:rsidRDefault="00211CFF">
      <w:r>
        <w:t>____________________</w:t>
      </w:r>
    </w:p>
  </w:footnote>
  <w:footnote w:type="continuationSeparator" w:id="0">
    <w:p w:rsidR="00211CFF" w:rsidRDefault="0021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FF" w:rsidRPr="005866BF" w:rsidRDefault="00211CFF" w:rsidP="004E08E0">
    <w:pPr>
      <w:pStyle w:val="Header"/>
      <w:rPr>
        <w:rStyle w:val="PageNumber"/>
        <w:rFonts w:asciiTheme="minorHAnsi" w:hAnsiTheme="minorHAnsi" w:cstheme="minorHAnsi"/>
        <w:lang w:val="en-US"/>
      </w:rPr>
    </w:pPr>
    <w:r w:rsidRPr="008427E9">
      <w:rPr>
        <w:rFonts w:asciiTheme="minorHAnsi" w:hAnsiTheme="minorHAnsi" w:cstheme="minorHAnsi"/>
      </w:rPr>
      <w:t xml:space="preserve">- </w:t>
    </w:r>
    <w:r w:rsidRPr="008427E9">
      <w:rPr>
        <w:rStyle w:val="PageNumber"/>
        <w:rFonts w:asciiTheme="minorHAnsi" w:hAnsiTheme="minorHAnsi" w:cstheme="minorHAnsi"/>
      </w:rPr>
      <w:fldChar w:fldCharType="begin"/>
    </w:r>
    <w:r w:rsidRPr="008427E9">
      <w:rPr>
        <w:rStyle w:val="PageNumber"/>
        <w:rFonts w:asciiTheme="minorHAnsi" w:hAnsiTheme="minorHAnsi" w:cstheme="minorHAnsi"/>
      </w:rPr>
      <w:instrText xml:space="preserve"> PAGE </w:instrText>
    </w:r>
    <w:r w:rsidRPr="008427E9">
      <w:rPr>
        <w:rStyle w:val="PageNumber"/>
        <w:rFonts w:asciiTheme="minorHAnsi" w:hAnsiTheme="minorHAnsi" w:cstheme="minorHAnsi"/>
      </w:rPr>
      <w:fldChar w:fldCharType="separate"/>
    </w:r>
    <w:r w:rsidR="00DB60C7">
      <w:rPr>
        <w:rStyle w:val="PageNumber"/>
        <w:rFonts w:asciiTheme="minorHAnsi" w:hAnsiTheme="minorHAnsi" w:cstheme="minorHAnsi"/>
        <w:noProof/>
      </w:rPr>
      <w:t>2</w:t>
    </w:r>
    <w:r w:rsidRPr="008427E9">
      <w:rPr>
        <w:rStyle w:val="PageNumber"/>
        <w:rFonts w:asciiTheme="minorHAnsi" w:hAnsiTheme="minorHAnsi" w:cstheme="minorHAnsi"/>
      </w:rPr>
      <w:fldChar w:fldCharType="end"/>
    </w:r>
    <w:r w:rsidRPr="005866BF">
      <w:rPr>
        <w:rStyle w:val="PageNumber"/>
        <w:rFonts w:asciiTheme="minorHAnsi" w:hAnsiTheme="minorHAnsi" w:cstheme="minorHAnsi"/>
        <w:lang w:val="en-US"/>
      </w:rPr>
      <w:t xml:space="preserve"> -</w:t>
    </w:r>
  </w:p>
  <w:p w:rsidR="00211CFF" w:rsidRPr="005866BF" w:rsidRDefault="00211CFF" w:rsidP="005866BF">
    <w:pPr>
      <w:pStyle w:val="Header"/>
      <w:rPr>
        <w:rFonts w:asciiTheme="minorHAnsi" w:hAnsiTheme="minorHAnsi" w:cstheme="minorHAnsi"/>
        <w:lang w:val="en-US"/>
      </w:rPr>
    </w:pPr>
    <w:r w:rsidRPr="005866BF">
      <w:rPr>
        <w:rFonts w:asciiTheme="minorHAnsi" w:hAnsiTheme="minorHAnsi" w:cstheme="minorHAnsi"/>
        <w:lang w:val="en-US"/>
      </w:rPr>
      <w:t>PP-14/4</w:t>
    </w:r>
    <w:r w:rsidR="005866BF">
      <w:rPr>
        <w:rFonts w:asciiTheme="minorHAnsi" w:hAnsiTheme="minorHAnsi" w:cstheme="minorHAnsi"/>
        <w:lang w:val="en-US"/>
      </w:rPr>
      <w:t>(</w:t>
    </w:r>
    <w:r w:rsidR="005866BF" w:rsidRPr="005866BF">
      <w:rPr>
        <w:rFonts w:asciiTheme="minorHAnsi" w:hAnsiTheme="minorHAnsi" w:cstheme="minorHAnsi"/>
        <w:lang w:val="en-US"/>
      </w:rPr>
      <w:t>Rev.</w:t>
    </w:r>
    <w:r w:rsidR="005866BF">
      <w:rPr>
        <w:rFonts w:asciiTheme="minorHAnsi" w:hAnsiTheme="minorHAnsi" w:cstheme="minorHAnsi"/>
        <w:lang w:val="en-US"/>
      </w:rPr>
      <w:t>1)</w:t>
    </w:r>
    <w:r w:rsidRPr="005866BF">
      <w:rPr>
        <w:rFonts w:asciiTheme="minorHAnsi" w:hAnsiTheme="minorHAnsi" w:cstheme="minorHAnsi"/>
        <w:lang w:val="en-U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8257F86"/>
    <w:multiLevelType w:val="hybridMultilevel"/>
    <w:tmpl w:val="39D27DE4"/>
    <w:lvl w:ilvl="0" w:tplc="4332269A">
      <w:start w:val="198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4E"/>
    <w:rsid w:val="0000322A"/>
    <w:rsid w:val="000113CD"/>
    <w:rsid w:val="00046F68"/>
    <w:rsid w:val="00054EB1"/>
    <w:rsid w:val="00072DEE"/>
    <w:rsid w:val="00081845"/>
    <w:rsid w:val="000921C7"/>
    <w:rsid w:val="000A1523"/>
    <w:rsid w:val="0010546D"/>
    <w:rsid w:val="00124FFB"/>
    <w:rsid w:val="0013013C"/>
    <w:rsid w:val="00142410"/>
    <w:rsid w:val="00151195"/>
    <w:rsid w:val="00191E38"/>
    <w:rsid w:val="00192DD5"/>
    <w:rsid w:val="001C7FA9"/>
    <w:rsid w:val="001E549F"/>
    <w:rsid w:val="002038E6"/>
    <w:rsid w:val="00211CFF"/>
    <w:rsid w:val="00267B65"/>
    <w:rsid w:val="002965E2"/>
    <w:rsid w:val="002A76B4"/>
    <w:rsid w:val="002B13BC"/>
    <w:rsid w:val="00317056"/>
    <w:rsid w:val="003564BF"/>
    <w:rsid w:val="00356760"/>
    <w:rsid w:val="003707E5"/>
    <w:rsid w:val="00392A5E"/>
    <w:rsid w:val="003C711D"/>
    <w:rsid w:val="003F636F"/>
    <w:rsid w:val="00400C11"/>
    <w:rsid w:val="00404544"/>
    <w:rsid w:val="00415D52"/>
    <w:rsid w:val="004526BD"/>
    <w:rsid w:val="00457B3B"/>
    <w:rsid w:val="004777FC"/>
    <w:rsid w:val="004A1DC4"/>
    <w:rsid w:val="004A346E"/>
    <w:rsid w:val="004E08E0"/>
    <w:rsid w:val="00516B8D"/>
    <w:rsid w:val="00524BCA"/>
    <w:rsid w:val="00542677"/>
    <w:rsid w:val="005866BF"/>
    <w:rsid w:val="00597C8E"/>
    <w:rsid w:val="005B0DFB"/>
    <w:rsid w:val="0060721F"/>
    <w:rsid w:val="0063464E"/>
    <w:rsid w:val="006353AF"/>
    <w:rsid w:val="00663EE0"/>
    <w:rsid w:val="00670976"/>
    <w:rsid w:val="006975D9"/>
    <w:rsid w:val="006B5A7C"/>
    <w:rsid w:val="00755CEB"/>
    <w:rsid w:val="007A48AE"/>
    <w:rsid w:val="007A4B12"/>
    <w:rsid w:val="007D6D80"/>
    <w:rsid w:val="007E7791"/>
    <w:rsid w:val="007F145B"/>
    <w:rsid w:val="00823276"/>
    <w:rsid w:val="008427E9"/>
    <w:rsid w:val="00882773"/>
    <w:rsid w:val="00891180"/>
    <w:rsid w:val="008962B1"/>
    <w:rsid w:val="00897222"/>
    <w:rsid w:val="009220DE"/>
    <w:rsid w:val="009524E6"/>
    <w:rsid w:val="00965832"/>
    <w:rsid w:val="0099270D"/>
    <w:rsid w:val="00997489"/>
    <w:rsid w:val="009B3323"/>
    <w:rsid w:val="009C28CA"/>
    <w:rsid w:val="009E0C42"/>
    <w:rsid w:val="009F3C65"/>
    <w:rsid w:val="00A02DE3"/>
    <w:rsid w:val="00A056B2"/>
    <w:rsid w:val="00A21969"/>
    <w:rsid w:val="00A501B8"/>
    <w:rsid w:val="00A87DEE"/>
    <w:rsid w:val="00AA7367"/>
    <w:rsid w:val="00AD4CD5"/>
    <w:rsid w:val="00B138F7"/>
    <w:rsid w:val="00B34A97"/>
    <w:rsid w:val="00B62D66"/>
    <w:rsid w:val="00B77C4D"/>
    <w:rsid w:val="00BA6624"/>
    <w:rsid w:val="00BA6B72"/>
    <w:rsid w:val="00BB13FE"/>
    <w:rsid w:val="00BD7443"/>
    <w:rsid w:val="00C11B07"/>
    <w:rsid w:val="00C251FD"/>
    <w:rsid w:val="00C42D2D"/>
    <w:rsid w:val="00C80F8F"/>
    <w:rsid w:val="00CA73A3"/>
    <w:rsid w:val="00CB30B1"/>
    <w:rsid w:val="00CE3151"/>
    <w:rsid w:val="00D05E6B"/>
    <w:rsid w:val="00D1094F"/>
    <w:rsid w:val="00D254A6"/>
    <w:rsid w:val="00D82C17"/>
    <w:rsid w:val="00DB60C7"/>
    <w:rsid w:val="00DC6E04"/>
    <w:rsid w:val="00DF354A"/>
    <w:rsid w:val="00E4526D"/>
    <w:rsid w:val="00E677DD"/>
    <w:rsid w:val="00E81345"/>
    <w:rsid w:val="00EC395A"/>
    <w:rsid w:val="00EC494F"/>
    <w:rsid w:val="00EE3D0F"/>
    <w:rsid w:val="00EE427E"/>
    <w:rsid w:val="00EF41FF"/>
    <w:rsid w:val="00F40D98"/>
    <w:rsid w:val="00F73946"/>
    <w:rsid w:val="00F740B6"/>
    <w:rsid w:val="00F756F8"/>
    <w:rsid w:val="00FD2F3C"/>
    <w:rsid w:val="00FD6AC4"/>
    <w:rsid w:val="00FD7A16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B13F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rsid w:val="00BB13FE"/>
    <w:pPr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  <w:qFormat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B13FE"/>
    <w:pPr>
      <w:tabs>
        <w:tab w:val="left" w:pos="851"/>
      </w:tabs>
      <w:jc w:val="left"/>
    </w:pPr>
    <w:rPr>
      <w:rFonts w:ascii="Times New Roman Bold" w:hAnsi="Times New Roman Bold"/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B13FE"/>
    <w:pPr>
      <w:tabs>
        <w:tab w:val="left" w:pos="851"/>
      </w:tabs>
      <w:jc w:val="left"/>
    </w:pPr>
    <w:rPr>
      <w:rFonts w:ascii="Times New Roman Bold" w:hAnsi="Times New Roman Bold"/>
      <w:sz w:val="24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">
    <w:name w:val="Head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paragraph" w:customStyle="1" w:styleId="firstfooter0">
    <w:name w:val="firstfooter"/>
    <w:basedOn w:val="Normal"/>
    <w:rsid w:val="00FD2F3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table" w:styleId="TableGrid">
    <w:name w:val="Table Grid"/>
    <w:basedOn w:val="TableNormal"/>
    <w:rsid w:val="0063464E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um">
    <w:name w:val="dnum"/>
    <w:basedOn w:val="Normal"/>
    <w:rsid w:val="0063464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rFonts w:eastAsia="Batang"/>
      <w:b/>
      <w:bCs/>
      <w:lang w:val="en-GB"/>
    </w:rPr>
  </w:style>
  <w:style w:type="paragraph" w:styleId="NormalWeb">
    <w:name w:val="Normal (Web)"/>
    <w:basedOn w:val="Normal"/>
    <w:rsid w:val="0063464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styleId="FollowedHyperlink">
    <w:name w:val="FollowedHyperlink"/>
    <w:rsid w:val="009C28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1CF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CFF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BB13F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4"/>
    <w:next w:val="Normal"/>
    <w:qFormat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567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6"/>
      <w:ind w:left="567" w:hanging="567"/>
    </w:pPr>
  </w:style>
  <w:style w:type="paragraph" w:customStyle="1" w:styleId="enumlev2">
    <w:name w:val="enumlev2"/>
    <w:basedOn w:val="enumlev1"/>
    <w:pPr>
      <w:ind w:left="1134"/>
    </w:pPr>
  </w:style>
  <w:style w:type="paragraph" w:customStyle="1" w:styleId="enumlev3">
    <w:name w:val="enumlev3"/>
    <w:basedOn w:val="enumlev2"/>
    <w:pPr>
      <w:ind w:left="1701"/>
    </w:pPr>
  </w:style>
  <w:style w:type="paragraph" w:customStyle="1" w:styleId="Tablehead">
    <w:name w:val="Table_head"/>
    <w:basedOn w:val="Tabletext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pPr>
      <w:ind w:left="567" w:hanging="567"/>
    </w:pPr>
  </w:style>
  <w:style w:type="paragraph" w:customStyle="1" w:styleId="Rectitle">
    <w:name w:val="Rec_title"/>
    <w:basedOn w:val="Normal"/>
    <w:next w:val="Heading1"/>
    <w:rsid w:val="00BB13FE"/>
    <w:pPr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pPr>
      <w:ind w:left="-1701" w:hanging="284"/>
    </w:pPr>
  </w:style>
  <w:style w:type="paragraph" w:customStyle="1" w:styleId="Title3">
    <w:name w:val="Title 3"/>
    <w:basedOn w:val="Title2"/>
    <w:next w:val="Normalaftertitle"/>
    <w:rPr>
      <w:caps w:val="0"/>
    </w:rPr>
  </w:style>
  <w:style w:type="paragraph" w:customStyle="1" w:styleId="Title2">
    <w:name w:val="Title 2"/>
    <w:basedOn w:val="Source"/>
    <w:next w:val="Title3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</w:style>
  <w:style w:type="paragraph" w:customStyle="1" w:styleId="Chaptitle">
    <w:name w:val="Chap_title"/>
    <w:basedOn w:val="Arttitle"/>
    <w:next w:val="Normal"/>
  </w:style>
  <w:style w:type="paragraph" w:customStyle="1" w:styleId="Reasons">
    <w:name w:val="Reasons"/>
    <w:basedOn w:val="Normal"/>
    <w:qFormat/>
  </w:style>
  <w:style w:type="paragraph" w:customStyle="1" w:styleId="ResNo">
    <w:name w:val="Res_No"/>
    <w:basedOn w:val="AnnexNo"/>
    <w:next w:val="Restitle"/>
  </w:style>
  <w:style w:type="paragraph" w:customStyle="1" w:styleId="Restitle">
    <w:name w:val="Res_title"/>
    <w:basedOn w:val="Annextitle"/>
    <w:next w:val="Normal"/>
    <w:rPr>
      <w:rFonts w:ascii="Times New Roman Bold" w:hAnsi="Times New Roman Bold"/>
    </w:rPr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Pr>
      <w:caps w:val="0"/>
    </w:rPr>
  </w:style>
  <w:style w:type="paragraph" w:customStyle="1" w:styleId="Section2">
    <w:name w:val="Section 2"/>
    <w:basedOn w:val="Section1"/>
    <w:next w:val="Normal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BB13FE"/>
    <w:pPr>
      <w:tabs>
        <w:tab w:val="left" w:pos="851"/>
      </w:tabs>
      <w:jc w:val="left"/>
    </w:pPr>
    <w:rPr>
      <w:rFonts w:ascii="Times New Roman Bold" w:hAnsi="Times New Roman Bold"/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BB13FE"/>
    <w:pPr>
      <w:tabs>
        <w:tab w:val="left" w:pos="851"/>
      </w:tabs>
      <w:jc w:val="left"/>
    </w:pPr>
    <w:rPr>
      <w:rFonts w:ascii="Times New Roman Bold" w:hAnsi="Times New Roman Bold"/>
      <w:sz w:val="24"/>
    </w:rPr>
  </w:style>
  <w:style w:type="paragraph" w:customStyle="1" w:styleId="TableNoS2">
    <w:name w:val="Table_No_S2"/>
    <w:basedOn w:val="TableNo"/>
    <w:next w:val="TabletitleS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pPr>
      <w:tabs>
        <w:tab w:val="left" w:pos="851"/>
      </w:tabs>
      <w:jc w:val="left"/>
    </w:pPr>
  </w:style>
  <w:style w:type="paragraph" w:customStyle="1" w:styleId="NoteS2">
    <w:name w:val="Note_S2"/>
    <w:basedOn w:val="Note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pPr>
      <w:spacing w:before="160"/>
      <w:outlineLvl w:val="0"/>
    </w:pPr>
    <w:rPr>
      <w:rFonts w:ascii="Times New Roman" w:hAnsi="Times New Roman"/>
      <w:b w:val="0"/>
      <w:i/>
    </w:rPr>
  </w:style>
  <w:style w:type="paragraph" w:customStyle="1" w:styleId="FirstFooter">
    <w:name w:val="FirstFooter"/>
    <w:basedOn w:val="Footer"/>
    <w:rPr>
      <w:caps w:val="0"/>
    </w:rPr>
  </w:style>
  <w:style w:type="paragraph" w:styleId="TOC9">
    <w:name w:val="toc 9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Pr>
      <w:rFonts w:ascii="Times New Roman" w:hAnsi="Times New Roman"/>
      <w:b w:val="0"/>
      <w:i/>
    </w:rPr>
  </w:style>
  <w:style w:type="paragraph" w:customStyle="1" w:styleId="Heading2iS2">
    <w:name w:val="Heading 2i_S2"/>
    <w:basedOn w:val="Heading2i"/>
    <w:next w:val="NormalS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Head">
    <w:name w:val="Head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pPr>
      <w:spacing w:before="200"/>
      <w:outlineLvl w:val="2"/>
    </w:pPr>
  </w:style>
  <w:style w:type="paragraph" w:customStyle="1" w:styleId="firstfooter0">
    <w:name w:val="firstfooter"/>
    <w:basedOn w:val="Normal"/>
    <w:rsid w:val="00FD2F3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table" w:styleId="TableGrid">
    <w:name w:val="Table Grid"/>
    <w:basedOn w:val="TableNormal"/>
    <w:rsid w:val="0063464E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um">
    <w:name w:val="dnum"/>
    <w:basedOn w:val="Normal"/>
    <w:rsid w:val="0063464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rFonts w:eastAsia="Batang"/>
      <w:b/>
      <w:bCs/>
      <w:lang w:val="en-GB"/>
    </w:rPr>
  </w:style>
  <w:style w:type="paragraph" w:styleId="NormalWeb">
    <w:name w:val="Normal (Web)"/>
    <w:basedOn w:val="Normal"/>
    <w:rsid w:val="0063464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character" w:styleId="FollowedHyperlink">
    <w:name w:val="FollowedHyperlink"/>
    <w:rsid w:val="009C28C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1CF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CFF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2C53-0D70-409A-A2CB-B1CEB65F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1</TotalTime>
  <Pages>2</Pages>
  <Words>308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CANDIDATURA PARA EL PUESTO DE VICESECRETARIO GENERAL</vt:lpstr>
    </vt:vector>
  </TitlesOfParts>
  <Manager>General Secretariat - Pool</Manager>
  <Company>International Telecommunication Union (ITU)</Company>
  <LinksUpToDate>false</LinksUpToDate>
  <CharactersWithSpaces>1968</CharactersWithSpaces>
  <SharedDoc>false</SharedDoc>
  <HLinks>
    <vt:vector size="18" baseType="variant">
      <vt:variant>
        <vt:i4>1900633</vt:i4>
      </vt:variant>
      <vt:variant>
        <vt:i4>3</vt:i4>
      </vt:variant>
      <vt:variant>
        <vt:i4>0</vt:i4>
      </vt:variant>
      <vt:variant>
        <vt:i4>5</vt:i4>
      </vt:variant>
      <vt:variant>
        <vt:lpwstr>http://www.ukungeneva.fco.gov.uk/</vt:lpwstr>
      </vt:variant>
      <vt:variant>
        <vt:lpwstr/>
      </vt:variant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mailto:Sowerby@fco.gov.uk</vt:lpwstr>
      </vt:variant>
      <vt:variant>
        <vt:lpwstr/>
      </vt:variant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PARA EL PUESTO DE VICESECRETARIO GENERAL</dc:title>
  <dc:subject>Conferencia de Plenipotenciarios (PP-06)</dc:subject>
  <dc:creator>Nota del Secretario General</dc:creator>
  <cp:keywords>PP-06</cp:keywords>
  <dc:description>Documento 7-S  For: SESIÓN PLENARIA_x000d_Document date: 7 de diciembre de 2009_x000d_Saved by MMR107514 at 10:10:41 on 18.12.2009</dc:description>
  <cp:lastModifiedBy>Brouard, Ricarda</cp:lastModifiedBy>
  <cp:revision>2</cp:revision>
  <cp:lastPrinted>2014-06-25T06:53:00Z</cp:lastPrinted>
  <dcterms:created xsi:type="dcterms:W3CDTF">2014-06-26T09:57:00Z</dcterms:created>
  <dcterms:modified xsi:type="dcterms:W3CDTF">2014-06-26T09:57:00Z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7-S</vt:lpwstr>
  </property>
  <property fmtid="{D5CDD505-2E9C-101B-9397-08002B2CF9AE}" pid="3" name="Docdate">
    <vt:lpwstr>7 de diciembre de 2009</vt:lpwstr>
  </property>
  <property fmtid="{D5CDD505-2E9C-101B-9397-08002B2CF9AE}" pid="4" name="Docorlang">
    <vt:lpwstr>Original: inglés</vt:lpwstr>
  </property>
  <property fmtid="{D5CDD505-2E9C-101B-9397-08002B2CF9AE}" pid="5" name="Docbluepink">
    <vt:lpwstr>Conferencia de Plenipotenciarios (PP-10) Veracruz, 4-22 de octubre de 2010</vt:lpwstr>
  </property>
  <property fmtid="{D5CDD505-2E9C-101B-9397-08002B2CF9AE}" pid="6" name="Docdest">
    <vt:lpwstr>SESIÓN PLENARIA</vt:lpwstr>
  </property>
  <property fmtid="{D5CDD505-2E9C-101B-9397-08002B2CF9AE}" pid="7" name="Docauthor">
    <vt:lpwstr>Nota del Secretario General</vt:lpwstr>
  </property>
</Properties>
</file>