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CE2B07" w:rsidTr="00C713E0">
        <w:tc>
          <w:tcPr>
            <w:tcW w:w="9572" w:type="dxa"/>
          </w:tcPr>
          <w:p w:rsidR="00CE2B07" w:rsidRDefault="00CE2B07" w:rsidP="00CE2B07">
            <w:pPr>
              <w:tabs>
                <w:tab w:val="left" w:pos="709"/>
              </w:tabs>
              <w:spacing w:before="100" w:beforeAutospacing="1" w:after="100" w:afterAutospacing="1"/>
              <w:ind w:left="-567"/>
              <w:rPr>
                <w:szCs w:val="24"/>
              </w:rPr>
            </w:pPr>
            <w:r>
              <w:rPr>
                <w:noProof/>
                <w:szCs w:val="24"/>
                <w:lang w:val="en-US" w:eastAsia="zh-CN"/>
              </w:rPr>
              <w:drawing>
                <wp:inline distT="0" distB="0" distL="0" distR="0">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CE2B07" w:rsidRPr="00450278" w:rsidTr="00C713E0">
        <w:tc>
          <w:tcPr>
            <w:tcW w:w="9572" w:type="dxa"/>
            <w:tcBorders>
              <w:bottom w:val="single" w:sz="12" w:space="0" w:color="auto"/>
            </w:tcBorders>
          </w:tcPr>
          <w:p w:rsidR="00CE2B07" w:rsidRPr="00450278" w:rsidRDefault="00CE2B07" w:rsidP="00CE2B07">
            <w:pPr>
              <w:pStyle w:val="Header"/>
              <w:tabs>
                <w:tab w:val="left" w:pos="284"/>
              </w:tabs>
              <w:spacing w:line="360" w:lineRule="auto"/>
              <w:ind w:left="284"/>
              <w:jc w:val="left"/>
              <w:rPr>
                <w:noProof/>
              </w:rPr>
            </w:pPr>
            <w:r>
              <w:rPr>
                <w:sz w:val="28"/>
                <w:szCs w:val="28"/>
              </w:rPr>
              <w:t>Genè</w:t>
            </w:r>
            <w:r w:rsidRPr="00450278">
              <w:rPr>
                <w:sz w:val="28"/>
                <w:szCs w:val="28"/>
              </w:rPr>
              <w:t>v</w:t>
            </w:r>
            <w:r>
              <w:rPr>
                <w:sz w:val="28"/>
                <w:szCs w:val="28"/>
              </w:rPr>
              <w:t>e</w:t>
            </w:r>
            <w:r w:rsidRPr="00450278">
              <w:rPr>
                <w:sz w:val="28"/>
                <w:szCs w:val="28"/>
              </w:rPr>
              <w:t xml:space="preserve">, 14-16 </w:t>
            </w:r>
            <w:proofErr w:type="spellStart"/>
            <w:r>
              <w:rPr>
                <w:sz w:val="28"/>
                <w:szCs w:val="28"/>
              </w:rPr>
              <w:t>m</w:t>
            </w:r>
            <w:r w:rsidRPr="00450278">
              <w:rPr>
                <w:sz w:val="28"/>
                <w:szCs w:val="28"/>
              </w:rPr>
              <w:t>a</w:t>
            </w:r>
            <w:r>
              <w:rPr>
                <w:sz w:val="28"/>
                <w:szCs w:val="28"/>
              </w:rPr>
              <w:t>i</w:t>
            </w:r>
            <w:proofErr w:type="spellEnd"/>
            <w:r w:rsidRPr="00450278">
              <w:rPr>
                <w:sz w:val="28"/>
                <w:szCs w:val="28"/>
              </w:rPr>
              <w:t xml:space="preserve"> 2013</w:t>
            </w:r>
          </w:p>
        </w:tc>
      </w:tr>
      <w:tr w:rsidR="00CE2B07" w:rsidRPr="00CE2B07" w:rsidTr="00C713E0">
        <w:tc>
          <w:tcPr>
            <w:tcW w:w="9572" w:type="dxa"/>
            <w:tcBorders>
              <w:top w:val="single" w:sz="12" w:space="0" w:color="auto"/>
            </w:tcBorders>
          </w:tcPr>
          <w:p w:rsidR="00CE2B07" w:rsidRPr="00CE2B07" w:rsidRDefault="00CE2B07" w:rsidP="00C713E0">
            <w:pPr>
              <w:pStyle w:val="Equation"/>
              <w:tabs>
                <w:tab w:val="left" w:pos="1191"/>
                <w:tab w:val="left" w:pos="1588"/>
                <w:tab w:val="left" w:pos="1985"/>
              </w:tabs>
              <w:spacing w:before="720" w:line="276" w:lineRule="auto"/>
              <w:jc w:val="center"/>
              <w:rPr>
                <w:b/>
                <w:bCs/>
                <w:caps/>
                <w:szCs w:val="24"/>
                <w:lang w:val="fr-CH"/>
              </w:rPr>
            </w:pPr>
            <w:r w:rsidRPr="00CE2B07">
              <w:rPr>
                <w:b/>
                <w:bCs/>
                <w:caps/>
                <w:lang w:val="fr-FR"/>
              </w:rPr>
              <w:t>PROJET D'AVIS</w:t>
            </w:r>
            <w:r w:rsidRPr="00CE2B07">
              <w:rPr>
                <w:b/>
                <w:bCs/>
                <w:caps/>
                <w:lang w:val="fr-FR"/>
              </w:rPr>
              <w:t xml:space="preserve"> 1 </w:t>
            </w:r>
            <w:r w:rsidRPr="00CE2B07">
              <w:rPr>
                <w:b/>
                <w:bCs/>
                <w:caps/>
                <w:lang w:val="fr-FR"/>
              </w:rPr>
              <w:t xml:space="preserve">: Promouvoir l'utilisation des points d'échange </w:t>
            </w:r>
            <w:r>
              <w:rPr>
                <w:b/>
                <w:bCs/>
                <w:caps/>
                <w:lang w:val="fr-FR"/>
              </w:rPr>
              <w:br/>
            </w:r>
            <w:r w:rsidRPr="00CE2B07">
              <w:rPr>
                <w:b/>
                <w:bCs/>
                <w:caps/>
                <w:noProof/>
                <w:lang w:val="fr-FR" w:eastAsia="zh-CN"/>
              </w:rPr>
              <w:t>Internet comme solution à long terme pour améliorer la connectivité</w:t>
            </w:r>
          </w:p>
        </w:tc>
      </w:tr>
    </w:tbl>
    <w:p w:rsidR="00CE2B07" w:rsidRPr="00CE2B07" w:rsidRDefault="00CE2B07" w:rsidP="00CE2B07">
      <w:pPr>
        <w:jc w:val="center"/>
        <w:rPr>
          <w:b/>
          <w:bCs/>
          <w:szCs w:val="24"/>
          <w:lang w:val="fr-CH"/>
        </w:rPr>
      </w:pPr>
      <w:bookmarkStart w:id="0" w:name="_GoBack"/>
      <w:bookmarkEnd w:id="0"/>
    </w:p>
    <w:p w:rsidR="00D215AE" w:rsidRPr="004F3295" w:rsidRDefault="00D215AE" w:rsidP="000F2348">
      <w:pPr>
        <w:pStyle w:val="Normalaftertitle"/>
        <w:spacing w:before="360"/>
        <w:rPr>
          <w:lang w:val="fr-FR"/>
        </w:rPr>
      </w:pPr>
      <w:r w:rsidRPr="004F3295">
        <w:rPr>
          <w:lang w:val="fr-FR"/>
        </w:rPr>
        <w:t>Le cinquième Forum mondial des politiques de télécommunication et des technologies de l'information et de la communication (Genève, 2013),</w:t>
      </w:r>
    </w:p>
    <w:p w:rsidR="00D215AE" w:rsidRPr="004F3295" w:rsidRDefault="00D215AE" w:rsidP="00D215AE">
      <w:pPr>
        <w:pStyle w:val="Call"/>
        <w:rPr>
          <w:rFonts w:eastAsia="Arial"/>
          <w:lang w:val="fr-FR"/>
        </w:rPr>
      </w:pPr>
      <w:r w:rsidRPr="004F3295">
        <w:rPr>
          <w:lang w:val="fr-FR"/>
        </w:rPr>
        <w:t>r</w:t>
      </w:r>
      <w:r w:rsidR="004632EF" w:rsidRPr="004F3295">
        <w:rPr>
          <w:lang w:val="fr-FR"/>
        </w:rPr>
        <w:t>appel</w:t>
      </w:r>
      <w:r w:rsidRPr="004F3295">
        <w:rPr>
          <w:lang w:val="fr-FR"/>
        </w:rPr>
        <w:t>ant</w:t>
      </w:r>
    </w:p>
    <w:p w:rsidR="00141677" w:rsidRPr="004F3295" w:rsidRDefault="00D215AE" w:rsidP="004632EF">
      <w:pPr>
        <w:rPr>
          <w:lang w:val="fr-FR"/>
        </w:rPr>
      </w:pPr>
      <w:r w:rsidRPr="004F3295">
        <w:rPr>
          <w:rFonts w:eastAsia="Arial"/>
          <w:lang w:val="fr-FR"/>
        </w:rPr>
        <w:t>a)</w:t>
      </w:r>
      <w:r w:rsidRPr="004F3295">
        <w:rPr>
          <w:rFonts w:eastAsia="Arial"/>
          <w:lang w:val="fr-FR"/>
        </w:rPr>
        <w:tab/>
      </w:r>
      <w:r w:rsidR="00141677" w:rsidRPr="004F3295">
        <w:rPr>
          <w:lang w:val="fr-FR"/>
        </w:rPr>
        <w:t>qu</w:t>
      </w:r>
      <w:r w:rsidR="00CD45F5" w:rsidRPr="004F3295">
        <w:rPr>
          <w:lang w:val="fr-FR"/>
        </w:rPr>
        <w:t>'</w:t>
      </w:r>
      <w:r w:rsidR="00141677" w:rsidRPr="004F3295">
        <w:rPr>
          <w:lang w:val="fr-FR"/>
        </w:rPr>
        <w:t>il est reconnu au paragraphe 27 c)</w:t>
      </w:r>
      <w:r w:rsidR="00A03E43">
        <w:rPr>
          <w:lang w:val="fr-FR"/>
        </w:rPr>
        <w:t xml:space="preserve"> </w:t>
      </w:r>
      <w:r w:rsidR="00141677" w:rsidRPr="004F3295">
        <w:rPr>
          <w:lang w:val="fr-FR"/>
        </w:rPr>
        <w:t>i</w:t>
      </w:r>
      <w:r w:rsidR="000F2348">
        <w:rPr>
          <w:lang w:val="fr-FR"/>
        </w:rPr>
        <w:t>)</w:t>
      </w:r>
      <w:r w:rsidR="00141677" w:rsidRPr="004F3295">
        <w:rPr>
          <w:lang w:val="fr-FR"/>
        </w:rPr>
        <w:t xml:space="preserve"> de l</w:t>
      </w:r>
      <w:r w:rsidR="00CD45F5" w:rsidRPr="004F3295">
        <w:rPr>
          <w:lang w:val="fr-FR"/>
        </w:rPr>
        <w:t>'</w:t>
      </w:r>
      <w:r w:rsidR="00141677" w:rsidRPr="004F3295">
        <w:rPr>
          <w:lang w:val="fr-FR"/>
        </w:rPr>
        <w:t>Agenda de Tunis que les points d</w:t>
      </w:r>
      <w:r w:rsidR="00CD45F5" w:rsidRPr="004F3295">
        <w:rPr>
          <w:lang w:val="fr-FR"/>
        </w:rPr>
        <w:t>'</w:t>
      </w:r>
      <w:r w:rsidR="00141677" w:rsidRPr="004F3295">
        <w:rPr>
          <w:lang w:val="fr-FR"/>
        </w:rPr>
        <w:t>échange Internet peuvent contribuer à réduire les coûts d</w:t>
      </w:r>
      <w:r w:rsidR="00CD45F5" w:rsidRPr="004F3295">
        <w:rPr>
          <w:lang w:val="fr-FR"/>
        </w:rPr>
        <w:t>'</w:t>
      </w:r>
      <w:r w:rsidR="00141677" w:rsidRPr="004F3295">
        <w:rPr>
          <w:lang w:val="fr-FR"/>
        </w:rPr>
        <w:t>interconnexion et élargir l</w:t>
      </w:r>
      <w:r w:rsidR="00CD45F5" w:rsidRPr="004F3295">
        <w:rPr>
          <w:lang w:val="fr-FR"/>
        </w:rPr>
        <w:t>'</w:t>
      </w:r>
      <w:r w:rsidR="00141677" w:rsidRPr="004F3295">
        <w:rPr>
          <w:lang w:val="fr-FR"/>
        </w:rPr>
        <w:t>accès au réseau</w:t>
      </w:r>
      <w:r w:rsidR="004632EF" w:rsidRPr="004F3295">
        <w:rPr>
          <w:lang w:val="fr-FR"/>
        </w:rPr>
        <w:t>;</w:t>
      </w:r>
    </w:p>
    <w:p w:rsidR="00141677" w:rsidRPr="004F3295" w:rsidRDefault="004632EF" w:rsidP="004632EF">
      <w:pPr>
        <w:rPr>
          <w:lang w:val="fr-FR"/>
        </w:rPr>
      </w:pPr>
      <w:r w:rsidRPr="004F3295">
        <w:rPr>
          <w:lang w:val="fr-FR"/>
        </w:rPr>
        <w:t>b)</w:t>
      </w:r>
      <w:r w:rsidRPr="004F3295">
        <w:rPr>
          <w:lang w:val="fr-FR"/>
        </w:rPr>
        <w:tab/>
      </w:r>
      <w:r w:rsidR="00141677" w:rsidRPr="004F3295">
        <w:rPr>
          <w:lang w:val="fr-FR"/>
        </w:rPr>
        <w:t>qu</w:t>
      </w:r>
      <w:r w:rsidR="00CD45F5" w:rsidRPr="004F3295">
        <w:rPr>
          <w:lang w:val="fr-FR"/>
        </w:rPr>
        <w:t>'</w:t>
      </w:r>
      <w:r w:rsidR="00141677" w:rsidRPr="004F3295">
        <w:rPr>
          <w:lang w:val="fr-FR"/>
        </w:rPr>
        <w:t xml:space="preserve">il est </w:t>
      </w:r>
      <w:r w:rsidRPr="004F3295">
        <w:rPr>
          <w:lang w:val="fr-FR"/>
        </w:rPr>
        <w:t xml:space="preserve">préconisé </w:t>
      </w:r>
      <w:r w:rsidR="00141677" w:rsidRPr="004F3295">
        <w:rPr>
          <w:lang w:val="fr-FR"/>
        </w:rPr>
        <w:t>au</w:t>
      </w:r>
      <w:r w:rsidRPr="004F3295">
        <w:rPr>
          <w:lang w:val="fr-FR"/>
        </w:rPr>
        <w:t xml:space="preserve"> paragraphe </w:t>
      </w:r>
      <w:r w:rsidR="00141677" w:rsidRPr="004F3295">
        <w:rPr>
          <w:lang w:val="fr-FR"/>
        </w:rPr>
        <w:t>50 de l</w:t>
      </w:r>
      <w:r w:rsidR="00CD45F5" w:rsidRPr="004F3295">
        <w:rPr>
          <w:lang w:val="fr-FR"/>
        </w:rPr>
        <w:t>'</w:t>
      </w:r>
      <w:r w:rsidR="00141677" w:rsidRPr="004F3295">
        <w:rPr>
          <w:lang w:val="fr-FR"/>
        </w:rPr>
        <w:t>Agenda de Tunis</w:t>
      </w:r>
      <w:r w:rsidRPr="004F3295">
        <w:rPr>
          <w:lang w:val="fr-FR"/>
        </w:rPr>
        <w:t xml:space="preserve">, de créer des </w:t>
      </w:r>
      <w:r w:rsidR="00141677" w:rsidRPr="004F3295">
        <w:rPr>
          <w:lang w:val="fr-FR"/>
        </w:rPr>
        <w:t>points d</w:t>
      </w:r>
      <w:r w:rsidR="00CD45F5" w:rsidRPr="004F3295">
        <w:rPr>
          <w:lang w:val="fr-FR"/>
        </w:rPr>
        <w:t>'</w:t>
      </w:r>
      <w:r w:rsidR="00141677" w:rsidRPr="004F3295">
        <w:rPr>
          <w:lang w:val="fr-FR"/>
        </w:rPr>
        <w:t>échange Internet aux niveaux national, régional et sous</w:t>
      </w:r>
      <w:r w:rsidRPr="004F3295">
        <w:rPr>
          <w:lang w:val="fr-FR"/>
        </w:rPr>
        <w:noBreakHyphen/>
      </w:r>
      <w:r w:rsidR="00141677" w:rsidRPr="004F3295">
        <w:rPr>
          <w:lang w:val="fr-FR"/>
        </w:rPr>
        <w:t xml:space="preserve">régional, </w:t>
      </w:r>
      <w:r w:rsidRPr="004F3295">
        <w:rPr>
          <w:lang w:val="fr-FR"/>
        </w:rPr>
        <w:t xml:space="preserve">dans le cadre d'une stratégie visant à renforcer </w:t>
      </w:r>
      <w:r w:rsidR="00141677" w:rsidRPr="004F3295">
        <w:rPr>
          <w:lang w:val="fr-FR"/>
        </w:rPr>
        <w:t xml:space="preserve">une connectivité mondiale à un coût abordable, ce qui </w:t>
      </w:r>
      <w:r w:rsidRPr="004F3295">
        <w:rPr>
          <w:lang w:val="fr-FR"/>
        </w:rPr>
        <w:t>favoriser</w:t>
      </w:r>
      <w:r w:rsidR="00141677" w:rsidRPr="004F3295">
        <w:rPr>
          <w:lang w:val="fr-FR"/>
        </w:rPr>
        <w:t xml:space="preserve">ait </w:t>
      </w:r>
      <w:r w:rsidR="00A03E43">
        <w:rPr>
          <w:lang w:val="fr-FR"/>
        </w:rPr>
        <w:t>un accès équitable et amélioré</w:t>
      </w:r>
      <w:r w:rsidR="00141677" w:rsidRPr="004F3295">
        <w:rPr>
          <w:lang w:val="fr-FR"/>
        </w:rPr>
        <w:t xml:space="preserve"> pour tous</w:t>
      </w:r>
      <w:r w:rsidRPr="004F3295">
        <w:rPr>
          <w:lang w:val="fr-FR"/>
        </w:rPr>
        <w:t>;</w:t>
      </w:r>
      <w:r w:rsidR="00141677" w:rsidRPr="004F3295">
        <w:rPr>
          <w:lang w:val="fr-FR"/>
        </w:rPr>
        <w:t xml:space="preserve"> et </w:t>
      </w:r>
    </w:p>
    <w:p w:rsidR="00141677" w:rsidRPr="004F3295" w:rsidRDefault="004632EF" w:rsidP="004632EF">
      <w:pPr>
        <w:rPr>
          <w:lang w:val="fr-FR"/>
        </w:rPr>
      </w:pPr>
      <w:r w:rsidRPr="004F3295">
        <w:rPr>
          <w:lang w:val="fr-FR"/>
        </w:rPr>
        <w:t>c)</w:t>
      </w:r>
      <w:r w:rsidRPr="004F3295">
        <w:rPr>
          <w:lang w:val="fr-FR"/>
        </w:rPr>
        <w:tab/>
      </w:r>
      <w:r w:rsidR="00141677" w:rsidRPr="004F3295">
        <w:rPr>
          <w:lang w:val="fr-FR"/>
        </w:rPr>
        <w:t>qu</w:t>
      </w:r>
      <w:r w:rsidRPr="004F3295">
        <w:rPr>
          <w:lang w:val="fr-FR"/>
        </w:rPr>
        <w:t xml:space="preserve">e, conformément au </w:t>
      </w:r>
      <w:r w:rsidR="00141677" w:rsidRPr="004F3295">
        <w:rPr>
          <w:lang w:val="fr-FR"/>
        </w:rPr>
        <w:t xml:space="preserve">point 2 du </w:t>
      </w:r>
      <w:r w:rsidR="00141677" w:rsidRPr="000F2348">
        <w:rPr>
          <w:i/>
          <w:iCs/>
          <w:lang w:val="fr-FR"/>
        </w:rPr>
        <w:t>décide</w:t>
      </w:r>
      <w:r w:rsidR="00141677" w:rsidRPr="004F3295">
        <w:rPr>
          <w:lang w:val="fr-FR"/>
        </w:rPr>
        <w:t xml:space="preserve"> de la Résolution 101 (Rév. Guadalajara, 2010) de la Conférence de plénipotentiaires, l</w:t>
      </w:r>
      <w:r w:rsidR="00CD45F5" w:rsidRPr="004F3295">
        <w:rPr>
          <w:lang w:val="fr-FR"/>
        </w:rPr>
        <w:t>'</w:t>
      </w:r>
      <w:r w:rsidR="00141677" w:rsidRPr="004F3295">
        <w:rPr>
          <w:lang w:val="fr-FR"/>
        </w:rPr>
        <w:t>UIT doit pleinement exploiter les possibilités de développement des télécommunications/TIC qu</w:t>
      </w:r>
      <w:r w:rsidR="00CD45F5" w:rsidRPr="004F3295">
        <w:rPr>
          <w:lang w:val="fr-FR"/>
        </w:rPr>
        <w:t>'</w:t>
      </w:r>
      <w:r w:rsidR="00141677" w:rsidRPr="004F3295">
        <w:rPr>
          <w:lang w:val="fr-FR"/>
        </w:rPr>
        <w:t>offre la croissance des services IP en conformité avec les objectifs de l</w:t>
      </w:r>
      <w:r w:rsidR="00CD45F5" w:rsidRPr="004F3295">
        <w:rPr>
          <w:lang w:val="fr-FR"/>
        </w:rPr>
        <w:t>'</w:t>
      </w:r>
      <w:r w:rsidR="00141677" w:rsidRPr="004F3295">
        <w:rPr>
          <w:lang w:val="fr-FR"/>
        </w:rPr>
        <w:t>UIT et les résultats des phases de Genève (2003) et de Tunis (2005) du SMSI</w:t>
      </w:r>
      <w:r w:rsidRPr="004F3295">
        <w:rPr>
          <w:lang w:val="fr-FR"/>
        </w:rPr>
        <w:t>,</w:t>
      </w:r>
    </w:p>
    <w:p w:rsidR="00141677" w:rsidRPr="004F3295" w:rsidRDefault="00141677" w:rsidP="004632EF">
      <w:pPr>
        <w:pStyle w:val="Call"/>
        <w:rPr>
          <w:lang w:val="fr-FR"/>
        </w:rPr>
      </w:pPr>
      <w:r w:rsidRPr="004F3295">
        <w:rPr>
          <w:lang w:val="fr-FR"/>
        </w:rPr>
        <w:t>considérant</w:t>
      </w:r>
    </w:p>
    <w:p w:rsidR="00141677" w:rsidRPr="004F3295" w:rsidRDefault="005F763F" w:rsidP="00CD45F5">
      <w:pPr>
        <w:rPr>
          <w:lang w:val="fr-FR"/>
        </w:rPr>
      </w:pPr>
      <w:r w:rsidRPr="004F3295">
        <w:rPr>
          <w:lang w:val="fr-FR"/>
        </w:rPr>
        <w:t>a)</w:t>
      </w:r>
      <w:r w:rsidRPr="004F3295">
        <w:rPr>
          <w:lang w:val="fr-FR"/>
        </w:rPr>
        <w:tab/>
      </w:r>
      <w:r w:rsidR="00141677" w:rsidRPr="004F3295">
        <w:rPr>
          <w:lang w:val="fr-FR"/>
        </w:rPr>
        <w:t>qu</w:t>
      </w:r>
      <w:r w:rsidR="00CD45F5" w:rsidRPr="004F3295">
        <w:rPr>
          <w:lang w:val="fr-FR"/>
        </w:rPr>
        <w:t>'</w:t>
      </w:r>
      <w:r w:rsidR="00141677" w:rsidRPr="004F3295">
        <w:rPr>
          <w:lang w:val="fr-FR"/>
        </w:rPr>
        <w:t>une étude menée conjointement par l</w:t>
      </w:r>
      <w:r w:rsidR="00CD45F5" w:rsidRPr="004F3295">
        <w:rPr>
          <w:lang w:val="fr-FR"/>
        </w:rPr>
        <w:t>'</w:t>
      </w:r>
      <w:r w:rsidR="00141677" w:rsidRPr="004F3295">
        <w:rPr>
          <w:lang w:val="fr-FR"/>
        </w:rPr>
        <w:t>ISOC, l</w:t>
      </w:r>
      <w:r w:rsidR="00CD45F5" w:rsidRPr="004F3295">
        <w:rPr>
          <w:lang w:val="fr-FR"/>
        </w:rPr>
        <w:t>'</w:t>
      </w:r>
      <w:r w:rsidR="00141677" w:rsidRPr="004F3295">
        <w:rPr>
          <w:lang w:val="fr-FR"/>
        </w:rPr>
        <w:t>OCDE et l</w:t>
      </w:r>
      <w:r w:rsidR="00CD45F5" w:rsidRPr="004F3295">
        <w:rPr>
          <w:lang w:val="fr-FR"/>
        </w:rPr>
        <w:t>'</w:t>
      </w:r>
      <w:r w:rsidR="00141677" w:rsidRPr="004F3295">
        <w:rPr>
          <w:lang w:val="fr-FR"/>
        </w:rPr>
        <w:t>UNESCO</w:t>
      </w:r>
      <w:r w:rsidR="00CD45F5" w:rsidRPr="004F3295">
        <w:rPr>
          <w:rStyle w:val="FootnoteReference"/>
          <w:lang w:val="fr-FR"/>
        </w:rPr>
        <w:footnoteReference w:id="1"/>
      </w:r>
      <w:r w:rsidR="00141677" w:rsidRPr="004F3295">
        <w:rPr>
          <w:lang w:val="fr-FR"/>
        </w:rPr>
        <w:t xml:space="preserve"> indique que </w:t>
      </w:r>
      <w:r w:rsidR="00CD45F5" w:rsidRPr="004F3295">
        <w:rPr>
          <w:lang w:val="fr-FR"/>
        </w:rPr>
        <w:t>"</w:t>
      </w:r>
      <w:r w:rsidR="00141677" w:rsidRPr="004F3295">
        <w:rPr>
          <w:lang w:val="fr-FR"/>
        </w:rPr>
        <w:t>les travaux de recherche font apparaître une corrélation importante entre le développement de la largeur de bande internationale et le prix de l</w:t>
      </w:r>
      <w:r w:rsidR="00CD45F5" w:rsidRPr="004F3295">
        <w:rPr>
          <w:lang w:val="fr-FR"/>
        </w:rPr>
        <w:t>'</w:t>
      </w:r>
      <w:r w:rsidR="00141677" w:rsidRPr="004F3295">
        <w:rPr>
          <w:lang w:val="fr-FR"/>
        </w:rPr>
        <w:t>accès à l</w:t>
      </w:r>
      <w:r w:rsidR="00CD45F5" w:rsidRPr="004F3295">
        <w:rPr>
          <w:lang w:val="fr-FR"/>
        </w:rPr>
        <w:t>'</w:t>
      </w:r>
      <w:r w:rsidR="00141677" w:rsidRPr="004F3295">
        <w:rPr>
          <w:lang w:val="fr-FR"/>
        </w:rPr>
        <w:t>Internet local</w:t>
      </w:r>
      <w:r w:rsidR="00CD45F5" w:rsidRPr="004F3295">
        <w:rPr>
          <w:lang w:val="fr-FR"/>
        </w:rPr>
        <w:t>"</w:t>
      </w:r>
      <w:r w:rsidR="00141677" w:rsidRPr="004F3295">
        <w:rPr>
          <w:lang w:val="fr-FR"/>
        </w:rPr>
        <w:t>;</w:t>
      </w:r>
    </w:p>
    <w:p w:rsidR="00141677" w:rsidRPr="004F3295" w:rsidRDefault="005F763F" w:rsidP="000F2348">
      <w:pPr>
        <w:rPr>
          <w:lang w:val="fr-FR"/>
        </w:rPr>
      </w:pPr>
      <w:r w:rsidRPr="004F3295">
        <w:rPr>
          <w:lang w:val="fr-FR"/>
        </w:rPr>
        <w:t>b)</w:t>
      </w:r>
      <w:r w:rsidRPr="004F3295">
        <w:rPr>
          <w:lang w:val="fr-FR"/>
        </w:rPr>
        <w:tab/>
      </w:r>
      <w:r w:rsidR="00141677" w:rsidRPr="004F3295">
        <w:rPr>
          <w:lang w:val="fr-FR"/>
        </w:rPr>
        <w:t>qu</w:t>
      </w:r>
      <w:r w:rsidR="00CD45F5" w:rsidRPr="004F3295">
        <w:rPr>
          <w:lang w:val="fr-FR"/>
        </w:rPr>
        <w:t>'</w:t>
      </w:r>
      <w:r w:rsidR="00141677" w:rsidRPr="004F3295">
        <w:rPr>
          <w:lang w:val="fr-FR"/>
        </w:rPr>
        <w:t>il est reconnu dans le rapport</w:t>
      </w:r>
      <w:r w:rsidR="000F2348" w:rsidRPr="004F3295">
        <w:rPr>
          <w:rStyle w:val="FootnoteReference"/>
          <w:rFonts w:asciiTheme="minorHAnsi" w:hAnsiTheme="minorHAnsi" w:cstheme="minorHAnsi"/>
          <w:szCs w:val="24"/>
          <w:lang w:val="fr-FR"/>
        </w:rPr>
        <w:footnoteReference w:id="2"/>
      </w:r>
      <w:r w:rsidR="00141677" w:rsidRPr="004F3295">
        <w:rPr>
          <w:lang w:val="fr-FR"/>
        </w:rPr>
        <w:t xml:space="preserve"> de la Commission sur le large bande créée conjointement par l</w:t>
      </w:r>
      <w:r w:rsidR="00CD45F5" w:rsidRPr="004F3295">
        <w:rPr>
          <w:lang w:val="fr-FR"/>
        </w:rPr>
        <w:t>'</w:t>
      </w:r>
      <w:r w:rsidR="00141677" w:rsidRPr="004F3295">
        <w:rPr>
          <w:lang w:val="fr-FR"/>
        </w:rPr>
        <w:t>UIT et l</w:t>
      </w:r>
      <w:r w:rsidR="00CD45F5" w:rsidRPr="004F3295">
        <w:rPr>
          <w:lang w:val="fr-FR"/>
        </w:rPr>
        <w:t>'</w:t>
      </w:r>
      <w:r w:rsidR="00141677" w:rsidRPr="004F3295">
        <w:rPr>
          <w:lang w:val="fr-FR"/>
        </w:rPr>
        <w:t xml:space="preserve">UNESCO que </w:t>
      </w:r>
      <w:r w:rsidR="005F628E" w:rsidRPr="004F3295">
        <w:rPr>
          <w:lang w:val="fr-FR"/>
        </w:rPr>
        <w:t>"</w:t>
      </w:r>
      <w:r w:rsidR="00141677" w:rsidRPr="004F3295">
        <w:rPr>
          <w:lang w:val="fr-FR"/>
        </w:rPr>
        <w:t xml:space="preserve">les progrès technologiques, tels que les réseaux de distribution de </w:t>
      </w:r>
      <w:r w:rsidR="00141677" w:rsidRPr="004F3295">
        <w:rPr>
          <w:lang w:val="fr-FR"/>
        </w:rPr>
        <w:lastRenderedPageBreak/>
        <w:t>contenus</w:t>
      </w:r>
      <w:r w:rsidR="005F628E" w:rsidRPr="004F3295">
        <w:rPr>
          <w:lang w:val="fr-FR"/>
        </w:rPr>
        <w:t xml:space="preserve"> (CDN) et </w:t>
      </w:r>
      <w:r w:rsidR="00141677" w:rsidRPr="004F3295">
        <w:rPr>
          <w:lang w:val="fr-FR"/>
        </w:rPr>
        <w:t>les nouveaux points d</w:t>
      </w:r>
      <w:r w:rsidR="00CD45F5" w:rsidRPr="004F3295">
        <w:rPr>
          <w:lang w:val="fr-FR"/>
        </w:rPr>
        <w:t>'</w:t>
      </w:r>
      <w:r w:rsidR="00141677" w:rsidRPr="004F3295">
        <w:rPr>
          <w:lang w:val="fr-FR"/>
        </w:rPr>
        <w:t>échange Internet</w:t>
      </w:r>
      <w:r w:rsidR="005F628E" w:rsidRPr="004F3295">
        <w:rPr>
          <w:lang w:val="fr-FR"/>
        </w:rPr>
        <w:t xml:space="preserve"> (IXP)</w:t>
      </w:r>
      <w:r w:rsidR="00141677" w:rsidRPr="004F3295">
        <w:rPr>
          <w:lang w:val="fr-FR"/>
        </w:rPr>
        <w:t xml:space="preserve">, </w:t>
      </w:r>
      <w:r w:rsidR="005F628E" w:rsidRPr="004F3295">
        <w:rPr>
          <w:lang w:val="fr-FR"/>
        </w:rPr>
        <w:t>se s</w:t>
      </w:r>
      <w:r w:rsidR="00141677" w:rsidRPr="004F3295">
        <w:rPr>
          <w:lang w:val="fr-FR"/>
        </w:rPr>
        <w:t xml:space="preserve">ont </w:t>
      </w:r>
      <w:r w:rsidR="005F628E" w:rsidRPr="004F3295">
        <w:rPr>
          <w:lang w:val="fr-FR"/>
        </w:rPr>
        <w:t xml:space="preserve">traduits par des gains d'efficacité sur le plan </w:t>
      </w:r>
      <w:r w:rsidR="00141677" w:rsidRPr="004F3295">
        <w:rPr>
          <w:lang w:val="fr-FR"/>
        </w:rPr>
        <w:t>économique et, en règle générale, se sont révélés utiles lorsque l</w:t>
      </w:r>
      <w:r w:rsidR="00CD45F5" w:rsidRPr="004F3295">
        <w:rPr>
          <w:lang w:val="fr-FR"/>
        </w:rPr>
        <w:t>'</w:t>
      </w:r>
      <w:r w:rsidR="00141677" w:rsidRPr="004F3295">
        <w:rPr>
          <w:lang w:val="fr-FR"/>
        </w:rPr>
        <w:t>environnement réglementaire était favorable</w:t>
      </w:r>
      <w:r w:rsidR="005F628E" w:rsidRPr="004F3295">
        <w:rPr>
          <w:lang w:val="fr-FR"/>
        </w:rPr>
        <w:t>"</w:t>
      </w:r>
      <w:r w:rsidR="00141677" w:rsidRPr="004F3295">
        <w:rPr>
          <w:lang w:val="fr-FR"/>
        </w:rPr>
        <w:t>;</w:t>
      </w:r>
    </w:p>
    <w:p w:rsidR="00141677" w:rsidRPr="004F3295" w:rsidRDefault="005F763F" w:rsidP="005F628E">
      <w:pPr>
        <w:rPr>
          <w:lang w:val="fr-FR"/>
        </w:rPr>
      </w:pPr>
      <w:r w:rsidRPr="004F3295">
        <w:rPr>
          <w:lang w:val="fr-FR"/>
        </w:rPr>
        <w:t>c)</w:t>
      </w:r>
      <w:r w:rsidRPr="004F3295">
        <w:rPr>
          <w:lang w:val="fr-FR"/>
        </w:rPr>
        <w:tab/>
      </w:r>
      <w:r w:rsidR="00141677" w:rsidRPr="004F3295">
        <w:rPr>
          <w:lang w:val="fr-FR"/>
        </w:rPr>
        <w:t>qu</w:t>
      </w:r>
      <w:r w:rsidR="00CD45F5" w:rsidRPr="004F3295">
        <w:rPr>
          <w:lang w:val="fr-FR"/>
        </w:rPr>
        <w:t>'</w:t>
      </w:r>
      <w:r w:rsidR="00141677" w:rsidRPr="004F3295">
        <w:rPr>
          <w:lang w:val="fr-FR"/>
        </w:rPr>
        <w:t xml:space="preserve">au Sommet </w:t>
      </w:r>
      <w:r w:rsidR="00CD45F5" w:rsidRPr="004F3295">
        <w:rPr>
          <w:lang w:val="fr-FR"/>
        </w:rPr>
        <w:t>"</w:t>
      </w:r>
      <w:r w:rsidR="00141677" w:rsidRPr="004F3295">
        <w:rPr>
          <w:lang w:val="fr-FR"/>
        </w:rPr>
        <w:t>Connecter les Amériques</w:t>
      </w:r>
      <w:r w:rsidR="00CD45F5" w:rsidRPr="004F3295">
        <w:rPr>
          <w:lang w:val="fr-FR"/>
        </w:rPr>
        <w:t>"</w:t>
      </w:r>
      <w:r w:rsidR="00141677" w:rsidRPr="004F3295">
        <w:rPr>
          <w:lang w:val="fr-FR"/>
        </w:rPr>
        <w:t xml:space="preserve"> tenu en</w:t>
      </w:r>
      <w:r w:rsidR="00CD45F5" w:rsidRPr="004F3295">
        <w:rPr>
          <w:lang w:val="fr-FR"/>
        </w:rPr>
        <w:t xml:space="preserve"> </w:t>
      </w:r>
      <w:r w:rsidR="00141677" w:rsidRPr="004F3295">
        <w:rPr>
          <w:lang w:val="fr-FR"/>
        </w:rPr>
        <w:t>2012, les dirigeants régionaux ont pris l</w:t>
      </w:r>
      <w:r w:rsidR="00CD45F5" w:rsidRPr="004F3295">
        <w:rPr>
          <w:lang w:val="fr-FR"/>
        </w:rPr>
        <w:t>'</w:t>
      </w:r>
      <w:r w:rsidR="00141677" w:rsidRPr="004F3295">
        <w:rPr>
          <w:lang w:val="fr-FR"/>
        </w:rPr>
        <w:t xml:space="preserve">engagement de développer les points </w:t>
      </w:r>
      <w:r w:rsidR="005F628E" w:rsidRPr="004F3295">
        <w:rPr>
          <w:lang w:val="fr-FR"/>
        </w:rPr>
        <w:t>IXP</w:t>
      </w:r>
      <w:r w:rsidR="00141677" w:rsidRPr="004F3295">
        <w:rPr>
          <w:lang w:val="fr-FR"/>
        </w:rPr>
        <w:t xml:space="preserve"> aux niveaux local</w:t>
      </w:r>
      <w:r w:rsidR="000F2348">
        <w:rPr>
          <w:lang w:val="fr-FR"/>
        </w:rPr>
        <w:t>,</w:t>
      </w:r>
      <w:r w:rsidR="00141677" w:rsidRPr="004F3295">
        <w:rPr>
          <w:lang w:val="fr-FR"/>
        </w:rPr>
        <w:t xml:space="preserve"> national et régional afin de réduire les coûts d</w:t>
      </w:r>
      <w:r w:rsidR="00CD45F5" w:rsidRPr="004F3295">
        <w:rPr>
          <w:lang w:val="fr-FR"/>
        </w:rPr>
        <w:t>'</w:t>
      </w:r>
      <w:r w:rsidR="00141677" w:rsidRPr="004F3295">
        <w:rPr>
          <w:lang w:val="fr-FR"/>
        </w:rPr>
        <w:t>accès à l</w:t>
      </w:r>
      <w:r w:rsidR="00CD45F5" w:rsidRPr="004F3295">
        <w:rPr>
          <w:lang w:val="fr-FR"/>
        </w:rPr>
        <w:t>'</w:t>
      </w:r>
      <w:r w:rsidR="00141677" w:rsidRPr="004F3295">
        <w:rPr>
          <w:lang w:val="fr-FR"/>
        </w:rPr>
        <w:t>Internet</w:t>
      </w:r>
      <w:r w:rsidR="00141677" w:rsidRPr="004F3295">
        <w:rPr>
          <w:rFonts w:eastAsia="MyriadPro-Light"/>
          <w:lang w:val="fr-FR"/>
        </w:rPr>
        <w:t>;</w:t>
      </w:r>
    </w:p>
    <w:p w:rsidR="00141677" w:rsidRPr="004F3295" w:rsidRDefault="00141677" w:rsidP="000F2348">
      <w:pPr>
        <w:rPr>
          <w:lang w:val="fr-FR"/>
        </w:rPr>
      </w:pPr>
      <w:r w:rsidRPr="004F3295">
        <w:rPr>
          <w:lang w:val="fr-FR"/>
        </w:rPr>
        <w:t>d)</w:t>
      </w:r>
      <w:r w:rsidRPr="004F3295">
        <w:rPr>
          <w:lang w:val="fr-FR"/>
        </w:rPr>
        <w:tab/>
        <w:t xml:space="preserve">que les points </w:t>
      </w:r>
      <w:r w:rsidR="005F628E" w:rsidRPr="004F3295">
        <w:rPr>
          <w:lang w:val="fr-FR"/>
        </w:rPr>
        <w:t>IXP</w:t>
      </w:r>
      <w:r w:rsidRPr="004F3295">
        <w:rPr>
          <w:lang w:val="fr-FR"/>
        </w:rPr>
        <w:t xml:space="preserve"> et les points d</w:t>
      </w:r>
      <w:r w:rsidR="00CD45F5" w:rsidRPr="004F3295">
        <w:rPr>
          <w:lang w:val="fr-FR"/>
        </w:rPr>
        <w:t>'</w:t>
      </w:r>
      <w:r w:rsidRPr="004F3295">
        <w:rPr>
          <w:lang w:val="fr-FR"/>
        </w:rPr>
        <w:t xml:space="preserve">échange de trafic de télécommunication peuvent jouer un rôle </w:t>
      </w:r>
      <w:r w:rsidR="005F628E" w:rsidRPr="004F3295">
        <w:rPr>
          <w:lang w:val="fr-FR"/>
        </w:rPr>
        <w:t>utile</w:t>
      </w:r>
      <w:r w:rsidRPr="004F3295">
        <w:rPr>
          <w:lang w:val="fr-FR"/>
        </w:rPr>
        <w:t xml:space="preserve"> dans le déploiement de l</w:t>
      </w:r>
      <w:r w:rsidR="00CD45F5" w:rsidRPr="004F3295">
        <w:rPr>
          <w:lang w:val="fr-FR"/>
        </w:rPr>
        <w:t>'</w:t>
      </w:r>
      <w:r w:rsidRPr="004F3295">
        <w:rPr>
          <w:lang w:val="fr-FR"/>
        </w:rPr>
        <w:t>infrastructure de l</w:t>
      </w:r>
      <w:r w:rsidR="00CD45F5" w:rsidRPr="004F3295">
        <w:rPr>
          <w:lang w:val="fr-FR"/>
        </w:rPr>
        <w:t>'</w:t>
      </w:r>
      <w:r w:rsidRPr="004F3295">
        <w:rPr>
          <w:lang w:val="fr-FR"/>
        </w:rPr>
        <w:t xml:space="preserve">Internet et dans la réalisation des objectifs généraux </w:t>
      </w:r>
      <w:r w:rsidR="005F628E" w:rsidRPr="004F3295">
        <w:rPr>
          <w:lang w:val="fr-FR"/>
        </w:rPr>
        <w:t xml:space="preserve">qui consistent à améliorer </w:t>
      </w:r>
      <w:r w:rsidRPr="004F3295">
        <w:rPr>
          <w:lang w:val="fr-FR"/>
        </w:rPr>
        <w:t xml:space="preserve">la qualité, </w:t>
      </w:r>
      <w:r w:rsidR="005F628E" w:rsidRPr="004F3295">
        <w:rPr>
          <w:lang w:val="fr-FR"/>
        </w:rPr>
        <w:t>à</w:t>
      </w:r>
      <w:r w:rsidRPr="004F3295">
        <w:rPr>
          <w:lang w:val="fr-FR"/>
        </w:rPr>
        <w:t xml:space="preserve"> renforce</w:t>
      </w:r>
      <w:r w:rsidR="005F628E" w:rsidRPr="004F3295">
        <w:rPr>
          <w:lang w:val="fr-FR"/>
        </w:rPr>
        <w:t>r</w:t>
      </w:r>
      <w:r w:rsidRPr="004F3295">
        <w:rPr>
          <w:lang w:val="fr-FR"/>
        </w:rPr>
        <w:t xml:space="preserve"> la connectivité et la résilience des réseaux, </w:t>
      </w:r>
      <w:r w:rsidR="005F628E" w:rsidRPr="004F3295">
        <w:rPr>
          <w:lang w:val="fr-FR"/>
        </w:rPr>
        <w:t>à</w:t>
      </w:r>
      <w:r w:rsidRPr="004F3295">
        <w:rPr>
          <w:lang w:val="fr-FR"/>
        </w:rPr>
        <w:t xml:space="preserve"> promo</w:t>
      </w:r>
      <w:r w:rsidR="005F628E" w:rsidRPr="004F3295">
        <w:rPr>
          <w:lang w:val="fr-FR"/>
        </w:rPr>
        <w:t>uvoir</w:t>
      </w:r>
      <w:r w:rsidRPr="004F3295">
        <w:rPr>
          <w:lang w:val="fr-FR"/>
        </w:rPr>
        <w:t xml:space="preserve"> la concurrence et </w:t>
      </w:r>
      <w:r w:rsidR="005F628E" w:rsidRPr="004F3295">
        <w:rPr>
          <w:lang w:val="fr-FR"/>
        </w:rPr>
        <w:t xml:space="preserve">à réduire les </w:t>
      </w:r>
      <w:r w:rsidRPr="004F3295">
        <w:rPr>
          <w:lang w:val="fr-FR"/>
        </w:rPr>
        <w:t>coûts d</w:t>
      </w:r>
      <w:r w:rsidR="00CD45F5" w:rsidRPr="004F3295">
        <w:rPr>
          <w:lang w:val="fr-FR"/>
        </w:rPr>
        <w:t>'</w:t>
      </w:r>
      <w:r w:rsidRPr="004F3295">
        <w:rPr>
          <w:lang w:val="fr-FR"/>
        </w:rPr>
        <w:t>interconnexion,</w:t>
      </w:r>
    </w:p>
    <w:p w:rsidR="00141677" w:rsidRPr="004F3295" w:rsidRDefault="00141677" w:rsidP="005F628E">
      <w:pPr>
        <w:pStyle w:val="Call"/>
        <w:rPr>
          <w:lang w:val="fr-FR"/>
        </w:rPr>
      </w:pPr>
      <w:r w:rsidRPr="004F3295">
        <w:rPr>
          <w:lang w:val="fr-FR"/>
        </w:rPr>
        <w:t>est d</w:t>
      </w:r>
      <w:r w:rsidR="00CD45F5" w:rsidRPr="004F3295">
        <w:rPr>
          <w:lang w:val="fr-FR"/>
        </w:rPr>
        <w:t>'</w:t>
      </w:r>
      <w:r w:rsidRPr="004F3295">
        <w:rPr>
          <w:lang w:val="fr-FR"/>
        </w:rPr>
        <w:t>avis</w:t>
      </w:r>
    </w:p>
    <w:p w:rsidR="00141677" w:rsidRPr="004F3295" w:rsidRDefault="005F628E" w:rsidP="005F628E">
      <w:pPr>
        <w:rPr>
          <w:lang w:val="fr-FR"/>
        </w:rPr>
      </w:pPr>
      <w:r w:rsidRPr="004F3295">
        <w:rPr>
          <w:lang w:val="fr-FR"/>
        </w:rPr>
        <w:t>a)</w:t>
      </w:r>
      <w:r w:rsidRPr="004F3295">
        <w:rPr>
          <w:lang w:val="fr-FR"/>
        </w:rPr>
        <w:tab/>
      </w:r>
      <w:r w:rsidR="00141677" w:rsidRPr="004F3295">
        <w:rPr>
          <w:lang w:val="fr-FR"/>
        </w:rPr>
        <w:t>que l</w:t>
      </w:r>
      <w:r w:rsidR="00CD45F5" w:rsidRPr="004F3295">
        <w:rPr>
          <w:lang w:val="fr-FR"/>
        </w:rPr>
        <w:t>'</w:t>
      </w:r>
      <w:r w:rsidR="00141677" w:rsidRPr="004F3295">
        <w:rPr>
          <w:lang w:val="fr-FR"/>
        </w:rPr>
        <w:t xml:space="preserve">établissement </w:t>
      </w:r>
      <w:r w:rsidRPr="004F3295">
        <w:rPr>
          <w:lang w:val="fr-FR"/>
        </w:rPr>
        <w:t xml:space="preserve">de points IXP </w:t>
      </w:r>
      <w:r w:rsidR="00141677" w:rsidRPr="004F3295">
        <w:rPr>
          <w:lang w:val="fr-FR"/>
        </w:rPr>
        <w:t>aux niveaux local</w:t>
      </w:r>
      <w:r w:rsidRPr="004F3295">
        <w:rPr>
          <w:lang w:val="fr-FR"/>
        </w:rPr>
        <w:t>,</w:t>
      </w:r>
      <w:r w:rsidR="00141677" w:rsidRPr="004F3295">
        <w:rPr>
          <w:lang w:val="fr-FR"/>
        </w:rPr>
        <w:t xml:space="preserve"> national</w:t>
      </w:r>
      <w:r w:rsidRPr="004F3295">
        <w:rPr>
          <w:lang w:val="fr-FR"/>
        </w:rPr>
        <w:t>,</w:t>
      </w:r>
      <w:r w:rsidR="00141677" w:rsidRPr="004F3295">
        <w:rPr>
          <w:lang w:val="fr-FR"/>
        </w:rPr>
        <w:t xml:space="preserve"> sous</w:t>
      </w:r>
      <w:r w:rsidRPr="004F3295">
        <w:rPr>
          <w:lang w:val="fr-FR"/>
        </w:rPr>
        <w:noBreakHyphen/>
      </w:r>
      <w:r w:rsidR="00141677" w:rsidRPr="004F3295">
        <w:rPr>
          <w:lang w:val="fr-FR"/>
        </w:rPr>
        <w:t>régional et régional est une priorité si l</w:t>
      </w:r>
      <w:r w:rsidR="00CD45F5" w:rsidRPr="004F3295">
        <w:rPr>
          <w:lang w:val="fr-FR"/>
        </w:rPr>
        <w:t>'</w:t>
      </w:r>
      <w:r w:rsidR="00141677" w:rsidRPr="004F3295">
        <w:rPr>
          <w:lang w:val="fr-FR"/>
        </w:rPr>
        <w:t>on veut régler les problèmes de connectivité, améliorer la qualité de service et réduire les coûts d</w:t>
      </w:r>
      <w:r w:rsidR="00CD45F5" w:rsidRPr="004F3295">
        <w:rPr>
          <w:lang w:val="fr-FR"/>
        </w:rPr>
        <w:t>'</w:t>
      </w:r>
      <w:r w:rsidR="00141677" w:rsidRPr="004F3295">
        <w:rPr>
          <w:lang w:val="fr-FR"/>
        </w:rPr>
        <w:t>interconnexion;</w:t>
      </w:r>
    </w:p>
    <w:p w:rsidR="00141677" w:rsidRPr="004F3295" w:rsidRDefault="005F628E" w:rsidP="005F628E">
      <w:pPr>
        <w:rPr>
          <w:lang w:val="fr-FR"/>
        </w:rPr>
      </w:pPr>
      <w:r w:rsidRPr="004F3295">
        <w:rPr>
          <w:lang w:val="fr-FR"/>
        </w:rPr>
        <w:t>b)</w:t>
      </w:r>
      <w:r w:rsidRPr="004F3295">
        <w:rPr>
          <w:lang w:val="fr-FR"/>
        </w:rPr>
        <w:tab/>
      </w:r>
      <w:r w:rsidR="00141677" w:rsidRPr="004F3295">
        <w:rPr>
          <w:lang w:val="fr-FR"/>
        </w:rPr>
        <w:t>que le fait d</w:t>
      </w:r>
      <w:r w:rsidR="00CD45F5" w:rsidRPr="004F3295">
        <w:rPr>
          <w:lang w:val="fr-FR"/>
        </w:rPr>
        <w:t>'</w:t>
      </w:r>
      <w:r w:rsidR="00141677" w:rsidRPr="004F3295">
        <w:rPr>
          <w:lang w:val="fr-FR"/>
        </w:rPr>
        <w:t>assurer l</w:t>
      </w:r>
      <w:r w:rsidR="00CD45F5" w:rsidRPr="004F3295">
        <w:rPr>
          <w:lang w:val="fr-FR"/>
        </w:rPr>
        <w:t>'</w:t>
      </w:r>
      <w:r w:rsidR="00141677" w:rsidRPr="004F3295">
        <w:rPr>
          <w:lang w:val="fr-FR"/>
        </w:rPr>
        <w:t xml:space="preserve">interconnexion des réseaux internationaux, nationaux et régionaux par le biais des points </w:t>
      </w:r>
      <w:r w:rsidRPr="004F3295">
        <w:rPr>
          <w:lang w:val="fr-FR"/>
        </w:rPr>
        <w:t>IXP</w:t>
      </w:r>
      <w:r w:rsidR="00141677" w:rsidRPr="004F3295">
        <w:rPr>
          <w:lang w:val="fr-FR"/>
        </w:rPr>
        <w:t xml:space="preserve"> peut être un bon moyen d</w:t>
      </w:r>
      <w:r w:rsidR="00CD45F5" w:rsidRPr="004F3295">
        <w:rPr>
          <w:lang w:val="fr-FR"/>
        </w:rPr>
        <w:t>'</w:t>
      </w:r>
      <w:r w:rsidR="00141677" w:rsidRPr="004F3295">
        <w:rPr>
          <w:lang w:val="fr-FR"/>
        </w:rPr>
        <w:t>améliorer la connectivité Internet internationale et de réduire les coûts de cette connectivité, la réglementation intervenant uniquement lorsque cela est nécessaire pour encourager la concurrence;</w:t>
      </w:r>
    </w:p>
    <w:p w:rsidR="00141677" w:rsidRPr="004F3295" w:rsidRDefault="005F628E" w:rsidP="00A03E43">
      <w:pPr>
        <w:rPr>
          <w:lang w:val="fr-FR"/>
        </w:rPr>
      </w:pPr>
      <w:r w:rsidRPr="004F3295">
        <w:rPr>
          <w:lang w:val="fr-FR"/>
        </w:rPr>
        <w:t>c)</w:t>
      </w:r>
      <w:r w:rsidRPr="004F3295">
        <w:rPr>
          <w:lang w:val="fr-FR"/>
        </w:rPr>
        <w:tab/>
      </w:r>
      <w:r w:rsidR="00141677" w:rsidRPr="004F3295">
        <w:rPr>
          <w:lang w:val="fr-FR"/>
        </w:rPr>
        <w:t>que les</w:t>
      </w:r>
      <w:r w:rsidR="00CD45F5" w:rsidRPr="004F3295">
        <w:rPr>
          <w:lang w:val="fr-FR"/>
        </w:rPr>
        <w:t xml:space="preserve"> </w:t>
      </w:r>
      <w:r w:rsidR="00141677" w:rsidRPr="004F3295">
        <w:rPr>
          <w:lang w:val="fr-FR"/>
        </w:rPr>
        <w:t>programmes des donateurs et les mécanismes de financement du développement devraient tenir compte de la nécessité de financer des initiatives qui favorisent la connectivité, les points d'échange Internet et la production de contenus locaux à l'intention des pays en développement;</w:t>
      </w:r>
    </w:p>
    <w:p w:rsidR="00141677" w:rsidRPr="004F3295" w:rsidRDefault="005F628E" w:rsidP="005F628E">
      <w:pPr>
        <w:rPr>
          <w:lang w:val="fr-FR"/>
        </w:rPr>
      </w:pPr>
      <w:r w:rsidRPr="004F3295">
        <w:rPr>
          <w:lang w:val="fr-FR"/>
        </w:rPr>
        <w:t>d)</w:t>
      </w:r>
      <w:r w:rsidRPr="004F3295">
        <w:rPr>
          <w:lang w:val="fr-FR"/>
        </w:rPr>
        <w:tab/>
      </w:r>
      <w:r w:rsidR="00141677" w:rsidRPr="004F3295">
        <w:rPr>
          <w:lang w:val="fr-FR"/>
        </w:rPr>
        <w:t xml:space="preserve">que la création de points </w:t>
      </w:r>
      <w:r w:rsidRPr="004F3295">
        <w:rPr>
          <w:lang w:val="fr-FR"/>
        </w:rPr>
        <w:t xml:space="preserve">IXP </w:t>
      </w:r>
      <w:r w:rsidR="00141677" w:rsidRPr="004F3295">
        <w:rPr>
          <w:lang w:val="fr-FR"/>
        </w:rPr>
        <w:t>engendre un cercle vertueux</w:t>
      </w:r>
      <w:r w:rsidRPr="004F3295">
        <w:rPr>
          <w:lang w:val="fr-FR"/>
        </w:rPr>
        <w:t>,</w:t>
      </w:r>
      <w:r w:rsidR="00141677" w:rsidRPr="004F3295">
        <w:rPr>
          <w:lang w:val="fr-FR"/>
        </w:rPr>
        <w:t xml:space="preserve"> en ce sens que plus les points </w:t>
      </w:r>
      <w:r w:rsidRPr="004F3295">
        <w:rPr>
          <w:lang w:val="fr-FR"/>
        </w:rPr>
        <w:t xml:space="preserve">IXP </w:t>
      </w:r>
      <w:r w:rsidR="00141677" w:rsidRPr="004F3295">
        <w:rPr>
          <w:lang w:val="fr-FR"/>
        </w:rPr>
        <w:t>attireront de fournisseurs de services Internet plus ils commenceront aussi à attirer des fournisseurs de contenus locaux</w:t>
      </w:r>
      <w:r w:rsidRPr="004F3295">
        <w:rPr>
          <w:lang w:val="fr-FR"/>
        </w:rPr>
        <w:t>, nationaux et</w:t>
      </w:r>
      <w:r w:rsidR="00141677" w:rsidRPr="004F3295">
        <w:rPr>
          <w:lang w:val="fr-FR"/>
        </w:rPr>
        <w:t xml:space="preserve"> internationaux ainsi que des utilisateurs </w:t>
      </w:r>
      <w:r w:rsidRPr="004F3295">
        <w:rPr>
          <w:lang w:val="fr-FR"/>
        </w:rPr>
        <w:t>issus d'</w:t>
      </w:r>
      <w:r w:rsidR="00141677" w:rsidRPr="004F3295">
        <w:rPr>
          <w:lang w:val="fr-FR"/>
        </w:rPr>
        <w:t xml:space="preserve">entreprises, </w:t>
      </w:r>
      <w:r w:rsidRPr="004F3295">
        <w:rPr>
          <w:lang w:val="fr-FR"/>
        </w:rPr>
        <w:t>de</w:t>
      </w:r>
      <w:r w:rsidR="00141677" w:rsidRPr="004F3295">
        <w:rPr>
          <w:lang w:val="fr-FR"/>
        </w:rPr>
        <w:t xml:space="preserve"> milie</w:t>
      </w:r>
      <w:r w:rsidRPr="004F3295">
        <w:rPr>
          <w:lang w:val="fr-FR"/>
        </w:rPr>
        <w:t>ux universitaires et d</w:t>
      </w:r>
      <w:r w:rsidR="00141677" w:rsidRPr="004F3295">
        <w:rPr>
          <w:lang w:val="fr-FR"/>
        </w:rPr>
        <w:t>es services publics lesquels, à leur tour, attireront davantage de fournisseurs de services Internet;</w:t>
      </w:r>
    </w:p>
    <w:p w:rsidR="00141677" w:rsidRPr="004F3295" w:rsidRDefault="0051702D" w:rsidP="0051702D">
      <w:pPr>
        <w:rPr>
          <w:lang w:val="fr-FR"/>
        </w:rPr>
      </w:pPr>
      <w:r w:rsidRPr="004F3295">
        <w:rPr>
          <w:lang w:val="fr-FR"/>
        </w:rPr>
        <w:t>e)</w:t>
      </w:r>
      <w:r w:rsidRPr="004F3295">
        <w:rPr>
          <w:lang w:val="fr-FR"/>
        </w:rPr>
        <w:tab/>
      </w:r>
      <w:r w:rsidR="00141677" w:rsidRPr="004F3295">
        <w:rPr>
          <w:lang w:val="fr-FR"/>
        </w:rPr>
        <w:t xml:space="preserve">que </w:t>
      </w:r>
      <w:r w:rsidRPr="004F3295">
        <w:rPr>
          <w:lang w:val="fr-FR"/>
        </w:rPr>
        <w:t>la capacité de production de contenus locaux des</w:t>
      </w:r>
      <w:r w:rsidR="00141677" w:rsidRPr="004F3295">
        <w:rPr>
          <w:lang w:val="fr-FR"/>
        </w:rPr>
        <w:t xml:space="preserve"> pays en développement </w:t>
      </w:r>
      <w:r w:rsidRPr="004F3295">
        <w:rPr>
          <w:lang w:val="fr-FR"/>
        </w:rPr>
        <w:t>devrai</w:t>
      </w:r>
      <w:r w:rsidR="00141677" w:rsidRPr="004F3295">
        <w:rPr>
          <w:lang w:val="fr-FR"/>
        </w:rPr>
        <w:t>t être encouragé</w:t>
      </w:r>
      <w:r w:rsidRPr="004F3295">
        <w:rPr>
          <w:lang w:val="fr-FR"/>
        </w:rPr>
        <w:t xml:space="preserve">e et favorisée par </w:t>
      </w:r>
      <w:r w:rsidR="00141677" w:rsidRPr="004F3295">
        <w:rPr>
          <w:lang w:val="fr-FR"/>
        </w:rPr>
        <w:t>l</w:t>
      </w:r>
      <w:r w:rsidR="00CD45F5" w:rsidRPr="004F3295">
        <w:rPr>
          <w:lang w:val="fr-FR"/>
        </w:rPr>
        <w:t>'</w:t>
      </w:r>
      <w:r w:rsidR="00141677" w:rsidRPr="004F3295">
        <w:rPr>
          <w:lang w:val="fr-FR"/>
        </w:rPr>
        <w:t xml:space="preserve">environnement propice que fournissent les points </w:t>
      </w:r>
      <w:r w:rsidRPr="004F3295">
        <w:rPr>
          <w:lang w:val="fr-FR"/>
        </w:rPr>
        <w:t xml:space="preserve">IXP </w:t>
      </w:r>
      <w:r w:rsidR="00141677" w:rsidRPr="004F3295">
        <w:rPr>
          <w:lang w:val="fr-FR"/>
        </w:rPr>
        <w:t>locaux</w:t>
      </w:r>
      <w:r w:rsidRPr="004F3295">
        <w:rPr>
          <w:lang w:val="fr-FR"/>
        </w:rPr>
        <w:t xml:space="preserve"> et </w:t>
      </w:r>
      <w:r w:rsidR="00141677" w:rsidRPr="004F3295">
        <w:rPr>
          <w:lang w:val="fr-FR"/>
        </w:rPr>
        <w:t>régionaux;</w:t>
      </w:r>
    </w:p>
    <w:p w:rsidR="00141677" w:rsidRPr="004F3295" w:rsidRDefault="0051702D" w:rsidP="004F3295">
      <w:pPr>
        <w:rPr>
          <w:lang w:val="fr-FR"/>
        </w:rPr>
      </w:pPr>
      <w:r w:rsidRPr="004F3295">
        <w:rPr>
          <w:lang w:val="fr-FR"/>
        </w:rPr>
        <w:t>f)</w:t>
      </w:r>
      <w:r w:rsidRPr="004F3295">
        <w:rPr>
          <w:lang w:val="fr-FR"/>
        </w:rPr>
        <w:tab/>
      </w:r>
      <w:r w:rsidR="00141677" w:rsidRPr="004F3295">
        <w:rPr>
          <w:lang w:val="fr-FR"/>
        </w:rPr>
        <w:t xml:space="preserve">que, </w:t>
      </w:r>
      <w:r w:rsidR="00915844" w:rsidRPr="004F3295">
        <w:rPr>
          <w:lang w:val="fr-FR"/>
        </w:rPr>
        <w:t xml:space="preserve">bien </w:t>
      </w:r>
      <w:r w:rsidR="00141677" w:rsidRPr="004F3295">
        <w:rPr>
          <w:lang w:val="fr-FR"/>
        </w:rPr>
        <w:t xml:space="preserve">souvent, des points </w:t>
      </w:r>
      <w:r w:rsidR="000F2348">
        <w:rPr>
          <w:lang w:val="fr-FR"/>
        </w:rPr>
        <w:t>IXP efficaces</w:t>
      </w:r>
      <w:r w:rsidR="00915844" w:rsidRPr="004F3295">
        <w:rPr>
          <w:lang w:val="fr-FR"/>
        </w:rPr>
        <w:t xml:space="preserve"> </w:t>
      </w:r>
      <w:r w:rsidR="00141677" w:rsidRPr="004F3295">
        <w:rPr>
          <w:lang w:val="fr-FR"/>
        </w:rPr>
        <w:t xml:space="preserve">voient le jour lorsque les </w:t>
      </w:r>
      <w:r w:rsidR="00915844" w:rsidRPr="004F3295">
        <w:rPr>
          <w:lang w:val="fr-FR"/>
        </w:rPr>
        <w:t>E</w:t>
      </w:r>
      <w:r w:rsidR="00141677" w:rsidRPr="004F3295">
        <w:rPr>
          <w:lang w:val="fr-FR"/>
        </w:rPr>
        <w:t>tats Membres ont adopté des processus politiques multi</w:t>
      </w:r>
      <w:r w:rsidR="004F3295">
        <w:rPr>
          <w:lang w:val="fr-FR"/>
        </w:rPr>
        <w:t>-</w:t>
      </w:r>
      <w:r w:rsidR="00141677" w:rsidRPr="004F3295">
        <w:rPr>
          <w:lang w:val="fr-FR"/>
        </w:rPr>
        <w:t>parties prenantes</w:t>
      </w:r>
      <w:r w:rsidR="004F3295">
        <w:rPr>
          <w:lang w:val="fr-FR"/>
        </w:rPr>
        <w:t>,</w:t>
      </w:r>
      <w:r w:rsidR="00141677" w:rsidRPr="004F3295">
        <w:rPr>
          <w:lang w:val="fr-FR"/>
        </w:rPr>
        <w:t xml:space="preserve"> dans la </w:t>
      </w:r>
      <w:r w:rsidR="000F2348">
        <w:rPr>
          <w:lang w:val="fr-FR"/>
        </w:rPr>
        <w:t>mesure où la création de points </w:t>
      </w:r>
      <w:r w:rsidR="004F3295">
        <w:rPr>
          <w:lang w:val="fr-FR"/>
        </w:rPr>
        <w:t xml:space="preserve">IXP </w:t>
      </w:r>
      <w:r w:rsidR="00141677" w:rsidRPr="004F3295">
        <w:rPr>
          <w:lang w:val="fr-FR"/>
        </w:rPr>
        <w:t>suppose une coopération entre les parties prenantes concernées;</w:t>
      </w:r>
    </w:p>
    <w:p w:rsidR="00141677" w:rsidRPr="004F3295" w:rsidRDefault="00C5215D" w:rsidP="00C5215D">
      <w:pPr>
        <w:rPr>
          <w:lang w:val="fr-FR"/>
        </w:rPr>
      </w:pPr>
      <w:r w:rsidRPr="004F3295">
        <w:rPr>
          <w:lang w:val="fr-FR"/>
        </w:rPr>
        <w:t>g)</w:t>
      </w:r>
      <w:r w:rsidRPr="004F3295">
        <w:rPr>
          <w:lang w:val="fr-FR"/>
        </w:rPr>
        <w:tab/>
      </w:r>
      <w:r w:rsidR="00141677" w:rsidRPr="004F3295">
        <w:rPr>
          <w:lang w:val="fr-FR"/>
        </w:rPr>
        <w:t>que l</w:t>
      </w:r>
      <w:r w:rsidRPr="004F3295">
        <w:rPr>
          <w:lang w:val="fr-FR"/>
        </w:rPr>
        <w:t>'</w:t>
      </w:r>
      <w:r w:rsidR="00141677" w:rsidRPr="004F3295">
        <w:rPr>
          <w:lang w:val="fr-FR"/>
        </w:rPr>
        <w:t>a</w:t>
      </w:r>
      <w:r w:rsidRPr="004F3295">
        <w:rPr>
          <w:lang w:val="fr-FR"/>
        </w:rPr>
        <w:t>dop</w:t>
      </w:r>
      <w:r w:rsidR="00141677" w:rsidRPr="004F3295">
        <w:rPr>
          <w:lang w:val="fr-FR"/>
        </w:rPr>
        <w:t xml:space="preserve">tion </w:t>
      </w:r>
      <w:r w:rsidRPr="004F3295">
        <w:rPr>
          <w:lang w:val="fr-FR"/>
        </w:rPr>
        <w:t xml:space="preserve">de mesures réglementaires </w:t>
      </w:r>
      <w:r w:rsidR="00141677" w:rsidRPr="004F3295">
        <w:rPr>
          <w:lang w:val="fr-FR"/>
        </w:rPr>
        <w:t>ne devrait pas faire obstacle à la conclusion d</w:t>
      </w:r>
      <w:r w:rsidR="00CD45F5" w:rsidRPr="004F3295">
        <w:rPr>
          <w:lang w:val="fr-FR"/>
        </w:rPr>
        <w:t>'</w:t>
      </w:r>
      <w:r w:rsidR="00141677" w:rsidRPr="004F3295">
        <w:rPr>
          <w:lang w:val="fr-FR"/>
        </w:rPr>
        <w:t>a</w:t>
      </w:r>
      <w:r w:rsidRPr="004F3295">
        <w:rPr>
          <w:lang w:val="fr-FR"/>
        </w:rPr>
        <w:t xml:space="preserve">ccords en matière de transit et d'échange de trafic entre homologues, afin </w:t>
      </w:r>
      <w:r w:rsidR="00141677" w:rsidRPr="004F3295">
        <w:rPr>
          <w:lang w:val="fr-FR"/>
        </w:rPr>
        <w:t xml:space="preserve">de créer un environnement </w:t>
      </w:r>
      <w:r w:rsidRPr="004F3295">
        <w:rPr>
          <w:lang w:val="fr-FR"/>
        </w:rPr>
        <w:t xml:space="preserve">concurrentiel et propice </w:t>
      </w:r>
      <w:r w:rsidR="00141677" w:rsidRPr="004F3295">
        <w:rPr>
          <w:lang w:val="fr-FR"/>
        </w:rPr>
        <w:t xml:space="preserve">à </w:t>
      </w:r>
      <w:r w:rsidRPr="004F3295">
        <w:rPr>
          <w:lang w:val="fr-FR"/>
        </w:rPr>
        <w:t xml:space="preserve">l'établissement </w:t>
      </w:r>
      <w:r w:rsidR="00141677" w:rsidRPr="004F3295">
        <w:rPr>
          <w:lang w:val="fr-FR"/>
        </w:rPr>
        <w:t xml:space="preserve">de points </w:t>
      </w:r>
      <w:r w:rsidRPr="004F3295">
        <w:rPr>
          <w:lang w:val="fr-FR"/>
        </w:rPr>
        <w:t>IXP</w:t>
      </w:r>
      <w:r w:rsidR="00141677" w:rsidRPr="004F3295">
        <w:rPr>
          <w:lang w:val="fr-FR"/>
        </w:rPr>
        <w:t>;</w:t>
      </w:r>
    </w:p>
    <w:p w:rsidR="00141677" w:rsidRPr="004F3295" w:rsidRDefault="00A632E7" w:rsidP="00A632E7">
      <w:pPr>
        <w:rPr>
          <w:lang w:val="fr-FR"/>
        </w:rPr>
      </w:pPr>
      <w:r w:rsidRPr="004F3295">
        <w:rPr>
          <w:lang w:val="fr-FR"/>
        </w:rPr>
        <w:t>h)</w:t>
      </w:r>
      <w:r w:rsidRPr="004F3295">
        <w:rPr>
          <w:lang w:val="fr-FR"/>
        </w:rPr>
        <w:tab/>
      </w:r>
      <w:r w:rsidR="00141677" w:rsidRPr="004F3295">
        <w:rPr>
          <w:lang w:val="fr-FR"/>
        </w:rPr>
        <w:t xml:space="preserve">que la libéralisation du marché des communications électroniques jouera peut-être un rôle important </w:t>
      </w:r>
      <w:r w:rsidRPr="004F3295">
        <w:rPr>
          <w:lang w:val="fr-FR"/>
        </w:rPr>
        <w:t xml:space="preserve">en permettant l'instauration </w:t>
      </w:r>
      <w:r w:rsidR="00141677" w:rsidRPr="004F3295">
        <w:rPr>
          <w:lang w:val="fr-FR"/>
        </w:rPr>
        <w:t>d</w:t>
      </w:r>
      <w:r w:rsidR="00CD45F5" w:rsidRPr="004F3295">
        <w:rPr>
          <w:lang w:val="fr-FR"/>
        </w:rPr>
        <w:t>'</w:t>
      </w:r>
      <w:r w:rsidR="00141677" w:rsidRPr="004F3295">
        <w:rPr>
          <w:lang w:val="fr-FR"/>
        </w:rPr>
        <w:t xml:space="preserve">un marché concurrentiel </w:t>
      </w:r>
      <w:r w:rsidRPr="004F3295">
        <w:rPr>
          <w:lang w:val="fr-FR"/>
        </w:rPr>
        <w:t xml:space="preserve">qui favorisera la mise en place de points IXP et </w:t>
      </w:r>
      <w:r w:rsidR="00141677" w:rsidRPr="004F3295">
        <w:rPr>
          <w:lang w:val="fr-FR"/>
        </w:rPr>
        <w:t>l</w:t>
      </w:r>
      <w:r w:rsidR="00CD45F5" w:rsidRPr="004F3295">
        <w:rPr>
          <w:lang w:val="fr-FR"/>
        </w:rPr>
        <w:t>'</w:t>
      </w:r>
      <w:r w:rsidR="00141677" w:rsidRPr="004F3295">
        <w:rPr>
          <w:lang w:val="fr-FR"/>
        </w:rPr>
        <w:t>interconnexion avec ces points</w:t>
      </w:r>
      <w:r w:rsidR="004632EF" w:rsidRPr="004F3295">
        <w:rPr>
          <w:lang w:val="fr-FR"/>
        </w:rPr>
        <w:t>;</w:t>
      </w:r>
      <w:r w:rsidR="00141677" w:rsidRPr="004F3295">
        <w:rPr>
          <w:lang w:val="fr-FR"/>
        </w:rPr>
        <w:t xml:space="preserve"> et</w:t>
      </w:r>
    </w:p>
    <w:p w:rsidR="00141677" w:rsidRPr="004F3295" w:rsidRDefault="00A632E7" w:rsidP="00A632E7">
      <w:pPr>
        <w:rPr>
          <w:lang w:val="fr-FR"/>
        </w:rPr>
      </w:pPr>
      <w:r w:rsidRPr="004F3295">
        <w:rPr>
          <w:lang w:val="fr-FR"/>
        </w:rPr>
        <w:t>i)</w:t>
      </w:r>
      <w:r w:rsidRPr="004F3295">
        <w:rPr>
          <w:lang w:val="fr-FR"/>
        </w:rPr>
        <w:tab/>
      </w:r>
      <w:r w:rsidR="00141677" w:rsidRPr="004F3295">
        <w:rPr>
          <w:lang w:val="fr-FR"/>
        </w:rPr>
        <w:t>que l</w:t>
      </w:r>
      <w:r w:rsidR="00CD45F5" w:rsidRPr="004F3295">
        <w:rPr>
          <w:lang w:val="fr-FR"/>
        </w:rPr>
        <w:t>'</w:t>
      </w:r>
      <w:r w:rsidR="00141677" w:rsidRPr="004F3295">
        <w:rPr>
          <w:lang w:val="fr-FR"/>
        </w:rPr>
        <w:t>interconnex</w:t>
      </w:r>
      <w:r w:rsidRPr="004F3295">
        <w:rPr>
          <w:lang w:val="fr-FR"/>
        </w:rPr>
        <w:t>ion accrue rendue possible par l'utilisation d</w:t>
      </w:r>
      <w:r w:rsidR="00141677" w:rsidRPr="004F3295">
        <w:rPr>
          <w:lang w:val="fr-FR"/>
        </w:rPr>
        <w:t xml:space="preserve">es points </w:t>
      </w:r>
      <w:r w:rsidRPr="004F3295">
        <w:rPr>
          <w:lang w:val="fr-FR"/>
        </w:rPr>
        <w:t xml:space="preserve">IXP </w:t>
      </w:r>
      <w:r w:rsidR="00141677" w:rsidRPr="004F3295">
        <w:rPr>
          <w:lang w:val="fr-FR"/>
        </w:rPr>
        <w:t>contribue à améliorer la résilience des infrastructures de réseau,</w:t>
      </w:r>
    </w:p>
    <w:p w:rsidR="00141677" w:rsidRPr="004F3295" w:rsidRDefault="00A632E7" w:rsidP="00A632E7">
      <w:pPr>
        <w:pStyle w:val="Call"/>
        <w:rPr>
          <w:lang w:val="fr-FR"/>
        </w:rPr>
      </w:pPr>
      <w:r w:rsidRPr="004F3295">
        <w:rPr>
          <w:lang w:val="fr-FR"/>
        </w:rPr>
        <w:lastRenderedPageBreak/>
        <w:t>invite</w:t>
      </w:r>
    </w:p>
    <w:p w:rsidR="00141677" w:rsidRPr="004F3295" w:rsidRDefault="00141677" w:rsidP="00141677">
      <w:pPr>
        <w:rPr>
          <w:lang w:val="fr-FR" w:eastAsia="en-GB"/>
        </w:rPr>
      </w:pPr>
      <w:r w:rsidRPr="004F3295">
        <w:rPr>
          <w:lang w:val="fr-FR"/>
        </w:rPr>
        <w:t xml:space="preserve">les </w:t>
      </w:r>
      <w:r w:rsidR="00915844" w:rsidRPr="004F3295">
        <w:rPr>
          <w:lang w:val="fr-FR"/>
        </w:rPr>
        <w:t>E</w:t>
      </w:r>
      <w:r w:rsidRPr="004F3295">
        <w:rPr>
          <w:lang w:val="fr-FR"/>
        </w:rPr>
        <w:t>tats Membres et les Membres de Secteur à travailler en collaboration pour</w:t>
      </w:r>
      <w:r w:rsidR="004632EF" w:rsidRPr="004F3295">
        <w:rPr>
          <w:lang w:val="fr-FR"/>
        </w:rPr>
        <w:t>:</w:t>
      </w:r>
    </w:p>
    <w:p w:rsidR="00141677" w:rsidRPr="004F3295" w:rsidRDefault="007E3A0A" w:rsidP="00731A2C">
      <w:pPr>
        <w:pStyle w:val="enumlev1"/>
        <w:rPr>
          <w:lang w:val="fr-FR"/>
        </w:rPr>
      </w:pPr>
      <w:r w:rsidRPr="004F3295">
        <w:rPr>
          <w:lang w:val="fr-FR" w:eastAsia="en-GB"/>
        </w:rPr>
        <w:t>•</w:t>
      </w:r>
      <w:r w:rsidRPr="004F3295">
        <w:rPr>
          <w:lang w:val="fr-FR" w:eastAsia="en-GB"/>
        </w:rPr>
        <w:tab/>
      </w:r>
      <w:r w:rsidR="00141677" w:rsidRPr="004F3295">
        <w:rPr>
          <w:lang w:val="fr-FR" w:eastAsia="en-GB"/>
        </w:rPr>
        <w:t>promouvoir le développement et l</w:t>
      </w:r>
      <w:r w:rsidR="00CD45F5" w:rsidRPr="004F3295">
        <w:rPr>
          <w:lang w:val="fr-FR" w:eastAsia="en-GB"/>
        </w:rPr>
        <w:t>'</w:t>
      </w:r>
      <w:r w:rsidR="00141677" w:rsidRPr="004F3295">
        <w:rPr>
          <w:lang w:val="fr-FR" w:eastAsia="en-GB"/>
        </w:rPr>
        <w:t>expansion des réseaux aux niveaux national, sous régional et régional</w:t>
      </w:r>
      <w:r w:rsidR="00731A2C" w:rsidRPr="004F3295">
        <w:rPr>
          <w:lang w:val="fr-FR" w:eastAsia="en-GB"/>
        </w:rPr>
        <w:t>;</w:t>
      </w:r>
    </w:p>
    <w:p w:rsidR="00141677" w:rsidRPr="004F3295" w:rsidRDefault="007E3A0A" w:rsidP="00731A2C">
      <w:pPr>
        <w:pStyle w:val="enumlev1"/>
        <w:rPr>
          <w:lang w:val="fr-FR"/>
        </w:rPr>
      </w:pPr>
      <w:r w:rsidRPr="004F3295">
        <w:rPr>
          <w:lang w:val="fr-FR"/>
        </w:rPr>
        <w:t>•</w:t>
      </w:r>
      <w:r w:rsidRPr="004F3295">
        <w:rPr>
          <w:lang w:val="fr-FR"/>
        </w:rPr>
        <w:tab/>
      </w:r>
      <w:r w:rsidR="00731A2C" w:rsidRPr="004F3295">
        <w:rPr>
          <w:lang w:val="fr-FR"/>
        </w:rPr>
        <w:t>permettre</w:t>
      </w:r>
      <w:r w:rsidR="00141677" w:rsidRPr="004F3295">
        <w:rPr>
          <w:lang w:val="fr-FR"/>
        </w:rPr>
        <w:t xml:space="preserve"> la création de points </w:t>
      </w:r>
      <w:r w:rsidR="00731A2C" w:rsidRPr="004F3295">
        <w:rPr>
          <w:lang w:val="fr-FR"/>
        </w:rPr>
        <w:t xml:space="preserve">IXP </w:t>
      </w:r>
      <w:r w:rsidR="00141677" w:rsidRPr="004F3295">
        <w:rPr>
          <w:lang w:val="fr-FR"/>
        </w:rPr>
        <w:t>grâce</w:t>
      </w:r>
      <w:r w:rsidR="00731A2C" w:rsidRPr="004F3295">
        <w:rPr>
          <w:lang w:val="fr-FR"/>
        </w:rPr>
        <w:t>, notamment,</w:t>
      </w:r>
      <w:r w:rsidR="00141677" w:rsidRPr="004F3295">
        <w:rPr>
          <w:lang w:val="fr-FR"/>
        </w:rPr>
        <w:t xml:space="preserve"> à l</w:t>
      </w:r>
      <w:r w:rsidR="00CD45F5" w:rsidRPr="004F3295">
        <w:rPr>
          <w:lang w:val="fr-FR"/>
        </w:rPr>
        <w:t>'</w:t>
      </w:r>
      <w:r w:rsidR="00141677" w:rsidRPr="004F3295">
        <w:rPr>
          <w:lang w:val="fr-FR"/>
        </w:rPr>
        <w:t>échange de compétences techniques et encourager la mise en place d</w:t>
      </w:r>
      <w:r w:rsidR="00CD45F5" w:rsidRPr="004F3295">
        <w:rPr>
          <w:lang w:val="fr-FR"/>
        </w:rPr>
        <w:t>'</w:t>
      </w:r>
      <w:r w:rsidR="00141677" w:rsidRPr="004F3295">
        <w:rPr>
          <w:lang w:val="fr-FR"/>
        </w:rPr>
        <w:t>environnements politiques propices par le biais d</w:t>
      </w:r>
      <w:r w:rsidR="00731A2C" w:rsidRPr="004F3295">
        <w:rPr>
          <w:lang w:val="fr-FR"/>
        </w:rPr>
        <w:t>e consultations ouvertes multi-</w:t>
      </w:r>
      <w:r w:rsidR="00141677" w:rsidRPr="004F3295">
        <w:rPr>
          <w:lang w:val="fr-FR"/>
        </w:rPr>
        <w:t>parties prenantes;</w:t>
      </w:r>
    </w:p>
    <w:p w:rsidR="00141677" w:rsidRPr="00A31A10" w:rsidRDefault="007E3A0A" w:rsidP="00731A2C">
      <w:pPr>
        <w:pStyle w:val="enumlev1"/>
        <w:rPr>
          <w:lang w:val="fr-CH"/>
        </w:rPr>
      </w:pPr>
      <w:r w:rsidRPr="004F3295">
        <w:rPr>
          <w:lang w:val="fr-FR"/>
        </w:rPr>
        <w:t>•</w:t>
      </w:r>
      <w:r w:rsidRPr="004F3295">
        <w:rPr>
          <w:lang w:val="fr-FR"/>
        </w:rPr>
        <w:tab/>
      </w:r>
      <w:r w:rsidR="00141677" w:rsidRPr="004F3295">
        <w:rPr>
          <w:lang w:val="fr-FR"/>
        </w:rPr>
        <w:t>encourager l</w:t>
      </w:r>
      <w:r w:rsidR="00CD45F5" w:rsidRPr="004F3295">
        <w:rPr>
          <w:lang w:val="fr-FR"/>
        </w:rPr>
        <w:t>'</w:t>
      </w:r>
      <w:r w:rsidR="00141677" w:rsidRPr="004F3295">
        <w:rPr>
          <w:lang w:val="fr-FR"/>
        </w:rPr>
        <w:t>adoption de politiques publiques permettant aux opérateurs de réseaux Internet locaux, régionaux et internationaux de s</w:t>
      </w:r>
      <w:r w:rsidR="00CD45F5" w:rsidRPr="004F3295">
        <w:rPr>
          <w:lang w:val="fr-FR"/>
        </w:rPr>
        <w:t>'</w:t>
      </w:r>
      <w:r w:rsidR="00141677" w:rsidRPr="004F3295">
        <w:rPr>
          <w:lang w:val="fr-FR"/>
        </w:rPr>
        <w:t>interconnecter par l</w:t>
      </w:r>
      <w:r w:rsidR="00CD45F5" w:rsidRPr="004F3295">
        <w:rPr>
          <w:lang w:val="fr-FR"/>
        </w:rPr>
        <w:t>'</w:t>
      </w:r>
      <w:r w:rsidR="00141677" w:rsidRPr="004F3295">
        <w:rPr>
          <w:lang w:val="fr-FR"/>
        </w:rPr>
        <w:t xml:space="preserve">intermédiaire des points </w:t>
      </w:r>
      <w:r w:rsidR="00731A2C" w:rsidRPr="004F3295">
        <w:rPr>
          <w:lang w:val="fr-FR"/>
        </w:rPr>
        <w:t>IXP</w:t>
      </w:r>
      <w:r w:rsidR="00141677" w:rsidRPr="004F3295">
        <w:rPr>
          <w:lang w:val="fr-FR"/>
        </w:rPr>
        <w:t>.</w:t>
      </w:r>
    </w:p>
    <w:p w:rsidR="00E76D75" w:rsidRPr="007E3A0A" w:rsidRDefault="002559B5" w:rsidP="00A03E43">
      <w:pPr>
        <w:spacing w:before="0"/>
        <w:jc w:val="center"/>
      </w:pPr>
      <w:r>
        <w:t>______________</w:t>
      </w:r>
    </w:p>
    <w:sectPr w:rsidR="00E76D75" w:rsidRPr="007E3A0A" w:rsidSect="004D1851">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52" w:rsidRDefault="00CE6652">
      <w:r>
        <w:separator/>
      </w:r>
    </w:p>
  </w:endnote>
  <w:endnote w:type="continuationSeparator" w:id="0">
    <w:p w:rsidR="00CE6652" w:rsidRDefault="00CE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34" w:rsidRDefault="00421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FF" w:rsidRPr="006F2B15" w:rsidRDefault="00A372D6" w:rsidP="004632EF">
    <w:pPr>
      <w:pStyle w:val="Footer"/>
    </w:pPr>
    <w:r>
      <w:fldChar w:fldCharType="begin"/>
    </w:r>
    <w:r>
      <w:instrText xml:space="preserve"> FILENAME \p  \* MERGEFORMAT </w:instrText>
    </w:r>
    <w:r>
      <w:fldChar w:fldCharType="separate"/>
    </w:r>
    <w:r w:rsidR="00CE2B07">
      <w:t>P:\SPM\GBS\wtpf13\documentation\opinions-sent-to-trad\S13-WTPF13IEG3-C-0047!!MSW-F.docx</w:t>
    </w:r>
    <w:r>
      <w:fldChar w:fldCharType="end"/>
    </w:r>
    <w:r w:rsidR="006F2B15">
      <w:t xml:space="preserve"> (34070</w:t>
    </w:r>
    <w:r w:rsidR="004632EF">
      <w:t>5</w:t>
    </w:r>
    <w:r w:rsidR="006F2B15">
      <w:t>)</w:t>
    </w:r>
    <w:r w:rsidR="006F2B15">
      <w:tab/>
    </w:r>
    <w:r w:rsidR="006F2B15">
      <w:fldChar w:fldCharType="begin"/>
    </w:r>
    <w:r w:rsidR="006F2B15">
      <w:instrText xml:space="preserve"> SAVEDATE \@ DD.MM.YY </w:instrText>
    </w:r>
    <w:r w:rsidR="006F2B15">
      <w:fldChar w:fldCharType="separate"/>
    </w:r>
    <w:r w:rsidR="00CE2B07">
      <w:t>28.03.13</w:t>
    </w:r>
    <w:r w:rsidR="006F2B15">
      <w:fldChar w:fldCharType="end"/>
    </w:r>
    <w:r w:rsidR="006F2B15">
      <w:tab/>
    </w:r>
    <w:r w:rsidR="006F2B15">
      <w:fldChar w:fldCharType="begin"/>
    </w:r>
    <w:r w:rsidR="006F2B15">
      <w:instrText xml:space="preserve"> PRINTDATE \@ DD.MM.YY </w:instrText>
    </w:r>
    <w:r w:rsidR="006F2B15">
      <w:fldChar w:fldCharType="separate"/>
    </w:r>
    <w:r w:rsidR="00CE2B07">
      <w:t>21.03.13</w:t>
    </w:r>
    <w:r w:rsidR="006F2B1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0D" w:rsidRDefault="00A372D6" w:rsidP="00D215AE">
    <w:pPr>
      <w:pStyle w:val="Footer"/>
    </w:pPr>
    <w:r>
      <w:fldChar w:fldCharType="begin"/>
    </w:r>
    <w:r>
      <w:instrText xml:space="preserve"> FILENAME \p  \* MERGEFORMAT </w:instrText>
    </w:r>
    <w:r>
      <w:fldChar w:fldCharType="separate"/>
    </w:r>
    <w:r w:rsidR="00CE2B07">
      <w:t>P:\SPM\GBS\wtpf13\documentation\opinions-sent-to-trad\S13-WTPF13IEG3-C-0047!!MSW-F.docx</w:t>
    </w:r>
    <w:r>
      <w:fldChar w:fldCharType="end"/>
    </w:r>
    <w:r w:rsidR="006F2B15">
      <w:t xml:space="preserve"> (34070</w:t>
    </w:r>
    <w:r w:rsidR="00D215AE">
      <w:t>7</w:t>
    </w:r>
    <w:r w:rsidR="006F2B15">
      <w:t>)</w:t>
    </w:r>
    <w:r w:rsidR="00322D0D">
      <w:tab/>
    </w:r>
    <w:r w:rsidR="00864AFF">
      <w:fldChar w:fldCharType="begin"/>
    </w:r>
    <w:r w:rsidR="00322D0D">
      <w:instrText xml:space="preserve"> SAVEDATE \@ DD.MM.YY </w:instrText>
    </w:r>
    <w:r w:rsidR="00864AFF">
      <w:fldChar w:fldCharType="separate"/>
    </w:r>
    <w:r w:rsidR="00CE2B07">
      <w:t>28.03.13</w:t>
    </w:r>
    <w:r w:rsidR="00864AFF">
      <w:fldChar w:fldCharType="end"/>
    </w:r>
    <w:r w:rsidR="00322D0D">
      <w:tab/>
    </w:r>
    <w:r w:rsidR="00864AFF">
      <w:fldChar w:fldCharType="begin"/>
    </w:r>
    <w:r w:rsidR="00322D0D">
      <w:instrText xml:space="preserve"> PRINTDATE \@ DD.MM.YY </w:instrText>
    </w:r>
    <w:r w:rsidR="00864AFF">
      <w:fldChar w:fldCharType="separate"/>
    </w:r>
    <w:r w:rsidR="00CE2B07">
      <w:t>21.03.13</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52" w:rsidRDefault="00CE6652">
      <w:r>
        <w:t>____________________</w:t>
      </w:r>
    </w:p>
  </w:footnote>
  <w:footnote w:type="continuationSeparator" w:id="0">
    <w:p w:rsidR="00CE6652" w:rsidRDefault="00CE6652">
      <w:r>
        <w:continuationSeparator/>
      </w:r>
    </w:p>
  </w:footnote>
  <w:footnote w:id="1">
    <w:p w:rsidR="00CD45F5" w:rsidRPr="00CD45F5" w:rsidRDefault="00CD45F5" w:rsidP="00A03E43">
      <w:pPr>
        <w:pStyle w:val="FootnoteText"/>
        <w:rPr>
          <w:lang w:val="fr-CH"/>
        </w:rPr>
      </w:pPr>
      <w:r>
        <w:rPr>
          <w:rStyle w:val="FootnoteReference"/>
        </w:rPr>
        <w:footnoteRef/>
      </w:r>
      <w:r w:rsidRPr="00CD45F5">
        <w:rPr>
          <w:lang w:val="fr-CH"/>
        </w:rPr>
        <w:t xml:space="preserve"> </w:t>
      </w:r>
      <w:r>
        <w:rPr>
          <w:lang w:val="fr-CH"/>
        </w:rPr>
        <w:tab/>
      </w:r>
      <w:r w:rsidR="00A03E43">
        <w:rPr>
          <w:lang w:val="fr-CH"/>
        </w:rPr>
        <w:t>C</w:t>
      </w:r>
      <w:r w:rsidRPr="00962A07">
        <w:rPr>
          <w:lang w:val="fr-CH"/>
        </w:rPr>
        <w:t>orrélation entre les contenus locaux, le développement de l'Internet et les prix de l'accès (</w:t>
      </w:r>
      <w:r>
        <w:rPr>
          <w:lang w:val="fr-CH"/>
        </w:rPr>
        <w:t>OCDE</w:t>
      </w:r>
      <w:r w:rsidRPr="00962A07">
        <w:rPr>
          <w:lang w:val="fr-CH"/>
        </w:rPr>
        <w:t>, UNESCO, Internet Society) (2011)</w:t>
      </w:r>
      <w:r>
        <w:rPr>
          <w:lang w:val="fr-CH"/>
        </w:rPr>
        <w:t>.</w:t>
      </w:r>
    </w:p>
  </w:footnote>
  <w:footnote w:id="2">
    <w:p w:rsidR="000F2348" w:rsidRPr="00962A07" w:rsidRDefault="000F2348" w:rsidP="000F2348">
      <w:pPr>
        <w:pStyle w:val="FootnoteText"/>
        <w:spacing w:after="120"/>
        <w:rPr>
          <w:lang w:val="fr-CH"/>
        </w:rPr>
      </w:pPr>
      <w:r>
        <w:rPr>
          <w:rStyle w:val="FootnoteReference"/>
        </w:rPr>
        <w:footnoteRef/>
      </w:r>
      <w:r>
        <w:rPr>
          <w:lang w:val="fr-CH"/>
        </w:rPr>
        <w:tab/>
        <w:t>L</w:t>
      </w:r>
      <w:r w:rsidRPr="00962A07">
        <w:rPr>
          <w:lang w:val="fr-CH"/>
        </w:rPr>
        <w:t>'état du large bande en 2012 (</w:t>
      </w:r>
      <w:r>
        <w:rPr>
          <w:lang w:val="fr-CH"/>
        </w:rPr>
        <w:t xml:space="preserve">UIT et </w:t>
      </w:r>
      <w:r w:rsidRPr="00962A07">
        <w:rPr>
          <w:lang w:val="fr-CH"/>
        </w:rPr>
        <w:t>UNESCO, 2012)</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34" w:rsidRDefault="00421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0D" w:rsidRDefault="006535F1" w:rsidP="00421B34">
    <w:pPr>
      <w:pStyle w:val="Header"/>
    </w:pPr>
    <w:r>
      <w:fldChar w:fldCharType="begin"/>
    </w:r>
    <w:r>
      <w:instrText>PAGE</w:instrText>
    </w:r>
    <w:r>
      <w:fldChar w:fldCharType="separate"/>
    </w:r>
    <w:r w:rsidR="00A372D6">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34" w:rsidRDefault="00421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6ED5B78"/>
    <w:multiLevelType w:val="hybridMultilevel"/>
    <w:tmpl w:val="1D186C50"/>
    <w:lvl w:ilvl="0" w:tplc="2B48C4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6384A"/>
    <w:multiLevelType w:val="hybridMultilevel"/>
    <w:tmpl w:val="69AA01D6"/>
    <w:lvl w:ilvl="0" w:tplc="168E9C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2056B"/>
    <w:multiLevelType w:val="hybridMultilevel"/>
    <w:tmpl w:val="B05667D8"/>
    <w:lvl w:ilvl="0" w:tplc="168E9C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82328"/>
    <w:multiLevelType w:val="hybridMultilevel"/>
    <w:tmpl w:val="22DA6442"/>
    <w:lvl w:ilvl="0" w:tplc="5EAC6640">
      <w:start w:val="1"/>
      <w:numFmt w:val="lowerLetter"/>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52"/>
    <w:rsid w:val="00063016"/>
    <w:rsid w:val="00076AF6"/>
    <w:rsid w:val="00080C15"/>
    <w:rsid w:val="00085CF2"/>
    <w:rsid w:val="000A7F07"/>
    <w:rsid w:val="000B1705"/>
    <w:rsid w:val="000D75B2"/>
    <w:rsid w:val="000F2348"/>
    <w:rsid w:val="001121F5"/>
    <w:rsid w:val="00140CE1"/>
    <w:rsid w:val="00141677"/>
    <w:rsid w:val="001508B3"/>
    <w:rsid w:val="0015738D"/>
    <w:rsid w:val="0017539C"/>
    <w:rsid w:val="00175AC2"/>
    <w:rsid w:val="0017609F"/>
    <w:rsid w:val="001C15D9"/>
    <w:rsid w:val="001C628E"/>
    <w:rsid w:val="001E0F7B"/>
    <w:rsid w:val="00200310"/>
    <w:rsid w:val="002119FD"/>
    <w:rsid w:val="002130E0"/>
    <w:rsid w:val="002372F7"/>
    <w:rsid w:val="002559B5"/>
    <w:rsid w:val="00265875"/>
    <w:rsid w:val="0027303B"/>
    <w:rsid w:val="0028109B"/>
    <w:rsid w:val="002B1F58"/>
    <w:rsid w:val="002C1C7A"/>
    <w:rsid w:val="002E2B05"/>
    <w:rsid w:val="0030160F"/>
    <w:rsid w:val="00322D0D"/>
    <w:rsid w:val="00325A40"/>
    <w:rsid w:val="0034352B"/>
    <w:rsid w:val="003942D4"/>
    <w:rsid w:val="003958A8"/>
    <w:rsid w:val="003C2533"/>
    <w:rsid w:val="0040435A"/>
    <w:rsid w:val="00421B34"/>
    <w:rsid w:val="00431D9E"/>
    <w:rsid w:val="00433CE8"/>
    <w:rsid w:val="00434A5C"/>
    <w:rsid w:val="004544D9"/>
    <w:rsid w:val="004632EF"/>
    <w:rsid w:val="0048422F"/>
    <w:rsid w:val="00490E72"/>
    <w:rsid w:val="004921C8"/>
    <w:rsid w:val="004927DC"/>
    <w:rsid w:val="004937A5"/>
    <w:rsid w:val="004950BE"/>
    <w:rsid w:val="004D1851"/>
    <w:rsid w:val="004D599D"/>
    <w:rsid w:val="004E2EA5"/>
    <w:rsid w:val="004E3AEB"/>
    <w:rsid w:val="004F3295"/>
    <w:rsid w:val="0050223C"/>
    <w:rsid w:val="005133A8"/>
    <w:rsid w:val="00515DBC"/>
    <w:rsid w:val="0051702D"/>
    <w:rsid w:val="005243FF"/>
    <w:rsid w:val="00564FBC"/>
    <w:rsid w:val="00582442"/>
    <w:rsid w:val="005B6F26"/>
    <w:rsid w:val="005F628E"/>
    <w:rsid w:val="005F763F"/>
    <w:rsid w:val="006535F1"/>
    <w:rsid w:val="0065557D"/>
    <w:rsid w:val="00662984"/>
    <w:rsid w:val="0067234E"/>
    <w:rsid w:val="006B6DCC"/>
    <w:rsid w:val="006D37AB"/>
    <w:rsid w:val="006F2B15"/>
    <w:rsid w:val="007266F7"/>
    <w:rsid w:val="00731A2C"/>
    <w:rsid w:val="0075051B"/>
    <w:rsid w:val="00784790"/>
    <w:rsid w:val="00792B13"/>
    <w:rsid w:val="00794D34"/>
    <w:rsid w:val="007E3A0A"/>
    <w:rsid w:val="00813E5E"/>
    <w:rsid w:val="0083581B"/>
    <w:rsid w:val="00864AFF"/>
    <w:rsid w:val="008B4A6A"/>
    <w:rsid w:val="008C7E27"/>
    <w:rsid w:val="008E1DF6"/>
    <w:rsid w:val="00915844"/>
    <w:rsid w:val="009173EF"/>
    <w:rsid w:val="00932906"/>
    <w:rsid w:val="00961B0B"/>
    <w:rsid w:val="009C4E56"/>
    <w:rsid w:val="009D2829"/>
    <w:rsid w:val="009E17BD"/>
    <w:rsid w:val="00A03E43"/>
    <w:rsid w:val="00A04CEC"/>
    <w:rsid w:val="00A27F92"/>
    <w:rsid w:val="00A32257"/>
    <w:rsid w:val="00A372D6"/>
    <w:rsid w:val="00A55622"/>
    <w:rsid w:val="00A632E7"/>
    <w:rsid w:val="00A83502"/>
    <w:rsid w:val="00A91A9D"/>
    <w:rsid w:val="00AB6124"/>
    <w:rsid w:val="00AD0F06"/>
    <w:rsid w:val="00AD72F3"/>
    <w:rsid w:val="00AE6776"/>
    <w:rsid w:val="00AF6E49"/>
    <w:rsid w:val="00B00DFE"/>
    <w:rsid w:val="00B04A67"/>
    <w:rsid w:val="00B0583C"/>
    <w:rsid w:val="00B40A81"/>
    <w:rsid w:val="00B44910"/>
    <w:rsid w:val="00B72267"/>
    <w:rsid w:val="00B76EB6"/>
    <w:rsid w:val="00B824C8"/>
    <w:rsid w:val="00BC251A"/>
    <w:rsid w:val="00BC3068"/>
    <w:rsid w:val="00BD032B"/>
    <w:rsid w:val="00BE2640"/>
    <w:rsid w:val="00C01189"/>
    <w:rsid w:val="00C374DE"/>
    <w:rsid w:val="00C47AD4"/>
    <w:rsid w:val="00C5215D"/>
    <w:rsid w:val="00C52D81"/>
    <w:rsid w:val="00C55198"/>
    <w:rsid w:val="00C6711E"/>
    <w:rsid w:val="00CA6393"/>
    <w:rsid w:val="00CB18FF"/>
    <w:rsid w:val="00CD0C08"/>
    <w:rsid w:val="00CD45F5"/>
    <w:rsid w:val="00CE2B07"/>
    <w:rsid w:val="00CE433C"/>
    <w:rsid w:val="00CE6652"/>
    <w:rsid w:val="00CE77A7"/>
    <w:rsid w:val="00CF33F3"/>
    <w:rsid w:val="00D06183"/>
    <w:rsid w:val="00D215AE"/>
    <w:rsid w:val="00D22C42"/>
    <w:rsid w:val="00D65041"/>
    <w:rsid w:val="00D66F78"/>
    <w:rsid w:val="00D76023"/>
    <w:rsid w:val="00D85D7D"/>
    <w:rsid w:val="00E10E80"/>
    <w:rsid w:val="00E124F0"/>
    <w:rsid w:val="00E331C0"/>
    <w:rsid w:val="00E54195"/>
    <w:rsid w:val="00E76D75"/>
    <w:rsid w:val="00EB0D6F"/>
    <w:rsid w:val="00EB2232"/>
    <w:rsid w:val="00EC5337"/>
    <w:rsid w:val="00F2150A"/>
    <w:rsid w:val="00F22BA4"/>
    <w:rsid w:val="00F231D8"/>
    <w:rsid w:val="00F46C5F"/>
    <w:rsid w:val="00F6178C"/>
    <w:rsid w:val="00F94A63"/>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72"/>
    <w:qFormat/>
    <w:rsid w:val="00E331C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FootnoteTextChar">
    <w:name w:val="Footnote Text Char"/>
    <w:link w:val="FootnoteText"/>
    <w:uiPriority w:val="99"/>
    <w:rsid w:val="00141677"/>
    <w:rPr>
      <w:rFonts w:ascii="Calibri" w:hAnsi="Calibri"/>
      <w:sz w:val="24"/>
      <w:lang w:val="en-GB" w:eastAsia="en-US"/>
    </w:rPr>
  </w:style>
  <w:style w:type="character" w:customStyle="1" w:styleId="HeaderChar">
    <w:name w:val="Header Char"/>
    <w:basedOn w:val="DefaultParagraphFont"/>
    <w:link w:val="Header"/>
    <w:rsid w:val="00CE2B07"/>
    <w:rPr>
      <w:rFonts w:ascii="Calibri" w:hAnsi="Calibri"/>
      <w:sz w:val="18"/>
      <w:lang w:val="en-GB" w:eastAsia="en-US"/>
    </w:rPr>
  </w:style>
  <w:style w:type="table" w:styleId="TableGrid">
    <w:name w:val="Table Grid"/>
    <w:basedOn w:val="TableNormal"/>
    <w:rsid w:val="00CE2B0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72"/>
    <w:qFormat/>
    <w:rsid w:val="00E331C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FootnoteTextChar">
    <w:name w:val="Footnote Text Char"/>
    <w:link w:val="FootnoteText"/>
    <w:uiPriority w:val="99"/>
    <w:rsid w:val="00141677"/>
    <w:rPr>
      <w:rFonts w:ascii="Calibri" w:hAnsi="Calibri"/>
      <w:sz w:val="24"/>
      <w:lang w:val="en-GB" w:eastAsia="en-US"/>
    </w:rPr>
  </w:style>
  <w:style w:type="character" w:customStyle="1" w:styleId="HeaderChar">
    <w:name w:val="Header Char"/>
    <w:basedOn w:val="DefaultParagraphFont"/>
    <w:link w:val="Header"/>
    <w:rsid w:val="00CE2B07"/>
    <w:rPr>
      <w:rFonts w:ascii="Calibri" w:hAnsi="Calibri"/>
      <w:sz w:val="18"/>
      <w:lang w:val="en-GB" w:eastAsia="en-US"/>
    </w:rPr>
  </w:style>
  <w:style w:type="table" w:styleId="TableGrid">
    <w:name w:val="Table Grid"/>
    <w:basedOn w:val="TableNormal"/>
    <w:rsid w:val="00CE2B0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50D1-37F9-4397-9AEC-983030C8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PE_C13.dotm</Template>
  <TotalTime>5</TotalTime>
  <Pages>3</Pages>
  <Words>805</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Alidra, Patricia</dc:creator>
  <cp:lastModifiedBy>unknown</cp:lastModifiedBy>
  <cp:revision>4</cp:revision>
  <cp:lastPrinted>2013-03-21T08:23:00Z</cp:lastPrinted>
  <dcterms:created xsi:type="dcterms:W3CDTF">2013-03-28T09:18:00Z</dcterms:created>
  <dcterms:modified xsi:type="dcterms:W3CDTF">2013-03-28T09:23:00Z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