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1"/>
        <w:gridCol w:w="2974"/>
      </w:tblGrid>
      <w:tr w:rsidR="000851C5" w:rsidRPr="000851C5" w:rsidTr="000925DE">
        <w:tc>
          <w:tcPr>
            <w:tcW w:w="9855" w:type="dxa"/>
            <w:gridSpan w:val="2"/>
            <w:hideMark/>
          </w:tcPr>
          <w:p w:rsidR="000851C5" w:rsidRPr="000851C5" w:rsidRDefault="000851C5" w:rsidP="000851C5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Calibri" w:eastAsia="SimSun" w:hAnsi="Calibri" w:cs="Arial"/>
                <w:sz w:val="24"/>
                <w:szCs w:val="24"/>
                <w:lang w:val="es-ES_tradnl" w:eastAsia="en-US"/>
              </w:rPr>
            </w:pPr>
            <w:r w:rsidRPr="000851C5">
              <w:rPr>
                <w:rFonts w:ascii="Calibri" w:eastAsia="SimSun" w:hAnsi="Calibri" w:cs="Arial"/>
                <w:noProof/>
                <w:sz w:val="24"/>
              </w:rPr>
              <w:drawing>
                <wp:inline distT="0" distB="0" distL="0" distR="0" wp14:anchorId="1E4F8E5A" wp14:editId="6D14CFC2">
                  <wp:extent cx="6120765" cy="9639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1C5" w:rsidRPr="000851C5" w:rsidTr="000925DE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851C5" w:rsidRPr="000851C5" w:rsidRDefault="000851C5" w:rsidP="000851C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ind w:left="284"/>
              <w:textAlignment w:val="baseline"/>
              <w:rPr>
                <w:rFonts w:ascii="Calibri" w:eastAsia="SimSun" w:hAnsi="Calibri" w:cs="Arial"/>
                <w:noProof/>
                <w:sz w:val="18"/>
                <w:lang w:val="es-ES_tradnl" w:eastAsia="en-US"/>
              </w:rPr>
            </w:pPr>
            <w:r w:rsidRPr="000851C5">
              <w:rPr>
                <w:rFonts w:ascii="Calibri" w:eastAsia="SimSun" w:hAnsi="Calibri" w:cs="Arial"/>
                <w:sz w:val="28"/>
                <w:szCs w:val="28"/>
                <w:lang w:val="es-ES_tradnl" w:eastAsia="en-US"/>
              </w:rPr>
              <w:t>Ginebra, 14-16 de mayo de 2013</w:t>
            </w:r>
          </w:p>
        </w:tc>
      </w:tr>
      <w:tr w:rsidR="000851C5" w:rsidRPr="000851C5" w:rsidTr="000925DE">
        <w:tc>
          <w:tcPr>
            <w:tcW w:w="6881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0851C5" w:rsidRPr="000851C5" w:rsidRDefault="000851C5" w:rsidP="000851C5">
            <w:pPr>
              <w:tabs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160"/>
              <w:ind w:left="284"/>
              <w:textAlignment w:val="baseline"/>
              <w:rPr>
                <w:rFonts w:ascii="Calibri" w:eastAsia="SimSun" w:hAnsi="Calibri" w:cs="Arial"/>
                <w:b/>
                <w:bCs/>
                <w:sz w:val="24"/>
                <w:szCs w:val="24"/>
                <w:lang w:val="es-ES_tradnl" w:eastAsia="en-US"/>
              </w:rPr>
            </w:pPr>
          </w:p>
        </w:tc>
        <w:tc>
          <w:tcPr>
            <w:tcW w:w="2974" w:type="dxa"/>
            <w:tcBorders>
              <w:top w:val="single" w:sz="12" w:space="0" w:color="auto"/>
              <w:bottom w:val="nil"/>
              <w:right w:val="nil"/>
            </w:tcBorders>
          </w:tcPr>
          <w:p w:rsidR="000851C5" w:rsidRPr="000851C5" w:rsidRDefault="000851C5" w:rsidP="000851C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libri" w:eastAsia="SimSun" w:hAnsi="Calibri" w:cs="Arial"/>
                <w:b/>
                <w:bCs/>
                <w:sz w:val="24"/>
                <w:lang w:val="es-ES_tradnl" w:eastAsia="en-US"/>
              </w:rPr>
            </w:pPr>
          </w:p>
        </w:tc>
      </w:tr>
    </w:tbl>
    <w:p w:rsidR="000851C5" w:rsidRPr="004877E0" w:rsidRDefault="000851C5" w:rsidP="004877E0">
      <w:pPr>
        <w:pStyle w:val="Title4"/>
        <w:rPr>
          <w:rFonts w:asciiTheme="minorHAnsi" w:hAnsiTheme="minorHAnsi" w:cstheme="minorHAnsi"/>
          <w:lang w:val="es-ES_tradnl"/>
        </w:rPr>
      </w:pPr>
      <w:r w:rsidRPr="004877E0">
        <w:rPr>
          <w:rFonts w:asciiTheme="minorHAnsi" w:hAnsiTheme="minorHAnsi" w:cstheme="minorHAnsi"/>
          <w:lang w:val="es-ES_tradnl"/>
        </w:rPr>
        <w:t>PROYECTO DE OPINIÓN</w:t>
      </w:r>
      <w:r w:rsidR="00E01E49">
        <w:rPr>
          <w:rFonts w:asciiTheme="minorHAnsi" w:hAnsiTheme="minorHAnsi" w:cstheme="minorHAnsi"/>
          <w:lang w:val="es-ES_tradnl"/>
        </w:rPr>
        <w:t xml:space="preserve"> 2</w:t>
      </w:r>
      <w:bookmarkStart w:id="0" w:name="_GoBack"/>
      <w:bookmarkEnd w:id="0"/>
      <w:r w:rsidRPr="004877E0">
        <w:rPr>
          <w:rFonts w:asciiTheme="minorHAnsi" w:hAnsiTheme="minorHAnsi" w:cstheme="minorHAnsi"/>
          <w:lang w:val="es-ES_tradnl"/>
        </w:rPr>
        <w:t>: Fomentar el entorno propicio para un mayor crecimiento y desarrollo de la conectividad de banda ancha</w:t>
      </w:r>
    </w:p>
    <w:p w:rsidR="002E2333" w:rsidRPr="002E2333" w:rsidRDefault="002E2333" w:rsidP="00EF74F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2E2333">
        <w:rPr>
          <w:rFonts w:ascii="Calibri" w:eastAsia="Times New Roman" w:hAnsi="Calibri" w:cs="Times New Roman"/>
          <w:sz w:val="24"/>
          <w:szCs w:val="20"/>
          <w:lang w:val="es-ES_tradnl" w:eastAsia="en-US"/>
        </w:rPr>
        <w:t>El quinto Foro Mundial de Política de las Telecomunicaciones/TIC (Ginebra, 2013),</w:t>
      </w:r>
    </w:p>
    <w:p w:rsidR="000851C5" w:rsidRPr="00E01E49" w:rsidRDefault="000851C5" w:rsidP="00EF74F1">
      <w:pPr>
        <w:pStyle w:val="Call"/>
        <w:rPr>
          <w:rFonts w:asciiTheme="minorHAnsi" w:hAnsiTheme="minorHAnsi" w:cstheme="minorHAnsi"/>
          <w:lang w:val="es-ES_tradnl"/>
        </w:rPr>
      </w:pPr>
      <w:r w:rsidRPr="00E01E49">
        <w:rPr>
          <w:rFonts w:asciiTheme="minorHAnsi" w:hAnsiTheme="minorHAnsi" w:cstheme="minorHAnsi"/>
          <w:lang w:val="es-ES_tradnl"/>
        </w:rPr>
        <w:t>recordando</w:t>
      </w:r>
    </w:p>
    <w:p w:rsidR="000851C5" w:rsidRPr="000851C5" w:rsidRDefault="000851C5" w:rsidP="002E233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a)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  <w:t xml:space="preserve">la Resolución 71 (Rev. Guadalajara, 2010), Plan Estratégico de la Unión; </w:t>
      </w:r>
    </w:p>
    <w:p w:rsidR="000851C5" w:rsidRPr="000851C5" w:rsidRDefault="000851C5" w:rsidP="002E233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b)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  <w:t>la Resolución 101 (Rev. Guadalajara, 2010),</w:t>
      </w:r>
      <w:r w:rsidR="002E2333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Redes basadas en el protocolo Internet;</w:t>
      </w:r>
    </w:p>
    <w:p w:rsidR="000851C5" w:rsidRPr="000851C5" w:rsidRDefault="000851C5" w:rsidP="002E233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c)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  <w:t>la Resolución 139 (Rev. Guadalajara, 2010), Utilización de las telecomunicaciones/tecnologías de la información y la comunicación para reducir la brecha digital y crear una sociedad de la información integradora;</w:t>
      </w:r>
    </w:p>
    <w:p w:rsidR="000851C5" w:rsidRPr="000851C5" w:rsidRDefault="000851C5" w:rsidP="00EF74F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d)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  <w:t>los documentos resultantes de la Cumbre Mundial sobre la Sociedad de la Información (CMSI) de 2005</w:t>
      </w:r>
      <w:r w:rsidR="00EF74F1">
        <w:rPr>
          <w:rFonts w:ascii="Calibri" w:eastAsia="Times New Roman" w:hAnsi="Calibri" w:cs="Times New Roman"/>
          <w:sz w:val="24"/>
          <w:szCs w:val="20"/>
          <w:lang w:val="es-ES_tradnl" w:eastAsia="en-US"/>
        </w:rPr>
        <w:t>;</w:t>
      </w:r>
    </w:p>
    <w:p w:rsidR="000851C5" w:rsidRPr="000851C5" w:rsidRDefault="000851C5" w:rsidP="00CD38B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e)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A91B71">
        <w:rPr>
          <w:rFonts w:ascii="Calibri" w:eastAsia="Times New Roman" w:hAnsi="Calibri" w:cs="Times New Roman"/>
          <w:sz w:val="24"/>
          <w:szCs w:val="20"/>
          <w:lang w:val="es-ES_tradnl" w:eastAsia="en-US"/>
        </w:rPr>
        <w:t>e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l tercer Foro Mundial de Política de las Telecomunicaciones (Ginebra, 2001),</w:t>
      </w:r>
      <w:r w:rsidR="00CD38B6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y su Opinión A sobre las consecuencias generales de la telefonía IP para los Miembros de la UIT,</w:t>
      </w:r>
    </w:p>
    <w:p w:rsidR="000851C5" w:rsidRPr="00E01E49" w:rsidRDefault="000851C5" w:rsidP="00EF74F1">
      <w:pPr>
        <w:pStyle w:val="Call"/>
        <w:rPr>
          <w:rFonts w:asciiTheme="minorHAnsi" w:hAnsiTheme="minorHAnsi" w:cstheme="minorHAnsi"/>
          <w:lang w:val="es-ES_tradnl"/>
        </w:rPr>
      </w:pPr>
      <w:r w:rsidRPr="00E01E49">
        <w:rPr>
          <w:rFonts w:asciiTheme="minorHAnsi" w:hAnsiTheme="minorHAnsi" w:cstheme="minorHAnsi"/>
          <w:lang w:val="es-ES_tradnl"/>
        </w:rPr>
        <w:t>t</w:t>
      </w:r>
      <w:r w:rsidR="00CD38B6" w:rsidRPr="00E01E49">
        <w:rPr>
          <w:rFonts w:asciiTheme="minorHAnsi" w:hAnsiTheme="minorHAnsi" w:cstheme="minorHAnsi"/>
          <w:lang w:val="es-ES_tradnl"/>
        </w:rPr>
        <w:t xml:space="preserve">eniendo en cuenta </w:t>
      </w:r>
    </w:p>
    <w:p w:rsidR="000851C5" w:rsidRPr="000851C5" w:rsidRDefault="00CD38B6" w:rsidP="00CD38B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CD38B6">
        <w:rPr>
          <w:rFonts w:ascii="Calibri" w:eastAsia="Times New Roman" w:hAnsi="Calibri" w:cs="Times New Roman"/>
          <w:sz w:val="24"/>
          <w:szCs w:val="20"/>
          <w:lang w:val="es-ES_tradnl" w:eastAsia="en-US"/>
        </w:rPr>
        <w:t>el Informe de la quinta Conferencia Mundial de Desarrollo de las Telecomunicaciones (Hyderabad, 2010), en el que se destaca la importancia de las infraestructuras de telecomunicaciones y el desarrollo de la tecnología, en particular en los países en desarrollo, y se adoptan iniciativas regionales y el Plan de Acción de Hyderabad para ayudar a los países en desarrollo a alcanzar</w:t>
      </w:r>
      <w:r>
        <w:rPr>
          <w:rFonts w:ascii="Calibri" w:eastAsia="Times New Roman" w:hAnsi="Calibri" w:cs="Times New Roman"/>
          <w:sz w:val="24"/>
          <w:szCs w:val="20"/>
          <w:lang w:val="es-ES_tradnl" w:eastAsia="en-US"/>
        </w:rPr>
        <w:t>, en mayor medida,</w:t>
      </w:r>
      <w:r w:rsidRPr="00CD38B6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un acceso más universal a las telecomunicaciones</w:t>
      </w:r>
      <w:r w:rsidR="000851C5"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,</w:t>
      </w:r>
    </w:p>
    <w:p w:rsidR="000851C5" w:rsidRPr="00E01E49" w:rsidRDefault="000851C5" w:rsidP="00EF74F1">
      <w:pPr>
        <w:pStyle w:val="Call"/>
        <w:rPr>
          <w:rFonts w:asciiTheme="minorHAnsi" w:hAnsiTheme="minorHAnsi" w:cstheme="minorHAnsi"/>
          <w:lang w:val="es-ES_tradnl"/>
        </w:rPr>
      </w:pPr>
      <w:r w:rsidRPr="00E01E49">
        <w:rPr>
          <w:rFonts w:asciiTheme="minorHAnsi" w:hAnsiTheme="minorHAnsi" w:cstheme="minorHAnsi"/>
          <w:lang w:val="es-ES_tradnl"/>
        </w:rPr>
        <w:t>considerando</w:t>
      </w:r>
    </w:p>
    <w:p w:rsidR="000851C5" w:rsidRPr="000851C5" w:rsidRDefault="000851C5" w:rsidP="006E607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Calibri"/>
          <w:i/>
          <w:iCs/>
          <w:sz w:val="24"/>
          <w:szCs w:val="24"/>
          <w:lang w:val="es-ES_tradnl" w:eastAsia="en-US"/>
        </w:rPr>
        <w:t>a)</w:t>
      </w:r>
      <w:r w:rsidRPr="000851C5">
        <w:rPr>
          <w:rFonts w:ascii="Calibri" w:eastAsia="Times New Roman" w:hAnsi="Calibri" w:cs="Calibri"/>
          <w:i/>
          <w:iCs/>
          <w:sz w:val="24"/>
          <w:szCs w:val="24"/>
          <w:lang w:val="es-ES_tradnl" w:eastAsia="en-US"/>
        </w:rPr>
        <w:tab/>
      </w:r>
      <w:r w:rsidRPr="000851C5">
        <w:rPr>
          <w:rFonts w:ascii="Calibri" w:eastAsia="Times New Roman" w:hAnsi="Calibri" w:cs="Calibri"/>
          <w:sz w:val="24"/>
          <w:szCs w:val="24"/>
          <w:lang w:val="es-ES_tradnl" w:eastAsia="en-US"/>
        </w:rPr>
        <w:t>la Declaración de Principios de Ginebra adoptada por la CMSI</w:t>
      </w:r>
      <w:r w:rsidR="006E6075">
        <w:rPr>
          <w:rFonts w:ascii="Calibri" w:eastAsia="Times New Roman" w:hAnsi="Calibri" w:cs="Calibri"/>
          <w:sz w:val="24"/>
          <w:szCs w:val="24"/>
          <w:lang w:val="es-ES_tradnl" w:eastAsia="en-US"/>
        </w:rPr>
        <w:t xml:space="preserve">; </w:t>
      </w:r>
    </w:p>
    <w:p w:rsidR="006E6075" w:rsidRPr="006E6075" w:rsidRDefault="000851C5" w:rsidP="00EF74F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b)</w:t>
      </w: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ab/>
      </w:r>
      <w:r w:rsidR="006E6075" w:rsidRPr="006E607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los beneficios potenciales de la rápida introducción de nuevos y diversos servicios de telecomunicación, incluidos los que se </w:t>
      </w:r>
      <w:r w:rsidR="006E607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han destacado</w:t>
      </w:r>
      <w:r w:rsidR="006E6075" w:rsidRPr="006E607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en la Resolución 66/184 de la Asamblea General de las Naciones Unidas, </w:t>
      </w:r>
      <w:r w:rsidR="006E607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y que están en armonía con el § 54 de la Agenda de Túnez, </w:t>
      </w:r>
      <w:r w:rsidR="006E6075" w:rsidRPr="006E607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para </w:t>
      </w:r>
      <w:r w:rsidR="00EF74F1">
        <w:rPr>
          <w:rFonts w:ascii="Calibri" w:eastAsia="Times New Roman" w:hAnsi="Calibri" w:cs="Times New Roman"/>
          <w:sz w:val="24"/>
          <w:szCs w:val="20"/>
          <w:lang w:val="es-ES_tradnl" w:eastAsia="en-US"/>
        </w:rPr>
        <w:t>"</w:t>
      </w:r>
      <w:r w:rsidR="006E6075" w:rsidRPr="006E607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ofrecer nuevas soluciones a los retos en materia de desarrollo y fomentar un enfoque sostenido, incluyente y equitativo en lo que respecta al crecimiento económico, el desarrollo, la competitividad, el acceso a la información y a los conocimientos, la erradicación de la pobreza y la inclusión social que contribuya a integrar a todos los países, en especial los países en desarrollo y en particular los países menos adelantados, en la economía global</w:t>
      </w:r>
      <w:r w:rsidR="00EF74F1">
        <w:rPr>
          <w:rFonts w:ascii="Calibri" w:eastAsia="Times New Roman" w:hAnsi="Calibri" w:cs="Times New Roman"/>
          <w:sz w:val="24"/>
          <w:szCs w:val="20"/>
          <w:lang w:val="es-ES_tradnl" w:eastAsia="en-US"/>
        </w:rPr>
        <w:t>"</w:t>
      </w:r>
      <w:r w:rsidR="006E6075" w:rsidRPr="006E607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;</w:t>
      </w:r>
    </w:p>
    <w:p w:rsidR="000851C5" w:rsidRPr="000851C5" w:rsidRDefault="000851C5" w:rsidP="007D6A4B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c)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7D6A4B">
        <w:rPr>
          <w:rFonts w:ascii="Calibri" w:eastAsia="Times New Roman" w:hAnsi="Calibri" w:cs="Times New Roman"/>
          <w:sz w:val="24"/>
          <w:szCs w:val="20"/>
          <w:lang w:val="es-ES_tradnl" w:eastAsia="en-US"/>
        </w:rPr>
        <w:t>el papel de la conectividad de banda ancha para cumplir los Objetivos de Desarrollo del Milenio de las Naciones Unidas;</w:t>
      </w:r>
    </w:p>
    <w:p w:rsidR="000851C5" w:rsidRPr="000851C5" w:rsidRDefault="000851C5" w:rsidP="007D6A4B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lastRenderedPageBreak/>
        <w:t>d)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  <w:t>la importancia de la capacidad de</w:t>
      </w:r>
      <w:r w:rsidR="007D6A4B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la banda ancha para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facilitar la prestación de una gama más amplia de servicios y aplicaciones, promover la inversión y ofrecer acceso a Internet a precios asequibles tanto a los usuarios ya existentes como a los nuevos usuarios,</w:t>
      </w:r>
    </w:p>
    <w:p w:rsidR="000851C5" w:rsidRPr="00E01E49" w:rsidRDefault="000851C5" w:rsidP="00EF74F1">
      <w:pPr>
        <w:pStyle w:val="Call"/>
        <w:rPr>
          <w:rFonts w:asciiTheme="minorHAnsi" w:hAnsiTheme="minorHAnsi" w:cstheme="minorHAnsi"/>
          <w:lang w:val="es-ES_tradnl"/>
        </w:rPr>
      </w:pPr>
      <w:r w:rsidRPr="00E01E49">
        <w:rPr>
          <w:rFonts w:asciiTheme="minorHAnsi" w:hAnsiTheme="minorHAnsi" w:cstheme="minorHAnsi"/>
          <w:lang w:val="es-ES_tradnl"/>
        </w:rPr>
        <w:t>reconociendo</w:t>
      </w:r>
    </w:p>
    <w:p w:rsidR="000851C5" w:rsidRPr="000851C5" w:rsidRDefault="000851C5" w:rsidP="002224E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4"/>
          <w:lang w:val="es-ES_tradnl" w:eastAsia="en-US"/>
        </w:rPr>
        <w:t>a)</w:t>
      </w:r>
      <w:r w:rsidRPr="000851C5">
        <w:rPr>
          <w:rFonts w:ascii="Calibri" w:eastAsia="Times New Roman" w:hAnsi="Calibri" w:cs="Times New Roman"/>
          <w:sz w:val="24"/>
          <w:szCs w:val="24"/>
          <w:lang w:val="es-ES_tradnl" w:eastAsia="en-US"/>
        </w:rPr>
        <w:tab/>
        <w:t xml:space="preserve">que, </w:t>
      </w:r>
      <w:r w:rsidR="002224E1">
        <w:rPr>
          <w:rFonts w:ascii="Calibri" w:eastAsia="Times New Roman" w:hAnsi="Calibri" w:cs="Times New Roman"/>
          <w:sz w:val="24"/>
          <w:szCs w:val="24"/>
          <w:lang w:val="es-ES_tradnl" w:eastAsia="en-US"/>
        </w:rPr>
        <w:t>de conformidad con el §</w:t>
      </w:r>
      <w:r w:rsidRPr="000851C5">
        <w:rPr>
          <w:rFonts w:ascii="Calibri" w:eastAsia="Times New Roman" w:hAnsi="Calibri" w:cs="Times New Roman"/>
          <w:sz w:val="24"/>
          <w:szCs w:val="24"/>
          <w:lang w:val="es-ES_tradnl" w:eastAsia="en-US"/>
        </w:rPr>
        <w:t xml:space="preserve"> 22 de la Declaración de Principios de Ginebra adoptada por la CMSI, una infraestructura de red y aplicaciones de las tecnologías de la información y las comunicaciones, que estén bien desarrolladas, adaptadas a las condiciones regionales, nacionales y locales, fácilmente accesibles y asequibles y que, de ser posible, utilicen en mayor medida la banda ancha y otras tecnologías innovadoras, puede acelerar el progreso económico y social de los países, así como el bienestar de todas las personas, comunidades y pueblos;</w:t>
      </w:r>
    </w:p>
    <w:p w:rsidR="000851C5" w:rsidRPr="000851C5" w:rsidRDefault="000851C5" w:rsidP="004877E0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b)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  <w:t xml:space="preserve">la importancia de la competencia en la promoción de la inversión, </w:t>
      </w:r>
      <w:r w:rsidR="00FC12E0">
        <w:rPr>
          <w:rFonts w:ascii="Calibri" w:eastAsia="Times New Roman" w:hAnsi="Calibri" w:cs="Times New Roman"/>
          <w:sz w:val="24"/>
          <w:szCs w:val="20"/>
          <w:lang w:val="es-ES_tradnl" w:eastAsia="en-US"/>
        </w:rPr>
        <w:t>co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mo se reconoce en la Comisión de la Banda Ancha para el Desarrollo Digital</w:t>
      </w:r>
      <w:r w:rsidRPr="000851C5">
        <w:rPr>
          <w:rFonts w:ascii="Calibri" w:eastAsia="Times New Roman" w:hAnsi="Calibri" w:cs="Calibri"/>
          <w:position w:val="6"/>
          <w:sz w:val="16"/>
          <w:szCs w:val="24"/>
          <w:lang w:val="es-ES_tradnl" w:eastAsia="en-US"/>
        </w:rPr>
        <w:footnoteReference w:id="1"/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;</w:t>
      </w:r>
    </w:p>
    <w:p w:rsidR="000851C5" w:rsidRPr="000851C5" w:rsidRDefault="000851C5" w:rsidP="00FC12E0">
      <w:pPr>
        <w:keepLines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c)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  <w:t xml:space="preserve">las recomendaciones de política </w:t>
      </w:r>
      <w:r w:rsidR="004B6F77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formuladas en el Informe de la </w:t>
      </w:r>
      <w:r w:rsidR="004B6F77" w:rsidRPr="004B6F77">
        <w:rPr>
          <w:rFonts w:ascii="Calibri" w:eastAsia="Times New Roman" w:hAnsi="Calibri" w:cs="Times New Roman"/>
          <w:sz w:val="24"/>
          <w:szCs w:val="20"/>
          <w:lang w:val="es-ES_tradnl" w:eastAsia="en-US"/>
        </w:rPr>
        <w:t>Comisión de la Banda Ancha para el Desarrollo Digital</w:t>
      </w:r>
      <w:r w:rsidRPr="000851C5">
        <w:rPr>
          <w:rFonts w:ascii="Calibri" w:eastAsia="Times New Roman" w:hAnsi="Calibri" w:cs="Calibri"/>
          <w:position w:val="6"/>
          <w:sz w:val="16"/>
          <w:szCs w:val="24"/>
          <w:lang w:val="es-ES_tradnl" w:eastAsia="en-US"/>
        </w:rPr>
        <w:footnoteReference w:id="2"/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de la UIT/UNESCO </w:t>
      </w:r>
      <w:r w:rsidR="004B6F77" w:rsidRPr="004B6F77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para fomentar el desarrollo de infraestructuras de banda ancha 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a fin de crear un entorno favorable para la inversión en infraestructuras de telecomunicaciones a</w:t>
      </w:r>
      <w:r w:rsidR="004B6F77">
        <w:rPr>
          <w:rFonts w:ascii="Calibri" w:eastAsia="Times New Roman" w:hAnsi="Calibri" w:cs="Times New Roman"/>
          <w:sz w:val="24"/>
          <w:szCs w:val="20"/>
          <w:lang w:val="es-ES_tradnl" w:eastAsia="en-US"/>
        </w:rPr>
        <w:t>lentando a los Estados Miembros a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:</w:t>
      </w:r>
    </w:p>
    <w:p w:rsidR="000851C5" w:rsidRPr="000851C5" w:rsidRDefault="007B1958" w:rsidP="007B195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6" w:after="0" w:line="240" w:lineRule="auto"/>
        <w:ind w:left="567" w:hanging="567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>
        <w:rPr>
          <w:rFonts w:ascii="Calibri" w:eastAsia="Times New Roman" w:hAnsi="Calibri" w:cs="Times New Roman"/>
          <w:sz w:val="24"/>
          <w:szCs w:val="20"/>
          <w:lang w:val="es-ES_tradnl" w:eastAsia="en-US"/>
        </w:rPr>
        <w:t>i)</w:t>
      </w:r>
      <w:r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  <w:t xml:space="preserve">propiciar </w:t>
      </w:r>
      <w:r w:rsidR="000851C5"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liderazgo político para la inversión, incluidas consultas abiertas sobre los marcos </w:t>
      </w:r>
      <w:r>
        <w:rPr>
          <w:rFonts w:ascii="Calibri" w:eastAsia="Times New Roman" w:hAnsi="Calibri" w:cs="Times New Roman"/>
          <w:sz w:val="24"/>
          <w:szCs w:val="20"/>
          <w:lang w:val="es-ES_tradnl" w:eastAsia="en-US"/>
        </w:rPr>
        <w:t>jurídico</w:t>
      </w:r>
      <w:r w:rsidR="000851C5"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s y de política necesarios;</w:t>
      </w:r>
    </w:p>
    <w:p w:rsidR="000851C5" w:rsidRPr="000851C5" w:rsidRDefault="000851C5" w:rsidP="00FC12E0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6" w:after="0" w:line="240" w:lineRule="auto"/>
        <w:ind w:left="567" w:hanging="567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ii)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7B1958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abrir 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los mercados de telecomunicaciones a la competencia por medio de </w:t>
      </w:r>
      <w:r w:rsidR="00FC12E0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concesión 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de licencia</w:t>
      </w:r>
      <w:r w:rsidR="00FC12E0">
        <w:rPr>
          <w:rFonts w:ascii="Calibri" w:eastAsia="Times New Roman" w:hAnsi="Calibri" w:cs="Times New Roman"/>
          <w:sz w:val="24"/>
          <w:szCs w:val="20"/>
          <w:lang w:val="es-ES_tradnl" w:eastAsia="en-US"/>
        </w:rPr>
        <w:t>s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y reformas fiscales, incluidos regímenes de concesión de licencias transparentes;</w:t>
      </w:r>
    </w:p>
    <w:p w:rsidR="000851C5" w:rsidRPr="000851C5" w:rsidRDefault="000851C5" w:rsidP="007B195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6" w:after="0" w:line="240" w:lineRule="auto"/>
        <w:ind w:left="567" w:hanging="567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iii)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7B1958">
        <w:rPr>
          <w:rFonts w:ascii="Calibri" w:eastAsia="Times New Roman" w:hAnsi="Calibri" w:cs="Times New Roman"/>
          <w:sz w:val="24"/>
          <w:szCs w:val="20"/>
          <w:lang w:val="es-ES_tradnl" w:eastAsia="en-US"/>
        </w:rPr>
        <w:t>facilitar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servicios gubernamentales que estimulen la demanda y la inversión en materia de telecomunicaciones, en particular en los países en desarrollo;</w:t>
      </w:r>
    </w:p>
    <w:p w:rsidR="000851C5" w:rsidRPr="000851C5" w:rsidRDefault="000851C5" w:rsidP="007B195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6" w:after="0" w:line="240" w:lineRule="auto"/>
        <w:ind w:left="567" w:hanging="567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iv)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  <w:t>establec</w:t>
      </w:r>
      <w:r w:rsidR="007B1958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er 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un programa</w:t>
      </w:r>
      <w:r w:rsidR="007B1958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de servicio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universal </w:t>
      </w:r>
      <w:r w:rsidR="007B1958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para respaldar 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la inversión en infraestructuras de telecomunicaciones; y</w:t>
      </w:r>
    </w:p>
    <w:p w:rsidR="000851C5" w:rsidRPr="000851C5" w:rsidRDefault="000851C5" w:rsidP="0055446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6" w:after="0" w:line="240" w:lineRule="auto"/>
        <w:ind w:left="567" w:hanging="567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v)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  <w:t>foment</w:t>
      </w:r>
      <w:r w:rsidR="00EE295E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ar 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prácticas eficaces e innovadoras en materia de banda ancha</w:t>
      </w:r>
      <w:r w:rsidR="00554463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móvil dirigidas a los nuevos participantes en el mercado 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y </w:t>
      </w:r>
      <w:r w:rsidR="00554463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a los 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consumidores,</w:t>
      </w:r>
    </w:p>
    <w:p w:rsidR="000851C5" w:rsidRPr="00E01E49" w:rsidRDefault="00554463" w:rsidP="00EF74F1">
      <w:pPr>
        <w:pStyle w:val="Call"/>
        <w:rPr>
          <w:rFonts w:asciiTheme="minorHAnsi" w:hAnsiTheme="minorHAnsi" w:cstheme="minorHAnsi"/>
          <w:lang w:val="es-ES_tradnl"/>
        </w:rPr>
      </w:pPr>
      <w:r w:rsidRPr="00E01E49">
        <w:rPr>
          <w:rFonts w:asciiTheme="minorHAnsi" w:hAnsiTheme="minorHAnsi" w:cstheme="minorHAnsi"/>
          <w:lang w:val="es-ES_tradnl"/>
        </w:rPr>
        <w:t>observando</w:t>
      </w:r>
    </w:p>
    <w:p w:rsidR="000851C5" w:rsidRPr="000851C5" w:rsidRDefault="000851C5" w:rsidP="0055446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a)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554463" w:rsidRPr="00554463">
        <w:rPr>
          <w:rFonts w:ascii="Calibri" w:eastAsia="Times New Roman" w:hAnsi="Calibri" w:cs="Times New Roman"/>
          <w:sz w:val="24"/>
          <w:szCs w:val="20"/>
          <w:lang w:val="es-ES_tradnl" w:eastAsia="en-US"/>
        </w:rPr>
        <w:t>los avances logrados en el acceso a las tecnolog</w:t>
      </w:r>
      <w:r w:rsidR="00554463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ías de la información y la comunicación, incluido el aumento constante del acceso a Internet de la población mundial, y la disponibilidad de contenido plurilingüe y de direcciones Internet, y el hecho de que la comunidad internacional ha afirmado su compromiso de convertir el dividendo digital en una oportunidad digital, y de garantizar un desarrollo armonioso y equitativo para todos, en el § 49 de la Agenda de Túnez; </w:t>
      </w:r>
    </w:p>
    <w:p w:rsidR="000851C5" w:rsidRPr="000851C5" w:rsidRDefault="000851C5" w:rsidP="00EF74F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b)</w:t>
      </w:r>
      <w:r w:rsidR="001624EB" w:rsidRPr="001624EB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  <w:t>el establecimiento de la Comisi</w:t>
      </w:r>
      <w:r w:rsidR="001624EB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ón de la Banda Ancha para el Desarrollo Digital a invitación del Secretario General de la UIT y del Director General de la UNESCO, y tomando nota del Informe de la Comisión, </w:t>
      </w:r>
      <w:r w:rsidR="00EF74F1">
        <w:rPr>
          <w:rFonts w:ascii="Calibri" w:eastAsia="Times New Roman" w:hAnsi="Calibri" w:cs="Times New Roman"/>
          <w:sz w:val="24"/>
          <w:szCs w:val="20"/>
          <w:lang w:val="es-ES_tradnl" w:eastAsia="en-US"/>
        </w:rPr>
        <w:t>"</w:t>
      </w:r>
      <w:r w:rsidR="001624EB">
        <w:rPr>
          <w:rFonts w:ascii="Calibri" w:eastAsia="Times New Roman" w:hAnsi="Calibri" w:cs="Times New Roman"/>
          <w:sz w:val="24"/>
          <w:szCs w:val="20"/>
          <w:lang w:val="es-ES_tradnl" w:eastAsia="en-US"/>
        </w:rPr>
        <w:t>A 2010 Leadership Imperative: The future Built on Broadband</w:t>
      </w:r>
      <w:r w:rsidR="00EF74F1">
        <w:rPr>
          <w:rFonts w:ascii="Calibri" w:eastAsia="Times New Roman" w:hAnsi="Calibri" w:cs="Times New Roman"/>
          <w:sz w:val="24"/>
          <w:szCs w:val="20"/>
          <w:lang w:val="es-ES_tradnl" w:eastAsia="en-US"/>
        </w:rPr>
        <w:t>"</w:t>
      </w:r>
      <w:r w:rsidR="001624EB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, en el que se piden prácticas y políticas que propicien la banda ancha y estén encaminadas al cumplimiento de los </w:t>
      </w:r>
      <w:r w:rsidR="001624EB">
        <w:rPr>
          <w:rFonts w:ascii="Calibri" w:eastAsia="Times New Roman" w:hAnsi="Calibri" w:cs="Times New Roman"/>
          <w:sz w:val="24"/>
          <w:szCs w:val="20"/>
          <w:lang w:val="es-ES_tradnl" w:eastAsia="en-US"/>
        </w:rPr>
        <w:lastRenderedPageBreak/>
        <w:t xml:space="preserve">objetivos de desarrollo internacionalmente acordados, incluidos los Objetivos de Desarrollo del </w:t>
      </w:r>
      <w:r w:rsidR="00EF74F1">
        <w:rPr>
          <w:rFonts w:ascii="Calibri" w:eastAsia="Times New Roman" w:hAnsi="Calibri" w:cs="Times New Roman"/>
          <w:sz w:val="24"/>
          <w:szCs w:val="20"/>
          <w:lang w:val="es-ES_tradnl" w:eastAsia="en-US"/>
        </w:rPr>
        <w:t>Milenio de las Naciones Unidas,</w:t>
      </w:r>
    </w:p>
    <w:p w:rsidR="000851C5" w:rsidRPr="00EF74F1" w:rsidRDefault="00554463" w:rsidP="00EF74F1">
      <w:pPr>
        <w:pStyle w:val="Call"/>
        <w:rPr>
          <w:rFonts w:asciiTheme="minorHAnsi" w:hAnsiTheme="minorHAnsi" w:cstheme="minorHAnsi"/>
          <w:lang w:val="es-ES_tradnl"/>
        </w:rPr>
      </w:pPr>
      <w:r w:rsidRPr="00EF74F1">
        <w:rPr>
          <w:rFonts w:asciiTheme="minorHAnsi" w:hAnsiTheme="minorHAnsi" w:cstheme="minorHAnsi"/>
          <w:lang w:val="es-ES_tradnl"/>
        </w:rPr>
        <w:t>estima</w:t>
      </w:r>
    </w:p>
    <w:p w:rsidR="001624EB" w:rsidRPr="000851C5" w:rsidRDefault="001624EB" w:rsidP="00EF74F1">
      <w:pPr>
        <w:keepNext/>
        <w:keepLine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iCs/>
          <w:sz w:val="24"/>
          <w:szCs w:val="20"/>
          <w:lang w:val="es-ES_tradnl" w:eastAsia="en-US"/>
        </w:rPr>
      </w:pPr>
      <w:r>
        <w:rPr>
          <w:rFonts w:ascii="Calibri" w:eastAsia="Times New Roman" w:hAnsi="Calibri" w:cs="Times New Roman"/>
          <w:iCs/>
          <w:sz w:val="24"/>
          <w:szCs w:val="20"/>
          <w:lang w:val="es-ES_tradnl" w:eastAsia="en-US"/>
        </w:rPr>
        <w:t xml:space="preserve">que los Estados Miembros, Miembros de Sector y otras partes interesadas deben hacer todo lo posible para fomentar el entorno propicio para un mayor crecimiento y desarrollo de la conectividad de banda ancha, </w:t>
      </w:r>
    </w:p>
    <w:p w:rsidR="000851C5" w:rsidRPr="00E01E49" w:rsidRDefault="000851C5" w:rsidP="00EF74F1">
      <w:pPr>
        <w:pStyle w:val="Call"/>
        <w:rPr>
          <w:rFonts w:asciiTheme="minorHAnsi" w:hAnsiTheme="minorHAnsi" w:cstheme="minorHAnsi"/>
          <w:lang w:val="es-ES_tradnl"/>
        </w:rPr>
      </w:pPr>
      <w:r w:rsidRPr="00E01E49">
        <w:rPr>
          <w:rFonts w:asciiTheme="minorHAnsi" w:hAnsiTheme="minorHAnsi" w:cstheme="minorHAnsi"/>
          <w:lang w:val="es-ES_tradnl"/>
        </w:rPr>
        <w:t>invit</w:t>
      </w:r>
      <w:r w:rsidR="00554463" w:rsidRPr="00E01E49">
        <w:rPr>
          <w:rFonts w:asciiTheme="minorHAnsi" w:hAnsiTheme="minorHAnsi" w:cstheme="minorHAnsi"/>
          <w:lang w:val="es-ES_tradnl"/>
        </w:rPr>
        <w:t xml:space="preserve">a a los Estados Miembros </w:t>
      </w:r>
    </w:p>
    <w:p w:rsidR="000851C5" w:rsidRPr="000851C5" w:rsidRDefault="000851C5" w:rsidP="00FC12E0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a)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  <w:t>a crear y promover un acceso asequible y generalizado a infraestructuras de teleco</w:t>
      </w:r>
      <w:r w:rsidR="00B377B2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municaciones que propicien 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entornos jurídicos y reglamentarios justos, transparentes, estables, pre</w:t>
      </w:r>
      <w:r w:rsidR="00FC12E0">
        <w:rPr>
          <w:rFonts w:ascii="Calibri" w:eastAsia="Times New Roman" w:hAnsi="Calibri" w:cs="Times New Roman"/>
          <w:sz w:val="24"/>
          <w:szCs w:val="20"/>
          <w:lang w:val="es-ES_tradnl" w:eastAsia="en-US"/>
        </w:rPr>
        <w:t>visibles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y no discriminatorios</w:t>
      </w:r>
      <w:r w:rsidR="00B377B2">
        <w:rPr>
          <w:rFonts w:ascii="Calibri" w:eastAsia="Times New Roman" w:hAnsi="Calibri" w:cs="Times New Roman"/>
          <w:sz w:val="24"/>
          <w:szCs w:val="20"/>
          <w:lang w:val="es-ES_tradnl" w:eastAsia="en-US"/>
        </w:rPr>
        <w:t>, así como políticas en ese sentido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; y que promuevan la competen</w:t>
      </w:r>
      <w:r w:rsidR="00B377B2">
        <w:rPr>
          <w:rFonts w:ascii="Calibri" w:eastAsia="Times New Roman" w:hAnsi="Calibri" w:cs="Times New Roman"/>
          <w:sz w:val="24"/>
          <w:szCs w:val="20"/>
          <w:lang w:val="es-ES_tradnl" w:eastAsia="en-US"/>
        </w:rPr>
        <w:t>cia, alienten l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a innovación tecnológica y en materia de servicios </w:t>
      </w:r>
      <w:r w:rsidR="00B377B2">
        <w:rPr>
          <w:rFonts w:ascii="Calibri" w:eastAsia="Times New Roman" w:hAnsi="Calibri" w:cs="Times New Roman"/>
          <w:sz w:val="24"/>
          <w:szCs w:val="20"/>
          <w:lang w:val="es-ES_tradnl" w:eastAsia="en-US"/>
        </w:rPr>
        <w:t>permanente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y </w:t>
      </w:r>
      <w:r w:rsidR="00B377B2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fomenten 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incentivos para la inversión </w:t>
      </w:r>
      <w:r w:rsidR="00FC12E0">
        <w:rPr>
          <w:rFonts w:ascii="Calibri" w:eastAsia="Times New Roman" w:hAnsi="Calibri" w:cs="Times New Roman"/>
          <w:sz w:val="24"/>
          <w:szCs w:val="20"/>
          <w:lang w:val="es-ES_tradnl" w:eastAsia="en-US"/>
        </w:rPr>
        <w:t>d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el sector privado;</w:t>
      </w:r>
    </w:p>
    <w:p w:rsidR="000851C5" w:rsidRPr="000851C5" w:rsidRDefault="000851C5" w:rsidP="0055446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b)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B377B2" w:rsidRPr="00B377B2">
        <w:rPr>
          <w:rFonts w:ascii="Calibri" w:eastAsia="Times New Roman" w:hAnsi="Calibri" w:cs="Times New Roman"/>
          <w:sz w:val="24"/>
          <w:szCs w:val="20"/>
          <w:lang w:val="es-ES_tradnl" w:eastAsia="en-US"/>
        </w:rPr>
        <w:t>a examinar sus actuales marcos reglamentarios con miras a adoptar un enfoque</w:t>
      </w:r>
      <w:r w:rsidR="00FC12E0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orientado a la competencia </w:t>
      </w:r>
      <w:r w:rsidR="00B377B2" w:rsidRPr="00B377B2">
        <w:rPr>
          <w:rFonts w:ascii="Calibri" w:eastAsia="Times New Roman" w:hAnsi="Calibri" w:cs="Times New Roman"/>
          <w:sz w:val="24"/>
          <w:szCs w:val="20"/>
          <w:lang w:val="es-ES_tradnl" w:eastAsia="en-US"/>
        </w:rPr>
        <w:t>respecto a las redes IP con objeto de alcanzar objetivos de pol</w:t>
      </w:r>
      <w:r w:rsidR="00B377B2">
        <w:rPr>
          <w:rFonts w:ascii="Calibri" w:eastAsia="Times New Roman" w:hAnsi="Calibri" w:cs="Times New Roman"/>
          <w:sz w:val="24"/>
          <w:szCs w:val="20"/>
          <w:lang w:val="es-ES_tradnl" w:eastAsia="en-US"/>
        </w:rPr>
        <w:t>ítica pública claramente definidos, teniendo en cuenta, entre otras cosas, el concepto de la neutralidad en materia de tecnología,</w:t>
      </w:r>
    </w:p>
    <w:p w:rsidR="000851C5" w:rsidRPr="00E01E49" w:rsidRDefault="000851C5" w:rsidP="00EF74F1">
      <w:pPr>
        <w:pStyle w:val="Call"/>
        <w:rPr>
          <w:rFonts w:asciiTheme="minorHAnsi" w:hAnsiTheme="minorHAnsi" w:cstheme="minorHAnsi"/>
          <w:lang w:val="es-ES_tradnl"/>
        </w:rPr>
      </w:pPr>
      <w:r w:rsidRPr="00E01E49">
        <w:rPr>
          <w:rFonts w:asciiTheme="minorHAnsi" w:hAnsiTheme="minorHAnsi" w:cstheme="minorHAnsi"/>
          <w:lang w:val="es-ES_tradnl"/>
        </w:rPr>
        <w:t>invit</w:t>
      </w:r>
      <w:r w:rsidR="00554463" w:rsidRPr="00E01E49">
        <w:rPr>
          <w:rFonts w:asciiTheme="minorHAnsi" w:hAnsiTheme="minorHAnsi" w:cstheme="minorHAnsi"/>
          <w:lang w:val="es-ES_tradnl"/>
        </w:rPr>
        <w:t xml:space="preserve">a a los Estados Miembros, a los Miembros de Sector y a todas las partes interesadas </w:t>
      </w:r>
    </w:p>
    <w:p w:rsidR="000851C5" w:rsidRPr="000851C5" w:rsidRDefault="000851C5" w:rsidP="008D0B5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a seguir trabajando</w:t>
      </w:r>
      <w:r w:rsidR="008D0B51">
        <w:rPr>
          <w:rFonts w:ascii="Calibri" w:eastAsia="Times New Roman" w:hAnsi="Calibri" w:cs="Times New Roman"/>
          <w:sz w:val="24"/>
          <w:szCs w:val="20"/>
          <w:lang w:val="es-ES_tradnl" w:eastAsia="en-US"/>
        </w:rPr>
        <w:t>, llegado el caso, en las actividades de la UIT y en todos los foros nacionales, regionales e internacionales que se ocupan de cuestiones vinculadas a la conectividad de banda ancha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 para compartir las prácticas óptimas en lo que respecta a la aplicación de regímenes normativos progresivos </w:t>
      </w:r>
      <w:r w:rsidR="008D0B51">
        <w:rPr>
          <w:rFonts w:ascii="Calibri" w:eastAsia="Times New Roman" w:hAnsi="Calibri" w:cs="Times New Roman"/>
          <w:sz w:val="24"/>
          <w:szCs w:val="20"/>
          <w:lang w:val="es-ES_tradnl" w:eastAsia="en-US"/>
        </w:rPr>
        <w:t>concebid</w:t>
      </w: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os para liberalizar los mercados, promover la competencia y estimular la inve</w:t>
      </w:r>
      <w:r w:rsidR="008D0B51">
        <w:rPr>
          <w:rFonts w:ascii="Calibri" w:eastAsia="Times New Roman" w:hAnsi="Calibri" w:cs="Times New Roman"/>
          <w:sz w:val="24"/>
          <w:szCs w:val="20"/>
          <w:lang w:val="es-ES_tradnl" w:eastAsia="en-US"/>
        </w:rPr>
        <w:t>rsión,</w:t>
      </w:r>
    </w:p>
    <w:p w:rsidR="000851C5" w:rsidRPr="00E01E49" w:rsidRDefault="008D0B51" w:rsidP="00EF74F1">
      <w:pPr>
        <w:pStyle w:val="Call"/>
        <w:rPr>
          <w:rFonts w:asciiTheme="minorHAnsi" w:hAnsiTheme="minorHAnsi" w:cstheme="minorHAnsi"/>
          <w:lang w:val="es-ES_tradnl"/>
        </w:rPr>
      </w:pPr>
      <w:r w:rsidRPr="00E01E49">
        <w:rPr>
          <w:rFonts w:asciiTheme="minorHAnsi" w:hAnsiTheme="minorHAnsi" w:cstheme="minorHAnsi"/>
          <w:lang w:val="es-ES_tradnl"/>
        </w:rPr>
        <w:t xml:space="preserve">solicita al </w:t>
      </w:r>
      <w:r w:rsidR="000851C5" w:rsidRPr="00E01E49">
        <w:rPr>
          <w:rFonts w:asciiTheme="minorHAnsi" w:hAnsiTheme="minorHAnsi" w:cstheme="minorHAnsi"/>
          <w:lang w:val="es-ES_tradnl"/>
        </w:rPr>
        <w:t>Secretar</w:t>
      </w:r>
      <w:r w:rsidRPr="00E01E49">
        <w:rPr>
          <w:rFonts w:asciiTheme="minorHAnsi" w:hAnsiTheme="minorHAnsi" w:cstheme="minorHAnsi"/>
          <w:lang w:val="es-ES_tradnl"/>
        </w:rPr>
        <w:t xml:space="preserve">io </w:t>
      </w:r>
      <w:r w:rsidR="000851C5" w:rsidRPr="00E01E49">
        <w:rPr>
          <w:rFonts w:asciiTheme="minorHAnsi" w:hAnsiTheme="minorHAnsi" w:cstheme="minorHAnsi"/>
          <w:lang w:val="es-ES_tradnl"/>
        </w:rPr>
        <w:t>General</w:t>
      </w:r>
    </w:p>
    <w:p w:rsidR="008D0B51" w:rsidRPr="000851C5" w:rsidRDefault="008D0B51" w:rsidP="00EF74F1">
      <w:pPr>
        <w:keepNext/>
        <w:keepLines/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iCs/>
          <w:sz w:val="24"/>
          <w:szCs w:val="20"/>
          <w:lang w:val="es-ES_tradnl" w:eastAsia="en-US"/>
        </w:rPr>
      </w:pPr>
      <w:r>
        <w:rPr>
          <w:rFonts w:ascii="Calibri" w:eastAsia="Times New Roman" w:hAnsi="Calibri" w:cs="Times New Roman"/>
          <w:iCs/>
          <w:sz w:val="24"/>
          <w:szCs w:val="20"/>
          <w:lang w:val="es-ES_tradnl" w:eastAsia="en-US"/>
        </w:rPr>
        <w:t>que garantice la aplicación efectiva de los programas y actividades pertinentes de la UIT, incluidos los resultados de la CMSI, mediante la promoción y reforzamiento de la cooperación en el desarrollo de la conectividad de banda ancha.</w:t>
      </w:r>
    </w:p>
    <w:p w:rsidR="000851C5" w:rsidRPr="000851C5" w:rsidRDefault="000851C5" w:rsidP="0055446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</w:p>
    <w:p w:rsidR="000851C5" w:rsidRPr="000851C5" w:rsidRDefault="000851C5" w:rsidP="0055446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0851C5">
        <w:rPr>
          <w:rFonts w:ascii="Calibri" w:eastAsia="Times New Roman" w:hAnsi="Calibri" w:cs="Times New Roman"/>
          <w:sz w:val="24"/>
          <w:szCs w:val="20"/>
          <w:lang w:val="es-ES_tradnl" w:eastAsia="en-US"/>
        </w:rPr>
        <w:t>______________</w:t>
      </w:r>
    </w:p>
    <w:sectPr w:rsidR="000851C5" w:rsidRPr="000851C5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56" w:rsidRDefault="00D85356" w:rsidP="000851C5">
      <w:pPr>
        <w:spacing w:after="0" w:line="240" w:lineRule="auto"/>
      </w:pPr>
      <w:r>
        <w:separator/>
      </w:r>
    </w:p>
  </w:endnote>
  <w:endnote w:type="continuationSeparator" w:id="0">
    <w:p w:rsidR="00D85356" w:rsidRDefault="00D85356" w:rsidP="000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F1" w:rsidRPr="00EF74F1" w:rsidRDefault="00EF74F1" w:rsidP="00EF74F1">
    <w:pPr>
      <w:pStyle w:val="Footer"/>
      <w:tabs>
        <w:tab w:val="clear" w:pos="4680"/>
        <w:tab w:val="center" w:pos="6237"/>
      </w:tabs>
      <w:rPr>
        <w:sz w:val="16"/>
        <w:szCs w:val="16"/>
      </w:rPr>
    </w:pPr>
    <w:r w:rsidRPr="00EF74F1">
      <w:rPr>
        <w:sz w:val="16"/>
        <w:szCs w:val="16"/>
      </w:rPr>
      <w:fldChar w:fldCharType="begin"/>
    </w:r>
    <w:r w:rsidRPr="00EF74F1">
      <w:rPr>
        <w:sz w:val="16"/>
        <w:szCs w:val="16"/>
      </w:rPr>
      <w:instrText xml:space="preserve"> FILENAME \p  \* MERGEFORMAT </w:instrText>
    </w:r>
    <w:r w:rsidRPr="00EF74F1">
      <w:rPr>
        <w:sz w:val="16"/>
        <w:szCs w:val="16"/>
      </w:rPr>
      <w:fldChar w:fldCharType="separate"/>
    </w:r>
    <w:r w:rsidR="00E01E49">
      <w:rPr>
        <w:noProof/>
        <w:sz w:val="16"/>
        <w:szCs w:val="16"/>
      </w:rPr>
      <w:t>P:\ESP\SG\CONF-SG\WTPF13\DIV\011s.docx</w:t>
    </w:r>
    <w:r w:rsidRPr="00EF74F1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(340706)</w:t>
    </w:r>
    <w:r w:rsidRPr="00EF74F1">
      <w:rPr>
        <w:sz w:val="16"/>
        <w:szCs w:val="16"/>
      </w:rPr>
      <w:tab/>
    </w:r>
    <w:r w:rsidRPr="00EF74F1">
      <w:rPr>
        <w:sz w:val="16"/>
        <w:szCs w:val="16"/>
      </w:rPr>
      <w:fldChar w:fldCharType="begin"/>
    </w:r>
    <w:r w:rsidRPr="00EF74F1">
      <w:rPr>
        <w:sz w:val="16"/>
        <w:szCs w:val="16"/>
      </w:rPr>
      <w:instrText xml:space="preserve"> SAVEDATE \@ DD.MM.YY </w:instrText>
    </w:r>
    <w:r w:rsidRPr="00EF74F1">
      <w:rPr>
        <w:sz w:val="16"/>
        <w:szCs w:val="16"/>
      </w:rPr>
      <w:fldChar w:fldCharType="separate"/>
    </w:r>
    <w:r w:rsidR="00E01E49">
      <w:rPr>
        <w:noProof/>
        <w:sz w:val="16"/>
        <w:szCs w:val="16"/>
      </w:rPr>
      <w:t>12.04.13</w:t>
    </w:r>
    <w:r w:rsidRPr="00EF74F1">
      <w:rPr>
        <w:sz w:val="16"/>
        <w:szCs w:val="16"/>
      </w:rPr>
      <w:fldChar w:fldCharType="end"/>
    </w:r>
    <w:r w:rsidRPr="00EF74F1">
      <w:rPr>
        <w:sz w:val="16"/>
        <w:szCs w:val="16"/>
      </w:rPr>
      <w:tab/>
    </w:r>
    <w:r w:rsidRPr="00EF74F1">
      <w:rPr>
        <w:sz w:val="16"/>
        <w:szCs w:val="16"/>
      </w:rPr>
      <w:fldChar w:fldCharType="begin"/>
    </w:r>
    <w:r w:rsidRPr="00EF74F1">
      <w:rPr>
        <w:sz w:val="16"/>
        <w:szCs w:val="16"/>
      </w:rPr>
      <w:instrText xml:space="preserve"> PRINTDATE \@ DD.MM.YY </w:instrText>
    </w:r>
    <w:r w:rsidRPr="00EF74F1">
      <w:rPr>
        <w:sz w:val="16"/>
        <w:szCs w:val="16"/>
      </w:rPr>
      <w:fldChar w:fldCharType="separate"/>
    </w:r>
    <w:r w:rsidR="00E01E49">
      <w:rPr>
        <w:noProof/>
        <w:sz w:val="16"/>
        <w:szCs w:val="16"/>
      </w:rPr>
      <w:t>12.04.13</w:t>
    </w:r>
    <w:r w:rsidRPr="00EF74F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F1" w:rsidRPr="00EF74F1" w:rsidRDefault="00EF74F1" w:rsidP="00EF74F1">
    <w:pPr>
      <w:pStyle w:val="Footer"/>
      <w:tabs>
        <w:tab w:val="clear" w:pos="4680"/>
        <w:tab w:val="center" w:pos="6237"/>
      </w:tabs>
      <w:rPr>
        <w:sz w:val="16"/>
        <w:szCs w:val="16"/>
      </w:rPr>
    </w:pPr>
    <w:r w:rsidRPr="00EF74F1">
      <w:rPr>
        <w:sz w:val="16"/>
        <w:szCs w:val="16"/>
      </w:rPr>
      <w:fldChar w:fldCharType="begin"/>
    </w:r>
    <w:r w:rsidRPr="00EF74F1">
      <w:rPr>
        <w:sz w:val="16"/>
        <w:szCs w:val="16"/>
      </w:rPr>
      <w:instrText xml:space="preserve"> FILENAME \p  \* MERGEFORMAT </w:instrText>
    </w:r>
    <w:r w:rsidRPr="00EF74F1">
      <w:rPr>
        <w:sz w:val="16"/>
        <w:szCs w:val="16"/>
      </w:rPr>
      <w:fldChar w:fldCharType="separate"/>
    </w:r>
    <w:r w:rsidR="00E01E49">
      <w:rPr>
        <w:noProof/>
        <w:sz w:val="16"/>
        <w:szCs w:val="16"/>
      </w:rPr>
      <w:t>P:\ESP\SG\CONF-SG\WTPF13\DIV\011s.docx</w:t>
    </w:r>
    <w:r w:rsidRPr="00EF74F1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(340706)</w:t>
    </w:r>
    <w:r w:rsidRPr="00EF74F1">
      <w:rPr>
        <w:sz w:val="16"/>
        <w:szCs w:val="16"/>
      </w:rPr>
      <w:tab/>
    </w:r>
    <w:r w:rsidRPr="00EF74F1">
      <w:rPr>
        <w:sz w:val="16"/>
        <w:szCs w:val="16"/>
      </w:rPr>
      <w:fldChar w:fldCharType="begin"/>
    </w:r>
    <w:r w:rsidRPr="00EF74F1">
      <w:rPr>
        <w:sz w:val="16"/>
        <w:szCs w:val="16"/>
      </w:rPr>
      <w:instrText xml:space="preserve"> SAVEDATE \@ DD.MM.YY </w:instrText>
    </w:r>
    <w:r w:rsidRPr="00EF74F1">
      <w:rPr>
        <w:sz w:val="16"/>
        <w:szCs w:val="16"/>
      </w:rPr>
      <w:fldChar w:fldCharType="separate"/>
    </w:r>
    <w:r w:rsidR="00E01E49">
      <w:rPr>
        <w:noProof/>
        <w:sz w:val="16"/>
        <w:szCs w:val="16"/>
      </w:rPr>
      <w:t>12.04.13</w:t>
    </w:r>
    <w:r w:rsidRPr="00EF74F1">
      <w:rPr>
        <w:sz w:val="16"/>
        <w:szCs w:val="16"/>
      </w:rPr>
      <w:fldChar w:fldCharType="end"/>
    </w:r>
    <w:r w:rsidRPr="00EF74F1">
      <w:rPr>
        <w:sz w:val="16"/>
        <w:szCs w:val="16"/>
      </w:rPr>
      <w:tab/>
    </w:r>
    <w:r w:rsidRPr="00EF74F1">
      <w:rPr>
        <w:sz w:val="16"/>
        <w:szCs w:val="16"/>
      </w:rPr>
      <w:fldChar w:fldCharType="begin"/>
    </w:r>
    <w:r w:rsidRPr="00EF74F1">
      <w:rPr>
        <w:sz w:val="16"/>
        <w:szCs w:val="16"/>
      </w:rPr>
      <w:instrText xml:space="preserve"> PRINTDATE \@ DD.MM.YY </w:instrText>
    </w:r>
    <w:r w:rsidRPr="00EF74F1">
      <w:rPr>
        <w:sz w:val="16"/>
        <w:szCs w:val="16"/>
      </w:rPr>
      <w:fldChar w:fldCharType="separate"/>
    </w:r>
    <w:r w:rsidR="00E01E49">
      <w:rPr>
        <w:noProof/>
        <w:sz w:val="16"/>
        <w:szCs w:val="16"/>
      </w:rPr>
      <w:t>12.04.13</w:t>
    </w:r>
    <w:r w:rsidRPr="00EF74F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56" w:rsidRDefault="00D85356" w:rsidP="000851C5">
      <w:pPr>
        <w:spacing w:after="0" w:line="240" w:lineRule="auto"/>
      </w:pPr>
      <w:r>
        <w:separator/>
      </w:r>
    </w:p>
  </w:footnote>
  <w:footnote w:type="continuationSeparator" w:id="0">
    <w:p w:rsidR="00D85356" w:rsidRDefault="00D85356" w:rsidP="000851C5">
      <w:pPr>
        <w:spacing w:after="0" w:line="240" w:lineRule="auto"/>
      </w:pPr>
      <w:r>
        <w:continuationSeparator/>
      </w:r>
    </w:p>
  </w:footnote>
  <w:footnote w:id="1">
    <w:p w:rsidR="000851C5" w:rsidRPr="006771EB" w:rsidRDefault="000851C5" w:rsidP="00EF74F1">
      <w:pPr>
        <w:pStyle w:val="FootnoteText"/>
        <w:tabs>
          <w:tab w:val="left" w:pos="284"/>
        </w:tabs>
        <w:ind w:left="284" w:hanging="284"/>
        <w:rPr>
          <w:rFonts w:cstheme="minorHAnsi"/>
          <w:lang w:val="es-ES_tradnl"/>
        </w:rPr>
      </w:pPr>
      <w:r w:rsidRPr="007A077D">
        <w:rPr>
          <w:rStyle w:val="FootnoteReference"/>
          <w:rFonts w:cstheme="minorHAnsi"/>
        </w:rPr>
        <w:footnoteRef/>
      </w:r>
      <w:r w:rsidR="006771EB" w:rsidRPr="006771EB">
        <w:rPr>
          <w:rFonts w:cstheme="minorHAnsi"/>
          <w:lang w:val="es-ES_tradnl"/>
        </w:rPr>
        <w:t xml:space="preserve"> </w:t>
      </w:r>
      <w:r w:rsidR="006771EB" w:rsidRPr="006771EB">
        <w:rPr>
          <w:rFonts w:cstheme="minorHAnsi"/>
          <w:lang w:val="es-ES_tradnl"/>
        </w:rPr>
        <w:tab/>
      </w:r>
      <w:r w:rsidR="00EF74F1">
        <w:rPr>
          <w:rFonts w:cstheme="minorHAnsi"/>
          <w:lang w:val="es-ES_tradnl"/>
        </w:rPr>
        <w:t>"</w:t>
      </w:r>
      <w:r w:rsidR="006771EB" w:rsidRPr="006771EB">
        <w:rPr>
          <w:rFonts w:cstheme="minorHAnsi"/>
          <w:lang w:val="es-ES_tradnl"/>
        </w:rPr>
        <w:t>Banda ancha</w:t>
      </w:r>
      <w:r w:rsidRPr="006771EB">
        <w:rPr>
          <w:rFonts w:cstheme="minorHAnsi"/>
          <w:lang w:val="es-ES_tradnl"/>
        </w:rPr>
        <w:t xml:space="preserve">: </w:t>
      </w:r>
      <w:r w:rsidR="006771EB" w:rsidRPr="006771EB">
        <w:rPr>
          <w:rFonts w:cstheme="minorHAnsi"/>
          <w:lang w:val="es-ES_tradnl"/>
        </w:rPr>
        <w:t>Una p</w:t>
      </w:r>
      <w:r w:rsidRPr="006771EB">
        <w:rPr>
          <w:rFonts w:cstheme="minorHAnsi"/>
          <w:lang w:val="es-ES_tradnl"/>
        </w:rPr>
        <w:t>lat</w:t>
      </w:r>
      <w:r w:rsidR="006771EB" w:rsidRPr="006771EB">
        <w:rPr>
          <w:rFonts w:cstheme="minorHAnsi"/>
          <w:lang w:val="es-ES_tradnl"/>
        </w:rPr>
        <w:t>a</w:t>
      </w:r>
      <w:r w:rsidRPr="006771EB">
        <w:rPr>
          <w:rFonts w:cstheme="minorHAnsi"/>
          <w:lang w:val="es-ES_tradnl"/>
        </w:rPr>
        <w:t>form</w:t>
      </w:r>
      <w:r w:rsidR="006771EB" w:rsidRPr="006771EB">
        <w:rPr>
          <w:rFonts w:cstheme="minorHAnsi"/>
          <w:lang w:val="es-ES_tradnl"/>
        </w:rPr>
        <w:t>a para el p</w:t>
      </w:r>
      <w:r w:rsidRPr="006771EB">
        <w:rPr>
          <w:rFonts w:cstheme="minorHAnsi"/>
          <w:lang w:val="es-ES_tradnl"/>
        </w:rPr>
        <w:t>rogres</w:t>
      </w:r>
      <w:r w:rsidR="006771EB" w:rsidRPr="006771EB">
        <w:rPr>
          <w:rFonts w:cstheme="minorHAnsi"/>
          <w:lang w:val="es-ES_tradnl"/>
        </w:rPr>
        <w:t>o</w:t>
      </w:r>
      <w:r w:rsidR="00EF74F1">
        <w:rPr>
          <w:rFonts w:cstheme="minorHAnsi"/>
          <w:lang w:val="es-ES_tradnl"/>
        </w:rPr>
        <w:t>"</w:t>
      </w:r>
      <w:r w:rsidRPr="006771EB">
        <w:rPr>
          <w:rFonts w:cstheme="minorHAnsi"/>
          <w:lang w:val="es-ES_tradnl"/>
        </w:rPr>
        <w:t xml:space="preserve">. </w:t>
      </w:r>
      <w:r w:rsidR="006771EB" w:rsidRPr="006771EB">
        <w:rPr>
          <w:rFonts w:cstheme="minorHAnsi"/>
          <w:lang w:val="es-ES_tradnl"/>
        </w:rPr>
        <w:t xml:space="preserve">Informe de la Comisión de la Banda Ancha para el Desarrollo Digital, septiembre de </w:t>
      </w:r>
      <w:r w:rsidR="006771EB">
        <w:rPr>
          <w:rFonts w:cstheme="minorHAnsi"/>
          <w:lang w:val="es-ES_tradnl"/>
        </w:rPr>
        <w:t>2010</w:t>
      </w:r>
      <w:r w:rsidRPr="006771EB">
        <w:rPr>
          <w:rFonts w:cstheme="minorHAnsi"/>
          <w:lang w:val="es-ES_tradnl"/>
        </w:rPr>
        <w:t xml:space="preserve"> (</w:t>
      </w:r>
      <w:r w:rsidR="006771EB" w:rsidRPr="006771EB">
        <w:rPr>
          <w:rFonts w:cstheme="minorHAnsi"/>
          <w:lang w:val="es-ES_tradnl"/>
        </w:rPr>
        <w:t xml:space="preserve">disponible en </w:t>
      </w:r>
      <w:hyperlink r:id="rId1" w:history="1">
        <w:r w:rsidRPr="006771EB">
          <w:rPr>
            <w:rStyle w:val="Hyperlink"/>
            <w:rFonts w:cstheme="minorHAnsi"/>
            <w:lang w:val="es-ES_tradnl"/>
          </w:rPr>
          <w:t>http://www.broadbandcommission.org/Reports/Report</w:t>
        </w:r>
      </w:hyperlink>
      <w:r w:rsidRPr="006771EB">
        <w:rPr>
          <w:rFonts w:cstheme="minorHAnsi"/>
          <w:lang w:val="es-ES_tradnl"/>
        </w:rPr>
        <w:t xml:space="preserve"> 2.pdf).</w:t>
      </w:r>
    </w:p>
  </w:footnote>
  <w:footnote w:id="2">
    <w:p w:rsidR="000851C5" w:rsidRPr="004B6F77" w:rsidRDefault="000851C5" w:rsidP="00EF74F1">
      <w:pPr>
        <w:pStyle w:val="FootnoteText"/>
        <w:tabs>
          <w:tab w:val="left" w:pos="284"/>
        </w:tabs>
        <w:ind w:left="284" w:hanging="284"/>
        <w:rPr>
          <w:rFonts w:cstheme="minorHAnsi"/>
          <w:lang w:val="es-ES_tradnl"/>
        </w:rPr>
      </w:pPr>
      <w:r w:rsidRPr="007A077D">
        <w:rPr>
          <w:rStyle w:val="FootnoteReference"/>
          <w:rFonts w:cstheme="minorHAnsi"/>
        </w:rPr>
        <w:footnoteRef/>
      </w:r>
      <w:r w:rsidRPr="007A077D">
        <w:rPr>
          <w:rFonts w:cstheme="minorHAnsi"/>
        </w:rPr>
        <w:t xml:space="preserve"> </w:t>
      </w:r>
      <w:r w:rsidRPr="007A077D">
        <w:rPr>
          <w:rFonts w:cstheme="minorHAnsi"/>
        </w:rPr>
        <w:tab/>
        <w:t xml:space="preserve"> </w:t>
      </w:r>
      <w:r w:rsidR="00EF74F1">
        <w:rPr>
          <w:rFonts w:cstheme="minorHAnsi"/>
        </w:rPr>
        <w:t>"</w:t>
      </w:r>
      <w:r w:rsidRPr="007A077D">
        <w:rPr>
          <w:rFonts w:cstheme="minorHAnsi"/>
        </w:rPr>
        <w:t>The State of Broadband 2012: Achieving Digital Inclusion for All</w:t>
      </w:r>
      <w:r w:rsidR="00EF74F1">
        <w:rPr>
          <w:rFonts w:cstheme="minorHAnsi"/>
        </w:rPr>
        <w:t>"</w:t>
      </w:r>
      <w:r w:rsidRPr="007A077D">
        <w:rPr>
          <w:rFonts w:cstheme="minorHAnsi"/>
        </w:rPr>
        <w:t xml:space="preserve">. </w:t>
      </w:r>
      <w:r w:rsidR="002239DF" w:rsidRPr="002239DF">
        <w:rPr>
          <w:rFonts w:cstheme="minorHAnsi"/>
          <w:lang w:val="es-ES_tradnl"/>
        </w:rPr>
        <w:t xml:space="preserve">Informe de la Comisión de la Banda Ancha para el Desarrollo Digital, septiembre de </w:t>
      </w:r>
      <w:r w:rsidR="002239DF">
        <w:rPr>
          <w:rFonts w:cstheme="minorHAnsi"/>
          <w:lang w:val="es-ES_tradnl"/>
        </w:rPr>
        <w:t>2012</w:t>
      </w:r>
      <w:r w:rsidRPr="002239DF">
        <w:rPr>
          <w:rFonts w:cstheme="minorHAnsi"/>
          <w:lang w:val="es-ES_tradnl"/>
        </w:rPr>
        <w:t xml:space="preserve"> </w:t>
      </w:r>
      <w:r w:rsidRPr="004B6F77">
        <w:rPr>
          <w:rFonts w:cstheme="minorHAnsi"/>
          <w:lang w:val="es-ES_tradnl"/>
        </w:rPr>
        <w:t>(</w:t>
      </w:r>
      <w:r w:rsidR="002239DF" w:rsidRPr="004B6F77">
        <w:rPr>
          <w:rFonts w:cstheme="minorHAnsi"/>
          <w:lang w:val="es-ES_tradnl"/>
        </w:rPr>
        <w:t xml:space="preserve">disponible en </w:t>
      </w:r>
      <w:hyperlink r:id="rId2" w:history="1">
        <w:r w:rsidRPr="004B6F77">
          <w:rPr>
            <w:rStyle w:val="Hyperlink"/>
            <w:rFonts w:cstheme="minorHAnsi"/>
            <w:lang w:val="es-ES_tradnl"/>
          </w:rPr>
          <w:t>http://www.broadbandcommission.org/Documents/bb-annual</w:t>
        </w:r>
      </w:hyperlink>
      <w:r w:rsidRPr="004B6F77">
        <w:rPr>
          <w:rFonts w:cstheme="minorHAnsi"/>
          <w:lang w:val="es-ES_tradnl"/>
        </w:rPr>
        <w:t xml:space="preserve"> report2012.pdf).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9907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F74F1" w:rsidRPr="00EF74F1" w:rsidRDefault="00EF74F1">
        <w:pPr>
          <w:pStyle w:val="Header"/>
          <w:jc w:val="center"/>
          <w:rPr>
            <w:sz w:val="18"/>
            <w:szCs w:val="18"/>
          </w:rPr>
        </w:pPr>
        <w:r w:rsidRPr="00EF74F1">
          <w:rPr>
            <w:sz w:val="18"/>
            <w:szCs w:val="18"/>
          </w:rPr>
          <w:fldChar w:fldCharType="begin"/>
        </w:r>
        <w:r w:rsidRPr="00EF74F1">
          <w:rPr>
            <w:sz w:val="18"/>
            <w:szCs w:val="18"/>
          </w:rPr>
          <w:instrText xml:space="preserve"> PAGE   \* MERGEFORMAT </w:instrText>
        </w:r>
        <w:r w:rsidRPr="00EF74F1">
          <w:rPr>
            <w:sz w:val="18"/>
            <w:szCs w:val="18"/>
          </w:rPr>
          <w:fldChar w:fldCharType="separate"/>
        </w:r>
        <w:r w:rsidR="00E01E49">
          <w:rPr>
            <w:noProof/>
            <w:sz w:val="18"/>
            <w:szCs w:val="18"/>
          </w:rPr>
          <w:t>3</w:t>
        </w:r>
        <w:r w:rsidRPr="00EF74F1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C5"/>
    <w:rsid w:val="000851C5"/>
    <w:rsid w:val="001624EB"/>
    <w:rsid w:val="002224E1"/>
    <w:rsid w:val="002239DF"/>
    <w:rsid w:val="002E2333"/>
    <w:rsid w:val="003A7AB7"/>
    <w:rsid w:val="004877E0"/>
    <w:rsid w:val="004B6F77"/>
    <w:rsid w:val="00501D9D"/>
    <w:rsid w:val="00554463"/>
    <w:rsid w:val="0056571B"/>
    <w:rsid w:val="006771EB"/>
    <w:rsid w:val="006E6075"/>
    <w:rsid w:val="007B1958"/>
    <w:rsid w:val="007D6A4B"/>
    <w:rsid w:val="008D0B51"/>
    <w:rsid w:val="008E78CD"/>
    <w:rsid w:val="00984951"/>
    <w:rsid w:val="009E43D4"/>
    <w:rsid w:val="00A91B71"/>
    <w:rsid w:val="00B377B2"/>
    <w:rsid w:val="00B964F3"/>
    <w:rsid w:val="00CD38B6"/>
    <w:rsid w:val="00D85356"/>
    <w:rsid w:val="00E01E49"/>
    <w:rsid w:val="00EE295E"/>
    <w:rsid w:val="00EF74F1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85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C5"/>
  </w:style>
  <w:style w:type="paragraph" w:styleId="Header">
    <w:name w:val="header"/>
    <w:basedOn w:val="Normal"/>
    <w:link w:val="HeaderChar"/>
    <w:uiPriority w:val="99"/>
    <w:unhideWhenUsed/>
    <w:rsid w:val="00085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C5"/>
  </w:style>
  <w:style w:type="paragraph" w:styleId="FootnoteText">
    <w:name w:val="footnote text"/>
    <w:basedOn w:val="Normal"/>
    <w:link w:val="FootnoteTextChar"/>
    <w:uiPriority w:val="99"/>
    <w:semiHidden/>
    <w:unhideWhenUsed/>
    <w:rsid w:val="000851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1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851C5"/>
    <w:rPr>
      <w:position w:val="6"/>
      <w:sz w:val="16"/>
    </w:rPr>
  </w:style>
  <w:style w:type="character" w:styleId="Hyperlink">
    <w:name w:val="Hyperlink"/>
    <w:basedOn w:val="DefaultParagraphFont"/>
    <w:uiPriority w:val="99"/>
    <w:rsid w:val="000851C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08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8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FooterContact2-3">
    <w:name w:val="CEO_FooterContact2-3"/>
    <w:basedOn w:val="Normal"/>
    <w:rsid w:val="002E2333"/>
    <w:pPr>
      <w:spacing w:after="0" w:line="240" w:lineRule="auto"/>
      <w:ind w:left="3827" w:hanging="2268"/>
    </w:pPr>
    <w:rPr>
      <w:rFonts w:ascii="Verdana" w:eastAsia="SimSun" w:hAnsi="Verdana" w:cs="Times New Roman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239DF"/>
    <w:rPr>
      <w:color w:val="800080" w:themeColor="followedHyperlink"/>
      <w:u w:val="single"/>
    </w:rPr>
  </w:style>
  <w:style w:type="paragraph" w:customStyle="1" w:styleId="Call">
    <w:name w:val="Call"/>
    <w:basedOn w:val="Normal"/>
    <w:next w:val="Normal"/>
    <w:rsid w:val="00EF74F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textAlignment w:val="baseline"/>
    </w:pPr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paragraph" w:customStyle="1" w:styleId="Title4">
    <w:name w:val="Title 4"/>
    <w:basedOn w:val="Normal"/>
    <w:next w:val="Heading1"/>
    <w:rsid w:val="00EF74F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F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85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C5"/>
  </w:style>
  <w:style w:type="paragraph" w:styleId="Header">
    <w:name w:val="header"/>
    <w:basedOn w:val="Normal"/>
    <w:link w:val="HeaderChar"/>
    <w:uiPriority w:val="99"/>
    <w:unhideWhenUsed/>
    <w:rsid w:val="00085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C5"/>
  </w:style>
  <w:style w:type="paragraph" w:styleId="FootnoteText">
    <w:name w:val="footnote text"/>
    <w:basedOn w:val="Normal"/>
    <w:link w:val="FootnoteTextChar"/>
    <w:uiPriority w:val="99"/>
    <w:semiHidden/>
    <w:unhideWhenUsed/>
    <w:rsid w:val="000851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1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851C5"/>
    <w:rPr>
      <w:position w:val="6"/>
      <w:sz w:val="16"/>
    </w:rPr>
  </w:style>
  <w:style w:type="character" w:styleId="Hyperlink">
    <w:name w:val="Hyperlink"/>
    <w:basedOn w:val="DefaultParagraphFont"/>
    <w:uiPriority w:val="99"/>
    <w:rsid w:val="000851C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08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8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FooterContact2-3">
    <w:name w:val="CEO_FooterContact2-3"/>
    <w:basedOn w:val="Normal"/>
    <w:rsid w:val="002E2333"/>
    <w:pPr>
      <w:spacing w:after="0" w:line="240" w:lineRule="auto"/>
      <w:ind w:left="3827" w:hanging="2268"/>
    </w:pPr>
    <w:rPr>
      <w:rFonts w:ascii="Verdana" w:eastAsia="SimSun" w:hAnsi="Verdana" w:cs="Times New Roman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239DF"/>
    <w:rPr>
      <w:color w:val="800080" w:themeColor="followedHyperlink"/>
      <w:u w:val="single"/>
    </w:rPr>
  </w:style>
  <w:style w:type="paragraph" w:customStyle="1" w:styleId="Call">
    <w:name w:val="Call"/>
    <w:basedOn w:val="Normal"/>
    <w:next w:val="Normal"/>
    <w:rsid w:val="00EF74F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textAlignment w:val="baseline"/>
    </w:pPr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paragraph" w:customStyle="1" w:styleId="Title4">
    <w:name w:val="Title 4"/>
    <w:basedOn w:val="Normal"/>
    <w:next w:val="Heading1"/>
    <w:rsid w:val="00EF74F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F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oadbandcommission.org/Documents/bb-annual" TargetMode="External"/><Relationship Id="rId1" Type="http://schemas.openxmlformats.org/officeDocument/2006/relationships/hyperlink" Target="http://www.broadbandcommission.org/Reports/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1139</Words>
  <Characters>5972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 Rodriguez, Susana</dc:creator>
  <cp:lastModifiedBy>Miguez Rey, Maria Del Carmen</cp:lastModifiedBy>
  <cp:revision>4</cp:revision>
  <cp:lastPrinted>2013-04-12T12:56:00Z</cp:lastPrinted>
  <dcterms:created xsi:type="dcterms:W3CDTF">2013-04-12T12:33:00Z</dcterms:created>
  <dcterms:modified xsi:type="dcterms:W3CDTF">2013-04-12T12:56:00Z</dcterms:modified>
</cp:coreProperties>
</file>