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450278">
            <w:pPr>
              <w:tabs>
                <w:tab w:val="left" w:pos="709"/>
              </w:tabs>
              <w:spacing w:before="100" w:beforeAutospacing="1" w:after="100" w:afterAutospacing="1"/>
              <w:jc w:val="center"/>
              <w:rPr>
                <w:sz w:val="24"/>
                <w:szCs w:val="24"/>
              </w:rPr>
            </w:pPr>
            <w:r>
              <w:rPr>
                <w:noProof/>
              </w:rPr>
              <w:drawing>
                <wp:inline distT="0" distB="0" distL="0" distR="0" wp14:anchorId="3E826396" wp14:editId="2B33365A">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450278">
        <w:tc>
          <w:tcPr>
            <w:tcW w:w="9572" w:type="dxa"/>
            <w:tcBorders>
              <w:bottom w:val="single" w:sz="12"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p>
        </w:tc>
      </w:tr>
      <w:tr w:rsidR="00450278" w:rsidTr="00450278">
        <w:tc>
          <w:tcPr>
            <w:tcW w:w="9572" w:type="dxa"/>
            <w:tcBorders>
              <w:top w:val="single" w:sz="12" w:space="0" w:color="auto"/>
            </w:tcBorders>
          </w:tcPr>
          <w:p w:rsidR="00450278" w:rsidRPr="00450278" w:rsidRDefault="00450278" w:rsidP="002A3C43">
            <w:pPr>
              <w:pStyle w:val="Header"/>
              <w:tabs>
                <w:tab w:val="clear" w:pos="4680"/>
                <w:tab w:val="left" w:pos="6521"/>
              </w:tabs>
              <w:spacing w:before="160"/>
              <w:ind w:left="284"/>
              <w:rPr>
                <w:b/>
                <w:bCs/>
                <w:sz w:val="24"/>
                <w:szCs w:val="24"/>
              </w:rPr>
            </w:pPr>
            <w:r>
              <w:rPr>
                <w:sz w:val="28"/>
                <w:szCs w:val="28"/>
              </w:rPr>
              <w:tab/>
            </w:r>
            <w:r w:rsidRPr="00450278">
              <w:rPr>
                <w:b/>
                <w:bCs/>
                <w:sz w:val="24"/>
                <w:szCs w:val="24"/>
              </w:rPr>
              <w:t>Document WTPF-13/</w:t>
            </w:r>
            <w:r w:rsidR="002A3C43">
              <w:rPr>
                <w:b/>
                <w:bCs/>
                <w:sz w:val="24"/>
                <w:szCs w:val="24"/>
              </w:rPr>
              <w:t>4</w:t>
            </w:r>
            <w:r w:rsidRPr="00450278">
              <w:rPr>
                <w:b/>
                <w:bCs/>
                <w:sz w:val="24"/>
                <w:szCs w:val="24"/>
              </w:rPr>
              <w:t>-E</w:t>
            </w:r>
            <w:r w:rsidRPr="00450278">
              <w:rPr>
                <w:b/>
                <w:bCs/>
                <w:sz w:val="24"/>
                <w:szCs w:val="24"/>
              </w:rPr>
              <w:br/>
            </w:r>
            <w:r w:rsidRPr="00450278">
              <w:rPr>
                <w:b/>
                <w:bCs/>
                <w:sz w:val="24"/>
                <w:szCs w:val="24"/>
              </w:rPr>
              <w:tab/>
            </w:r>
            <w:r w:rsidR="002A3C43">
              <w:rPr>
                <w:b/>
                <w:bCs/>
                <w:sz w:val="24"/>
                <w:szCs w:val="24"/>
              </w:rPr>
              <w:t>24 April</w:t>
            </w:r>
            <w:r w:rsidRPr="00450278">
              <w:rPr>
                <w:b/>
                <w:bCs/>
                <w:sz w:val="24"/>
                <w:szCs w:val="24"/>
              </w:rPr>
              <w:t xml:space="preserve"> 2013</w:t>
            </w:r>
            <w:r w:rsidRPr="00450278">
              <w:rPr>
                <w:b/>
                <w:bCs/>
                <w:sz w:val="24"/>
                <w:szCs w:val="24"/>
              </w:rPr>
              <w:br/>
            </w:r>
            <w:r w:rsidRPr="00450278">
              <w:rPr>
                <w:b/>
                <w:bCs/>
                <w:sz w:val="24"/>
                <w:szCs w:val="24"/>
              </w:rPr>
              <w:tab/>
              <w:t>Original: English</w:t>
            </w:r>
          </w:p>
        </w:tc>
      </w:tr>
    </w:tbl>
    <w:p w:rsidR="002A3C43" w:rsidRDefault="002A3C43" w:rsidP="002A3C43">
      <w:pPr>
        <w:tabs>
          <w:tab w:val="left" w:pos="2552"/>
        </w:tabs>
        <w:spacing w:before="720" w:after="100" w:afterAutospacing="1" w:line="240" w:lineRule="auto"/>
        <w:jc w:val="center"/>
        <w:rPr>
          <w:b/>
          <w:bCs/>
          <w:sz w:val="24"/>
          <w:szCs w:val="24"/>
        </w:rPr>
      </w:pPr>
      <w:r>
        <w:rPr>
          <w:b/>
          <w:bCs/>
          <w:sz w:val="24"/>
          <w:szCs w:val="24"/>
        </w:rPr>
        <w:t>Contribution from the Russian Federation</w:t>
      </w:r>
    </w:p>
    <w:p w:rsidR="002A3C43" w:rsidRPr="0040201F" w:rsidRDefault="002A3C43" w:rsidP="0040201F">
      <w:pPr>
        <w:tabs>
          <w:tab w:val="left" w:pos="2552"/>
        </w:tabs>
        <w:spacing w:after="100" w:afterAutospacing="1" w:line="240" w:lineRule="auto"/>
        <w:jc w:val="center"/>
        <w:rPr>
          <w:b/>
          <w:bCs/>
          <w:caps/>
          <w:sz w:val="32"/>
          <w:szCs w:val="32"/>
        </w:rPr>
      </w:pPr>
      <w:r w:rsidRPr="0040201F">
        <w:rPr>
          <w:caps/>
          <w:sz w:val="28"/>
          <w:szCs w:val="28"/>
        </w:rPr>
        <w:t>comments of the Russian Federation to the ITU Secretary-General's Report, including draft opinion 5</w:t>
      </w:r>
    </w:p>
    <w:p w:rsidR="002A3C43" w:rsidRPr="0040201F" w:rsidRDefault="00B36CCD" w:rsidP="0040201F">
      <w:pPr>
        <w:spacing w:before="480"/>
        <w:jc w:val="right"/>
        <w:rPr>
          <w:i/>
          <w:iCs/>
          <w:sz w:val="24"/>
          <w:szCs w:val="24"/>
        </w:rPr>
      </w:pPr>
      <w:r w:rsidRPr="0040201F">
        <w:rPr>
          <w:i/>
          <w:iCs/>
          <w:sz w:val="24"/>
          <w:szCs w:val="24"/>
        </w:rPr>
        <w:t>Ref. Document WTPF-13/3-E</w:t>
      </w:r>
    </w:p>
    <w:p w:rsidR="006E18CA" w:rsidRPr="005D33A9" w:rsidRDefault="006E18CA" w:rsidP="0040201F">
      <w:pPr>
        <w:tabs>
          <w:tab w:val="left" w:pos="2552"/>
        </w:tabs>
        <w:spacing w:before="360" w:after="100" w:afterAutospacing="1" w:line="240" w:lineRule="auto"/>
        <w:jc w:val="center"/>
        <w:rPr>
          <w:b/>
          <w:bCs/>
          <w:sz w:val="24"/>
          <w:szCs w:val="24"/>
        </w:rPr>
      </w:pPr>
      <w:r w:rsidRPr="005D33A9">
        <w:rPr>
          <w:b/>
          <w:bCs/>
          <w:sz w:val="24"/>
          <w:szCs w:val="24"/>
        </w:rPr>
        <w:t xml:space="preserve">THE </w:t>
      </w:r>
      <w:r w:rsidR="000F1BC8">
        <w:rPr>
          <w:b/>
          <w:bCs/>
          <w:sz w:val="24"/>
          <w:szCs w:val="24"/>
        </w:rPr>
        <w:t xml:space="preserve">ITU </w:t>
      </w:r>
      <w:r w:rsidRPr="005D33A9">
        <w:rPr>
          <w:b/>
          <w:bCs/>
          <w:sz w:val="24"/>
          <w:szCs w:val="24"/>
        </w:rPr>
        <w:t>SECRETARY-GENERAL’S REPORT</w:t>
      </w:r>
    </w:p>
    <w:p w:rsidR="006E18CA" w:rsidRPr="005D33A9" w:rsidRDefault="006E18CA" w:rsidP="00B3436D">
      <w:pPr>
        <w:spacing w:before="100" w:beforeAutospacing="1" w:after="100" w:afterAutospacing="1" w:line="240" w:lineRule="auto"/>
        <w:jc w:val="center"/>
        <w:rPr>
          <w:b/>
          <w:bCs/>
          <w:sz w:val="24"/>
          <w:szCs w:val="24"/>
        </w:rPr>
      </w:pPr>
      <w:proofErr w:type="gramStart"/>
      <w:r w:rsidRPr="005D33A9">
        <w:rPr>
          <w:b/>
          <w:bCs/>
          <w:sz w:val="24"/>
          <w:szCs w:val="24"/>
        </w:rPr>
        <w:t>for</w:t>
      </w:r>
      <w:proofErr w:type="gramEnd"/>
      <w:r w:rsidRPr="005D33A9">
        <w:rPr>
          <w:b/>
          <w:bCs/>
          <w:sz w:val="24"/>
          <w:szCs w:val="24"/>
        </w:rPr>
        <w:t xml:space="preserve"> the </w:t>
      </w:r>
      <w:r w:rsidRPr="005D33A9">
        <w:rPr>
          <w:b/>
          <w:bCs/>
          <w:sz w:val="24"/>
          <w:szCs w:val="24"/>
        </w:rPr>
        <w:br/>
        <w:t>Fifth World Telecommunication/Information and Communication Technology Policy Forum 2013</w:t>
      </w:r>
    </w:p>
    <w:p w:rsidR="007D1F2C" w:rsidRDefault="006E18CA" w:rsidP="0040201F">
      <w:pPr>
        <w:spacing w:after="0" w:line="240" w:lineRule="auto"/>
        <w:jc w:val="both"/>
        <w:rPr>
          <w:b/>
          <w:bCs/>
          <w:sz w:val="24"/>
          <w:szCs w:val="24"/>
        </w:rPr>
      </w:pPr>
      <w:r w:rsidRPr="005D33A9">
        <w:rPr>
          <w:b/>
          <w:bCs/>
          <w:sz w:val="24"/>
          <w:szCs w:val="24"/>
        </w:rPr>
        <w:t>1.</w:t>
      </w:r>
      <w:r w:rsidRPr="005D33A9">
        <w:rPr>
          <w:b/>
          <w:bCs/>
          <w:sz w:val="24"/>
          <w:szCs w:val="24"/>
        </w:rPr>
        <w:tab/>
        <w:t>Preamble</w:t>
      </w:r>
    </w:p>
    <w:p w:rsidR="007D1F2C" w:rsidRDefault="007D1F2C" w:rsidP="0040201F">
      <w:pPr>
        <w:spacing w:after="0" w:line="240" w:lineRule="auto"/>
        <w:jc w:val="both"/>
        <w:rPr>
          <w:b/>
          <w:bCs/>
          <w:sz w:val="24"/>
          <w:szCs w:val="24"/>
        </w:rPr>
      </w:pPr>
    </w:p>
    <w:p w:rsidR="007D1F2C" w:rsidRDefault="006E18CA" w:rsidP="0040201F">
      <w:pPr>
        <w:spacing w:after="0" w:line="240" w:lineRule="auto"/>
        <w:jc w:val="both"/>
        <w:rPr>
          <w:b/>
          <w:bCs/>
          <w:sz w:val="24"/>
          <w:szCs w:val="24"/>
        </w:rPr>
      </w:pPr>
      <w:r w:rsidRPr="005D33A9">
        <w:rPr>
          <w:b/>
          <w:bCs/>
          <w:sz w:val="24"/>
          <w:szCs w:val="24"/>
        </w:rPr>
        <w:t>1. 1</w:t>
      </w:r>
      <w:r w:rsidRPr="005D33A9">
        <w:rPr>
          <w:b/>
          <w:bCs/>
          <w:sz w:val="24"/>
          <w:szCs w:val="24"/>
        </w:rPr>
        <w:tab/>
      </w:r>
      <w:proofErr w:type="gramStart"/>
      <w:r w:rsidRPr="005D33A9">
        <w:rPr>
          <w:b/>
          <w:bCs/>
          <w:sz w:val="24"/>
          <w:szCs w:val="24"/>
        </w:rPr>
        <w:t>The</w:t>
      </w:r>
      <w:proofErr w:type="gramEnd"/>
      <w:r w:rsidRPr="005D33A9">
        <w:rPr>
          <w:b/>
          <w:bCs/>
          <w:sz w:val="24"/>
          <w:szCs w:val="24"/>
        </w:rPr>
        <w:t xml:space="preserve"> Fifth World Telecommunication/ICT Policy Forum (WTPF</w:t>
      </w:r>
      <w:r w:rsidR="00E6075E">
        <w:rPr>
          <w:b/>
          <w:bCs/>
          <w:sz w:val="24"/>
          <w:szCs w:val="24"/>
        </w:rPr>
        <w:t>-13</w:t>
      </w:r>
      <w:r w:rsidRPr="005D33A9">
        <w:rPr>
          <w:b/>
          <w:bCs/>
          <w:sz w:val="24"/>
          <w:szCs w:val="24"/>
        </w:rPr>
        <w:t>)</w:t>
      </w:r>
      <w:r w:rsidRPr="005D33A9">
        <w:rPr>
          <w:rStyle w:val="FootnoteReference"/>
          <w:b/>
          <w:bCs/>
          <w:sz w:val="24"/>
          <w:szCs w:val="24"/>
        </w:rPr>
        <w:t xml:space="preserve"> </w:t>
      </w:r>
      <w:r w:rsidRPr="005D33A9">
        <w:rPr>
          <w:rStyle w:val="FootnoteReference"/>
          <w:b/>
          <w:bCs/>
          <w:sz w:val="24"/>
          <w:szCs w:val="24"/>
        </w:rPr>
        <w:footnoteReference w:id="1"/>
      </w:r>
    </w:p>
    <w:p w:rsidR="007D1F2C" w:rsidRDefault="007D1F2C" w:rsidP="0040201F">
      <w:pPr>
        <w:spacing w:after="0" w:line="240" w:lineRule="auto"/>
        <w:jc w:val="both"/>
        <w:rPr>
          <w:b/>
          <w:bCs/>
          <w:sz w:val="24"/>
          <w:szCs w:val="24"/>
        </w:rPr>
      </w:pPr>
    </w:p>
    <w:p w:rsidR="007D1F2C" w:rsidRDefault="005C01BE" w:rsidP="0040201F">
      <w:pPr>
        <w:spacing w:after="0" w:line="240" w:lineRule="auto"/>
        <w:jc w:val="both"/>
        <w:rPr>
          <w:sz w:val="24"/>
          <w:szCs w:val="24"/>
        </w:rPr>
      </w:pPr>
      <w:r w:rsidRPr="005D33A9">
        <w:rPr>
          <w:b/>
          <w:bCs/>
          <w:sz w:val="24"/>
          <w:szCs w:val="24"/>
        </w:rPr>
        <w:t>1.1.1</w:t>
      </w:r>
      <w:r w:rsidRPr="005D33A9">
        <w:rPr>
          <w:sz w:val="24"/>
          <w:szCs w:val="24"/>
        </w:rPr>
        <w:tab/>
      </w:r>
      <w:r w:rsidR="006E18CA" w:rsidRPr="005D33A9">
        <w:rPr>
          <w:sz w:val="24"/>
          <w:szCs w:val="24"/>
        </w:rPr>
        <w:t>Originally established by the 1994 Plenipotentiary Conference</w:t>
      </w:r>
      <w:r w:rsidR="00285013">
        <w:rPr>
          <w:sz w:val="24"/>
          <w:szCs w:val="24"/>
        </w:rPr>
        <w:t xml:space="preserve"> o</w:t>
      </w:r>
      <w:r w:rsidR="00795673">
        <w:rPr>
          <w:sz w:val="24"/>
          <w:szCs w:val="24"/>
        </w:rPr>
        <w:t>f</w:t>
      </w:r>
      <w:r w:rsidR="00285013">
        <w:rPr>
          <w:sz w:val="24"/>
          <w:szCs w:val="24"/>
        </w:rPr>
        <w:t xml:space="preserve"> the I</w:t>
      </w:r>
      <w:r w:rsidR="002704F2">
        <w:rPr>
          <w:sz w:val="24"/>
          <w:szCs w:val="24"/>
        </w:rPr>
        <w:t>nternational Telecommunication Union (I</w:t>
      </w:r>
      <w:r w:rsidR="00285013">
        <w:rPr>
          <w:sz w:val="24"/>
          <w:szCs w:val="24"/>
        </w:rPr>
        <w:t>TU</w:t>
      </w:r>
      <w:r w:rsidR="002704F2">
        <w:rPr>
          <w:sz w:val="24"/>
          <w:szCs w:val="24"/>
        </w:rPr>
        <w:t>)</w:t>
      </w:r>
      <w:r w:rsidR="006E18CA" w:rsidRPr="005D33A9">
        <w:rPr>
          <w:sz w:val="24"/>
          <w:szCs w:val="24"/>
        </w:rPr>
        <w:t>, the WTPF provides a forum where ITU Member States and Sector Members can discuss and exchange views and information on emerging telecommunication/ICT policy and regulatory matters, especially global and cross-</w:t>
      </w:r>
      <w:proofErr w:type="spellStart"/>
      <w:r w:rsidR="006E18CA" w:rsidRPr="005D33A9">
        <w:rPr>
          <w:sz w:val="24"/>
          <w:szCs w:val="24"/>
        </w:rPr>
        <w:t>sectoral</w:t>
      </w:r>
      <w:proofErr w:type="spellEnd"/>
      <w:r w:rsidR="006E18CA" w:rsidRPr="005D33A9">
        <w:rPr>
          <w:sz w:val="24"/>
          <w:szCs w:val="24"/>
        </w:rPr>
        <w:t xml:space="preserve"> issues (Resolution 2, Rev. Guadalajara, 2010).</w:t>
      </w:r>
    </w:p>
    <w:p w:rsidR="007D1F2C" w:rsidRDefault="007D1F2C" w:rsidP="0040201F">
      <w:pPr>
        <w:spacing w:after="0" w:line="240" w:lineRule="auto"/>
        <w:jc w:val="both"/>
        <w:rPr>
          <w:sz w:val="24"/>
          <w:szCs w:val="24"/>
        </w:rPr>
      </w:pPr>
    </w:p>
    <w:p w:rsidR="007D1F2C" w:rsidRDefault="005C01BE" w:rsidP="0040201F">
      <w:pPr>
        <w:spacing w:after="0" w:line="240" w:lineRule="auto"/>
        <w:jc w:val="both"/>
        <w:rPr>
          <w:sz w:val="24"/>
          <w:szCs w:val="24"/>
        </w:rPr>
      </w:pPr>
      <w:r w:rsidRPr="005D33A9">
        <w:rPr>
          <w:b/>
          <w:bCs/>
          <w:sz w:val="24"/>
          <w:szCs w:val="24"/>
        </w:rPr>
        <w:t>1.1.2</w:t>
      </w:r>
      <w:r w:rsidRPr="005D33A9">
        <w:rPr>
          <w:sz w:val="24"/>
          <w:szCs w:val="24"/>
        </w:rPr>
        <w:tab/>
      </w:r>
      <w:r w:rsidR="006E18CA" w:rsidRPr="005D33A9">
        <w:rPr>
          <w:sz w:val="24"/>
          <w:szCs w:val="24"/>
        </w:rPr>
        <w:t xml:space="preserve">By Decision 562, the 2011 Session of </w:t>
      </w:r>
      <w:r w:rsidR="006E18CA" w:rsidRPr="00D04F38">
        <w:rPr>
          <w:sz w:val="24"/>
          <w:szCs w:val="24"/>
        </w:rPr>
        <w:t xml:space="preserve">ITU Council decided that </w:t>
      </w:r>
      <w:r w:rsidR="00E6075E" w:rsidRPr="00F91831">
        <w:rPr>
          <w:sz w:val="24"/>
          <w:szCs w:val="24"/>
        </w:rPr>
        <w:t>WTPF-13</w:t>
      </w:r>
      <w:r w:rsidR="00B11BC4" w:rsidRPr="00F91831">
        <w:rPr>
          <w:sz w:val="24"/>
          <w:szCs w:val="24"/>
        </w:rPr>
        <w:t xml:space="preserve"> </w:t>
      </w:r>
      <w:r w:rsidR="006E18CA" w:rsidRPr="00F91831">
        <w:rPr>
          <w:sz w:val="24"/>
          <w:szCs w:val="24"/>
        </w:rPr>
        <w:t>would discuss all the issues raised in: Resolution 101: “Internet Protocol (IP)-based Networks” (Rev. Guadalajara, 2010); Resolution 102: “ITU’s role with regard to international public policy</w:t>
      </w:r>
      <w:r w:rsidR="006E18CA" w:rsidRPr="005D33A9">
        <w:rPr>
          <w:sz w:val="24"/>
          <w:szCs w:val="24"/>
        </w:rPr>
        <w:t xml:space="preserve">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7D1F2C" w:rsidRDefault="007D1F2C" w:rsidP="0040201F">
      <w:pPr>
        <w:spacing w:after="0" w:line="240" w:lineRule="auto"/>
        <w:jc w:val="both"/>
        <w:rPr>
          <w:sz w:val="24"/>
          <w:szCs w:val="24"/>
        </w:rPr>
      </w:pPr>
    </w:p>
    <w:p w:rsidR="007D1F2C" w:rsidRDefault="006E18CA" w:rsidP="0040201F">
      <w:pPr>
        <w:spacing w:after="0" w:line="240" w:lineRule="auto"/>
        <w:jc w:val="both"/>
        <w:rPr>
          <w:sz w:val="24"/>
          <w:szCs w:val="24"/>
        </w:rPr>
      </w:pPr>
      <w:r w:rsidRPr="005D33A9">
        <w:rPr>
          <w:b/>
          <w:bCs/>
          <w:sz w:val="24"/>
          <w:szCs w:val="24"/>
        </w:rPr>
        <w:t>1.1.3</w:t>
      </w:r>
      <w:r w:rsidRPr="005D33A9">
        <w:rPr>
          <w:sz w:val="24"/>
          <w:szCs w:val="24"/>
        </w:rPr>
        <w:tab/>
        <w:t xml:space="preserve">The ITU Secretariat prepares annual reports to </w:t>
      </w:r>
      <w:r w:rsidR="00FD1919">
        <w:rPr>
          <w:sz w:val="24"/>
          <w:szCs w:val="24"/>
        </w:rPr>
        <w:t xml:space="preserve">the ITU </w:t>
      </w:r>
      <w:r w:rsidRPr="005D33A9">
        <w:rPr>
          <w:sz w:val="24"/>
          <w:szCs w:val="24"/>
        </w:rPr>
        <w:t xml:space="preserve">Council on ITU’s activities in relation to the implementation of Resolution 101 (Rev. Guadalajara, 2010), Resolution 102 (Rev. </w:t>
      </w:r>
      <w:r w:rsidRPr="005D33A9">
        <w:rPr>
          <w:sz w:val="24"/>
          <w:szCs w:val="24"/>
        </w:rPr>
        <w:lastRenderedPageBreak/>
        <w:t xml:space="preserve">Guadalajara, 2010) and Resolution 133 (Rev. Guadalajara, 2010). Other relevant activities are also undertaken by ITU within the framework of its Strategic, Operational and Financial Plans.  </w:t>
      </w:r>
    </w:p>
    <w:p w:rsidR="007D1F2C" w:rsidRDefault="007D1F2C" w:rsidP="0040201F">
      <w:pPr>
        <w:spacing w:after="0" w:line="240" w:lineRule="auto"/>
        <w:jc w:val="both"/>
        <w:rPr>
          <w:b/>
          <w:bCs/>
          <w:sz w:val="24"/>
          <w:szCs w:val="24"/>
        </w:rPr>
      </w:pPr>
    </w:p>
    <w:p w:rsidR="007D1F2C" w:rsidRDefault="006E18CA" w:rsidP="0040201F">
      <w:pPr>
        <w:spacing w:after="0" w:line="240" w:lineRule="auto"/>
        <w:jc w:val="both"/>
        <w:rPr>
          <w:rFonts w:eastAsia="Times New Roman" w:cs="Times New Roman"/>
          <w:color w:val="000000"/>
          <w:sz w:val="24"/>
          <w:szCs w:val="24"/>
        </w:rPr>
      </w:pPr>
      <w:r w:rsidRPr="005D33A9">
        <w:rPr>
          <w:b/>
          <w:bCs/>
          <w:sz w:val="24"/>
          <w:szCs w:val="24"/>
        </w:rPr>
        <w:t xml:space="preserve">1.1.4 </w:t>
      </w:r>
      <w:r w:rsidRPr="005D33A9">
        <w:rPr>
          <w:b/>
          <w:bCs/>
          <w:sz w:val="24"/>
          <w:szCs w:val="24"/>
        </w:rPr>
        <w:tab/>
      </w:r>
      <w:r w:rsidRPr="005D33A9">
        <w:rPr>
          <w:sz w:val="24"/>
          <w:szCs w:val="24"/>
        </w:rPr>
        <w:t>Building on the work of the Dedicated Group</w:t>
      </w:r>
      <w:r w:rsidR="000C3DC1">
        <w:rPr>
          <w:rStyle w:val="FootnoteReference"/>
          <w:sz w:val="24"/>
          <w:szCs w:val="24"/>
        </w:rPr>
        <w:footnoteReference w:id="2"/>
      </w:r>
      <w:r w:rsidRPr="005D33A9">
        <w:rPr>
          <w:sz w:val="24"/>
          <w:szCs w:val="24"/>
        </w:rPr>
        <w:t>,</w:t>
      </w:r>
      <w:r w:rsidRPr="005D33A9">
        <w:rPr>
          <w:b/>
          <w:bCs/>
          <w:sz w:val="24"/>
          <w:szCs w:val="24"/>
        </w:rPr>
        <w:t xml:space="preserve"> </w:t>
      </w:r>
      <w:r w:rsidRPr="005D33A9">
        <w:rPr>
          <w:sz w:val="24"/>
          <w:szCs w:val="24"/>
        </w:rPr>
        <w:t xml:space="preserve">the </w:t>
      </w:r>
      <w:r w:rsidR="00833F02">
        <w:rPr>
          <w:sz w:val="24"/>
          <w:szCs w:val="24"/>
        </w:rPr>
        <w:t xml:space="preserve">ITU </w:t>
      </w:r>
      <w:r w:rsidRPr="00D04F38">
        <w:rPr>
          <w:sz w:val="24"/>
          <w:szCs w:val="24"/>
        </w:rPr>
        <w:t>Council Working Group on International Internet-Related Public Policy Issues (</w:t>
      </w:r>
      <w:r w:rsidRPr="00F91831">
        <w:rPr>
          <w:sz w:val="24"/>
          <w:szCs w:val="24"/>
        </w:rPr>
        <w:t>CWG-Internet)</w:t>
      </w:r>
      <w:r w:rsidRPr="00D04F38">
        <w:rPr>
          <w:rStyle w:val="FootnoteReference"/>
          <w:sz w:val="24"/>
          <w:szCs w:val="24"/>
        </w:rPr>
        <w:footnoteReference w:id="3"/>
      </w:r>
      <w:r w:rsidRPr="00D04F38">
        <w:rPr>
          <w:sz w:val="24"/>
          <w:szCs w:val="24"/>
        </w:rPr>
        <w:t xml:space="preserve"> was established</w:t>
      </w:r>
      <w:r w:rsidRPr="005D33A9">
        <w:rPr>
          <w:sz w:val="24"/>
          <w:szCs w:val="24"/>
        </w:rPr>
        <w:t xml:space="preserve"> by </w:t>
      </w:r>
      <w:r w:rsidR="00833F02">
        <w:rPr>
          <w:sz w:val="24"/>
          <w:szCs w:val="24"/>
        </w:rPr>
        <w:t xml:space="preserve">ITU </w:t>
      </w:r>
      <w:r w:rsidRPr="005D33A9">
        <w:rPr>
          <w:sz w:val="24"/>
          <w:szCs w:val="24"/>
        </w:rPr>
        <w:t>Council </w:t>
      </w:r>
      <w:r w:rsidR="004147D2">
        <w:rPr>
          <w:sz w:val="24"/>
          <w:szCs w:val="24"/>
        </w:rPr>
        <w:t xml:space="preserve">2011 </w:t>
      </w:r>
      <w:hyperlink r:id="rId10" w:history="1">
        <w:r w:rsidRPr="005D33A9">
          <w:rPr>
            <w:sz w:val="24"/>
            <w:szCs w:val="24"/>
          </w:rPr>
          <w:t>Resolution 1336</w:t>
        </w:r>
      </w:hyperlink>
      <w:r w:rsidRPr="005D33A9">
        <w:rPr>
          <w:sz w:val="24"/>
          <w:szCs w:val="24"/>
        </w:rPr>
        <w:t xml:space="preserve">, in accordance with Resolutions 102 and 140 of the 2010 </w:t>
      </w:r>
      <w:r w:rsidR="00833F02">
        <w:rPr>
          <w:sz w:val="24"/>
          <w:szCs w:val="24"/>
        </w:rPr>
        <w:t xml:space="preserve">ITU </w:t>
      </w:r>
      <w:r w:rsidRPr="005D33A9">
        <w:rPr>
          <w:sz w:val="24"/>
          <w:szCs w:val="24"/>
        </w:rPr>
        <w:t xml:space="preserve">Plenipotentiary Conference. </w:t>
      </w:r>
      <w:r w:rsidRPr="005D33A9">
        <w:rPr>
          <w:rFonts w:eastAsia="Times New Roman" w:cs="Times New Roman"/>
          <w:color w:val="000000"/>
          <w:sz w:val="24"/>
          <w:szCs w:val="24"/>
        </w:rPr>
        <w:t>Its</w:t>
      </w:r>
      <w:r w:rsidRPr="005D33A9">
        <w:rPr>
          <w:rFonts w:eastAsia="Times New Roman" w:cs="Times New Roman"/>
          <w:i/>
          <w:iCs/>
          <w:color w:val="000000"/>
          <w:sz w:val="24"/>
          <w:szCs w:val="24"/>
        </w:rPr>
        <w:t> </w:t>
      </w:r>
      <w:r w:rsidR="00440914" w:rsidRPr="00F91831">
        <w:rPr>
          <w:rFonts w:eastAsia="Times New Roman" w:cs="Times New Roman"/>
          <w:sz w:val="24"/>
          <w:szCs w:val="24"/>
        </w:rPr>
        <w:t>terms of reference</w:t>
      </w:r>
      <w:r w:rsidRPr="005D33A9">
        <w:rPr>
          <w:rFonts w:eastAsia="Times New Roman" w:cs="Times New Roman"/>
          <w:color w:val="000000"/>
          <w:sz w:val="24"/>
          <w:szCs w:val="24"/>
        </w:rPr>
        <w:t xml:space="preserve"> are to </w:t>
      </w:r>
      <w:proofErr w:type="gramStart"/>
      <w:r w:rsidRPr="005D33A9">
        <w:rPr>
          <w:rFonts w:eastAsia="Times New Roman" w:cs="Times New Roman"/>
          <w:color w:val="000000"/>
          <w:sz w:val="24"/>
          <w:szCs w:val="24"/>
        </w:rPr>
        <w:t>identify,</w:t>
      </w:r>
      <w:proofErr w:type="gramEnd"/>
      <w:r w:rsidRPr="005D33A9">
        <w:rPr>
          <w:rFonts w:eastAsia="Times New Roman" w:cs="Times New Roman"/>
          <w:color w:val="000000"/>
          <w:sz w:val="24"/>
          <w:szCs w:val="24"/>
        </w:rPr>
        <w:t xml:space="preserve"> study and develop matters related to international Internet-related public policy issues, including those issues identified in </w:t>
      </w:r>
      <w:r w:rsidR="00BC0E61">
        <w:rPr>
          <w:rFonts w:eastAsia="Times New Roman" w:cs="Times New Roman"/>
          <w:color w:val="000000"/>
          <w:sz w:val="24"/>
          <w:szCs w:val="24"/>
        </w:rPr>
        <w:t xml:space="preserve">the </w:t>
      </w:r>
      <w:r w:rsidR="0083739A">
        <w:rPr>
          <w:rFonts w:eastAsia="Times New Roman" w:cs="Times New Roman"/>
          <w:color w:val="000000"/>
          <w:sz w:val="24"/>
          <w:szCs w:val="24"/>
        </w:rPr>
        <w:t xml:space="preserve">ITU </w:t>
      </w:r>
      <w:r w:rsidRPr="005D33A9">
        <w:rPr>
          <w:rFonts w:eastAsia="Times New Roman" w:cs="Times New Roman"/>
          <w:color w:val="000000"/>
          <w:sz w:val="24"/>
          <w:szCs w:val="24"/>
        </w:rPr>
        <w:t xml:space="preserve">Council </w:t>
      </w:r>
      <w:r w:rsidR="0052058A">
        <w:rPr>
          <w:rFonts w:eastAsia="Times New Roman" w:cs="Times New Roman"/>
          <w:color w:val="000000"/>
          <w:sz w:val="24"/>
          <w:szCs w:val="24"/>
        </w:rPr>
        <w:t xml:space="preserve">2009 </w:t>
      </w:r>
      <w:r w:rsidRPr="005D33A9">
        <w:rPr>
          <w:rFonts w:eastAsia="Times New Roman" w:cs="Times New Roman"/>
          <w:color w:val="000000"/>
          <w:sz w:val="24"/>
          <w:szCs w:val="24"/>
        </w:rPr>
        <w:t xml:space="preserve">Resolution 1305. </w:t>
      </w:r>
      <w:r w:rsidRPr="005D33A9">
        <w:rPr>
          <w:sz w:val="24"/>
          <w:szCs w:val="24"/>
        </w:rPr>
        <w:t>Participation in the CWG-Internet is limited to ITU Member States, with open consultation for all stakeholders</w:t>
      </w:r>
      <w:r w:rsidRPr="005D33A9">
        <w:rPr>
          <w:rStyle w:val="FootnoteReference"/>
          <w:sz w:val="24"/>
          <w:szCs w:val="24"/>
        </w:rPr>
        <w:footnoteReference w:id="4"/>
      </w:r>
      <w:r w:rsidRPr="005D33A9">
        <w:rPr>
          <w:sz w:val="24"/>
          <w:szCs w:val="24"/>
        </w:rPr>
        <w:t xml:space="preserve">. </w:t>
      </w:r>
      <w:r w:rsidRPr="005D33A9">
        <w:rPr>
          <w:rFonts w:eastAsia="Times New Roman" w:cs="Times New Roman"/>
          <w:color w:val="000000"/>
          <w:sz w:val="24"/>
          <w:szCs w:val="24"/>
        </w:rPr>
        <w:t xml:space="preserve"> </w:t>
      </w:r>
      <w:r w:rsidR="00833F02">
        <w:rPr>
          <w:rFonts w:eastAsia="Times New Roman" w:cs="Times New Roman"/>
          <w:color w:val="000000"/>
          <w:sz w:val="24"/>
          <w:szCs w:val="24"/>
        </w:rPr>
        <w:t xml:space="preserve">ITU </w:t>
      </w:r>
      <w:r w:rsidRPr="005D33A9">
        <w:rPr>
          <w:rFonts w:eastAsia="Times New Roman" w:cs="Times New Roman"/>
          <w:color w:val="000000"/>
          <w:sz w:val="24"/>
          <w:szCs w:val="24"/>
        </w:rPr>
        <w:t>Council 2012 Resolution 1344 further elaborated the modality of open consultation for the CWG-Internet to include online consultations for all stakeholders</w:t>
      </w:r>
      <w:r w:rsidRPr="005D33A9">
        <w:rPr>
          <w:rStyle w:val="FootnoteReference"/>
          <w:rFonts w:eastAsia="Times New Roman" w:cs="Times New Roman"/>
          <w:color w:val="000000"/>
          <w:sz w:val="24"/>
          <w:szCs w:val="24"/>
        </w:rPr>
        <w:footnoteReference w:id="5"/>
      </w:r>
      <w:r w:rsidRPr="005D33A9">
        <w:rPr>
          <w:rFonts w:eastAsia="Times New Roman" w:cs="Times New Roman"/>
          <w:color w:val="000000"/>
          <w:sz w:val="24"/>
          <w:szCs w:val="24"/>
        </w:rPr>
        <w:t>.</w:t>
      </w:r>
    </w:p>
    <w:p w:rsidR="007D1F2C" w:rsidRDefault="007D1F2C" w:rsidP="0040201F">
      <w:pPr>
        <w:spacing w:after="0" w:line="240" w:lineRule="auto"/>
        <w:jc w:val="both"/>
        <w:rPr>
          <w:b/>
          <w:bCs/>
          <w:sz w:val="24"/>
          <w:szCs w:val="24"/>
        </w:rPr>
      </w:pPr>
    </w:p>
    <w:p w:rsidR="007D1F2C" w:rsidRDefault="006E18CA" w:rsidP="0040201F">
      <w:pPr>
        <w:spacing w:after="0" w:line="240" w:lineRule="auto"/>
        <w:jc w:val="both"/>
        <w:rPr>
          <w:sz w:val="24"/>
          <w:szCs w:val="24"/>
        </w:rPr>
      </w:pPr>
      <w:r w:rsidRPr="005D33A9">
        <w:rPr>
          <w:b/>
          <w:bCs/>
          <w:sz w:val="24"/>
          <w:szCs w:val="24"/>
        </w:rPr>
        <w:t>1.1.5</w:t>
      </w:r>
      <w:r w:rsidRPr="005D33A9">
        <w:rPr>
          <w:sz w:val="24"/>
          <w:szCs w:val="24"/>
        </w:rPr>
        <w:tab/>
        <w:t xml:space="preserve">WTPF-13 shall </w:t>
      </w:r>
      <w:r w:rsidRPr="005D33A9">
        <w:rPr>
          <w:rFonts w:cs="Times New Roman"/>
          <w:sz w:val="24"/>
          <w:szCs w:val="24"/>
        </w:rPr>
        <w:t xml:space="preserve">not produce prescriptive regulatory outcomes; however, it shall </w:t>
      </w:r>
      <w:r w:rsidRPr="005D33A9">
        <w:rPr>
          <w:sz w:val="24"/>
          <w:szCs w:val="24"/>
        </w:rPr>
        <w:t xml:space="preserve">prepare reports and adopt non-binding opinions by consensus for consideration by </w:t>
      </w:r>
      <w:r w:rsidRPr="005D33A9">
        <w:rPr>
          <w:rFonts w:cs="Times New Roman"/>
          <w:sz w:val="24"/>
          <w:szCs w:val="24"/>
        </w:rPr>
        <w:t xml:space="preserve">Member States, Sector Members, </w:t>
      </w:r>
      <w:r w:rsidRPr="005D33A9">
        <w:rPr>
          <w:sz w:val="24"/>
          <w:szCs w:val="24"/>
        </w:rPr>
        <w:t xml:space="preserve">and relevant ITU meetings, bearing in mind items 1.1.3 and 1.1.4, and the need to avoid contradiction between the </w:t>
      </w:r>
      <w:r w:rsidRPr="005D33A9">
        <w:rPr>
          <w:rFonts w:cs="Times New Roman"/>
          <w:sz w:val="24"/>
          <w:szCs w:val="24"/>
        </w:rPr>
        <w:t xml:space="preserve">themes and the discussions </w:t>
      </w:r>
      <w:r w:rsidRPr="00D04F38">
        <w:rPr>
          <w:sz w:val="24"/>
          <w:szCs w:val="24"/>
        </w:rPr>
        <w:t xml:space="preserve">at </w:t>
      </w:r>
      <w:r w:rsidRPr="00F91831">
        <w:rPr>
          <w:sz w:val="24"/>
          <w:szCs w:val="24"/>
        </w:rPr>
        <w:t>WTPF</w:t>
      </w:r>
      <w:r w:rsidR="007A2E18" w:rsidRPr="00F91831">
        <w:rPr>
          <w:sz w:val="24"/>
          <w:szCs w:val="24"/>
        </w:rPr>
        <w:t>-13</w:t>
      </w:r>
      <w:r w:rsidRPr="005D33A9">
        <w:rPr>
          <w:sz w:val="24"/>
          <w:szCs w:val="24"/>
        </w:rPr>
        <w:t xml:space="preserve"> and ongoing activities undertaken as part of ITU’s mandate under </w:t>
      </w:r>
      <w:r w:rsidR="00415731">
        <w:rPr>
          <w:sz w:val="24"/>
          <w:szCs w:val="24"/>
        </w:rPr>
        <w:t xml:space="preserve">its </w:t>
      </w:r>
      <w:r w:rsidRPr="005D33A9">
        <w:rPr>
          <w:sz w:val="24"/>
          <w:szCs w:val="24"/>
        </w:rPr>
        <w:t xml:space="preserve">Plenipotentiary Resolutions (and other decisions of ITU Conferences and Assemblies) and the terms of reference of the </w:t>
      </w:r>
      <w:r w:rsidRPr="005D33A9">
        <w:rPr>
          <w:rFonts w:cs="Times New Roman"/>
          <w:sz w:val="24"/>
          <w:szCs w:val="24"/>
        </w:rPr>
        <w:t xml:space="preserve">ITU Council Working Group on International </w:t>
      </w:r>
      <w:r w:rsidRPr="005D33A9">
        <w:rPr>
          <w:rFonts w:cs="Times New Roman"/>
          <w:iCs/>
          <w:sz w:val="24"/>
          <w:szCs w:val="24"/>
        </w:rPr>
        <w:t>Internet</w:t>
      </w:r>
      <w:r w:rsidRPr="005D33A9">
        <w:rPr>
          <w:rFonts w:cs="Times New Roman"/>
          <w:sz w:val="24"/>
          <w:szCs w:val="24"/>
        </w:rPr>
        <w:t>-related Public Policy</w:t>
      </w:r>
      <w:r w:rsidR="00B87553">
        <w:rPr>
          <w:rFonts w:cs="Times New Roman"/>
          <w:sz w:val="24"/>
          <w:szCs w:val="24"/>
        </w:rPr>
        <w:t xml:space="preserve"> </w:t>
      </w:r>
      <w:r w:rsidR="00DF7C70">
        <w:rPr>
          <w:rFonts w:cs="Times New Roman"/>
          <w:sz w:val="24"/>
          <w:szCs w:val="24"/>
        </w:rPr>
        <w:t>I</w:t>
      </w:r>
      <w:r w:rsidR="00B87553">
        <w:rPr>
          <w:rFonts w:cs="Times New Roman"/>
          <w:sz w:val="24"/>
          <w:szCs w:val="24"/>
        </w:rPr>
        <w:t>ssues</w:t>
      </w:r>
      <w:r w:rsidRPr="005D33A9">
        <w:rPr>
          <w:rStyle w:val="FootnoteReference"/>
          <w:sz w:val="24"/>
          <w:szCs w:val="24"/>
        </w:rPr>
        <w:footnoteReference w:id="6"/>
      </w:r>
      <w:r w:rsidRPr="005D33A9">
        <w:rPr>
          <w:sz w:val="24"/>
          <w:szCs w:val="24"/>
        </w:rPr>
        <w:t>.</w:t>
      </w:r>
    </w:p>
    <w:p w:rsidR="007D1F2C" w:rsidRDefault="007D1F2C" w:rsidP="0040201F">
      <w:pPr>
        <w:spacing w:after="0" w:line="240" w:lineRule="auto"/>
        <w:jc w:val="both"/>
        <w:rPr>
          <w:b/>
          <w:bCs/>
          <w:sz w:val="24"/>
          <w:szCs w:val="24"/>
        </w:rPr>
      </w:pPr>
    </w:p>
    <w:p w:rsidR="007D1F2C" w:rsidRDefault="006E18CA" w:rsidP="0040201F">
      <w:pPr>
        <w:spacing w:after="0" w:line="240" w:lineRule="auto"/>
        <w:jc w:val="both"/>
        <w:rPr>
          <w:sz w:val="24"/>
          <w:szCs w:val="24"/>
        </w:rPr>
      </w:pPr>
      <w:r w:rsidRPr="005D33A9">
        <w:rPr>
          <w:b/>
          <w:bCs/>
          <w:sz w:val="24"/>
          <w:szCs w:val="24"/>
        </w:rPr>
        <w:t>1.1.6</w:t>
      </w:r>
      <w:r w:rsidRPr="005D33A9">
        <w:rPr>
          <w:sz w:val="24"/>
          <w:szCs w:val="24"/>
        </w:rPr>
        <w:tab/>
        <w:t xml:space="preserve">All information relating to </w:t>
      </w:r>
      <w:r w:rsidR="00E6075E">
        <w:rPr>
          <w:sz w:val="24"/>
          <w:szCs w:val="24"/>
        </w:rPr>
        <w:t>WTPF-13</w:t>
      </w:r>
      <w:r w:rsidRPr="005D33A9">
        <w:rPr>
          <w:sz w:val="24"/>
          <w:szCs w:val="24"/>
        </w:rPr>
        <w:t xml:space="preserve"> is posted </w:t>
      </w:r>
      <w:r w:rsidR="0071298C" w:rsidRPr="005D33A9">
        <w:rPr>
          <w:sz w:val="24"/>
          <w:szCs w:val="24"/>
        </w:rPr>
        <w:t>on</w:t>
      </w:r>
      <w:r w:rsidRPr="005D33A9">
        <w:rPr>
          <w:sz w:val="24"/>
          <w:szCs w:val="24"/>
        </w:rPr>
        <w:t xml:space="preserve">: </w:t>
      </w:r>
      <w:hyperlink r:id="rId11" w:history="1">
        <w:r w:rsidRPr="005D33A9">
          <w:rPr>
            <w:rStyle w:val="Hyperlink"/>
            <w:sz w:val="24"/>
            <w:szCs w:val="24"/>
          </w:rPr>
          <w:t>http://www.itu.int/wtpf</w:t>
        </w:r>
      </w:hyperlink>
      <w:r w:rsidRPr="005D33A9">
        <w:rPr>
          <w:sz w:val="24"/>
          <w:szCs w:val="24"/>
        </w:rPr>
        <w:t>.</w:t>
      </w:r>
    </w:p>
    <w:p w:rsidR="007D1F2C" w:rsidRDefault="007D1F2C" w:rsidP="0040201F">
      <w:pPr>
        <w:spacing w:after="0" w:line="240" w:lineRule="auto"/>
        <w:jc w:val="both"/>
        <w:rPr>
          <w:sz w:val="24"/>
          <w:szCs w:val="24"/>
        </w:rPr>
      </w:pPr>
    </w:p>
    <w:p w:rsidR="007D1F2C" w:rsidRDefault="006E18CA" w:rsidP="0040201F">
      <w:pPr>
        <w:pStyle w:val="Heading1"/>
        <w:spacing w:before="0" w:after="0" w:line="240" w:lineRule="auto"/>
        <w:jc w:val="both"/>
        <w:rPr>
          <w:sz w:val="24"/>
          <w:szCs w:val="24"/>
        </w:rPr>
      </w:pPr>
      <w:r w:rsidRPr="005D33A9">
        <w:rPr>
          <w:sz w:val="24"/>
          <w:szCs w:val="24"/>
        </w:rPr>
        <w:t>1.2</w:t>
      </w:r>
      <w:r w:rsidRPr="005D33A9">
        <w:rPr>
          <w:sz w:val="24"/>
          <w:szCs w:val="24"/>
        </w:rPr>
        <w:tab/>
        <w:t xml:space="preserve">Preparatory process for the </w:t>
      </w:r>
      <w:r w:rsidR="006E47C1">
        <w:rPr>
          <w:sz w:val="24"/>
          <w:szCs w:val="24"/>
        </w:rPr>
        <w:t xml:space="preserve">ITU </w:t>
      </w:r>
      <w:r w:rsidRPr="005D33A9">
        <w:rPr>
          <w:sz w:val="24"/>
          <w:szCs w:val="24"/>
        </w:rPr>
        <w:t>Secretary-General’s Report</w:t>
      </w:r>
    </w:p>
    <w:p w:rsidR="007D1F2C" w:rsidRDefault="007D1F2C"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7D1F2C" w:rsidRDefault="006E18CA"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sidRPr="005D33A9">
        <w:rPr>
          <w:rFonts w:asciiTheme="minorHAnsi" w:hAnsiTheme="minorHAnsi"/>
          <w:b/>
          <w:bCs/>
          <w:szCs w:val="24"/>
        </w:rPr>
        <w:t>1.2.1</w:t>
      </w:r>
      <w:r w:rsidRPr="005D33A9">
        <w:rPr>
          <w:rFonts w:asciiTheme="minorHAnsi" w:hAnsiTheme="minorHAnsi"/>
          <w:szCs w:val="24"/>
        </w:rPr>
        <w:tab/>
        <w:t xml:space="preserve">Discussions at </w:t>
      </w:r>
      <w:r w:rsidR="00E6075E">
        <w:rPr>
          <w:rFonts w:asciiTheme="minorHAnsi" w:hAnsiTheme="minorHAnsi"/>
          <w:szCs w:val="24"/>
        </w:rPr>
        <w:t>WTPF-13</w:t>
      </w:r>
      <w:r w:rsidRPr="005D33A9">
        <w:rPr>
          <w:rFonts w:asciiTheme="minorHAnsi" w:hAnsiTheme="minorHAnsi"/>
          <w:szCs w:val="24"/>
        </w:rPr>
        <w:t xml:space="preserve"> shall be based on a Report from the </w:t>
      </w:r>
      <w:r w:rsidR="006E47C1">
        <w:rPr>
          <w:rFonts w:asciiTheme="minorHAnsi" w:hAnsiTheme="minorHAnsi"/>
          <w:szCs w:val="24"/>
        </w:rPr>
        <w:t xml:space="preserve">ITU </w:t>
      </w:r>
      <w:r w:rsidRPr="005D33A9">
        <w:rPr>
          <w:rFonts w:asciiTheme="minorHAnsi" w:hAnsiTheme="minorHAnsi"/>
          <w:szCs w:val="24"/>
        </w:rPr>
        <w:t xml:space="preserve">Secretary-General, incorporating the contributions of ITU Member States and Sector Members, which will serve as the sole working document of the Forum, and shall focus on key issues on which it would be desirable to reach conclusions </w:t>
      </w:r>
      <w:r w:rsidRPr="005D33A9">
        <w:rPr>
          <w:rFonts w:asciiTheme="minorHAnsi" w:eastAsiaTheme="minorEastAsia" w:hAnsiTheme="minorHAnsi" w:cstheme="minorBidi"/>
          <w:szCs w:val="24"/>
          <w:lang w:val="en-US" w:eastAsia="zh-CN"/>
        </w:rPr>
        <w:t>(</w:t>
      </w:r>
      <w:r w:rsidR="00B80358">
        <w:rPr>
          <w:rFonts w:asciiTheme="minorHAnsi" w:eastAsiaTheme="minorEastAsia" w:hAnsiTheme="minorHAnsi" w:cstheme="minorBidi"/>
          <w:szCs w:val="24"/>
          <w:lang w:val="en-US" w:eastAsia="zh-CN"/>
        </w:rPr>
        <w:t xml:space="preserve">ITU </w:t>
      </w:r>
      <w:r w:rsidRPr="005D33A9">
        <w:rPr>
          <w:rFonts w:asciiTheme="minorHAnsi" w:eastAsiaTheme="minorEastAsia" w:hAnsiTheme="minorHAnsi" w:cstheme="minorBidi"/>
          <w:szCs w:val="24"/>
          <w:lang w:val="en-US" w:eastAsia="zh-CN"/>
        </w:rPr>
        <w:t>Council 2011 Decision 562). This Report outlines a potential scope for discussions and presents some of the Internet</w:t>
      </w:r>
      <w:r w:rsidRPr="005D33A9">
        <w:rPr>
          <w:rFonts w:asciiTheme="minorHAnsi" w:hAnsiTheme="minorHAnsi"/>
          <w:szCs w:val="24"/>
        </w:rPr>
        <w:t xml:space="preserve">-related public policy issues </w:t>
      </w:r>
      <w:r w:rsidRPr="005D33A9">
        <w:rPr>
          <w:rFonts w:asciiTheme="minorHAnsi" w:eastAsiaTheme="minorEastAsia" w:hAnsiTheme="minorHAnsi" w:cstheme="minorBidi"/>
          <w:szCs w:val="24"/>
          <w:lang w:eastAsia="zh-CN"/>
        </w:rPr>
        <w:t>under consideration among different stakeholder groups</w:t>
      </w:r>
      <w:r w:rsidRPr="005D33A9">
        <w:rPr>
          <w:rFonts w:asciiTheme="minorHAnsi" w:hAnsiTheme="minorHAnsi"/>
          <w:szCs w:val="24"/>
        </w:rPr>
        <w:t xml:space="preserve">. </w:t>
      </w:r>
    </w:p>
    <w:p w:rsidR="007D1F2C" w:rsidRDefault="007D1F2C"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7D1F2C" w:rsidRDefault="006E18CA"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sidRPr="005D33A9">
        <w:rPr>
          <w:rFonts w:asciiTheme="minorHAnsi" w:hAnsiTheme="minorHAnsi"/>
          <w:b/>
          <w:bCs/>
          <w:szCs w:val="24"/>
        </w:rPr>
        <w:t xml:space="preserve">1.2.2 </w:t>
      </w:r>
      <w:r w:rsidRPr="005D33A9">
        <w:rPr>
          <w:rFonts w:asciiTheme="minorHAnsi" w:hAnsiTheme="minorHAnsi"/>
          <w:b/>
          <w:bCs/>
          <w:szCs w:val="24"/>
        </w:rPr>
        <w:tab/>
      </w:r>
      <w:r w:rsidRPr="005D33A9">
        <w:rPr>
          <w:rFonts w:asciiTheme="minorHAnsi" w:eastAsiaTheme="minorEastAsia" w:hAnsiTheme="minorHAnsi" w:cstheme="minorBidi"/>
          <w:szCs w:val="24"/>
          <w:lang w:val="en-US" w:eastAsia="zh-CN"/>
        </w:rPr>
        <w:t xml:space="preserve">In accordance with Decision 562 and the approval of ITU Council 2012, </w:t>
      </w:r>
      <w:r w:rsidRPr="005D33A9">
        <w:rPr>
          <w:rFonts w:asciiTheme="minorHAnsi" w:hAnsiTheme="minorHAnsi"/>
          <w:szCs w:val="24"/>
        </w:rPr>
        <w:t xml:space="preserve">the </w:t>
      </w:r>
      <w:r w:rsidR="00450278">
        <w:rPr>
          <w:rFonts w:asciiTheme="minorHAnsi" w:hAnsiTheme="minorHAnsi"/>
          <w:szCs w:val="24"/>
        </w:rPr>
        <w:t>ITU </w:t>
      </w:r>
      <w:r w:rsidRPr="005D33A9">
        <w:rPr>
          <w:rFonts w:asciiTheme="minorHAnsi" w:hAnsiTheme="minorHAnsi"/>
          <w:szCs w:val="24"/>
        </w:rPr>
        <w:t>Secretary-General convened a</w:t>
      </w:r>
      <w:r w:rsidR="00720BE1">
        <w:rPr>
          <w:rFonts w:asciiTheme="minorHAnsi" w:hAnsiTheme="minorHAnsi"/>
          <w:szCs w:val="24"/>
        </w:rPr>
        <w:t>n</w:t>
      </w:r>
      <w:r w:rsidRPr="005D33A9">
        <w:rPr>
          <w:rFonts w:asciiTheme="minorHAnsi" w:hAnsiTheme="minorHAnsi"/>
          <w:szCs w:val="24"/>
        </w:rPr>
        <w:t xml:space="preserve"> Informal </w:t>
      </w:r>
      <w:r w:rsidRPr="00D04F38">
        <w:rPr>
          <w:rFonts w:asciiTheme="minorHAnsi" w:hAnsiTheme="minorHAnsi"/>
          <w:szCs w:val="24"/>
        </w:rPr>
        <w:t xml:space="preserve">Experts Group </w:t>
      </w:r>
      <w:r w:rsidRPr="00F91831">
        <w:rPr>
          <w:rFonts w:asciiTheme="minorHAnsi" w:hAnsiTheme="minorHAnsi"/>
          <w:szCs w:val="24"/>
        </w:rPr>
        <w:t>(IEG), each</w:t>
      </w:r>
      <w:r w:rsidRPr="005D33A9">
        <w:rPr>
          <w:rFonts w:asciiTheme="minorHAnsi" w:hAnsiTheme="minorHAnsi"/>
          <w:szCs w:val="24"/>
        </w:rPr>
        <w:t xml:space="preserve"> of whom is active in preparing for the Policy Forum. </w:t>
      </w:r>
      <w:r w:rsidRPr="005D33A9">
        <w:rPr>
          <w:rFonts w:asciiTheme="minorHAnsi" w:hAnsiTheme="minorHAnsi"/>
          <w:b/>
          <w:bCs/>
          <w:szCs w:val="24"/>
          <w:u w:val="single"/>
        </w:rPr>
        <w:t>Membership of the IEG was open to all stakeholders</w:t>
      </w:r>
      <w:r w:rsidRPr="005D33A9">
        <w:rPr>
          <w:rFonts w:asciiTheme="minorHAnsi" w:hAnsiTheme="minorHAnsi"/>
          <w:szCs w:val="24"/>
        </w:rPr>
        <w:t>. The IEG</w:t>
      </w:r>
      <w:r w:rsidR="00450278">
        <w:rPr>
          <w:rFonts w:asciiTheme="minorHAnsi" w:hAnsiTheme="minorHAnsi"/>
          <w:szCs w:val="24"/>
        </w:rPr>
        <w:t> </w:t>
      </w:r>
      <w:r w:rsidRPr="005D33A9">
        <w:rPr>
          <w:rFonts w:asciiTheme="minorHAnsi" w:hAnsiTheme="minorHAnsi"/>
          <w:szCs w:val="24"/>
        </w:rPr>
        <w:t>met thrice</w:t>
      </w:r>
      <w:r w:rsidR="0063786D" w:rsidRPr="005D33A9">
        <w:rPr>
          <w:rFonts w:asciiTheme="minorHAnsi" w:hAnsiTheme="minorHAnsi"/>
          <w:szCs w:val="24"/>
        </w:rPr>
        <w:t xml:space="preserve"> under the Chairmanship of </w:t>
      </w:r>
      <w:proofErr w:type="spellStart"/>
      <w:r w:rsidR="0063786D" w:rsidRPr="005D33A9">
        <w:rPr>
          <w:rFonts w:asciiTheme="minorHAnsi" w:hAnsiTheme="minorHAnsi"/>
          <w:szCs w:val="24"/>
        </w:rPr>
        <w:t>Mr.</w:t>
      </w:r>
      <w:proofErr w:type="spellEnd"/>
      <w:r w:rsidR="0063786D" w:rsidRPr="005D33A9">
        <w:rPr>
          <w:rFonts w:asciiTheme="minorHAnsi" w:hAnsiTheme="minorHAnsi"/>
          <w:szCs w:val="24"/>
        </w:rPr>
        <w:t xml:space="preserve"> Petko Kantchev (Bulgaria)</w:t>
      </w:r>
      <w:r w:rsidRPr="005D33A9">
        <w:rPr>
          <w:rFonts w:asciiTheme="minorHAnsi" w:hAnsiTheme="minorHAnsi"/>
          <w:szCs w:val="24"/>
        </w:rPr>
        <w:t xml:space="preserve"> - twice in 2012 (5 June, 8 - 10 October 2012) and on 6-8 February 2013. More than 140 experts participated in the work of the expert group</w:t>
      </w:r>
      <w:r w:rsidRPr="005D33A9">
        <w:rPr>
          <w:rStyle w:val="FootnoteReference"/>
          <w:rFonts w:asciiTheme="minorHAnsi" w:hAnsiTheme="minorHAnsi"/>
          <w:szCs w:val="24"/>
        </w:rPr>
        <w:footnoteReference w:id="7"/>
      </w:r>
      <w:r w:rsidRPr="005D33A9">
        <w:rPr>
          <w:rFonts w:asciiTheme="minorHAnsi" w:hAnsiTheme="minorHAnsi"/>
          <w:szCs w:val="24"/>
        </w:rPr>
        <w:t xml:space="preserve">. </w:t>
      </w:r>
      <w:r w:rsidR="00BC0E4B" w:rsidRPr="005D33A9">
        <w:rPr>
          <w:rFonts w:asciiTheme="minorHAnsi" w:hAnsiTheme="minorHAnsi"/>
          <w:szCs w:val="24"/>
        </w:rPr>
        <w:t>Around</w:t>
      </w:r>
      <w:r w:rsidRPr="005D33A9">
        <w:rPr>
          <w:rFonts w:asciiTheme="minorHAnsi" w:hAnsiTheme="minorHAnsi"/>
          <w:szCs w:val="24"/>
        </w:rPr>
        <w:t xml:space="preserve"> 75 contributions were received from all stakeholders towards the various drafts of the </w:t>
      </w:r>
      <w:r w:rsidR="00DF0D55">
        <w:rPr>
          <w:rFonts w:asciiTheme="minorHAnsi" w:hAnsiTheme="minorHAnsi"/>
          <w:szCs w:val="24"/>
        </w:rPr>
        <w:t xml:space="preserve">ITU </w:t>
      </w:r>
      <w:r w:rsidRPr="005D33A9">
        <w:rPr>
          <w:rFonts w:asciiTheme="minorHAnsi" w:hAnsiTheme="minorHAnsi"/>
          <w:szCs w:val="24"/>
        </w:rPr>
        <w:t xml:space="preserve">Secretary-General’s </w:t>
      </w:r>
      <w:r w:rsidR="000A5E22">
        <w:rPr>
          <w:rFonts w:asciiTheme="minorHAnsi" w:hAnsiTheme="minorHAnsi"/>
          <w:szCs w:val="24"/>
        </w:rPr>
        <w:t>R</w:t>
      </w:r>
      <w:r w:rsidR="000A5E22" w:rsidRPr="005D33A9">
        <w:rPr>
          <w:rFonts w:asciiTheme="minorHAnsi" w:hAnsiTheme="minorHAnsi"/>
          <w:szCs w:val="24"/>
        </w:rPr>
        <w:t xml:space="preserve">eport </w:t>
      </w:r>
      <w:r w:rsidRPr="005D33A9">
        <w:rPr>
          <w:rFonts w:asciiTheme="minorHAnsi" w:hAnsiTheme="minorHAnsi"/>
          <w:szCs w:val="24"/>
        </w:rPr>
        <w:t xml:space="preserve">(five in total) and the </w:t>
      </w:r>
      <w:r w:rsidR="00856E4F" w:rsidRPr="005D33A9">
        <w:rPr>
          <w:rFonts w:asciiTheme="minorHAnsi" w:hAnsiTheme="minorHAnsi"/>
          <w:szCs w:val="24"/>
        </w:rPr>
        <w:t>D</w:t>
      </w:r>
      <w:r w:rsidRPr="005D33A9">
        <w:rPr>
          <w:rFonts w:asciiTheme="minorHAnsi" w:hAnsiTheme="minorHAnsi"/>
          <w:szCs w:val="24"/>
        </w:rPr>
        <w:t>raft Opinions. All documents of the WTPF</w:t>
      </w:r>
      <w:r w:rsidR="00E6075E">
        <w:rPr>
          <w:rFonts w:asciiTheme="minorHAnsi" w:hAnsiTheme="minorHAnsi"/>
          <w:szCs w:val="24"/>
        </w:rPr>
        <w:t>-13</w:t>
      </w:r>
      <w:r w:rsidRPr="005D33A9">
        <w:rPr>
          <w:rFonts w:asciiTheme="minorHAnsi" w:hAnsiTheme="minorHAnsi"/>
          <w:szCs w:val="24"/>
        </w:rPr>
        <w:t xml:space="preserve"> preparatory process are freely available on the WTPF website without any restrictions. </w:t>
      </w:r>
    </w:p>
    <w:p w:rsidR="007D1F2C" w:rsidRDefault="007D1F2C" w:rsidP="0040201F">
      <w:pPr>
        <w:spacing w:after="0" w:line="240" w:lineRule="auto"/>
        <w:jc w:val="both"/>
        <w:rPr>
          <w:lang w:val="en-GB" w:eastAsia="en-US"/>
        </w:rPr>
      </w:pPr>
    </w:p>
    <w:p w:rsidR="007D1F2C" w:rsidRDefault="00E45827" w:rsidP="0040201F">
      <w:pPr>
        <w:spacing w:after="0" w:line="240" w:lineRule="auto"/>
        <w:jc w:val="both"/>
        <w:rPr>
          <w:b/>
          <w:bCs/>
          <w:sz w:val="24"/>
          <w:szCs w:val="24"/>
          <w:lang w:val="en-GB" w:eastAsia="en-US"/>
        </w:rPr>
      </w:pPr>
      <w:r w:rsidRPr="005D33A9">
        <w:rPr>
          <w:b/>
          <w:bCs/>
          <w:sz w:val="24"/>
          <w:szCs w:val="24"/>
          <w:lang w:val="en-GB" w:eastAsia="en-US"/>
        </w:rPr>
        <w:t>1.2.3.</w:t>
      </w:r>
      <w:r w:rsidRPr="005D33A9">
        <w:rPr>
          <w:sz w:val="24"/>
          <w:szCs w:val="24"/>
          <w:lang w:val="en-GB" w:eastAsia="en-US"/>
        </w:rPr>
        <w:t xml:space="preserve"> This Report emanates from the ITU Secretary-General, taking into account the comments, inputs and contributions received from the IEG in a compilation overview intended t</w:t>
      </w:r>
      <w:r w:rsidR="00AC1CD6">
        <w:rPr>
          <w:sz w:val="24"/>
          <w:szCs w:val="24"/>
          <w:lang w:val="en-GB" w:eastAsia="en-US"/>
        </w:rPr>
        <w:t xml:space="preserve">o outline the background and stimulate </w:t>
      </w:r>
      <w:r w:rsidR="00AC1CD6" w:rsidRPr="00D04F38">
        <w:rPr>
          <w:sz w:val="24"/>
          <w:szCs w:val="24"/>
          <w:lang w:val="en-GB" w:eastAsia="en-US"/>
        </w:rPr>
        <w:t xml:space="preserve">discussions at </w:t>
      </w:r>
      <w:r w:rsidR="00AC1CD6" w:rsidRPr="00F91831">
        <w:rPr>
          <w:sz w:val="24"/>
          <w:szCs w:val="24"/>
          <w:lang w:val="en-GB" w:eastAsia="en-US"/>
        </w:rPr>
        <w:t>WTPF-13.</w:t>
      </w:r>
      <w:r w:rsidR="00AC1CD6">
        <w:rPr>
          <w:sz w:val="24"/>
          <w:szCs w:val="24"/>
          <w:lang w:val="en-GB" w:eastAsia="en-US"/>
        </w:rPr>
        <w:t xml:space="preserve"> </w:t>
      </w:r>
      <w:r w:rsidR="00AC1CD6">
        <w:rPr>
          <w:b/>
          <w:bCs/>
          <w:sz w:val="24"/>
          <w:szCs w:val="24"/>
          <w:lang w:val="en-GB" w:eastAsia="en-US"/>
        </w:rPr>
        <w:t xml:space="preserve">The body of Report does not necessarily represent the consensus view of the IEG, nor may it reflect the integral views of individual members of the IEG.  Citation of individual sources does </w:t>
      </w:r>
      <w:r w:rsidR="00AC1CD6" w:rsidRPr="00AC1CD6">
        <w:rPr>
          <w:b/>
          <w:bCs/>
          <w:sz w:val="24"/>
          <w:szCs w:val="24"/>
          <w:u w:val="single"/>
          <w:lang w:val="en-GB" w:eastAsia="en-US"/>
        </w:rPr>
        <w:t>not</w:t>
      </w:r>
      <w:r w:rsidRPr="005D33A9">
        <w:rPr>
          <w:b/>
          <w:bCs/>
          <w:sz w:val="24"/>
          <w:szCs w:val="24"/>
          <w:lang w:val="en-GB" w:eastAsia="en-US"/>
        </w:rPr>
        <w:t xml:space="preserve"> imply approval or endorsement of the Report by that source or their organization/entity.</w:t>
      </w:r>
    </w:p>
    <w:p w:rsidR="007D1F2C" w:rsidRDefault="007D1F2C" w:rsidP="0040201F">
      <w:pPr>
        <w:spacing w:after="0" w:line="240" w:lineRule="auto"/>
        <w:jc w:val="both"/>
        <w:rPr>
          <w:sz w:val="24"/>
          <w:szCs w:val="24"/>
          <w:lang w:val="en-GB" w:eastAsia="en-US"/>
        </w:rPr>
      </w:pPr>
    </w:p>
    <w:p w:rsidR="007D1F2C" w:rsidRDefault="004316DD" w:rsidP="0040201F">
      <w:pPr>
        <w:spacing w:line="240" w:lineRule="auto"/>
        <w:jc w:val="both"/>
        <w:rPr>
          <w:szCs w:val="24"/>
        </w:rPr>
      </w:pPr>
      <w:r w:rsidRPr="005D33A9">
        <w:rPr>
          <w:b/>
          <w:bCs/>
          <w:sz w:val="24"/>
          <w:szCs w:val="24"/>
        </w:rPr>
        <w:t>1.2.4</w:t>
      </w:r>
      <w:r w:rsidR="00AC1CD6">
        <w:rPr>
          <w:sz w:val="24"/>
          <w:szCs w:val="24"/>
        </w:rPr>
        <w:tab/>
        <w:t xml:space="preserve">Six Draft Opinions have been forwarded by the IEG, </w:t>
      </w:r>
      <w:r w:rsidR="00AC1CD6">
        <w:rPr>
          <w:i/>
          <w:iCs/>
          <w:sz w:val="24"/>
          <w:szCs w:val="24"/>
        </w:rPr>
        <w:t>by consensus</w:t>
      </w:r>
      <w:r w:rsidR="00AC1CD6" w:rsidRPr="00D04F38">
        <w:rPr>
          <w:i/>
          <w:iCs/>
          <w:sz w:val="24"/>
          <w:szCs w:val="24"/>
        </w:rPr>
        <w:t>,</w:t>
      </w:r>
      <w:r w:rsidR="00AC1CD6" w:rsidRPr="00F91831">
        <w:rPr>
          <w:sz w:val="24"/>
          <w:szCs w:val="24"/>
        </w:rPr>
        <w:t xml:space="preserve"> to WTPF-13</w:t>
      </w:r>
      <w:r w:rsidR="00AC1CD6">
        <w:rPr>
          <w:sz w:val="24"/>
          <w:szCs w:val="24"/>
        </w:rPr>
        <w:t xml:space="preserve"> for further discussion. </w:t>
      </w:r>
    </w:p>
    <w:p w:rsidR="007D1F2C" w:rsidRDefault="00AC1CD6" w:rsidP="0040201F">
      <w:pPr>
        <w:pStyle w:val="ListParagraph"/>
        <w:numPr>
          <w:ilvl w:val="0"/>
          <w:numId w:val="41"/>
        </w:numPr>
        <w:spacing w:before="60" w:after="60" w:line="240" w:lineRule="auto"/>
        <w:ind w:left="993" w:hanging="426"/>
        <w:jc w:val="both"/>
        <w:rPr>
          <w:rFonts w:eastAsia="Times New Roman"/>
          <w:sz w:val="24"/>
          <w:szCs w:val="24"/>
        </w:rPr>
      </w:pPr>
      <w:r>
        <w:rPr>
          <w:b/>
          <w:bCs/>
          <w:sz w:val="24"/>
          <w:szCs w:val="24"/>
        </w:rPr>
        <w:t>Opinion 1</w:t>
      </w:r>
      <w:r>
        <w:rPr>
          <w:sz w:val="24"/>
          <w:szCs w:val="24"/>
        </w:rPr>
        <w:t xml:space="preserve">: Promoting Internet </w:t>
      </w:r>
      <w:r w:rsidRPr="00D04F38">
        <w:rPr>
          <w:sz w:val="24"/>
          <w:szCs w:val="24"/>
        </w:rPr>
        <w:t>Exchange Points (</w:t>
      </w:r>
      <w:r w:rsidRPr="00F91831">
        <w:rPr>
          <w:sz w:val="24"/>
          <w:szCs w:val="24"/>
        </w:rPr>
        <w:t>IXPs) as a long term</w:t>
      </w:r>
      <w:r>
        <w:rPr>
          <w:sz w:val="24"/>
          <w:szCs w:val="24"/>
        </w:rPr>
        <w:t xml:space="preserve"> solution to advance connectivity</w:t>
      </w:r>
    </w:p>
    <w:p w:rsidR="007D1F2C" w:rsidRPr="00F91831" w:rsidRDefault="00AC1CD6" w:rsidP="0040201F">
      <w:pPr>
        <w:pStyle w:val="ListParagraph"/>
        <w:numPr>
          <w:ilvl w:val="0"/>
          <w:numId w:val="41"/>
        </w:numPr>
        <w:spacing w:before="60" w:after="60" w:line="240" w:lineRule="auto"/>
        <w:ind w:left="993" w:hanging="426"/>
        <w:jc w:val="both"/>
        <w:rPr>
          <w:rFonts w:eastAsia="SimSun"/>
          <w:bCs/>
          <w:sz w:val="24"/>
          <w:szCs w:val="24"/>
        </w:rPr>
      </w:pPr>
      <w:r>
        <w:rPr>
          <w:b/>
          <w:bCs/>
          <w:sz w:val="24"/>
          <w:szCs w:val="24"/>
        </w:rPr>
        <w:t>Opinion 2</w:t>
      </w:r>
      <w:r>
        <w:rPr>
          <w:sz w:val="24"/>
          <w:szCs w:val="24"/>
        </w:rPr>
        <w:t xml:space="preserve">: Fostering an enabling environment for the greater growth and development of broadband </w:t>
      </w:r>
      <w:r w:rsidRPr="00D04F38">
        <w:rPr>
          <w:sz w:val="24"/>
          <w:szCs w:val="24"/>
        </w:rPr>
        <w:t>connectivity</w:t>
      </w:r>
    </w:p>
    <w:p w:rsidR="007D1F2C" w:rsidRPr="00F91831" w:rsidRDefault="00AC1CD6" w:rsidP="0040201F">
      <w:pPr>
        <w:pStyle w:val="ListParagraph"/>
        <w:numPr>
          <w:ilvl w:val="0"/>
          <w:numId w:val="41"/>
        </w:numPr>
        <w:spacing w:before="60" w:after="60" w:line="240" w:lineRule="auto"/>
        <w:ind w:left="993" w:hanging="426"/>
        <w:jc w:val="both"/>
        <w:rPr>
          <w:rFonts w:eastAsia="Times New Roman"/>
          <w:sz w:val="24"/>
          <w:szCs w:val="24"/>
        </w:rPr>
      </w:pPr>
      <w:r w:rsidRPr="00F91831">
        <w:rPr>
          <w:b/>
          <w:bCs/>
          <w:sz w:val="24"/>
          <w:szCs w:val="24"/>
        </w:rPr>
        <w:t>Opinion 3</w:t>
      </w:r>
      <w:r w:rsidRPr="00F91831">
        <w:rPr>
          <w:sz w:val="24"/>
          <w:szCs w:val="24"/>
        </w:rPr>
        <w:t>:  Supporting Capacity Building for the deployment of IPv6</w:t>
      </w:r>
    </w:p>
    <w:p w:rsidR="007D1F2C" w:rsidRPr="00F91831" w:rsidRDefault="00AC1CD6" w:rsidP="0040201F">
      <w:pPr>
        <w:pStyle w:val="ListParagraph"/>
        <w:numPr>
          <w:ilvl w:val="0"/>
          <w:numId w:val="41"/>
        </w:numPr>
        <w:spacing w:before="60" w:after="60" w:line="240" w:lineRule="auto"/>
        <w:ind w:left="993" w:hanging="426"/>
        <w:jc w:val="both"/>
        <w:rPr>
          <w:rFonts w:eastAsia="Times New Roman"/>
          <w:sz w:val="24"/>
          <w:szCs w:val="24"/>
        </w:rPr>
      </w:pPr>
      <w:r w:rsidRPr="00F91831">
        <w:rPr>
          <w:b/>
          <w:bCs/>
          <w:sz w:val="24"/>
          <w:szCs w:val="24"/>
        </w:rPr>
        <w:t>Opinion 4</w:t>
      </w:r>
      <w:r w:rsidRPr="00F91831">
        <w:rPr>
          <w:sz w:val="24"/>
          <w:szCs w:val="24"/>
        </w:rPr>
        <w:t>:  In support of IPv6 adoption and transition from IPv4</w:t>
      </w:r>
    </w:p>
    <w:p w:rsidR="007D1F2C" w:rsidRDefault="00AC1CD6" w:rsidP="0040201F">
      <w:pPr>
        <w:pStyle w:val="ListParagraph"/>
        <w:numPr>
          <w:ilvl w:val="0"/>
          <w:numId w:val="41"/>
        </w:numPr>
        <w:spacing w:before="60" w:after="60" w:line="240" w:lineRule="auto"/>
        <w:ind w:left="993" w:hanging="426"/>
        <w:jc w:val="both"/>
        <w:rPr>
          <w:rFonts w:eastAsia="Times New Roman"/>
          <w:sz w:val="24"/>
          <w:szCs w:val="24"/>
        </w:rPr>
      </w:pPr>
      <w:r>
        <w:rPr>
          <w:b/>
          <w:bCs/>
          <w:sz w:val="24"/>
          <w:szCs w:val="24"/>
        </w:rPr>
        <w:t>Opinion 5</w:t>
      </w:r>
      <w:r>
        <w:rPr>
          <w:sz w:val="24"/>
          <w:szCs w:val="24"/>
        </w:rPr>
        <w:t>:  Supporting Multi-</w:t>
      </w:r>
      <w:proofErr w:type="spellStart"/>
      <w:r>
        <w:rPr>
          <w:sz w:val="24"/>
          <w:szCs w:val="24"/>
        </w:rPr>
        <w:t>stakeholderism</w:t>
      </w:r>
      <w:proofErr w:type="spellEnd"/>
      <w:r>
        <w:rPr>
          <w:sz w:val="24"/>
          <w:szCs w:val="24"/>
        </w:rPr>
        <w:t xml:space="preserve"> in Internet governance</w:t>
      </w:r>
    </w:p>
    <w:p w:rsidR="007D1F2C" w:rsidRDefault="00AC1CD6" w:rsidP="0040201F">
      <w:pPr>
        <w:pStyle w:val="ListParagraph"/>
        <w:numPr>
          <w:ilvl w:val="0"/>
          <w:numId w:val="41"/>
        </w:numPr>
        <w:spacing w:before="60" w:after="60" w:line="240" w:lineRule="auto"/>
        <w:ind w:left="993" w:hanging="426"/>
        <w:jc w:val="both"/>
        <w:rPr>
          <w:rFonts w:eastAsia="Times New Roman"/>
          <w:b/>
          <w:bCs/>
          <w:sz w:val="24"/>
          <w:szCs w:val="24"/>
          <w:lang w:val="en-GB"/>
        </w:rPr>
      </w:pPr>
      <w:r>
        <w:rPr>
          <w:b/>
          <w:bCs/>
          <w:sz w:val="24"/>
          <w:szCs w:val="24"/>
        </w:rPr>
        <w:t>Opinion 6</w:t>
      </w:r>
      <w:r>
        <w:rPr>
          <w:sz w:val="24"/>
          <w:szCs w:val="24"/>
        </w:rPr>
        <w:t>:  On supporting operationalizing the enhanced cooperation process</w:t>
      </w:r>
    </w:p>
    <w:p w:rsidR="007D1F2C" w:rsidRDefault="007D1F2C"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p>
    <w:p w:rsidR="007D1F2C" w:rsidRDefault="00AC1CD6"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Pr>
          <w:rFonts w:asciiTheme="minorHAnsi" w:hAnsiTheme="minorHAnsi"/>
          <w:szCs w:val="24"/>
        </w:rPr>
        <w:t xml:space="preserve">The Draft Opinions are attached in Annex </w:t>
      </w:r>
      <w:r w:rsidR="005B031C">
        <w:rPr>
          <w:rFonts w:asciiTheme="minorHAnsi" w:hAnsiTheme="minorHAnsi"/>
          <w:szCs w:val="24"/>
        </w:rPr>
        <w:t>B</w:t>
      </w:r>
      <w:r>
        <w:rPr>
          <w:rFonts w:asciiTheme="minorHAnsi" w:hAnsiTheme="minorHAnsi"/>
          <w:szCs w:val="24"/>
        </w:rPr>
        <w:t xml:space="preserve"> of this </w:t>
      </w:r>
      <w:r w:rsidR="000A5E22">
        <w:rPr>
          <w:rFonts w:asciiTheme="minorHAnsi" w:hAnsiTheme="minorHAnsi"/>
          <w:szCs w:val="24"/>
        </w:rPr>
        <w:t>Report</w:t>
      </w:r>
      <w:r>
        <w:rPr>
          <w:rFonts w:asciiTheme="minorHAnsi" w:hAnsiTheme="minorHAnsi"/>
          <w:szCs w:val="24"/>
        </w:rPr>
        <w:t>.</w:t>
      </w:r>
    </w:p>
    <w:p w:rsidR="007D1F2C" w:rsidRDefault="007D1F2C"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7D1F2C" w:rsidRDefault="00AC1CD6" w:rsidP="0040201F">
      <w:pPr>
        <w:pStyle w:val="Normalaftertitle"/>
        <w:tabs>
          <w:tab w:val="clear" w:pos="567"/>
          <w:tab w:val="clear" w:pos="1134"/>
          <w:tab w:val="clear" w:pos="1701"/>
          <w:tab w:val="clear" w:pos="2268"/>
          <w:tab w:val="clear" w:pos="2835"/>
        </w:tabs>
        <w:snapToGrid w:val="0"/>
        <w:spacing w:before="0"/>
        <w:jc w:val="both"/>
        <w:rPr>
          <w:rFonts w:asciiTheme="minorHAnsi" w:hAnsiTheme="minorHAnsi"/>
          <w:szCs w:val="24"/>
        </w:rPr>
      </w:pPr>
      <w:r>
        <w:rPr>
          <w:rFonts w:asciiTheme="minorHAnsi" w:hAnsiTheme="minorHAnsi"/>
          <w:b/>
          <w:bCs/>
          <w:szCs w:val="24"/>
        </w:rPr>
        <w:t>1.2.5</w:t>
      </w:r>
      <w:r>
        <w:rPr>
          <w:rFonts w:asciiTheme="minorHAnsi" w:hAnsiTheme="minorHAnsi"/>
          <w:szCs w:val="24"/>
        </w:rPr>
        <w:tab/>
        <w:t>The preparatory process was guided by the timetable in Table 1. It was based on input</w:t>
      </w:r>
      <w:r w:rsidR="008114FA">
        <w:rPr>
          <w:rFonts w:asciiTheme="minorHAnsi" w:hAnsiTheme="minorHAnsi"/>
          <w:szCs w:val="24"/>
        </w:rPr>
        <w:t>s</w:t>
      </w:r>
      <w:r>
        <w:rPr>
          <w:rFonts w:asciiTheme="minorHAnsi" w:hAnsiTheme="minorHAnsi"/>
          <w:szCs w:val="24"/>
        </w:rPr>
        <w:t xml:space="preserve"> received from IEG members and approved by </w:t>
      </w:r>
      <w:r w:rsidR="00B80358">
        <w:rPr>
          <w:rFonts w:asciiTheme="minorHAnsi" w:hAnsiTheme="minorHAnsi"/>
          <w:szCs w:val="24"/>
        </w:rPr>
        <w:t xml:space="preserve">the </w:t>
      </w:r>
      <w:r w:rsidR="0083739A">
        <w:rPr>
          <w:rFonts w:asciiTheme="minorHAnsi" w:hAnsiTheme="minorHAnsi"/>
          <w:szCs w:val="24"/>
        </w:rPr>
        <w:t xml:space="preserve">2012 </w:t>
      </w:r>
      <w:r w:rsidR="00B80358">
        <w:rPr>
          <w:rFonts w:asciiTheme="minorHAnsi" w:hAnsiTheme="minorHAnsi"/>
          <w:szCs w:val="24"/>
        </w:rPr>
        <w:t xml:space="preserve">ITU </w:t>
      </w:r>
      <w:r>
        <w:rPr>
          <w:rFonts w:asciiTheme="minorHAnsi" w:hAnsiTheme="minorHAnsi"/>
          <w:szCs w:val="24"/>
        </w:rPr>
        <w:t>Council</w:t>
      </w:r>
      <w:r>
        <w:rPr>
          <w:rStyle w:val="FootnoteReference"/>
          <w:rFonts w:asciiTheme="minorHAnsi" w:hAnsiTheme="minorHAnsi"/>
          <w:szCs w:val="24"/>
        </w:rPr>
        <w:footnoteReference w:id="8"/>
      </w:r>
      <w:r w:rsidRPr="00AC1CD6">
        <w:rPr>
          <w:rFonts w:asciiTheme="minorHAnsi" w:hAnsiTheme="minorHAnsi"/>
          <w:szCs w:val="24"/>
        </w:rPr>
        <w:t xml:space="preserve">. </w:t>
      </w:r>
    </w:p>
    <w:p w:rsidR="007D1F2C" w:rsidRDefault="007D1F2C" w:rsidP="0040201F">
      <w:pPr>
        <w:spacing w:after="0" w:line="240" w:lineRule="auto"/>
        <w:jc w:val="both"/>
        <w:rPr>
          <w:b/>
          <w:bCs/>
          <w:sz w:val="24"/>
          <w:szCs w:val="24"/>
        </w:rPr>
      </w:pPr>
    </w:p>
    <w:p w:rsidR="007D1F2C" w:rsidRDefault="00AC1CD6" w:rsidP="0040201F">
      <w:pPr>
        <w:spacing w:after="0" w:line="240" w:lineRule="auto"/>
        <w:jc w:val="center"/>
        <w:rPr>
          <w:b/>
          <w:bCs/>
          <w:sz w:val="24"/>
          <w:szCs w:val="24"/>
        </w:rPr>
      </w:pPr>
      <w:r w:rsidRPr="00AC1CD6">
        <w:rPr>
          <w:b/>
          <w:bCs/>
          <w:sz w:val="24"/>
          <w:szCs w:val="24"/>
        </w:rPr>
        <w:t xml:space="preserve">Table 1: Timetable for the elaboration of the </w:t>
      </w:r>
      <w:r w:rsidR="00846B1C">
        <w:rPr>
          <w:b/>
          <w:bCs/>
          <w:sz w:val="24"/>
          <w:szCs w:val="24"/>
        </w:rPr>
        <w:t xml:space="preserve">ITU </w:t>
      </w:r>
      <w:r w:rsidRPr="00AC1CD6">
        <w:rPr>
          <w:b/>
          <w:bCs/>
          <w:sz w:val="24"/>
          <w:szCs w:val="24"/>
        </w:rPr>
        <w:t>Secretary-General’s Report</w:t>
      </w:r>
    </w:p>
    <w:p w:rsidR="007D1F2C" w:rsidRDefault="007D1F2C" w:rsidP="0040201F">
      <w:pPr>
        <w:spacing w:after="0" w:line="240" w:lineRule="auto"/>
        <w:jc w:val="both"/>
        <w:rPr>
          <w:b/>
          <w:bCs/>
          <w:sz w:val="24"/>
          <w:szCs w:val="24"/>
        </w:rPr>
      </w:pP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 xml:space="preserve">Deadline for membership to submit materials considered relevant for the first draft of the </w:t>
            </w:r>
            <w:r w:rsidR="00791094">
              <w:rPr>
                <w:rFonts w:cstheme="minorHAnsi"/>
              </w:rPr>
              <w:t xml:space="preserve">ITU </w:t>
            </w:r>
            <w:r w:rsidRPr="00AC1CD6">
              <w:rPr>
                <w:rFonts w:cstheme="minorHAnsi"/>
              </w:rPr>
              <w:t xml:space="preserve">Secretary-General’s </w:t>
            </w:r>
            <w:r w:rsidR="00791094">
              <w:rPr>
                <w:rFonts w:cstheme="minorHAnsi"/>
              </w:rPr>
              <w:t>R</w:t>
            </w:r>
            <w:r w:rsidR="00791094" w:rsidRPr="00AC1CD6">
              <w:rPr>
                <w:rFonts w:cstheme="minorHAnsi"/>
              </w:rPr>
              <w:t>eport</w:t>
            </w:r>
            <w:r w:rsidRPr="00AC1CD6">
              <w:rPr>
                <w:rFonts w:cstheme="minorHAnsi"/>
              </w:rPr>
              <w:t xml:space="preserve">. </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 xml:space="preserve">Online posting and circulation to membership of the first draft of the </w:t>
            </w:r>
            <w:r w:rsidR="00791094">
              <w:rPr>
                <w:rFonts w:cstheme="minorHAnsi"/>
              </w:rPr>
              <w:t xml:space="preserve">ITU </w:t>
            </w:r>
            <w:r w:rsidRPr="00AC1CD6">
              <w:rPr>
                <w:rFonts w:cstheme="minorHAnsi"/>
              </w:rPr>
              <w:t xml:space="preserve">Secretary-General’s </w:t>
            </w:r>
            <w:r w:rsidR="00791094">
              <w:rPr>
                <w:rFonts w:cstheme="minorHAnsi"/>
              </w:rPr>
              <w:t>R</w:t>
            </w:r>
            <w:r w:rsidR="00791094" w:rsidRPr="00AC1CD6">
              <w:rPr>
                <w:rFonts w:cstheme="minorHAnsi"/>
              </w:rPr>
              <w:t xml:space="preserve">eport </w:t>
            </w:r>
            <w:r w:rsidRPr="00AC1CD6">
              <w:rPr>
                <w:rFonts w:cstheme="minorHAnsi"/>
              </w:rPr>
              <w:t>(drawn up on the basis of available material).</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 xml:space="preserve">Deadline for receipt of membership comments on the first draft and additional materials for the second draft. </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First meeting of the IEG.</w:t>
            </w:r>
          </w:p>
          <w:p w:rsidR="007D1F2C" w:rsidRDefault="00AC1CD6" w:rsidP="0040201F">
            <w:pPr>
              <w:spacing w:after="0" w:line="240" w:lineRule="auto"/>
              <w:jc w:val="both"/>
              <w:rPr>
                <w:rFonts w:cstheme="minorHAnsi"/>
              </w:rPr>
            </w:pPr>
            <w:r w:rsidRPr="00AC1CD6">
              <w:rPr>
                <w:rFonts w:cstheme="minorHAnsi"/>
              </w:rPr>
              <w:t xml:space="preserve">Preliminary Second Draft of the </w:t>
            </w:r>
            <w:r w:rsidR="00862E73">
              <w:rPr>
                <w:rFonts w:cstheme="minorHAnsi"/>
              </w:rPr>
              <w:t xml:space="preserve">ITU </w:t>
            </w:r>
            <w:r w:rsidRPr="00AC1CD6">
              <w:rPr>
                <w:rFonts w:cstheme="minorHAnsi"/>
              </w:rPr>
              <w:t xml:space="preserve">Secretary-General’s </w:t>
            </w:r>
            <w:r w:rsidR="00862E73">
              <w:rPr>
                <w:rFonts w:cstheme="minorHAnsi"/>
              </w:rPr>
              <w:t>R</w:t>
            </w:r>
            <w:r w:rsidR="00862E73" w:rsidRPr="00AC1CD6">
              <w:rPr>
                <w:rFonts w:cstheme="minorHAnsi"/>
              </w:rPr>
              <w:t>eport</w:t>
            </w:r>
            <w:r w:rsidRPr="00AC1CD6">
              <w:rPr>
                <w:rFonts w:cstheme="minorHAnsi"/>
              </w:rPr>
              <w: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Deadline for receipt of comments on the preliminary Second Draft.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Online Posting of the Second Draft, incorporating comments received.</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Deadline for receipt of comments on the Second Draft and request for contributions to develop the Third Draft, including broad outlines for possible draft opinions. Invitation letter sent to all stakeholders to participate in the IEG.</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Online Posting of Third Draft and outlines for possible draft opinions.</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Deadline for receipt of comments on the Third Draft.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10-12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Second meeting of the IEG.</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Online Posting of the Fourth Draft including draft opinions.</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6-8 February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Third meeting of the IEG.</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1 March 2013</w:t>
            </w:r>
            <w:r w:rsidR="00801290" w:rsidRPr="005D33A9">
              <w:rPr>
                <w:rStyle w:val="FootnoteReference"/>
                <w:rFonts w:cstheme="minorHAnsi"/>
                <w:b/>
                <w:bCs/>
              </w:rPr>
              <w:footnoteReference w:id="9"/>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801290" w:rsidP="0040201F">
            <w:pPr>
              <w:spacing w:after="0" w:line="240" w:lineRule="auto"/>
              <w:jc w:val="both"/>
              <w:rPr>
                <w:rFonts w:cstheme="minorHAnsi"/>
              </w:rPr>
            </w:pPr>
            <w:r w:rsidRPr="005D33A9">
              <w:rPr>
                <w:rFonts w:cstheme="minorHAnsi"/>
              </w:rPr>
              <w:t xml:space="preserve">Finalization and publication of the </w:t>
            </w:r>
            <w:r w:rsidR="00862E73">
              <w:rPr>
                <w:rFonts w:cstheme="minorHAnsi"/>
              </w:rPr>
              <w:t xml:space="preserve">ITU </w:t>
            </w:r>
            <w:r w:rsidRPr="005D33A9">
              <w:rPr>
                <w:rFonts w:cstheme="minorHAnsi"/>
              </w:rPr>
              <w:t>Secretar</w:t>
            </w:r>
            <w:r w:rsidR="00AC1CD6" w:rsidRPr="00AC1CD6">
              <w:rPr>
                <w:rFonts w:cstheme="minorHAnsi"/>
              </w:rPr>
              <w:t xml:space="preserve">y-General’s </w:t>
            </w:r>
            <w:r w:rsidR="00862E73">
              <w:rPr>
                <w:rFonts w:cstheme="minorHAnsi"/>
              </w:rPr>
              <w:t>R</w:t>
            </w:r>
            <w:r w:rsidR="00862E73" w:rsidRPr="00AC1CD6">
              <w:rPr>
                <w:rFonts w:cstheme="minorHAnsi"/>
              </w:rPr>
              <w:t>eport</w:t>
            </w:r>
            <w:r w:rsidR="00AC1CD6" w:rsidRPr="00AC1CD6">
              <w:rPr>
                <w:rFonts w:cstheme="minorHAnsi"/>
              </w:rPr>
              <w:t>.</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lastRenderedPageBreak/>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WTPF</w:t>
            </w:r>
            <w:r w:rsidR="00894275">
              <w:rPr>
                <w:rFonts w:cstheme="minorHAnsi"/>
              </w:rPr>
              <w:t>-13</w:t>
            </w:r>
            <w:r w:rsidRPr="00AC1CD6">
              <w:rPr>
                <w:rFonts w:cstheme="minorHAnsi"/>
              </w:rPr>
              <w:t xml:space="preserve"> Strategic Dialogue.</w:t>
            </w:r>
          </w:p>
        </w:tc>
      </w:tr>
      <w:tr w:rsidR="006E18CA" w:rsidRPr="005D33A9" w:rsidTr="00E45827">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center"/>
              <w:rPr>
                <w:rFonts w:cstheme="minorHAnsi"/>
                <w:b/>
                <w:bCs/>
              </w:rPr>
            </w:pPr>
            <w:r w:rsidRPr="00AC1CD6">
              <w:rPr>
                <w:rFonts w:cstheme="minorHAnsi"/>
                <w:b/>
                <w:bCs/>
              </w:rPr>
              <w:t>14-16 May 2013</w:t>
            </w:r>
            <w:r w:rsidRPr="00AC1CD6">
              <w:rPr>
                <w:rFonts w:cstheme="minorHAnsi"/>
                <w:b/>
                <w:bCs/>
              </w:rPr>
              <w:br/>
              <w:t>(in parallel with the WSIS Forum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1F2C" w:rsidRDefault="00AC1CD6" w:rsidP="0040201F">
            <w:pPr>
              <w:spacing w:after="0" w:line="240" w:lineRule="auto"/>
              <w:jc w:val="both"/>
              <w:rPr>
                <w:rFonts w:cstheme="minorHAnsi"/>
              </w:rPr>
            </w:pPr>
            <w:r w:rsidRPr="00AC1CD6">
              <w:rPr>
                <w:rFonts w:cstheme="minorHAnsi"/>
              </w:rPr>
              <w:t>5</w:t>
            </w:r>
            <w:r w:rsidRPr="00F91831">
              <w:rPr>
                <w:rFonts w:cstheme="minorHAnsi"/>
                <w:vertAlign w:val="superscript"/>
              </w:rPr>
              <w:t>th</w:t>
            </w:r>
            <w:r w:rsidR="00A038AA">
              <w:rPr>
                <w:rFonts w:cstheme="minorHAnsi"/>
              </w:rPr>
              <w:t xml:space="preserve"> </w:t>
            </w:r>
            <w:r w:rsidRPr="00AC1CD6">
              <w:rPr>
                <w:rFonts w:cstheme="minorHAnsi"/>
              </w:rPr>
              <w:t>WTPF on Internet-related public policy issues.</w:t>
            </w:r>
          </w:p>
        </w:tc>
      </w:tr>
    </w:tbl>
    <w:p w:rsidR="007D1F2C" w:rsidRDefault="007D1F2C" w:rsidP="0040201F">
      <w:pPr>
        <w:pStyle w:val="Heading1"/>
        <w:spacing w:before="0" w:after="0" w:line="240" w:lineRule="auto"/>
        <w:ind w:left="0" w:firstLine="0"/>
        <w:jc w:val="both"/>
        <w:rPr>
          <w:sz w:val="24"/>
          <w:szCs w:val="24"/>
        </w:rPr>
      </w:pPr>
    </w:p>
    <w:p w:rsidR="007D1F2C" w:rsidRDefault="00AC1CD6" w:rsidP="0040201F">
      <w:pPr>
        <w:pStyle w:val="Heading1"/>
        <w:spacing w:before="0" w:after="0" w:line="240" w:lineRule="auto"/>
        <w:ind w:left="0" w:firstLine="0"/>
        <w:jc w:val="both"/>
        <w:rPr>
          <w:sz w:val="24"/>
          <w:szCs w:val="24"/>
        </w:rPr>
      </w:pPr>
      <w:r w:rsidRPr="00AC1CD6">
        <w:rPr>
          <w:sz w:val="24"/>
          <w:szCs w:val="24"/>
        </w:rPr>
        <w:t>2.</w:t>
      </w:r>
      <w:r w:rsidRPr="00AC1CD6">
        <w:rPr>
          <w:sz w:val="24"/>
          <w:szCs w:val="24"/>
        </w:rPr>
        <w:tab/>
        <w:t xml:space="preserve">Themes for </w:t>
      </w:r>
      <w:r w:rsidR="00E6075E">
        <w:rPr>
          <w:sz w:val="24"/>
          <w:szCs w:val="24"/>
        </w:rPr>
        <w:t>WTPF-13</w:t>
      </w:r>
    </w:p>
    <w:p w:rsidR="007D1F2C" w:rsidRDefault="007D1F2C" w:rsidP="0040201F">
      <w:pPr>
        <w:spacing w:after="0" w:line="240" w:lineRule="auto"/>
        <w:jc w:val="both"/>
        <w:rPr>
          <w:b/>
          <w:bCs/>
          <w:sz w:val="24"/>
          <w:szCs w:val="24"/>
        </w:rPr>
      </w:pPr>
    </w:p>
    <w:p w:rsidR="007D1F2C" w:rsidRDefault="00AC1CD6" w:rsidP="0040201F">
      <w:pPr>
        <w:spacing w:after="0" w:line="240" w:lineRule="auto"/>
        <w:jc w:val="both"/>
        <w:rPr>
          <w:rFonts w:cstheme="majorBidi"/>
          <w:sz w:val="24"/>
          <w:szCs w:val="24"/>
        </w:rPr>
      </w:pPr>
      <w:r w:rsidRPr="00AC1CD6">
        <w:rPr>
          <w:b/>
          <w:bCs/>
          <w:sz w:val="24"/>
          <w:szCs w:val="24"/>
        </w:rPr>
        <w:t>2.1</w:t>
      </w:r>
      <w:r w:rsidRPr="00AC1CD6">
        <w:rPr>
          <w:sz w:val="24"/>
          <w:szCs w:val="24"/>
        </w:rPr>
        <w:tab/>
        <w:t xml:space="preserve">By Decision 562, in accordance with </w:t>
      </w:r>
      <w:r w:rsidR="009E2220">
        <w:rPr>
          <w:sz w:val="24"/>
          <w:szCs w:val="24"/>
        </w:rPr>
        <w:t>Resolution</w:t>
      </w:r>
      <w:r w:rsidRPr="00AC1CD6">
        <w:rPr>
          <w:sz w:val="24"/>
          <w:szCs w:val="24"/>
        </w:rPr>
        <w:t xml:space="preserve"> 2 (Rev. Guadalajara, 2012), the 2011 Session of </w:t>
      </w:r>
      <w:r w:rsidR="00474DEB">
        <w:rPr>
          <w:sz w:val="24"/>
          <w:szCs w:val="24"/>
        </w:rPr>
        <w:t xml:space="preserve">ITU </w:t>
      </w:r>
      <w:r w:rsidRPr="00AC1CD6">
        <w:rPr>
          <w:sz w:val="24"/>
          <w:szCs w:val="24"/>
        </w:rPr>
        <w:t xml:space="preserve">Council decided that the fifth WTPF would discuss all the issues raised in </w:t>
      </w:r>
      <w:r w:rsidR="00691B8F">
        <w:rPr>
          <w:sz w:val="24"/>
          <w:szCs w:val="24"/>
        </w:rPr>
        <w:t xml:space="preserve">ITU Plenipotentiary </w:t>
      </w:r>
      <w:r w:rsidRPr="00AC1CD6">
        <w:rPr>
          <w:sz w:val="24"/>
          <w:szCs w:val="24"/>
        </w:rPr>
        <w:t xml:space="preserve">Resolution 101 (Rev. Guadalajara, 2010), Resolution 102 (Rev. Guadalajara, 2010) and Resolution 133 (Rev. Guadalajara, 2010). </w:t>
      </w:r>
      <w:r w:rsidRPr="00AC1CD6">
        <w:rPr>
          <w:rFonts w:cstheme="majorBidi"/>
          <w:sz w:val="24"/>
          <w:szCs w:val="24"/>
        </w:rPr>
        <w:t xml:space="preserve">Resolutions 101 (Rev. Guadalajara, 2010) and 102 (Rev. Guadalajara, 2010) were adopted in 1998 and amended most recently </w:t>
      </w:r>
      <w:r w:rsidR="00557A6C">
        <w:rPr>
          <w:rFonts w:cstheme="majorBidi"/>
          <w:sz w:val="24"/>
          <w:szCs w:val="24"/>
        </w:rPr>
        <w:t>in</w:t>
      </w:r>
      <w:r w:rsidR="00557A6C" w:rsidRPr="00AC1CD6">
        <w:rPr>
          <w:rFonts w:cstheme="majorBidi"/>
          <w:sz w:val="24"/>
          <w:szCs w:val="24"/>
        </w:rPr>
        <w:t xml:space="preserve"> </w:t>
      </w:r>
      <w:r w:rsidR="00691B8F">
        <w:rPr>
          <w:rFonts w:cstheme="majorBidi"/>
          <w:sz w:val="24"/>
          <w:szCs w:val="24"/>
        </w:rPr>
        <w:t>2010</w:t>
      </w:r>
      <w:r w:rsidRPr="00AC1CD6">
        <w:rPr>
          <w:rFonts w:cstheme="majorBidi"/>
          <w:sz w:val="24"/>
          <w:szCs w:val="24"/>
        </w:rPr>
        <w:t>.</w:t>
      </w:r>
      <w:r w:rsidRPr="00AC1CD6">
        <w:rPr>
          <w:rFonts w:cstheme="majorBidi"/>
          <w:b/>
          <w:bCs/>
          <w:sz w:val="24"/>
          <w:szCs w:val="24"/>
        </w:rPr>
        <w:t xml:space="preserve"> </w:t>
      </w:r>
      <w:r w:rsidRPr="00AC1CD6">
        <w:rPr>
          <w:rFonts w:cstheme="majorBidi"/>
          <w:sz w:val="24"/>
          <w:szCs w:val="24"/>
        </w:rPr>
        <w:t xml:space="preserve">Resolution 133 (Rev. Guadalajara, 2010) </w:t>
      </w:r>
      <w:r w:rsidRPr="00AC1CD6">
        <w:rPr>
          <w:rFonts w:cstheme="majorBidi"/>
          <w:bCs/>
          <w:sz w:val="24"/>
          <w:szCs w:val="24"/>
        </w:rPr>
        <w:t xml:space="preserve">was adopted in 2002 and </w:t>
      </w:r>
      <w:r w:rsidRPr="00AC1CD6">
        <w:rPr>
          <w:rFonts w:cstheme="majorBidi"/>
          <w:sz w:val="24"/>
          <w:szCs w:val="24"/>
        </w:rPr>
        <w:t xml:space="preserve">amended most recently at </w:t>
      </w:r>
      <w:r w:rsidR="006D1F42">
        <w:rPr>
          <w:rFonts w:cstheme="majorBidi"/>
          <w:sz w:val="24"/>
          <w:szCs w:val="24"/>
        </w:rPr>
        <w:t xml:space="preserve">the 2010 ITU Plenipotentiary </w:t>
      </w:r>
      <w:r w:rsidR="006D1F42" w:rsidRPr="00D04F38">
        <w:rPr>
          <w:rFonts w:cstheme="majorBidi"/>
          <w:sz w:val="24"/>
          <w:szCs w:val="24"/>
        </w:rPr>
        <w:t>conference</w:t>
      </w:r>
      <w:r w:rsidRPr="00F91831">
        <w:rPr>
          <w:rFonts w:cstheme="majorBidi"/>
          <w:sz w:val="24"/>
          <w:szCs w:val="24"/>
        </w:rPr>
        <w:t>.</w:t>
      </w:r>
      <w:r w:rsidRPr="00AC1CD6">
        <w:rPr>
          <w:rFonts w:cstheme="majorBidi"/>
          <w:sz w:val="24"/>
          <w:szCs w:val="24"/>
        </w:rPr>
        <w:t xml:space="preserve"> </w:t>
      </w:r>
    </w:p>
    <w:p w:rsidR="007D1F2C" w:rsidRDefault="007D1F2C" w:rsidP="0040201F">
      <w:pPr>
        <w:spacing w:after="0" w:line="240" w:lineRule="auto"/>
        <w:jc w:val="both"/>
        <w:rPr>
          <w:b/>
          <w:bCs/>
          <w:sz w:val="24"/>
          <w:szCs w:val="24"/>
        </w:rPr>
      </w:pPr>
    </w:p>
    <w:p w:rsidR="007D1F2C" w:rsidRDefault="00AC1CD6" w:rsidP="0040201F">
      <w:pPr>
        <w:spacing w:after="0" w:line="240" w:lineRule="auto"/>
        <w:jc w:val="both"/>
        <w:rPr>
          <w:rFonts w:cs="Times New Roman"/>
          <w:sz w:val="24"/>
          <w:szCs w:val="24"/>
        </w:rPr>
      </w:pPr>
      <w:r w:rsidRPr="00AC1CD6">
        <w:rPr>
          <w:b/>
          <w:bCs/>
          <w:sz w:val="24"/>
          <w:szCs w:val="24"/>
        </w:rPr>
        <w:t>2.2</w:t>
      </w:r>
      <w:r w:rsidRPr="00AC1CD6">
        <w:rPr>
          <w:sz w:val="24"/>
          <w:szCs w:val="24"/>
        </w:rPr>
        <w:tab/>
      </w:r>
      <w:r w:rsidRPr="00AC1CD6">
        <w:rPr>
          <w:rFonts w:cstheme="minorHAnsi"/>
          <w:sz w:val="24"/>
          <w:szCs w:val="24"/>
          <w:lang w:val="en-GB"/>
        </w:rPr>
        <w:t xml:space="preserve">In accordance with </w:t>
      </w:r>
      <w:r w:rsidR="00474DEB">
        <w:rPr>
          <w:rFonts w:cstheme="minorHAnsi"/>
          <w:sz w:val="24"/>
          <w:szCs w:val="24"/>
          <w:lang w:val="en-GB"/>
        </w:rPr>
        <w:t xml:space="preserve">ITU </w:t>
      </w:r>
      <w:r w:rsidRPr="00AC1CD6">
        <w:rPr>
          <w:rFonts w:cstheme="minorHAnsi"/>
          <w:sz w:val="24"/>
          <w:szCs w:val="24"/>
          <w:lang w:val="en-GB"/>
        </w:rPr>
        <w:t xml:space="preserve">Council 2011 Decision 562, the WTPF will discuss all the issues raised in Resolutions 101, 102 and 133 (Rev. Guadalajara, 2010). </w:t>
      </w:r>
      <w:r w:rsidR="00665040">
        <w:rPr>
          <w:rFonts w:cstheme="minorHAnsi"/>
          <w:sz w:val="24"/>
          <w:szCs w:val="24"/>
          <w:lang w:val="en-GB"/>
        </w:rPr>
        <w:t>Given b</w:t>
      </w:r>
      <w:r w:rsidRPr="00AC1CD6">
        <w:rPr>
          <w:rFonts w:cstheme="minorHAnsi"/>
          <w:sz w:val="24"/>
          <w:szCs w:val="24"/>
          <w:lang w:val="en-GB"/>
        </w:rPr>
        <w:t>elow are suggested broad themes from IEG meetings</w:t>
      </w:r>
      <w:r w:rsidR="006E18CA" w:rsidRPr="005D33A9">
        <w:rPr>
          <w:rStyle w:val="FootnoteReference"/>
          <w:rFonts w:cstheme="minorHAnsi"/>
          <w:sz w:val="24"/>
          <w:szCs w:val="24"/>
          <w:lang w:val="en-GB"/>
        </w:rPr>
        <w:footnoteReference w:id="10"/>
      </w:r>
      <w:r w:rsidR="006E18CA" w:rsidRPr="005D33A9">
        <w:rPr>
          <w:rFonts w:cstheme="minorHAnsi"/>
          <w:sz w:val="24"/>
          <w:szCs w:val="24"/>
          <w:lang w:val="en-GB"/>
        </w:rPr>
        <w:t xml:space="preserve"> under which these issues could be discussed:</w:t>
      </w:r>
    </w:p>
    <w:p w:rsidR="007D1F2C" w:rsidRDefault="00AC1CD6" w:rsidP="0040201F">
      <w:pPr>
        <w:pStyle w:val="ListParagraph"/>
        <w:numPr>
          <w:ilvl w:val="0"/>
          <w:numId w:val="11"/>
        </w:numPr>
        <w:spacing w:before="120" w:after="0" w:line="240" w:lineRule="auto"/>
        <w:ind w:left="992" w:hanging="567"/>
        <w:contextualSpacing w:val="0"/>
        <w:jc w:val="both"/>
        <w:rPr>
          <w:rFonts w:cs="Calibri"/>
          <w:sz w:val="24"/>
          <w:szCs w:val="24"/>
          <w:lang w:val="en-GB"/>
        </w:rPr>
      </w:pPr>
      <w:r w:rsidRPr="00AC1CD6">
        <w:rPr>
          <w:rFonts w:cs="Calibri"/>
          <w:sz w:val="24"/>
          <w:szCs w:val="24"/>
          <w:lang w:val="en-GB"/>
        </w:rPr>
        <w:t xml:space="preserve">The </w:t>
      </w:r>
      <w:proofErr w:type="spellStart"/>
      <w:r w:rsidRPr="00AC1CD6">
        <w:rPr>
          <w:rFonts w:cs="Calibri"/>
          <w:sz w:val="24"/>
          <w:szCs w:val="24"/>
          <w:lang w:val="en-GB"/>
        </w:rPr>
        <w:t>multistakeholder</w:t>
      </w:r>
      <w:proofErr w:type="spellEnd"/>
      <w:r w:rsidRPr="00AC1CD6">
        <w:rPr>
          <w:rFonts w:cs="Calibri"/>
          <w:sz w:val="24"/>
          <w:szCs w:val="24"/>
          <w:lang w:val="en-GB"/>
        </w:rPr>
        <w:t xml:space="preserve"> model of the governance of the Internet;</w:t>
      </w:r>
    </w:p>
    <w:p w:rsidR="007D1F2C" w:rsidRDefault="00AC1CD6" w:rsidP="0040201F">
      <w:pPr>
        <w:pStyle w:val="ListParagraph"/>
        <w:numPr>
          <w:ilvl w:val="0"/>
          <w:numId w:val="11"/>
        </w:numPr>
        <w:spacing w:after="0" w:line="240" w:lineRule="auto"/>
        <w:ind w:left="993" w:hanging="567"/>
        <w:jc w:val="both"/>
        <w:rPr>
          <w:rFonts w:cs="Calibri"/>
          <w:sz w:val="24"/>
          <w:szCs w:val="24"/>
          <w:lang w:val="en-GB"/>
        </w:rPr>
      </w:pPr>
      <w:r w:rsidRPr="00AC1CD6">
        <w:rPr>
          <w:rFonts w:cs="Calibri"/>
          <w:sz w:val="24"/>
          <w:szCs w:val="24"/>
          <w:lang w:val="en-GB"/>
        </w:rPr>
        <w:t xml:space="preserve">Global Principles for the governance and use of the Internet; </w:t>
      </w:r>
    </w:p>
    <w:p w:rsidR="007D1F2C" w:rsidRDefault="00AC1CD6" w:rsidP="0040201F">
      <w:pPr>
        <w:pStyle w:val="ListParagraph"/>
        <w:numPr>
          <w:ilvl w:val="0"/>
          <w:numId w:val="11"/>
        </w:numPr>
        <w:spacing w:after="0" w:line="240" w:lineRule="auto"/>
        <w:ind w:left="993" w:hanging="567"/>
        <w:jc w:val="both"/>
        <w:rPr>
          <w:rFonts w:cs="Calibri"/>
          <w:sz w:val="24"/>
          <w:szCs w:val="24"/>
          <w:lang w:val="en-GB"/>
        </w:rPr>
      </w:pPr>
      <w:r w:rsidRPr="00AC1CD6">
        <w:rPr>
          <w:rFonts w:cs="Calibri"/>
          <w:sz w:val="24"/>
          <w:szCs w:val="24"/>
          <w:lang w:val="en-GB"/>
        </w:rPr>
        <w:t>Development and diffusion of ICTs and strategies for developing Internet connectivity globally;</w:t>
      </w:r>
    </w:p>
    <w:p w:rsidR="007D1F2C" w:rsidRDefault="00AC1CD6" w:rsidP="0040201F">
      <w:pPr>
        <w:pStyle w:val="ListParagraph"/>
        <w:numPr>
          <w:ilvl w:val="0"/>
          <w:numId w:val="11"/>
        </w:numPr>
        <w:autoSpaceDE w:val="0"/>
        <w:autoSpaceDN w:val="0"/>
        <w:adjustRightInd w:val="0"/>
        <w:spacing w:after="0" w:line="240" w:lineRule="auto"/>
        <w:ind w:left="993" w:hanging="567"/>
        <w:jc w:val="both"/>
        <w:rPr>
          <w:rFonts w:cs="Whitney-Book"/>
          <w:sz w:val="24"/>
          <w:szCs w:val="24"/>
        </w:rPr>
      </w:pPr>
      <w:r w:rsidRPr="00AC1CD6">
        <w:rPr>
          <w:rFonts w:cs="Calibri"/>
          <w:sz w:val="24"/>
          <w:szCs w:val="24"/>
          <w:lang w:val="en-GB"/>
        </w:rPr>
        <w:t xml:space="preserve">How to develop an enabling environment for encouraging growth, interoperability and development of the Internet; </w:t>
      </w:r>
    </w:p>
    <w:p w:rsidR="007D1F2C" w:rsidRDefault="00AC1CD6" w:rsidP="0040201F">
      <w:pPr>
        <w:pStyle w:val="ListParagraph"/>
        <w:numPr>
          <w:ilvl w:val="0"/>
          <w:numId w:val="11"/>
        </w:numPr>
        <w:autoSpaceDE w:val="0"/>
        <w:autoSpaceDN w:val="0"/>
        <w:adjustRightInd w:val="0"/>
        <w:spacing w:after="0" w:line="240" w:lineRule="auto"/>
        <w:ind w:left="993" w:hanging="567"/>
        <w:jc w:val="both"/>
        <w:rPr>
          <w:rFonts w:cs="Whitney-Book"/>
          <w:sz w:val="24"/>
          <w:szCs w:val="24"/>
        </w:rPr>
      </w:pPr>
      <w:r w:rsidRPr="00AC1CD6">
        <w:rPr>
          <w:rFonts w:cs="Whitney-Book"/>
          <w:sz w:val="24"/>
          <w:szCs w:val="24"/>
        </w:rPr>
        <w:t>How the Internet can contribute to developing an enabling environment for encouraging growth</w:t>
      </w:r>
      <w:r>
        <w:rPr>
          <w:rStyle w:val="FootnoteReference"/>
          <w:rFonts w:cs="Calibri"/>
          <w:sz w:val="24"/>
          <w:szCs w:val="24"/>
          <w:lang w:val="en-GB"/>
        </w:rPr>
        <w:footnoteReference w:id="11"/>
      </w:r>
      <w:r w:rsidRPr="00AC1CD6">
        <w:rPr>
          <w:rFonts w:cs="Calibri"/>
          <w:sz w:val="24"/>
          <w:szCs w:val="24"/>
          <w:lang w:val="en-GB"/>
        </w:rPr>
        <w:t>;</w:t>
      </w:r>
    </w:p>
    <w:p w:rsidR="007D1F2C" w:rsidRDefault="00AC1CD6" w:rsidP="0040201F">
      <w:pPr>
        <w:pStyle w:val="ListParagraph"/>
        <w:numPr>
          <w:ilvl w:val="0"/>
          <w:numId w:val="11"/>
        </w:numPr>
        <w:autoSpaceDE w:val="0"/>
        <w:autoSpaceDN w:val="0"/>
        <w:adjustRightInd w:val="0"/>
        <w:spacing w:after="0" w:line="240" w:lineRule="auto"/>
        <w:ind w:left="993" w:hanging="567"/>
        <w:jc w:val="both"/>
        <w:rPr>
          <w:rFonts w:cs="Calibri"/>
          <w:sz w:val="24"/>
          <w:szCs w:val="24"/>
          <w:lang w:val="en-GB"/>
        </w:rPr>
      </w:pPr>
      <w:r w:rsidRPr="00AC1CD6">
        <w:rPr>
          <w:rFonts w:cs="Calibri"/>
          <w:sz w:val="24"/>
          <w:szCs w:val="24"/>
          <w:lang w:val="en-GB"/>
        </w:rPr>
        <w:t>Strategies for increasing affordable global connectivity: the critical role of IXPs</w:t>
      </w:r>
      <w:r>
        <w:rPr>
          <w:rStyle w:val="FootnoteReference"/>
          <w:rFonts w:cs="Calibri"/>
          <w:sz w:val="24"/>
          <w:szCs w:val="24"/>
          <w:lang w:val="en-GB"/>
        </w:rPr>
        <w:footnoteReference w:id="12"/>
      </w:r>
      <w:r w:rsidRPr="00AC1CD6">
        <w:rPr>
          <w:rFonts w:cs="Calibri"/>
          <w:sz w:val="24"/>
          <w:szCs w:val="24"/>
          <w:lang w:val="en-GB"/>
        </w:rPr>
        <w:t xml:space="preserve">; </w:t>
      </w:r>
    </w:p>
    <w:p w:rsidR="007D1F2C" w:rsidRDefault="00AC1CD6" w:rsidP="0040201F">
      <w:pPr>
        <w:pStyle w:val="ListParagraph"/>
        <w:numPr>
          <w:ilvl w:val="0"/>
          <w:numId w:val="11"/>
        </w:numPr>
        <w:autoSpaceDE w:val="0"/>
        <w:autoSpaceDN w:val="0"/>
        <w:adjustRightInd w:val="0"/>
        <w:spacing w:after="0" w:line="240" w:lineRule="auto"/>
        <w:ind w:left="993" w:hanging="567"/>
        <w:jc w:val="both"/>
        <w:rPr>
          <w:rFonts w:cs="Calibri"/>
          <w:sz w:val="24"/>
          <w:szCs w:val="24"/>
          <w:lang w:val="en-GB"/>
        </w:rPr>
      </w:pPr>
      <w:r w:rsidRPr="00AC1CD6">
        <w:rPr>
          <w:rFonts w:cs="Calibri"/>
          <w:sz w:val="24"/>
          <w:szCs w:val="24"/>
          <w:lang w:val="en-GB"/>
        </w:rPr>
        <w:t xml:space="preserve">On the basis of reciprocity, to explore ways and means for greater collaboration and coordination between ITU and relevant </w:t>
      </w:r>
      <w:r w:rsidRPr="00D04F38">
        <w:rPr>
          <w:rFonts w:cs="Calibri"/>
          <w:sz w:val="24"/>
          <w:szCs w:val="24"/>
          <w:lang w:val="en-GB"/>
        </w:rPr>
        <w:t>organizat</w:t>
      </w:r>
      <w:r w:rsidRPr="00F91831">
        <w:rPr>
          <w:rFonts w:cs="Calibri"/>
          <w:sz w:val="24"/>
          <w:szCs w:val="24"/>
          <w:lang w:val="en-GB"/>
        </w:rPr>
        <w:t>ions - including, but not limited to, the Internet Corporation for Assigned Names and Numbers (ICANN), the Regional Internet Registries (RIRs), the Internet Engineering Task Force (IETF), the Internet Society (ISOC) and the World Wide Web Consortium (W3C) - involved</w:t>
      </w:r>
      <w:r w:rsidRPr="00AC1CD6">
        <w:rPr>
          <w:rFonts w:cs="Calibri"/>
          <w:sz w:val="24"/>
          <w:szCs w:val="24"/>
          <w:lang w:val="en-GB"/>
        </w:rPr>
        <w:t xml:space="preserve"> in the development of IP-based networks and the future internet, through cooperation agreements, as appropriate, in order to increase the role of ITU in Internet governance so as to ensure maximum benefits to the global community.</w:t>
      </w:r>
    </w:p>
    <w:p w:rsidR="007D1F2C" w:rsidRDefault="007D1F2C" w:rsidP="0040201F">
      <w:pPr>
        <w:pStyle w:val="ListParagraph"/>
        <w:autoSpaceDE w:val="0"/>
        <w:autoSpaceDN w:val="0"/>
        <w:adjustRightInd w:val="0"/>
        <w:spacing w:after="0" w:line="240" w:lineRule="auto"/>
        <w:ind w:left="1134"/>
        <w:jc w:val="both"/>
        <w:rPr>
          <w:rFonts w:cs="Calibri"/>
          <w:sz w:val="24"/>
          <w:szCs w:val="24"/>
          <w:lang w:val="en-GB"/>
        </w:rPr>
      </w:pPr>
    </w:p>
    <w:p w:rsidR="007D1F2C" w:rsidRDefault="00AC1CD6" w:rsidP="0040201F">
      <w:pPr>
        <w:spacing w:after="0" w:line="240" w:lineRule="auto"/>
        <w:jc w:val="both"/>
        <w:rPr>
          <w:b/>
          <w:bCs/>
          <w:sz w:val="24"/>
          <w:szCs w:val="24"/>
        </w:rPr>
      </w:pPr>
      <w:r w:rsidRPr="00AC1CD6">
        <w:rPr>
          <w:rFonts w:eastAsia="Times New Roman" w:cs="Times New Roman"/>
          <w:b/>
          <w:bCs/>
          <w:color w:val="000000"/>
          <w:spacing w:val="15"/>
          <w:sz w:val="24"/>
          <w:szCs w:val="24"/>
        </w:rPr>
        <w:t xml:space="preserve">2.3 </w:t>
      </w:r>
      <w:r w:rsidRPr="00AC1CD6">
        <w:rPr>
          <w:rFonts w:eastAsia="Times New Roman" w:cs="Times New Roman"/>
          <w:b/>
          <w:bCs/>
          <w:color w:val="000000"/>
          <w:spacing w:val="15"/>
          <w:sz w:val="24"/>
          <w:szCs w:val="24"/>
        </w:rPr>
        <w:tab/>
      </w:r>
      <w:r w:rsidRPr="00AC1CD6">
        <w:rPr>
          <w:rFonts w:cstheme="majorBidi"/>
          <w:sz w:val="24"/>
          <w:szCs w:val="24"/>
        </w:rPr>
        <w:t xml:space="preserve">For the purposes of this </w:t>
      </w:r>
      <w:r w:rsidR="004850A8">
        <w:rPr>
          <w:rFonts w:cstheme="majorBidi"/>
          <w:sz w:val="24"/>
          <w:szCs w:val="24"/>
        </w:rPr>
        <w:t>R</w:t>
      </w:r>
      <w:r w:rsidR="004850A8" w:rsidRPr="00AC1CD6">
        <w:rPr>
          <w:rFonts w:cstheme="majorBidi"/>
          <w:sz w:val="24"/>
          <w:szCs w:val="24"/>
        </w:rPr>
        <w:t>eport</w:t>
      </w:r>
      <w:r w:rsidRPr="00AC1CD6">
        <w:rPr>
          <w:rFonts w:cstheme="majorBidi"/>
          <w:sz w:val="24"/>
          <w:szCs w:val="24"/>
        </w:rPr>
        <w:t xml:space="preserve">, issues raised in </w:t>
      </w:r>
      <w:r w:rsidR="00735432">
        <w:rPr>
          <w:rFonts w:cstheme="majorBidi"/>
          <w:sz w:val="24"/>
          <w:szCs w:val="24"/>
        </w:rPr>
        <w:t xml:space="preserve">ITU </w:t>
      </w:r>
      <w:r w:rsidRPr="00AC1CD6">
        <w:rPr>
          <w:rFonts w:cstheme="majorBidi"/>
          <w:sz w:val="24"/>
          <w:szCs w:val="24"/>
        </w:rPr>
        <w:t xml:space="preserve">Plenipotentiary Resolutions 101, 102 and 133 (bearing in mind item 1.1.5) are listed in the sections below.  </w:t>
      </w:r>
    </w:p>
    <w:p w:rsidR="007D1F2C" w:rsidRDefault="007D1F2C" w:rsidP="0040201F">
      <w:pPr>
        <w:spacing w:after="0" w:line="240" w:lineRule="auto"/>
        <w:jc w:val="both"/>
        <w:rPr>
          <w:b/>
          <w:bCs/>
          <w:sz w:val="24"/>
          <w:szCs w:val="24"/>
        </w:rPr>
      </w:pPr>
    </w:p>
    <w:p w:rsidR="007D1F2C" w:rsidRDefault="00AC1CD6" w:rsidP="0040201F">
      <w:pPr>
        <w:keepNext/>
        <w:spacing w:after="0" w:line="240" w:lineRule="auto"/>
        <w:jc w:val="both"/>
        <w:rPr>
          <w:b/>
          <w:bCs/>
          <w:sz w:val="24"/>
          <w:szCs w:val="24"/>
        </w:rPr>
      </w:pPr>
      <w:r w:rsidRPr="00AC1CD6">
        <w:rPr>
          <w:b/>
          <w:bCs/>
          <w:sz w:val="24"/>
          <w:szCs w:val="24"/>
        </w:rPr>
        <w:t>2.3.1</w:t>
      </w:r>
      <w:r w:rsidRPr="00AC1CD6">
        <w:rPr>
          <w:b/>
          <w:bCs/>
          <w:sz w:val="24"/>
          <w:szCs w:val="24"/>
        </w:rPr>
        <w:tab/>
        <w:t>Development &amp; Diffusion of ICTs Globally</w:t>
      </w:r>
    </w:p>
    <w:p w:rsidR="007D1F2C" w:rsidRDefault="007D1F2C" w:rsidP="0040201F">
      <w:pPr>
        <w:keepNext/>
        <w:spacing w:after="0" w:line="240" w:lineRule="auto"/>
        <w:jc w:val="both"/>
        <w:rPr>
          <w:b/>
          <w:bCs/>
          <w:sz w:val="24"/>
          <w:szCs w:val="24"/>
        </w:rPr>
      </w:pPr>
    </w:p>
    <w:p w:rsidR="007D1F2C" w:rsidRPr="00262200" w:rsidRDefault="00AC1CD6" w:rsidP="0040201F">
      <w:pPr>
        <w:pStyle w:val="ListParagraph"/>
        <w:keepNext/>
        <w:numPr>
          <w:ilvl w:val="0"/>
          <w:numId w:val="6"/>
        </w:numPr>
        <w:spacing w:after="0" w:line="240" w:lineRule="auto"/>
        <w:jc w:val="both"/>
        <w:rPr>
          <w:sz w:val="24"/>
          <w:szCs w:val="24"/>
        </w:rPr>
      </w:pPr>
      <w:r w:rsidRPr="00AC1CD6">
        <w:rPr>
          <w:sz w:val="24"/>
          <w:szCs w:val="24"/>
        </w:rPr>
        <w:t>The Internet traces its origins</w:t>
      </w:r>
      <w:r w:rsidR="00F41C41" w:rsidRPr="005D33A9">
        <w:rPr>
          <w:rStyle w:val="FootnoteReference"/>
          <w:sz w:val="24"/>
          <w:szCs w:val="24"/>
        </w:rPr>
        <w:footnoteReference w:id="13"/>
      </w:r>
      <w:r w:rsidR="00F41C41" w:rsidRPr="005D33A9">
        <w:rPr>
          <w:sz w:val="24"/>
          <w:szCs w:val="24"/>
        </w:rPr>
        <w:t xml:space="preserve"> to concepts developed in the United States of</w:t>
      </w:r>
      <w:r w:rsidRPr="00AC1CD6">
        <w:rPr>
          <w:sz w:val="24"/>
          <w:szCs w:val="24"/>
        </w:rPr>
        <w:t xml:space="preserve"> America more than 40 years ago, which made significant investments – financial, intellectual and human – </w:t>
      </w:r>
      <w:r w:rsidRPr="00AC1CD6">
        <w:rPr>
          <w:sz w:val="24"/>
          <w:szCs w:val="24"/>
        </w:rPr>
        <w:lastRenderedPageBreak/>
        <w:t xml:space="preserve">in the development </w:t>
      </w:r>
      <w:r w:rsidRPr="00D04F38">
        <w:rPr>
          <w:sz w:val="24"/>
          <w:szCs w:val="24"/>
        </w:rPr>
        <w:t>of early and later iterations of the Internet. Various technologies underpin the Inte</w:t>
      </w:r>
      <w:r w:rsidRPr="00F91831">
        <w:rPr>
          <w:sz w:val="24"/>
          <w:szCs w:val="24"/>
        </w:rPr>
        <w:t xml:space="preserve">rnet (such as computing, digital communications and semiconductors). For example, in 1973, </w:t>
      </w:r>
      <w:r w:rsidR="00840370" w:rsidRPr="00F91831">
        <w:rPr>
          <w:sz w:val="24"/>
          <w:szCs w:val="24"/>
        </w:rPr>
        <w:t>Transmission Control Protocol/Internet Protocol (</w:t>
      </w:r>
      <w:r w:rsidRPr="00D04F38">
        <w:rPr>
          <w:sz w:val="24"/>
          <w:szCs w:val="24"/>
        </w:rPr>
        <w:t>TCP</w:t>
      </w:r>
      <w:r w:rsidRPr="00F91831">
        <w:rPr>
          <w:sz w:val="24"/>
          <w:szCs w:val="24"/>
        </w:rPr>
        <w:t>/IP</w:t>
      </w:r>
      <w:r w:rsidR="00840370" w:rsidRPr="00F91831">
        <w:rPr>
          <w:sz w:val="24"/>
          <w:szCs w:val="24"/>
        </w:rPr>
        <w:t>)</w:t>
      </w:r>
      <w:r w:rsidRPr="00F91831">
        <w:rPr>
          <w:sz w:val="24"/>
          <w:szCs w:val="24"/>
        </w:rPr>
        <w:t xml:space="preserve"> was first proposed and experimentally deployed a few years later to link packet-based networks. Thus was born the set of interconnected networks, computers and applications known as the Internet. In 1983, the Domain Name System (DNS) was introduced to allow the use of semantic names</w:t>
      </w:r>
      <w:r w:rsidRPr="00AC1CD6">
        <w:rPr>
          <w:sz w:val="24"/>
          <w:szCs w:val="24"/>
        </w:rPr>
        <w:t xml:space="preserve"> for host computers, which could be resolved to IP addresses, thus simplifying use of the Internet</w:t>
      </w:r>
      <w:r>
        <w:rPr>
          <w:rStyle w:val="FootnoteReference"/>
          <w:sz w:val="24"/>
          <w:szCs w:val="24"/>
        </w:rPr>
        <w:footnoteReference w:id="14"/>
      </w:r>
      <w:r w:rsidRPr="00AC1CD6">
        <w:rPr>
          <w:sz w:val="24"/>
          <w:szCs w:val="24"/>
        </w:rPr>
        <w:t>.</w:t>
      </w:r>
    </w:p>
    <w:p w:rsidR="007D1F2C" w:rsidRPr="00262200" w:rsidRDefault="007D1F2C" w:rsidP="0040201F">
      <w:pPr>
        <w:pStyle w:val="ListParagraph"/>
        <w:spacing w:after="0" w:line="240" w:lineRule="auto"/>
        <w:ind w:left="425"/>
        <w:jc w:val="both"/>
        <w:rPr>
          <w:sz w:val="24"/>
          <w:szCs w:val="24"/>
        </w:rPr>
      </w:pPr>
    </w:p>
    <w:p w:rsidR="007D1F2C" w:rsidRDefault="00AC1CD6" w:rsidP="0040201F">
      <w:pPr>
        <w:pStyle w:val="ListParagraph"/>
        <w:numPr>
          <w:ilvl w:val="0"/>
          <w:numId w:val="12"/>
        </w:numPr>
        <w:spacing w:after="0" w:line="240" w:lineRule="auto"/>
        <w:ind w:left="425" w:hanging="425"/>
        <w:jc w:val="both"/>
        <w:rPr>
          <w:sz w:val="24"/>
          <w:szCs w:val="24"/>
        </w:rPr>
      </w:pPr>
      <w:r w:rsidRPr="00AC1CD6">
        <w:rPr>
          <w:sz w:val="24"/>
          <w:szCs w:val="24"/>
          <w:lang w:val="en-GB"/>
        </w:rPr>
        <w:t xml:space="preserve">The Internet has evolved far beyond its initial experimental setting. </w:t>
      </w:r>
      <w:r w:rsidRPr="00AC1CD6">
        <w:rPr>
          <w:sz w:val="24"/>
          <w:szCs w:val="24"/>
        </w:rPr>
        <w:t xml:space="preserve">Today’s information and communication infrastructure encompasses a host of public and private IP-based and other networks with potentially global reach. </w:t>
      </w:r>
      <w:r w:rsidRPr="00AC1CD6">
        <w:rPr>
          <w:rFonts w:cs="Times New Roman"/>
          <w:sz w:val="24"/>
          <w:szCs w:val="24"/>
        </w:rPr>
        <w:t>It is estimated that more than 50,000 networks interconnect in the Internet</w:t>
      </w:r>
      <w:r>
        <w:rPr>
          <w:rStyle w:val="FootnoteReference"/>
          <w:rFonts w:cs="Times New Roman"/>
          <w:sz w:val="24"/>
          <w:szCs w:val="24"/>
        </w:rPr>
        <w:footnoteReference w:id="15"/>
      </w:r>
      <w:r w:rsidRPr="00AC1CD6">
        <w:rPr>
          <w:rFonts w:cs="Times New Roman"/>
          <w:sz w:val="24"/>
          <w:szCs w:val="24"/>
        </w:rPr>
        <w:t>.</w:t>
      </w:r>
    </w:p>
    <w:p w:rsidR="007D1F2C" w:rsidRDefault="007D1F2C" w:rsidP="0040201F">
      <w:pPr>
        <w:pStyle w:val="ListParagraph"/>
        <w:spacing w:after="0" w:line="240" w:lineRule="auto"/>
        <w:ind w:left="425"/>
        <w:jc w:val="both"/>
        <w:rPr>
          <w:sz w:val="24"/>
          <w:szCs w:val="24"/>
        </w:rPr>
      </w:pPr>
    </w:p>
    <w:p w:rsidR="007D1F2C" w:rsidRDefault="00AC1CD6" w:rsidP="0040201F">
      <w:pPr>
        <w:pStyle w:val="ListParagraph"/>
        <w:numPr>
          <w:ilvl w:val="0"/>
          <w:numId w:val="12"/>
        </w:numPr>
        <w:spacing w:after="0" w:line="240" w:lineRule="auto"/>
        <w:ind w:left="425" w:hanging="425"/>
        <w:jc w:val="both"/>
        <w:rPr>
          <w:sz w:val="24"/>
          <w:szCs w:val="24"/>
        </w:rPr>
      </w:pPr>
      <w:r w:rsidRPr="00AC1CD6">
        <w:rPr>
          <w:sz w:val="24"/>
          <w:szCs w:val="24"/>
        </w:rPr>
        <w:t xml:space="preserve">The significance of the Internet can be measured by a number of quantitative and qualitative metrics. </w:t>
      </w:r>
      <w:r w:rsidRPr="00D04F38">
        <w:rPr>
          <w:sz w:val="24"/>
          <w:szCs w:val="24"/>
        </w:rPr>
        <w:t xml:space="preserve">Quantitative metrics measuring the size and growth of the Internet include, for example, its contribution </w:t>
      </w:r>
      <w:r w:rsidRPr="00F91831">
        <w:rPr>
          <w:sz w:val="24"/>
          <w:szCs w:val="24"/>
        </w:rPr>
        <w:t xml:space="preserve">to </w:t>
      </w:r>
      <w:r w:rsidR="00840370" w:rsidRPr="00F91831">
        <w:rPr>
          <w:sz w:val="24"/>
          <w:szCs w:val="24"/>
        </w:rPr>
        <w:t xml:space="preserve">the Gross Domestic Product </w:t>
      </w:r>
      <w:r w:rsidR="000304E8" w:rsidRPr="00F91831">
        <w:rPr>
          <w:sz w:val="24"/>
          <w:szCs w:val="24"/>
        </w:rPr>
        <w:t>(</w:t>
      </w:r>
      <w:r w:rsidRPr="00D04F38">
        <w:rPr>
          <w:sz w:val="24"/>
          <w:szCs w:val="24"/>
        </w:rPr>
        <w:t>GDP</w:t>
      </w:r>
      <w:r w:rsidR="000304E8" w:rsidRPr="00F91831">
        <w:rPr>
          <w:sz w:val="24"/>
          <w:szCs w:val="24"/>
        </w:rPr>
        <w:t>)</w:t>
      </w:r>
      <w:r w:rsidR="00F41C41" w:rsidRPr="00D04F38">
        <w:rPr>
          <w:rStyle w:val="FootnoteReference"/>
          <w:sz w:val="24"/>
          <w:szCs w:val="24"/>
        </w:rPr>
        <w:footnoteReference w:id="16"/>
      </w:r>
      <w:r w:rsidR="004316DD" w:rsidRPr="00D04F38">
        <w:rPr>
          <w:sz w:val="24"/>
          <w:szCs w:val="24"/>
          <w:vertAlign w:val="superscript"/>
        </w:rPr>
        <w:t>,</w:t>
      </w:r>
      <w:r w:rsidR="00F41C41" w:rsidRPr="00D04F38">
        <w:rPr>
          <w:rStyle w:val="FootnoteReference"/>
          <w:rFonts w:cs="Times New Roman"/>
          <w:sz w:val="24"/>
          <w:szCs w:val="24"/>
        </w:rPr>
        <w:footnoteReference w:id="17"/>
      </w:r>
      <w:r w:rsidRPr="00D04F38">
        <w:rPr>
          <w:sz w:val="24"/>
          <w:szCs w:val="24"/>
          <w:vertAlign w:val="superscript"/>
        </w:rPr>
        <w:t>,</w:t>
      </w:r>
      <w:r w:rsidR="00F41C41" w:rsidRPr="00F91831">
        <w:rPr>
          <w:sz w:val="24"/>
          <w:szCs w:val="24"/>
        </w:rPr>
        <w:t xml:space="preserve"> growth in infrastructure deployment</w:t>
      </w:r>
      <w:r w:rsidR="00F41C41" w:rsidRPr="00F91831">
        <w:rPr>
          <w:rStyle w:val="FootnoteReference"/>
          <w:sz w:val="24"/>
          <w:szCs w:val="24"/>
        </w:rPr>
        <w:footnoteReference w:id="18"/>
      </w:r>
      <w:r w:rsidRPr="00F91831">
        <w:rPr>
          <w:sz w:val="24"/>
          <w:szCs w:val="24"/>
        </w:rPr>
        <w:t xml:space="preserve"> (e.g., international Internet bandwidth, length of</w:t>
      </w:r>
      <w:r w:rsidRPr="00AC1CD6">
        <w:rPr>
          <w:sz w:val="24"/>
          <w:szCs w:val="24"/>
        </w:rPr>
        <w:t xml:space="preserve"> fiber deployed, the number of Internet servers), content (e.g., number of websites, volume of data traffic transmitted or stored</w:t>
      </w:r>
      <w:r>
        <w:rPr>
          <w:rStyle w:val="FootnoteReference"/>
          <w:sz w:val="24"/>
          <w:szCs w:val="24"/>
        </w:rPr>
        <w:footnoteReference w:id="19"/>
      </w:r>
      <w:r w:rsidRPr="00AC1CD6">
        <w:rPr>
          <w:sz w:val="24"/>
          <w:szCs w:val="24"/>
        </w:rPr>
        <w:t>) and Internet adoption (e.g., number of Internet subscriptions, number of fixed and wireless broadband subscriptions, number of Internet users</w:t>
      </w:r>
      <w:r>
        <w:rPr>
          <w:rStyle w:val="FootnoteReference"/>
          <w:sz w:val="24"/>
          <w:szCs w:val="24"/>
        </w:rPr>
        <w:footnoteReference w:id="20"/>
      </w:r>
      <w:r w:rsidRPr="00AC1CD6">
        <w:rPr>
          <w:sz w:val="24"/>
          <w:szCs w:val="24"/>
        </w:rPr>
        <w:t xml:space="preserve">) and diverse activities carried out via the Internet (e.g., integration of the Internet into existing business or citizen processes), </w:t>
      </w:r>
      <w:r w:rsidRPr="00AC1CD6">
        <w:rPr>
          <w:i/>
          <w:iCs/>
          <w:sz w:val="24"/>
          <w:szCs w:val="24"/>
        </w:rPr>
        <w:t>inter alia</w:t>
      </w:r>
      <w:r w:rsidRPr="00AC1CD6">
        <w:rPr>
          <w:sz w:val="24"/>
          <w:szCs w:val="24"/>
        </w:rPr>
        <w:t xml:space="preserve">. Qualitative metrics include measuring the impact of the Internet in transforming or inventing new business and citizen processes, for example. </w:t>
      </w:r>
      <w:r w:rsidRPr="00AC1CD6">
        <w:rPr>
          <w:rFonts w:cs="Times New Roman"/>
          <w:sz w:val="24"/>
          <w:szCs w:val="24"/>
        </w:rPr>
        <w:t xml:space="preserve"> Various studies suggest that the Internet is transforming the global economy, as well as local economies</w:t>
      </w:r>
      <w:r w:rsidR="007F259C" w:rsidRPr="005D33A9">
        <w:rPr>
          <w:rStyle w:val="FootnoteReference"/>
          <w:rFonts w:cs="Times New Roman"/>
          <w:sz w:val="24"/>
          <w:szCs w:val="24"/>
        </w:rPr>
        <w:footnoteReference w:id="21"/>
      </w:r>
      <w:r w:rsidR="00F41C41" w:rsidRPr="005D33A9">
        <w:rPr>
          <w:rFonts w:cs="Times New Roman"/>
          <w:sz w:val="24"/>
          <w:szCs w:val="24"/>
        </w:rPr>
        <w:t>. The Internet contributes to the global economy and creates opportunities for communities aro</w:t>
      </w:r>
      <w:r w:rsidRPr="00AC1CD6">
        <w:rPr>
          <w:rFonts w:cs="Times New Roman"/>
          <w:sz w:val="24"/>
          <w:szCs w:val="24"/>
        </w:rPr>
        <w:t>und the world.</w:t>
      </w:r>
    </w:p>
    <w:p w:rsidR="007D1F2C" w:rsidRDefault="007D1F2C" w:rsidP="0040201F">
      <w:pPr>
        <w:pStyle w:val="ListParagraph"/>
        <w:spacing w:after="0" w:line="240" w:lineRule="auto"/>
        <w:ind w:left="426" w:hanging="426"/>
        <w:jc w:val="both"/>
        <w:rPr>
          <w:sz w:val="24"/>
          <w:szCs w:val="24"/>
        </w:rPr>
      </w:pPr>
    </w:p>
    <w:p w:rsidR="007D1F2C" w:rsidRDefault="00AC1CD6" w:rsidP="0040201F">
      <w:pPr>
        <w:pStyle w:val="ListParagraph"/>
        <w:numPr>
          <w:ilvl w:val="0"/>
          <w:numId w:val="25"/>
        </w:numPr>
        <w:spacing w:after="0" w:line="240" w:lineRule="auto"/>
        <w:jc w:val="both"/>
        <w:rPr>
          <w:sz w:val="24"/>
          <w:szCs w:val="24"/>
        </w:rPr>
      </w:pPr>
      <w:r w:rsidRPr="00AC1CD6">
        <w:rPr>
          <w:sz w:val="24"/>
          <w:szCs w:val="24"/>
        </w:rPr>
        <w:t>The Internet has also become a vehicle for spam</w:t>
      </w:r>
      <w:r w:rsidR="00F41C41" w:rsidRPr="005D33A9">
        <w:rPr>
          <w:rStyle w:val="FootnoteReference"/>
          <w:sz w:val="24"/>
          <w:szCs w:val="24"/>
        </w:rPr>
        <w:footnoteReference w:id="22"/>
      </w:r>
      <w:r w:rsidR="00F41C41" w:rsidRPr="005D33A9">
        <w:rPr>
          <w:sz w:val="24"/>
          <w:szCs w:val="24"/>
        </w:rPr>
        <w:t xml:space="preserve">, </w:t>
      </w:r>
      <w:r w:rsidRPr="00AC1CD6">
        <w:rPr>
          <w:sz w:val="24"/>
          <w:szCs w:val="24"/>
        </w:rPr>
        <w:t>Child Abuse Imagery and other abuses of children</w:t>
      </w:r>
      <w:r>
        <w:rPr>
          <w:rStyle w:val="FootnoteReference"/>
          <w:sz w:val="24"/>
          <w:szCs w:val="24"/>
        </w:rPr>
        <w:footnoteReference w:id="23"/>
      </w:r>
      <w:r w:rsidRPr="00AC1CD6">
        <w:rPr>
          <w:sz w:val="24"/>
          <w:szCs w:val="24"/>
        </w:rPr>
        <w:t>, identity theft and cybercrime</w:t>
      </w:r>
      <w:r>
        <w:rPr>
          <w:rStyle w:val="FootnoteReference"/>
          <w:sz w:val="24"/>
          <w:szCs w:val="24"/>
        </w:rPr>
        <w:footnoteReference w:id="24"/>
      </w:r>
      <w:r w:rsidRPr="00AC1CD6">
        <w:rPr>
          <w:sz w:val="24"/>
          <w:szCs w:val="24"/>
        </w:rPr>
        <w:t>,</w:t>
      </w:r>
      <w:r w:rsidR="00BF34AE">
        <w:rPr>
          <w:sz w:val="24"/>
          <w:szCs w:val="24"/>
        </w:rPr>
        <w:t xml:space="preserve"> </w:t>
      </w:r>
      <w:proofErr w:type="spellStart"/>
      <w:r w:rsidRPr="00AC1CD6">
        <w:rPr>
          <w:sz w:val="24"/>
          <w:szCs w:val="24"/>
        </w:rPr>
        <w:t>cyberterrorism</w:t>
      </w:r>
      <w:proofErr w:type="spellEnd"/>
      <w:r w:rsidRPr="00AC1CD6">
        <w:rPr>
          <w:sz w:val="24"/>
          <w:szCs w:val="24"/>
        </w:rPr>
        <w:t xml:space="preserve">, as well as use of Internet </w:t>
      </w:r>
      <w:r w:rsidRPr="00AC1CD6">
        <w:rPr>
          <w:sz w:val="24"/>
          <w:szCs w:val="24"/>
        </w:rPr>
        <w:lastRenderedPageBreak/>
        <w:t>resources for purposes that are inconsistent with international peace, stability and security</w:t>
      </w:r>
      <w:r>
        <w:rPr>
          <w:rStyle w:val="FootnoteReference"/>
          <w:sz w:val="24"/>
          <w:szCs w:val="24"/>
        </w:rPr>
        <w:footnoteReference w:id="25"/>
      </w:r>
      <w:r w:rsidRPr="00AC1CD6">
        <w:rPr>
          <w:sz w:val="24"/>
          <w:szCs w:val="24"/>
        </w:rPr>
        <w:t>. Indeed, lack of security may limit even wider adoption of the Internet and its use for greater good; further, greater local language content is strongly associated with greater Internet use in many parts of the world</w:t>
      </w:r>
      <w:r>
        <w:rPr>
          <w:rStyle w:val="FootnoteReference"/>
          <w:sz w:val="24"/>
          <w:szCs w:val="24"/>
        </w:rPr>
        <w:footnoteReference w:id="26"/>
      </w:r>
      <w:r w:rsidRPr="00AC1CD6">
        <w:rPr>
          <w:sz w:val="24"/>
          <w:szCs w:val="24"/>
        </w:rPr>
        <w:t>, so the lack of local language content may inhibit demand</w:t>
      </w:r>
      <w:r>
        <w:rPr>
          <w:rStyle w:val="FootnoteReference"/>
          <w:sz w:val="24"/>
          <w:szCs w:val="24"/>
        </w:rPr>
        <w:footnoteReference w:id="27"/>
      </w:r>
      <w:r w:rsidRPr="00AC1CD6">
        <w:rPr>
          <w:sz w:val="24"/>
          <w:szCs w:val="24"/>
        </w:rPr>
        <w:t xml:space="preserve">. Considerable work has been done to mitigate </w:t>
      </w:r>
      <w:r w:rsidRPr="00F91831">
        <w:rPr>
          <w:sz w:val="24"/>
          <w:szCs w:val="24"/>
        </w:rPr>
        <w:t xml:space="preserve">these issues at ITU (e.g. various study groups within ITU, ITU-IMPACT) and  in many forums, including, for example: the Council of Europe; the </w:t>
      </w:r>
      <w:proofErr w:type="spellStart"/>
      <w:r w:rsidRPr="00F91831">
        <w:rPr>
          <w:sz w:val="24"/>
          <w:szCs w:val="24"/>
        </w:rPr>
        <w:t>Organisation</w:t>
      </w:r>
      <w:proofErr w:type="spellEnd"/>
      <w:r w:rsidRPr="00F91831">
        <w:rPr>
          <w:sz w:val="24"/>
          <w:szCs w:val="24"/>
        </w:rPr>
        <w:t xml:space="preserve"> for Economic Cooperation and Development (OECD); the Asia-Pacific Economic Cooperation Forum (APEC); the Forum for Incident Response and Security Teams (FIRST); the Messaging Anti-Abuse Working Group (MAAWG); the Anti-Phishing Working Group</w:t>
      </w:r>
      <w:r w:rsidR="000304E8" w:rsidRPr="00F91831">
        <w:rPr>
          <w:sz w:val="24"/>
          <w:szCs w:val="24"/>
        </w:rPr>
        <w:t xml:space="preserve"> (APWG)</w:t>
      </w:r>
      <w:r w:rsidRPr="00F91831">
        <w:rPr>
          <w:sz w:val="24"/>
          <w:szCs w:val="24"/>
        </w:rPr>
        <w:t xml:space="preserve">, </w:t>
      </w:r>
      <w:r w:rsidR="00795673" w:rsidRPr="00F91831">
        <w:rPr>
          <w:sz w:val="24"/>
          <w:szCs w:val="24"/>
        </w:rPr>
        <w:t xml:space="preserve">the Internet Engineering Task Force (IETF), the World Wide Web Consortium (W3C), the Organization for the Advancement of Structured Information Standards (OASIS), </w:t>
      </w:r>
      <w:r w:rsidRPr="00F91831">
        <w:rPr>
          <w:sz w:val="24"/>
          <w:szCs w:val="24"/>
        </w:rPr>
        <w:t>and the Government Group of Experts (GGE) in Commit</w:t>
      </w:r>
      <w:r w:rsidRPr="00AC1CD6">
        <w:rPr>
          <w:sz w:val="24"/>
          <w:szCs w:val="24"/>
        </w:rPr>
        <w:t xml:space="preserve">tee 1 of the UN General Assembly, </w:t>
      </w:r>
      <w:r w:rsidR="00933F60" w:rsidRPr="00933F60">
        <w:rPr>
          <w:sz w:val="24"/>
          <w:szCs w:val="24"/>
          <w:highlight w:val="yellow"/>
        </w:rPr>
        <w:t xml:space="preserve">assembled to study existing and </w:t>
      </w:r>
      <w:proofErr w:type="spellStart"/>
      <w:r w:rsidR="00933F60" w:rsidRPr="00933F60">
        <w:rPr>
          <w:sz w:val="24"/>
          <w:szCs w:val="24"/>
          <w:highlight w:val="yellow"/>
        </w:rPr>
        <w:t>potentional</w:t>
      </w:r>
      <w:proofErr w:type="spellEnd"/>
      <w:r w:rsidR="00933F60" w:rsidRPr="00933F60">
        <w:rPr>
          <w:sz w:val="24"/>
          <w:szCs w:val="24"/>
          <w:highlight w:val="yellow"/>
        </w:rPr>
        <w:t xml:space="preserve"> threats in the sphere of information security and possible cooperative measures to address them, including norms, rules or principles of responsible behavior of states and confidence building measures in information space</w:t>
      </w:r>
      <w:r w:rsidRPr="00AC1CD6">
        <w:rPr>
          <w:sz w:val="24"/>
          <w:szCs w:val="24"/>
        </w:rPr>
        <w:t xml:space="preserve">. There is a strong correlation between the development of local network infrastructure and the growth of local language content and other content in demand locally. As a result of investments made around the world, local content is growing in volume. Further, local content composition is changing. Today, content is no longer dominated by developed countries but is more representative of the diversity of the many cultures, languages, and communities that exist across the </w:t>
      </w:r>
      <w:proofErr w:type="gramStart"/>
      <w:r w:rsidRPr="00AC1CD6">
        <w:rPr>
          <w:sz w:val="24"/>
          <w:szCs w:val="24"/>
        </w:rPr>
        <w:t xml:space="preserve">globe </w:t>
      </w:r>
      <w:proofErr w:type="gramEnd"/>
      <w:r w:rsidR="00F41C41" w:rsidRPr="005D33A9">
        <w:rPr>
          <w:rStyle w:val="FootnoteReference"/>
          <w:sz w:val="24"/>
          <w:szCs w:val="24"/>
        </w:rPr>
        <w:footnoteReference w:id="28"/>
      </w:r>
      <w:r w:rsidR="004316DD" w:rsidRPr="005D33A9">
        <w:rPr>
          <w:sz w:val="24"/>
          <w:szCs w:val="24"/>
          <w:vertAlign w:val="superscript"/>
        </w:rPr>
        <w:t>,</w:t>
      </w:r>
      <w:r>
        <w:rPr>
          <w:rStyle w:val="FootnoteReference"/>
          <w:sz w:val="24"/>
          <w:szCs w:val="24"/>
        </w:rPr>
        <w:footnoteReference w:id="29"/>
      </w:r>
      <w:r w:rsidRPr="00AC1CD6">
        <w:rPr>
          <w:sz w:val="24"/>
          <w:szCs w:val="24"/>
        </w:rPr>
        <w:t xml:space="preserve">. </w:t>
      </w:r>
    </w:p>
    <w:p w:rsidR="007D1F2C" w:rsidRDefault="007D1F2C" w:rsidP="0040201F">
      <w:pPr>
        <w:pStyle w:val="ListParagraph"/>
        <w:spacing w:after="0" w:line="240" w:lineRule="auto"/>
        <w:ind w:left="426" w:hanging="426"/>
        <w:jc w:val="both"/>
        <w:rPr>
          <w:sz w:val="24"/>
          <w:szCs w:val="24"/>
        </w:rPr>
      </w:pPr>
    </w:p>
    <w:p w:rsidR="007D1F2C" w:rsidRDefault="00AC1CD6" w:rsidP="0040201F">
      <w:pPr>
        <w:pStyle w:val="ListParagraph"/>
        <w:numPr>
          <w:ilvl w:val="0"/>
          <w:numId w:val="24"/>
        </w:numPr>
        <w:tabs>
          <w:tab w:val="left" w:pos="2694"/>
        </w:tabs>
        <w:spacing w:after="0" w:line="240" w:lineRule="auto"/>
        <w:ind w:left="426" w:hanging="426"/>
        <w:jc w:val="both"/>
        <w:rPr>
          <w:sz w:val="24"/>
          <w:szCs w:val="24"/>
        </w:rPr>
      </w:pPr>
      <w:r w:rsidRPr="00AC1CD6">
        <w:rPr>
          <w:sz w:val="24"/>
          <w:szCs w:val="24"/>
        </w:rPr>
        <w:t>The Internet</w:t>
      </w:r>
      <w:r w:rsidRPr="00AC1CD6">
        <w:rPr>
          <w:sz w:val="24"/>
          <w:szCs w:val="24"/>
          <w:lang w:val="en-GB"/>
        </w:rPr>
        <w:t xml:space="preserve"> is available in nearly every country and supports applications and services that touch on virtually all aspects of society. </w:t>
      </w:r>
      <w:r w:rsidRPr="00AC1CD6">
        <w:rPr>
          <w:sz w:val="24"/>
          <w:szCs w:val="24"/>
        </w:rPr>
        <w:t xml:space="preserve">Information and communication infrastructure </w:t>
      </w:r>
      <w:r w:rsidRPr="00AC1CD6">
        <w:rPr>
          <w:sz w:val="24"/>
          <w:szCs w:val="24"/>
          <w:lang w:val="en-GB"/>
        </w:rPr>
        <w:t xml:space="preserve">has become </w:t>
      </w:r>
      <w:r w:rsidRPr="00AC1CD6">
        <w:rPr>
          <w:rFonts w:cs="Times New Roman"/>
          <w:sz w:val="24"/>
          <w:szCs w:val="24"/>
          <w:lang w:val="en-GB"/>
        </w:rPr>
        <w:t xml:space="preserve">a </w:t>
      </w:r>
      <w:r w:rsidRPr="00AC1CD6">
        <w:rPr>
          <w:sz w:val="24"/>
          <w:szCs w:val="24"/>
          <w:lang w:val="en-GB"/>
        </w:rPr>
        <w:t>critical resource for governments</w:t>
      </w:r>
      <w:r w:rsidR="002D6619">
        <w:rPr>
          <w:sz w:val="24"/>
          <w:szCs w:val="24"/>
          <w:lang w:val="en-GB"/>
        </w:rPr>
        <w:t>,</w:t>
      </w:r>
      <w:r w:rsidRPr="00AC1CD6">
        <w:rPr>
          <w:sz w:val="24"/>
          <w:szCs w:val="24"/>
          <w:lang w:val="en-GB"/>
        </w:rPr>
        <w:t xml:space="preserve"> a vital part of national infrastructure, and a key driver of socio-economic growth and development, among other drivers. </w:t>
      </w:r>
      <w:r w:rsidRPr="00AC1CD6">
        <w:rPr>
          <w:sz w:val="24"/>
          <w:szCs w:val="24"/>
        </w:rPr>
        <w:t>A 10% increase in broadband penetration has been estimated to yield a 1.21–1.38% increase in Gross Domestic Product (GDP) growth on average for high-income and low-/middle-income countries respectively (World Bank, 2009). Country case studies yield similar estimates for individual countries (e.g., for Panama, the Philippines and Turkey</w:t>
      </w:r>
      <w:r w:rsidR="00F41C41" w:rsidRPr="005D33A9">
        <w:rPr>
          <w:rStyle w:val="FootnoteReference"/>
          <w:sz w:val="24"/>
          <w:szCs w:val="24"/>
        </w:rPr>
        <w:footnoteReference w:id="30"/>
      </w:r>
      <w:r w:rsidR="00F41C41" w:rsidRPr="005D33A9">
        <w:rPr>
          <w:sz w:val="24"/>
          <w:szCs w:val="24"/>
        </w:rPr>
        <w:t>).</w:t>
      </w:r>
    </w:p>
    <w:p w:rsidR="007D1F2C" w:rsidRDefault="007D1F2C" w:rsidP="0040201F">
      <w:pPr>
        <w:pStyle w:val="ListParagraph"/>
        <w:tabs>
          <w:tab w:val="left" w:pos="2694"/>
        </w:tabs>
        <w:spacing w:after="0" w:line="240" w:lineRule="auto"/>
        <w:ind w:left="426" w:hanging="426"/>
        <w:jc w:val="both"/>
        <w:rPr>
          <w:sz w:val="24"/>
          <w:szCs w:val="24"/>
        </w:rPr>
      </w:pPr>
    </w:p>
    <w:p w:rsidR="0040201F" w:rsidRDefault="0040201F">
      <w:pPr>
        <w:rPr>
          <w:sz w:val="24"/>
          <w:szCs w:val="24"/>
        </w:rPr>
      </w:pPr>
      <w:r>
        <w:rPr>
          <w:sz w:val="24"/>
          <w:szCs w:val="24"/>
        </w:rPr>
        <w:br w:type="page"/>
      </w:r>
    </w:p>
    <w:p w:rsidR="007D1F2C" w:rsidRDefault="00AC1CD6" w:rsidP="0040201F">
      <w:pPr>
        <w:pStyle w:val="ListParagraph"/>
        <w:numPr>
          <w:ilvl w:val="0"/>
          <w:numId w:val="24"/>
        </w:numPr>
        <w:spacing w:after="0" w:line="240" w:lineRule="auto"/>
        <w:ind w:left="426" w:hanging="426"/>
        <w:jc w:val="both"/>
        <w:rPr>
          <w:sz w:val="24"/>
          <w:szCs w:val="24"/>
        </w:rPr>
      </w:pPr>
      <w:r w:rsidRPr="00AC1CD6">
        <w:rPr>
          <w:sz w:val="24"/>
          <w:szCs w:val="24"/>
        </w:rPr>
        <w:lastRenderedPageBreak/>
        <w:t>Total Internet users numbered some 2.4 billion worldwide by the end of 2012.  Total mobile broadband subscriptions amounted to 1.19 billion. Internet demographics are changing rapidly. English and Chinese are the languages most commonly used by Internet users</w:t>
      </w:r>
      <w:r w:rsidR="004316DD" w:rsidRPr="005D33A9">
        <w:rPr>
          <w:rStyle w:val="longtext"/>
          <w:rFonts w:cstheme="minorHAnsi"/>
          <w:color w:val="000000"/>
          <w:sz w:val="24"/>
          <w:szCs w:val="24"/>
        </w:rPr>
        <w:t xml:space="preserve"> (</w:t>
      </w:r>
      <w:r w:rsidR="004316DD" w:rsidRPr="005D33A9">
        <w:rPr>
          <w:sz w:val="24"/>
          <w:szCs w:val="24"/>
        </w:rPr>
        <w:t>Figure 1, right)</w:t>
      </w:r>
      <w:r>
        <w:rPr>
          <w:rStyle w:val="longtext"/>
          <w:rFonts w:cstheme="minorHAnsi"/>
          <w:color w:val="000000"/>
          <w:sz w:val="24"/>
          <w:szCs w:val="24"/>
        </w:rPr>
        <w:t>, with Spanish a distant third. If current growth ra</w:t>
      </w:r>
      <w:r>
        <w:rPr>
          <w:sz w:val="24"/>
          <w:szCs w:val="24"/>
        </w:rPr>
        <w:t>t</w:t>
      </w:r>
      <w:r>
        <w:rPr>
          <w:rStyle w:val="longtext"/>
          <w:rFonts w:cstheme="minorHAnsi"/>
          <w:color w:val="000000"/>
          <w:sz w:val="24"/>
          <w:szCs w:val="24"/>
        </w:rPr>
        <w:t>es continue, the number of</w:t>
      </w:r>
      <w:r>
        <w:rPr>
          <w:sz w:val="24"/>
          <w:szCs w:val="24"/>
        </w:rPr>
        <w:t xml:space="preserve"> Internet users accessing the Internet predominantly in Chinese will overtake the number of Internet users accessing the Internet predominantly in English by 2015</w:t>
      </w:r>
      <w:r>
        <w:rPr>
          <w:rStyle w:val="FootnoteReference"/>
          <w:rFonts w:cstheme="minorHAnsi"/>
          <w:color w:val="000000"/>
          <w:sz w:val="24"/>
          <w:szCs w:val="24"/>
        </w:rPr>
        <w:footnoteReference w:id="31"/>
      </w:r>
      <w:r w:rsidRPr="00AC1CD6">
        <w:rPr>
          <w:sz w:val="24"/>
          <w:szCs w:val="24"/>
        </w:rPr>
        <w:t xml:space="preserve">. </w:t>
      </w:r>
    </w:p>
    <w:p w:rsidR="007D1F2C" w:rsidRDefault="007D1F2C" w:rsidP="0040201F">
      <w:pPr>
        <w:pStyle w:val="ListParagraph"/>
        <w:spacing w:after="0" w:line="240" w:lineRule="auto"/>
        <w:ind w:left="426" w:hanging="426"/>
        <w:jc w:val="both"/>
        <w:rPr>
          <w:sz w:val="24"/>
          <w:szCs w:val="24"/>
        </w:rPr>
      </w:pPr>
    </w:p>
    <w:p w:rsidR="007D1F2C" w:rsidRDefault="00AC1CD6" w:rsidP="0040201F">
      <w:pPr>
        <w:pStyle w:val="ListParagraph"/>
        <w:numPr>
          <w:ilvl w:val="0"/>
          <w:numId w:val="23"/>
        </w:numPr>
        <w:spacing w:after="0" w:line="240" w:lineRule="auto"/>
        <w:ind w:left="426" w:hanging="426"/>
        <w:jc w:val="both"/>
        <w:rPr>
          <w:sz w:val="24"/>
          <w:szCs w:val="24"/>
        </w:rPr>
      </w:pPr>
      <w:r w:rsidRPr="00AC1CD6">
        <w:rPr>
          <w:sz w:val="24"/>
          <w:szCs w:val="24"/>
        </w:rPr>
        <w:t xml:space="preserve">The strong and sustained growth of </w:t>
      </w:r>
      <w:r w:rsidRPr="00AC1CD6">
        <w:rPr>
          <w:rFonts w:cs="Times New Roman"/>
          <w:sz w:val="24"/>
          <w:szCs w:val="24"/>
        </w:rPr>
        <w:t xml:space="preserve">the Internet can be credited to the work of several generations of engineers, entrepreneurs, innovators, and investors across many parts of the globe, </w:t>
      </w:r>
      <w:r w:rsidR="00F83CC4">
        <w:rPr>
          <w:rFonts w:cs="Times New Roman"/>
          <w:sz w:val="24"/>
          <w:szCs w:val="24"/>
        </w:rPr>
        <w:t>as well as to the</w:t>
      </w:r>
      <w:r w:rsidR="00F83CC4" w:rsidRPr="00AC1CD6">
        <w:rPr>
          <w:rFonts w:cs="Times New Roman"/>
          <w:sz w:val="24"/>
          <w:szCs w:val="24"/>
        </w:rPr>
        <w:t xml:space="preserve"> </w:t>
      </w:r>
      <w:r w:rsidRPr="00AC1CD6">
        <w:rPr>
          <w:rFonts w:cs="Times New Roman"/>
          <w:sz w:val="24"/>
          <w:szCs w:val="24"/>
        </w:rPr>
        <w:t>growth in the underlying communication networks facilitated by market reforms from the 1980s and 1990s, which helped to replace the regime of state-owned, monopoly carriers with liberalized and competitive markets and private sector participation</w:t>
      </w:r>
      <w:r>
        <w:rPr>
          <w:rStyle w:val="FootnoteReference"/>
          <w:sz w:val="24"/>
          <w:szCs w:val="24"/>
        </w:rPr>
        <w:footnoteReference w:id="32"/>
      </w:r>
      <w:r w:rsidR="0018187E" w:rsidRPr="00F91831">
        <w:rPr>
          <w:rFonts w:cs="Times New Roman"/>
          <w:sz w:val="24"/>
          <w:szCs w:val="24"/>
          <w:vertAlign w:val="superscript"/>
        </w:rPr>
        <w:t>,</w:t>
      </w:r>
      <w:r>
        <w:rPr>
          <w:rStyle w:val="FootnoteReference"/>
          <w:sz w:val="24"/>
          <w:szCs w:val="24"/>
        </w:rPr>
        <w:footnoteReference w:id="33"/>
      </w:r>
      <w:r w:rsidRPr="00AC1CD6">
        <w:rPr>
          <w:rFonts w:cs="Times New Roman"/>
          <w:sz w:val="24"/>
          <w:szCs w:val="24"/>
        </w:rPr>
        <w:t xml:space="preserve">. Such </w:t>
      </w:r>
      <w:r w:rsidRPr="00AC1CD6">
        <w:rPr>
          <w:sz w:val="24"/>
          <w:szCs w:val="24"/>
        </w:rPr>
        <w:t>reforms include market opening and competition</w:t>
      </w:r>
      <w:r>
        <w:rPr>
          <w:rStyle w:val="FootnoteReference"/>
          <w:sz w:val="24"/>
          <w:szCs w:val="24"/>
        </w:rPr>
        <w:footnoteReference w:id="34"/>
      </w:r>
      <w:r w:rsidRPr="00AC1CD6">
        <w:rPr>
          <w:sz w:val="24"/>
          <w:szCs w:val="24"/>
        </w:rPr>
        <w:t>, billing arrangements for the transfer of international telecommunication traffic, market liberalization, and private sector participation in telecom markets, including privatization</w:t>
      </w:r>
      <w:r>
        <w:rPr>
          <w:rStyle w:val="FootnoteReference"/>
          <w:sz w:val="24"/>
          <w:szCs w:val="24"/>
        </w:rPr>
        <w:footnoteReference w:id="35"/>
      </w:r>
      <w:r w:rsidRPr="00AC1CD6">
        <w:rPr>
          <w:sz w:val="24"/>
          <w:szCs w:val="24"/>
        </w:rPr>
        <w:t>. Worldwide, mobile markets have been subject to a greater degree of competition (compared to, for example, fixed line markets) and have enjoyed the highest and most sustained growth rates of any ICT sector</w:t>
      </w:r>
      <w:r>
        <w:rPr>
          <w:rStyle w:val="FootnoteReference"/>
          <w:sz w:val="24"/>
          <w:szCs w:val="24"/>
        </w:rPr>
        <w:footnoteReference w:id="36"/>
      </w:r>
      <w:r w:rsidRPr="00AC1CD6">
        <w:rPr>
          <w:sz w:val="24"/>
          <w:szCs w:val="24"/>
        </w:rPr>
        <w:t xml:space="preserve">. </w:t>
      </w:r>
    </w:p>
    <w:p w:rsidR="007D1F2C" w:rsidRDefault="007D1F2C" w:rsidP="0040201F">
      <w:pPr>
        <w:pStyle w:val="ListParagraph"/>
        <w:spacing w:after="0" w:line="240" w:lineRule="auto"/>
        <w:ind w:left="426" w:hanging="426"/>
        <w:jc w:val="both"/>
        <w:rPr>
          <w:sz w:val="24"/>
          <w:szCs w:val="24"/>
        </w:rPr>
      </w:pPr>
    </w:p>
    <w:p w:rsidR="007D1F2C" w:rsidRDefault="00AC1CD6" w:rsidP="0040201F">
      <w:pPr>
        <w:pStyle w:val="ListParagraph"/>
        <w:numPr>
          <w:ilvl w:val="0"/>
          <w:numId w:val="22"/>
        </w:numPr>
        <w:spacing w:after="0" w:line="240" w:lineRule="auto"/>
        <w:ind w:left="426" w:hanging="426"/>
        <w:jc w:val="both"/>
        <w:rPr>
          <w:sz w:val="24"/>
          <w:szCs w:val="24"/>
        </w:rPr>
      </w:pPr>
      <w:r w:rsidRPr="00AC1CD6">
        <w:rPr>
          <w:rFonts w:cs="Times New Roman"/>
          <w:bCs/>
          <w:sz w:val="24"/>
          <w:szCs w:val="24"/>
        </w:rPr>
        <w:t xml:space="preserve">Advances in </w:t>
      </w:r>
      <w:r w:rsidRPr="00AC1CD6">
        <w:rPr>
          <w:sz w:val="24"/>
          <w:szCs w:val="24"/>
        </w:rPr>
        <w:t xml:space="preserve">information and communication </w:t>
      </w:r>
      <w:r w:rsidRPr="00AC1CD6">
        <w:rPr>
          <w:rFonts w:cs="Times New Roman"/>
          <w:bCs/>
          <w:sz w:val="24"/>
          <w:szCs w:val="24"/>
        </w:rPr>
        <w:t xml:space="preserve">infrastructure have been made possible due in large part to investment by </w:t>
      </w:r>
      <w:r w:rsidR="002B1150" w:rsidRPr="00AC1CD6">
        <w:rPr>
          <w:rFonts w:cs="Times New Roman"/>
          <w:bCs/>
          <w:sz w:val="24"/>
          <w:szCs w:val="24"/>
        </w:rPr>
        <w:t>the private sector,</w:t>
      </w:r>
      <w:r w:rsidR="002B1150">
        <w:rPr>
          <w:rFonts w:cs="Times New Roman"/>
          <w:bCs/>
          <w:sz w:val="24"/>
          <w:szCs w:val="24"/>
        </w:rPr>
        <w:t xml:space="preserve"> g</w:t>
      </w:r>
      <w:r w:rsidRPr="00AC1CD6">
        <w:rPr>
          <w:rFonts w:cs="Times New Roman"/>
          <w:bCs/>
          <w:sz w:val="24"/>
          <w:szCs w:val="24"/>
        </w:rPr>
        <w:t>overnments, investors, and particularly by network operators, who build and maintain the communication infrastructure. Recent studies indicate that while Internet traffic is increasing, the usage-based cost per subscriber of the fixed network is fairly constant</w:t>
      </w:r>
      <w:r>
        <w:rPr>
          <w:rStyle w:val="FootnoteReference"/>
          <w:rFonts w:cs="Times New Roman"/>
          <w:sz w:val="24"/>
          <w:szCs w:val="24"/>
        </w:rPr>
        <w:footnoteReference w:id="37"/>
      </w:r>
      <w:proofErr w:type="gramStart"/>
      <w:r w:rsidRPr="00AC1CD6">
        <w:rPr>
          <w:vertAlign w:val="superscript"/>
        </w:rPr>
        <w:t>,</w:t>
      </w:r>
      <w:r w:rsidR="00F41C41" w:rsidRPr="005D33A9">
        <w:rPr>
          <w:rStyle w:val="FootnoteReference"/>
          <w:rFonts w:cs="Times New Roman"/>
          <w:sz w:val="24"/>
          <w:szCs w:val="24"/>
        </w:rPr>
        <w:footnoteReference w:id="38"/>
      </w:r>
      <w:r w:rsidRPr="00AC1CD6">
        <w:rPr>
          <w:rFonts w:cs="Times New Roman"/>
          <w:bCs/>
          <w:sz w:val="24"/>
          <w:szCs w:val="24"/>
        </w:rPr>
        <w:t>.</w:t>
      </w:r>
      <w:proofErr w:type="gramEnd"/>
      <w:r w:rsidRPr="00AC1CD6">
        <w:rPr>
          <w:rFonts w:cs="Times New Roman"/>
          <w:bCs/>
          <w:sz w:val="24"/>
          <w:szCs w:val="24"/>
        </w:rPr>
        <w:t xml:space="preserve"> </w:t>
      </w:r>
    </w:p>
    <w:p w:rsidR="007D1F2C" w:rsidRDefault="007D1F2C" w:rsidP="0040201F">
      <w:pPr>
        <w:pStyle w:val="ListParagraph"/>
        <w:spacing w:after="0" w:line="240" w:lineRule="auto"/>
        <w:ind w:left="426" w:hanging="426"/>
        <w:jc w:val="both"/>
        <w:rPr>
          <w:rFonts w:cs="Times New Roman"/>
          <w:bCs/>
          <w:sz w:val="24"/>
          <w:szCs w:val="24"/>
        </w:rPr>
      </w:pPr>
    </w:p>
    <w:p w:rsidR="007D1F2C" w:rsidRDefault="00AC1CD6" w:rsidP="0040201F">
      <w:pPr>
        <w:pStyle w:val="ListParagraph"/>
        <w:numPr>
          <w:ilvl w:val="0"/>
          <w:numId w:val="22"/>
        </w:numPr>
        <w:spacing w:after="0" w:line="240" w:lineRule="auto"/>
        <w:ind w:left="426" w:hanging="426"/>
        <w:jc w:val="both"/>
        <w:rPr>
          <w:sz w:val="24"/>
          <w:szCs w:val="24"/>
        </w:rPr>
      </w:pPr>
      <w:r w:rsidRPr="00AC1CD6">
        <w:rPr>
          <w:sz w:val="24"/>
          <w:szCs w:val="24"/>
        </w:rPr>
        <w:t xml:space="preserve">Para. 50 of the </w:t>
      </w:r>
      <w:r w:rsidRPr="00AC1CD6">
        <w:rPr>
          <w:i/>
          <w:iCs/>
          <w:sz w:val="24"/>
          <w:szCs w:val="24"/>
        </w:rPr>
        <w:t>Tunis Agenda</w:t>
      </w:r>
      <w:r w:rsidRPr="00AC1CD6">
        <w:rPr>
          <w:sz w:val="24"/>
          <w:szCs w:val="24"/>
        </w:rPr>
        <w:t xml:space="preserve"> recognizes the important role of local Internet Exchange Points (IXPs)</w:t>
      </w:r>
      <w:r w:rsidR="004E2586">
        <w:rPr>
          <w:rStyle w:val="FootnoteReference"/>
          <w:sz w:val="24"/>
          <w:szCs w:val="24"/>
        </w:rPr>
        <w:footnoteReference w:id="39"/>
      </w:r>
      <w:r w:rsidRPr="00AC1CD6">
        <w:rPr>
          <w:sz w:val="24"/>
          <w:szCs w:val="24"/>
        </w:rPr>
        <w:t>,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to be associated with the establishment and activities of the IXPs in these countries</w:t>
      </w:r>
      <w:r w:rsidR="00F41C41" w:rsidRPr="005D33A9">
        <w:rPr>
          <w:rStyle w:val="FootnoteReference"/>
          <w:sz w:val="24"/>
          <w:szCs w:val="24"/>
        </w:rPr>
        <w:footnoteReference w:id="40"/>
      </w:r>
      <w:r w:rsidR="00F41C41" w:rsidRPr="005D33A9">
        <w:rPr>
          <w:sz w:val="24"/>
          <w:szCs w:val="24"/>
        </w:rPr>
        <w:t>).</w:t>
      </w:r>
    </w:p>
    <w:p w:rsidR="007D1F2C" w:rsidRDefault="007D1F2C" w:rsidP="0040201F">
      <w:pPr>
        <w:spacing w:after="0" w:line="240" w:lineRule="auto"/>
        <w:ind w:left="426" w:hanging="426"/>
        <w:jc w:val="both"/>
        <w:rPr>
          <w:sz w:val="24"/>
          <w:szCs w:val="24"/>
        </w:rPr>
      </w:pPr>
    </w:p>
    <w:p w:rsidR="007D1F2C" w:rsidRDefault="00AC1CD6" w:rsidP="0040201F">
      <w:pPr>
        <w:pStyle w:val="ListParagraph"/>
        <w:numPr>
          <w:ilvl w:val="0"/>
          <w:numId w:val="22"/>
        </w:numPr>
        <w:spacing w:after="0" w:line="240" w:lineRule="auto"/>
        <w:ind w:left="426"/>
        <w:jc w:val="both"/>
        <w:rPr>
          <w:b/>
          <w:bCs/>
          <w:sz w:val="24"/>
          <w:szCs w:val="24"/>
          <w:lang w:val="en-GB"/>
        </w:rPr>
      </w:pPr>
      <w:r w:rsidRPr="00AC1CD6">
        <w:rPr>
          <w:sz w:val="24"/>
          <w:szCs w:val="24"/>
        </w:rPr>
        <w:lastRenderedPageBreak/>
        <w:t xml:space="preserve">The utility and value of the Internet increases with the number of Internet users. This enhanced value encourages the </w:t>
      </w:r>
      <w:r w:rsidRPr="00F91831">
        <w:rPr>
          <w:sz w:val="24"/>
          <w:szCs w:val="24"/>
        </w:rPr>
        <w:t xml:space="preserve">development of additional applications and services based on its architecture and the “end-to-end” principle e.g., the utilization of e-mail and text messaging, Voice over IP (VoIP), streaming and real time video, </w:t>
      </w:r>
      <w:r w:rsidR="00543C9C" w:rsidRPr="00F91831">
        <w:rPr>
          <w:sz w:val="24"/>
          <w:szCs w:val="24"/>
        </w:rPr>
        <w:t>Internet Protocol Television</w:t>
      </w:r>
      <w:r w:rsidRPr="00F91831">
        <w:rPr>
          <w:sz w:val="24"/>
          <w:szCs w:val="24"/>
        </w:rPr>
        <w:t xml:space="preserve"> (IPTV) over the Internet, social networking, search capabilities, e-books</w:t>
      </w:r>
      <w:r w:rsidRPr="00AC1CD6">
        <w:rPr>
          <w:sz w:val="24"/>
          <w:szCs w:val="24"/>
        </w:rPr>
        <w:t>, e-government, e-learning, e-health etc. By 2011, there were 135.4 million VoIP subscribers and 60 million IPTV subscribers worldwide</w:t>
      </w:r>
      <w:r w:rsidR="00F41C41" w:rsidRPr="005D33A9">
        <w:rPr>
          <w:rStyle w:val="FootnoteReference"/>
          <w:sz w:val="24"/>
          <w:szCs w:val="24"/>
        </w:rPr>
        <w:footnoteReference w:id="41"/>
      </w:r>
      <w:r w:rsidR="00F41C41" w:rsidRPr="005D33A9">
        <w:rPr>
          <w:sz w:val="24"/>
          <w:szCs w:val="24"/>
        </w:rPr>
        <w:t>.</w:t>
      </w:r>
    </w:p>
    <w:p w:rsidR="0040201F" w:rsidRDefault="0040201F" w:rsidP="0040201F">
      <w:pPr>
        <w:spacing w:line="240" w:lineRule="auto"/>
        <w:rPr>
          <w:b/>
          <w:bCs/>
          <w:sz w:val="24"/>
          <w:szCs w:val="24"/>
          <w:lang w:val="en-GB"/>
        </w:rPr>
      </w:pPr>
    </w:p>
    <w:p w:rsidR="007D1F2C" w:rsidRDefault="00AC1CD6" w:rsidP="0040201F">
      <w:pPr>
        <w:spacing w:line="240" w:lineRule="auto"/>
        <w:jc w:val="center"/>
        <w:rPr>
          <w:b/>
          <w:bCs/>
          <w:sz w:val="24"/>
          <w:szCs w:val="24"/>
          <w:lang w:val="en-GB"/>
        </w:rPr>
      </w:pPr>
      <w:r w:rsidRPr="00AC1CD6">
        <w:rPr>
          <w:b/>
          <w:bCs/>
          <w:sz w:val="24"/>
          <w:szCs w:val="24"/>
          <w:lang w:val="en-GB"/>
        </w:rPr>
        <w:t>Figure 1: Total Internet Users, by geographic region, and by language, 2011</w:t>
      </w:r>
      <w:r w:rsidR="00B97C5D">
        <w:rPr>
          <w:rStyle w:val="FootnoteReference"/>
          <w:b/>
          <w:bCs/>
          <w:sz w:val="24"/>
          <w:szCs w:val="24"/>
          <w:lang w:val="en-GB"/>
        </w:rPr>
        <w:footnoteReference w:id="42"/>
      </w:r>
    </w:p>
    <w:p w:rsidR="007D1F2C" w:rsidRDefault="00F55769" w:rsidP="0040201F">
      <w:pPr>
        <w:pStyle w:val="Default"/>
        <w:ind w:left="426"/>
        <w:jc w:val="both"/>
        <w:rPr>
          <w:rFonts w:asciiTheme="minorHAnsi" w:hAnsiTheme="minorHAnsi"/>
          <w:color w:val="auto"/>
          <w:lang w:val="en-GB" w:eastAsia="zh-CN"/>
        </w:rPr>
      </w:pPr>
      <w:r>
        <w:rPr>
          <w:rFonts w:asciiTheme="minorHAnsi" w:hAnsiTheme="minorHAnsi"/>
          <w:noProof/>
          <w:color w:val="auto"/>
          <w:lang w:eastAsia="zh-CN"/>
        </w:rPr>
        <w:drawing>
          <wp:inline distT="0" distB="0" distL="0" distR="0" wp14:anchorId="0DA9DAF0" wp14:editId="4840F10B">
            <wp:extent cx="2828171" cy="231457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36566" cy="2321445"/>
                    </a:xfrm>
                    <a:prstGeom prst="rect">
                      <a:avLst/>
                    </a:prstGeom>
                    <a:noFill/>
                    <a:ln w="9525">
                      <a:noFill/>
                      <a:miter lim="800000"/>
                      <a:headEnd/>
                      <a:tailEnd/>
                    </a:ln>
                  </pic:spPr>
                </pic:pic>
              </a:graphicData>
            </a:graphic>
          </wp:inline>
        </w:drawing>
      </w:r>
      <w:r w:rsidR="00AC1CD6" w:rsidRPr="00AC1CD6">
        <w:rPr>
          <w:rFonts w:asciiTheme="minorHAnsi" w:hAnsiTheme="minorHAnsi"/>
          <w:color w:val="auto"/>
          <w:lang w:val="en-GB" w:eastAsia="zh-CN"/>
        </w:rPr>
        <w:t xml:space="preserve"> </w:t>
      </w:r>
      <w:r>
        <w:rPr>
          <w:rFonts w:asciiTheme="minorHAnsi" w:hAnsiTheme="minorHAnsi"/>
          <w:noProof/>
          <w:color w:val="auto"/>
          <w:lang w:eastAsia="zh-CN"/>
        </w:rPr>
        <w:drawing>
          <wp:inline distT="0" distB="0" distL="0" distR="0" wp14:anchorId="7E6C1440" wp14:editId="1351D29D">
            <wp:extent cx="2714625" cy="2266950"/>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22780" cy="2273760"/>
                    </a:xfrm>
                    <a:prstGeom prst="rect">
                      <a:avLst/>
                    </a:prstGeom>
                    <a:noFill/>
                    <a:ln w="9525">
                      <a:noFill/>
                      <a:miter lim="800000"/>
                      <a:headEnd/>
                      <a:tailEnd/>
                    </a:ln>
                  </pic:spPr>
                </pic:pic>
              </a:graphicData>
            </a:graphic>
          </wp:inline>
        </w:drawing>
      </w:r>
    </w:p>
    <w:p w:rsidR="007D1F2C" w:rsidRDefault="007D1F2C" w:rsidP="0040201F">
      <w:pPr>
        <w:pStyle w:val="Default"/>
        <w:ind w:left="426"/>
        <w:jc w:val="both"/>
        <w:rPr>
          <w:rFonts w:asciiTheme="minorHAnsi" w:hAnsiTheme="minorHAnsi"/>
          <w:color w:val="auto"/>
          <w:sz w:val="20"/>
          <w:szCs w:val="20"/>
          <w:lang w:val="en-GB" w:eastAsia="zh-CN"/>
        </w:rPr>
      </w:pPr>
    </w:p>
    <w:p w:rsidR="007D1F2C" w:rsidRDefault="00AC1CD6" w:rsidP="0040201F">
      <w:pPr>
        <w:pStyle w:val="ListParagraph"/>
        <w:numPr>
          <w:ilvl w:val="0"/>
          <w:numId w:val="22"/>
        </w:numPr>
        <w:spacing w:after="0" w:line="240" w:lineRule="auto"/>
        <w:ind w:left="426" w:hanging="426"/>
        <w:jc w:val="both"/>
        <w:rPr>
          <w:sz w:val="24"/>
          <w:szCs w:val="24"/>
        </w:rPr>
      </w:pPr>
      <w:r w:rsidRPr="00AC1CD6">
        <w:rPr>
          <w:sz w:val="24"/>
          <w:szCs w:val="24"/>
        </w:rPr>
        <w:t>It is observed that</w:t>
      </w:r>
      <w:r w:rsidR="00F41C41" w:rsidRPr="005D33A9">
        <w:rPr>
          <w:rStyle w:val="FootnoteReference"/>
          <w:sz w:val="24"/>
          <w:szCs w:val="24"/>
        </w:rPr>
        <w:footnoteReference w:id="43"/>
      </w:r>
      <w:r w:rsidR="00F41C41" w:rsidRPr="005D33A9">
        <w:rPr>
          <w:sz w:val="24"/>
          <w:szCs w:val="24"/>
        </w:rPr>
        <w:t>:</w:t>
      </w:r>
    </w:p>
    <w:p w:rsidR="007D1F2C" w:rsidRDefault="00AC1CD6" w:rsidP="0040201F">
      <w:pPr>
        <w:tabs>
          <w:tab w:val="left" w:pos="1134"/>
        </w:tabs>
        <w:spacing w:before="120" w:after="0" w:line="240" w:lineRule="auto"/>
        <w:ind w:left="1134" w:hanging="567"/>
        <w:jc w:val="both"/>
        <w:rPr>
          <w:sz w:val="24"/>
          <w:szCs w:val="24"/>
        </w:rPr>
      </w:pPr>
      <w:proofErr w:type="spellStart"/>
      <w:r w:rsidRPr="00AC1CD6">
        <w:rPr>
          <w:sz w:val="24"/>
          <w:szCs w:val="24"/>
        </w:rPr>
        <w:t>i</w:t>
      </w:r>
      <w:proofErr w:type="spellEnd"/>
      <w:r w:rsidRPr="00AC1CD6">
        <w:rPr>
          <w:sz w:val="24"/>
          <w:szCs w:val="24"/>
        </w:rPr>
        <w:t>.</w:t>
      </w:r>
      <w:r w:rsidRPr="00AC1CD6">
        <w:rPr>
          <w:sz w:val="24"/>
          <w:szCs w:val="24"/>
        </w:rPr>
        <w:tab/>
        <w:t>Broadband and Internet penetration rates are markedly higher in developed countries than they are in developing countries, while differences in mobile cellular penetration are s</w:t>
      </w:r>
      <w:r w:rsidRPr="00AC1CD6">
        <w:rPr>
          <w:sz w:val="24"/>
          <w:szCs w:val="24"/>
          <w:lang w:val="en-GB"/>
        </w:rPr>
        <w:t>m</w:t>
      </w:r>
      <w:proofErr w:type="spellStart"/>
      <w:r w:rsidRPr="00AC1CD6">
        <w:rPr>
          <w:sz w:val="24"/>
          <w:szCs w:val="24"/>
        </w:rPr>
        <w:t>aller</w:t>
      </w:r>
      <w:proofErr w:type="spellEnd"/>
      <w:r w:rsidRPr="00AC1CD6">
        <w:rPr>
          <w:sz w:val="24"/>
          <w:szCs w:val="24"/>
        </w:rPr>
        <w:t>.</w:t>
      </w:r>
    </w:p>
    <w:p w:rsidR="007D1F2C" w:rsidRDefault="00AC1CD6" w:rsidP="0040201F">
      <w:pPr>
        <w:tabs>
          <w:tab w:val="left" w:pos="1134"/>
        </w:tabs>
        <w:spacing w:after="0" w:line="240" w:lineRule="auto"/>
        <w:ind w:left="1134" w:hanging="567"/>
        <w:jc w:val="both"/>
        <w:rPr>
          <w:sz w:val="24"/>
          <w:szCs w:val="24"/>
        </w:rPr>
      </w:pPr>
      <w:r w:rsidRPr="00AC1CD6">
        <w:rPr>
          <w:sz w:val="24"/>
          <w:szCs w:val="24"/>
        </w:rPr>
        <w:t>ii.</w:t>
      </w:r>
      <w:r w:rsidRPr="00AC1CD6">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7D1F2C" w:rsidRDefault="00AC1CD6" w:rsidP="0040201F">
      <w:pPr>
        <w:tabs>
          <w:tab w:val="left" w:pos="1134"/>
        </w:tabs>
        <w:spacing w:after="0" w:line="240" w:lineRule="auto"/>
        <w:ind w:left="1134" w:hanging="567"/>
        <w:jc w:val="both"/>
        <w:rPr>
          <w:sz w:val="24"/>
          <w:szCs w:val="24"/>
        </w:rPr>
      </w:pPr>
      <w:r w:rsidRPr="00AC1CD6">
        <w:rPr>
          <w:sz w:val="24"/>
          <w:szCs w:val="24"/>
        </w:rPr>
        <w:t>iii.</w:t>
      </w:r>
      <w:r w:rsidRPr="00AC1CD6">
        <w:rPr>
          <w:sz w:val="24"/>
          <w:szCs w:val="24"/>
        </w:rPr>
        <w:tab/>
        <w:t>In most of the developing world, 2.5G and 3G mobile has grown far faster than fixed Internet. Mobile broadband continues to show the sharpest growth rates of all - between 2010 and 2011, growth continued at a rate of 40% globally, 23% in the developed world and 78% in developing countries. By end 2011, there were 1.19 billion active mobile broadband subscriptions, up from 770 million a year earlier. Contrary to mobile-cellular penetration, no saturation point has yet been reached for mobile broadband penetration, and growth is expected to continue at double-digit rates over the next few years.</w:t>
      </w:r>
    </w:p>
    <w:p w:rsidR="007D1F2C" w:rsidRDefault="007D1F2C" w:rsidP="0040201F">
      <w:pPr>
        <w:tabs>
          <w:tab w:val="left" w:pos="1134"/>
        </w:tabs>
        <w:spacing w:after="0" w:line="240" w:lineRule="auto"/>
        <w:ind w:left="1134" w:hanging="567"/>
        <w:jc w:val="both"/>
        <w:rPr>
          <w:sz w:val="24"/>
          <w:szCs w:val="24"/>
        </w:rPr>
      </w:pPr>
    </w:p>
    <w:p w:rsidR="0040201F" w:rsidRDefault="0040201F">
      <w:pPr>
        <w:rPr>
          <w:sz w:val="24"/>
          <w:szCs w:val="24"/>
        </w:rPr>
      </w:pPr>
      <w:r>
        <w:rPr>
          <w:sz w:val="24"/>
          <w:szCs w:val="24"/>
        </w:rPr>
        <w:br w:type="page"/>
      </w:r>
    </w:p>
    <w:p w:rsidR="00D17173" w:rsidRDefault="00D17173" w:rsidP="0040201F">
      <w:pPr>
        <w:pStyle w:val="ListParagraph"/>
        <w:numPr>
          <w:ilvl w:val="0"/>
          <w:numId w:val="22"/>
        </w:numPr>
        <w:spacing w:after="0" w:line="240" w:lineRule="auto"/>
        <w:ind w:left="426" w:hanging="426"/>
        <w:jc w:val="both"/>
        <w:rPr>
          <w:sz w:val="24"/>
          <w:szCs w:val="24"/>
        </w:rPr>
      </w:pPr>
      <w:r w:rsidRPr="00F91831">
        <w:rPr>
          <w:sz w:val="24"/>
          <w:szCs w:val="24"/>
        </w:rPr>
        <w:lastRenderedPageBreak/>
        <w:t>The Internet is comprised of many individual networks, although some networks (but not always the content) may be the property of distinct groups, companies or individuals</w:t>
      </w:r>
      <w:r w:rsidRPr="006479DF">
        <w:rPr>
          <w:vertAlign w:val="superscript"/>
        </w:rPr>
        <w:footnoteReference w:id="44"/>
      </w:r>
      <w:r w:rsidRPr="00F91831">
        <w:rPr>
          <w:sz w:val="24"/>
          <w:szCs w:val="24"/>
        </w:rPr>
        <w:t xml:space="preserve">. </w:t>
      </w:r>
      <w:r w:rsidRPr="00AC1CD6">
        <w:rPr>
          <w:sz w:val="24"/>
          <w:szCs w:val="24"/>
        </w:rPr>
        <w:t>Applications such as the World Wide Web, E-mail, and Instant Messaging can help change people’s lives. It is widely recognized that the utility and value of a network increases with growth in the number of nodes and users of that network.</w:t>
      </w:r>
    </w:p>
    <w:p w:rsidR="00D17173" w:rsidRDefault="00D17173" w:rsidP="0040201F">
      <w:pPr>
        <w:pStyle w:val="ListParagraph"/>
        <w:spacing w:after="0" w:line="240" w:lineRule="auto"/>
        <w:ind w:left="426"/>
        <w:jc w:val="both"/>
        <w:rPr>
          <w:sz w:val="24"/>
          <w:szCs w:val="24"/>
        </w:rPr>
      </w:pPr>
    </w:p>
    <w:p w:rsidR="00D17173" w:rsidRPr="00D17173" w:rsidRDefault="00D17173" w:rsidP="0040201F">
      <w:pPr>
        <w:pStyle w:val="ListParagraph"/>
        <w:numPr>
          <w:ilvl w:val="0"/>
          <w:numId w:val="22"/>
        </w:numPr>
        <w:spacing w:after="0" w:line="240" w:lineRule="auto"/>
        <w:ind w:left="426" w:hanging="426"/>
        <w:jc w:val="both"/>
        <w:rPr>
          <w:sz w:val="24"/>
          <w:szCs w:val="24"/>
        </w:rPr>
      </w:pPr>
      <w:r w:rsidRPr="00D17173">
        <w:rPr>
          <w:sz w:val="24"/>
          <w:szCs w:val="24"/>
        </w:rPr>
        <w:t xml:space="preserve">Advances in information and communication  infrastructure, including the development of IP-based networks and the Internet, </w:t>
      </w:r>
      <w:r w:rsidRPr="00F91831">
        <w:rPr>
          <w:sz w:val="24"/>
          <w:szCs w:val="24"/>
        </w:rPr>
        <w:t>taking into account the requirements, features and interoperability of next-generation networks (NGN) and future</w:t>
      </w:r>
      <w:r w:rsidRPr="00D17173">
        <w:rPr>
          <w:sz w:val="24"/>
          <w:szCs w:val="24"/>
        </w:rPr>
        <w:t xml:space="preserve"> networks, are vitally important as a major engine for growth in the world economy in the twenty-first century.</w:t>
      </w:r>
    </w:p>
    <w:p w:rsidR="00D17173" w:rsidRDefault="00D17173" w:rsidP="0040201F">
      <w:pPr>
        <w:pStyle w:val="ListParagraph"/>
        <w:spacing w:after="0" w:line="240" w:lineRule="auto"/>
        <w:ind w:left="426"/>
        <w:jc w:val="both"/>
        <w:rPr>
          <w:sz w:val="24"/>
          <w:szCs w:val="24"/>
        </w:rPr>
      </w:pPr>
    </w:p>
    <w:p w:rsidR="007D1F2C" w:rsidRDefault="00AC1CD6" w:rsidP="0040201F">
      <w:pPr>
        <w:pStyle w:val="ListParagraph"/>
        <w:numPr>
          <w:ilvl w:val="0"/>
          <w:numId w:val="22"/>
        </w:numPr>
        <w:spacing w:after="0" w:line="240" w:lineRule="auto"/>
        <w:ind w:left="426" w:hanging="426"/>
        <w:jc w:val="both"/>
        <w:rPr>
          <w:sz w:val="24"/>
          <w:szCs w:val="24"/>
        </w:rPr>
      </w:pPr>
      <w:r w:rsidRPr="00AC1CD6">
        <w:rPr>
          <w:sz w:val="24"/>
          <w:szCs w:val="24"/>
        </w:rPr>
        <w:t>The Internet has fundamental value as a platform for business, innovation, dissemination and access to information and scientific progress. In the growing digital economy, the Internet represents a portal for knowledge, education and entertainment that is becoming increasingly available to more of the world’s population, especially if growth in the use of mobile broadband can mirror the recent overall growth in mobile communications.</w:t>
      </w:r>
    </w:p>
    <w:p w:rsidR="00D17173" w:rsidRDefault="00D17173" w:rsidP="0040201F">
      <w:pPr>
        <w:pStyle w:val="ListParagraph"/>
        <w:spacing w:after="0" w:line="240" w:lineRule="auto"/>
        <w:ind w:left="426" w:hanging="426"/>
        <w:jc w:val="both"/>
        <w:rPr>
          <w:sz w:val="24"/>
          <w:szCs w:val="24"/>
        </w:rPr>
      </w:pPr>
    </w:p>
    <w:p w:rsidR="007D1F2C" w:rsidRPr="00801655" w:rsidRDefault="00AC1CD6" w:rsidP="0040201F">
      <w:pPr>
        <w:pStyle w:val="ListParagraph"/>
        <w:numPr>
          <w:ilvl w:val="0"/>
          <w:numId w:val="22"/>
        </w:numPr>
        <w:spacing w:after="0" w:line="240" w:lineRule="auto"/>
        <w:ind w:left="426" w:hanging="426"/>
        <w:jc w:val="both"/>
      </w:pPr>
      <w:r w:rsidRPr="00F91831">
        <w:rPr>
          <w:sz w:val="24"/>
          <w:szCs w:val="24"/>
        </w:rPr>
        <w:t>Today, the Internet is becoming “one of the basic commodities of life” and various studies have cited the information and knowledge provided over the Internet as examples of global public goods</w:t>
      </w:r>
      <w:r w:rsidR="00F41C41" w:rsidRPr="005D33A9">
        <w:rPr>
          <w:rStyle w:val="FootnoteReference"/>
          <w:sz w:val="24"/>
          <w:szCs w:val="24"/>
        </w:rPr>
        <w:footnoteReference w:id="45"/>
      </w:r>
      <w:r w:rsidR="00F41C41" w:rsidRPr="00F91831">
        <w:rPr>
          <w:sz w:val="24"/>
          <w:szCs w:val="24"/>
        </w:rPr>
        <w:t xml:space="preserve">. </w:t>
      </w:r>
    </w:p>
    <w:p w:rsidR="00801655" w:rsidRDefault="00801655" w:rsidP="0040201F">
      <w:pPr>
        <w:pStyle w:val="ListParagraph"/>
        <w:spacing w:line="240" w:lineRule="auto"/>
      </w:pPr>
    </w:p>
    <w:p w:rsidR="00AE1C39" w:rsidRDefault="00AC1CD6" w:rsidP="0040201F">
      <w:pPr>
        <w:pStyle w:val="ListParagraph"/>
        <w:numPr>
          <w:ilvl w:val="0"/>
          <w:numId w:val="22"/>
        </w:numPr>
        <w:spacing w:after="0" w:line="240" w:lineRule="auto"/>
        <w:ind w:left="426" w:hanging="426"/>
        <w:jc w:val="both"/>
        <w:rPr>
          <w:sz w:val="24"/>
          <w:szCs w:val="24"/>
        </w:rPr>
      </w:pPr>
      <w:r w:rsidRPr="00AC1CD6">
        <w:rPr>
          <w:sz w:val="24"/>
          <w:szCs w:val="24"/>
        </w:rPr>
        <w:t>One ideal is that the Internet, as a decentralized and open system, should enable the world’s citizens to connect freely and express themselves consistent with fundamental principles of freedom of expression and exercise their rights, as detailed in Article 19 of The Universal Declaration of Human Rights</w:t>
      </w:r>
      <w:r w:rsidR="004316DD" w:rsidRPr="005D33A9">
        <w:rPr>
          <w:rStyle w:val="FootnoteReference"/>
          <w:sz w:val="24"/>
          <w:szCs w:val="24"/>
        </w:rPr>
        <w:footnoteReference w:id="46"/>
      </w:r>
      <w:r w:rsidRPr="00AC1CD6">
        <w:rPr>
          <w:sz w:val="24"/>
          <w:szCs w:val="24"/>
        </w:rPr>
        <w:t>, while taking into consideration national security or of public order (</w:t>
      </w:r>
      <w:proofErr w:type="spellStart"/>
      <w:r w:rsidRPr="00AC1CD6">
        <w:rPr>
          <w:sz w:val="24"/>
          <w:szCs w:val="24"/>
        </w:rPr>
        <w:t>ordre</w:t>
      </w:r>
      <w:proofErr w:type="spellEnd"/>
      <w:r w:rsidRPr="00AC1CD6">
        <w:rPr>
          <w:sz w:val="24"/>
          <w:szCs w:val="24"/>
        </w:rPr>
        <w:t xml:space="preserve"> public), or of public health or morals</w:t>
      </w:r>
      <w:r w:rsidR="004316DD" w:rsidRPr="005D33A9">
        <w:rPr>
          <w:rStyle w:val="FootnoteReference"/>
          <w:sz w:val="24"/>
          <w:szCs w:val="24"/>
        </w:rPr>
        <w:footnoteReference w:id="47"/>
      </w:r>
      <w:r w:rsidR="00AE1C39">
        <w:rPr>
          <w:sz w:val="24"/>
          <w:szCs w:val="24"/>
        </w:rPr>
        <w:t xml:space="preserve">, </w:t>
      </w:r>
      <w:r w:rsidR="00AE1C39" w:rsidRPr="00AE1C39">
        <w:rPr>
          <w:sz w:val="24"/>
          <w:szCs w:val="24"/>
          <w:highlight w:val="yellow"/>
        </w:rPr>
        <w:t>as detailed in Article 19 of International Covenant on Civil and Political Rights</w:t>
      </w:r>
      <w:r w:rsidR="00AE1C39">
        <w:rPr>
          <w:sz w:val="24"/>
          <w:szCs w:val="24"/>
        </w:rPr>
        <w:t>.</w:t>
      </w:r>
      <w:r w:rsidRPr="00AC1CD6">
        <w:rPr>
          <w:sz w:val="24"/>
          <w:szCs w:val="24"/>
        </w:rPr>
        <w:t xml:space="preserve"> </w:t>
      </w:r>
    </w:p>
    <w:p w:rsidR="00AE1C39" w:rsidRDefault="00AE1C39" w:rsidP="0040201F">
      <w:pPr>
        <w:pStyle w:val="ListParagraph"/>
        <w:spacing w:after="0" w:line="240" w:lineRule="auto"/>
        <w:ind w:left="426"/>
        <w:jc w:val="both"/>
        <w:rPr>
          <w:sz w:val="24"/>
          <w:szCs w:val="24"/>
        </w:rPr>
      </w:pPr>
      <w:r w:rsidRPr="004627D4">
        <w:rPr>
          <w:sz w:val="24"/>
          <w:szCs w:val="24"/>
          <w:highlight w:val="yellow"/>
        </w:rPr>
        <w:t>However, freedom to express opinion together with anonymity should not become a synonym of impunity. Member States can to take necessary national measures to ensure balance</w:t>
      </w:r>
      <w:r w:rsidR="004627D4" w:rsidRPr="004627D4">
        <w:rPr>
          <w:sz w:val="24"/>
          <w:szCs w:val="24"/>
          <w:highlight w:val="yellow"/>
        </w:rPr>
        <w:t xml:space="preserve"> between freedom of expression to one citizens and non-infringement of rights and freedom to other citizens.</w:t>
      </w:r>
    </w:p>
    <w:p w:rsidR="007D1F2C" w:rsidRDefault="00AC1CD6" w:rsidP="0040201F">
      <w:pPr>
        <w:pStyle w:val="ListParagraph"/>
        <w:spacing w:after="0" w:line="240" w:lineRule="auto"/>
        <w:ind w:left="426"/>
        <w:jc w:val="both"/>
        <w:rPr>
          <w:sz w:val="24"/>
          <w:szCs w:val="24"/>
        </w:rPr>
      </w:pPr>
      <w:r w:rsidRPr="00AC1CD6">
        <w:rPr>
          <w:sz w:val="24"/>
          <w:szCs w:val="24"/>
        </w:rPr>
        <w:t xml:space="preserve">Consistent with the nature of knowledge, information and forms of expression provided over the Internet as global public goods, ITU Member States may wish to consider policy measures to increase and promote the continued growth of the Internet and the markets and economies based thereon. </w:t>
      </w:r>
    </w:p>
    <w:p w:rsidR="007D1F2C" w:rsidRDefault="007D1F2C" w:rsidP="0040201F">
      <w:pPr>
        <w:spacing w:after="0" w:line="240" w:lineRule="auto"/>
        <w:ind w:left="426" w:hanging="426"/>
        <w:jc w:val="both"/>
        <w:rPr>
          <w:sz w:val="24"/>
          <w:szCs w:val="24"/>
        </w:rPr>
      </w:pPr>
    </w:p>
    <w:p w:rsidR="007D1F2C" w:rsidRDefault="00AC1CD6" w:rsidP="0040201F">
      <w:pPr>
        <w:pStyle w:val="ListParagraph"/>
        <w:numPr>
          <w:ilvl w:val="0"/>
          <w:numId w:val="22"/>
        </w:numPr>
        <w:spacing w:after="0" w:line="240" w:lineRule="auto"/>
        <w:ind w:left="426" w:hanging="426"/>
        <w:jc w:val="both"/>
        <w:rPr>
          <w:color w:val="1F497D"/>
          <w:sz w:val="24"/>
          <w:szCs w:val="24"/>
        </w:rPr>
      </w:pPr>
      <w:r w:rsidRPr="00AC1CD6">
        <w:rPr>
          <w:sz w:val="24"/>
          <w:szCs w:val="24"/>
        </w:rPr>
        <w:t xml:space="preserve">At the World Summit on </w:t>
      </w:r>
      <w:r w:rsidRPr="00F91831">
        <w:rPr>
          <w:sz w:val="24"/>
          <w:szCs w:val="24"/>
        </w:rPr>
        <w:t xml:space="preserve">Information Society (WSIS), world leaders and Heads of State adopted the WSIS Outcomes, including general principles on a multi-stakeholder governance model, which </w:t>
      </w:r>
      <w:r w:rsidR="006E0675" w:rsidRPr="00F91831">
        <w:rPr>
          <w:sz w:val="24"/>
          <w:szCs w:val="24"/>
        </w:rPr>
        <w:t>offer a</w:t>
      </w:r>
      <w:r w:rsidRPr="00F91831">
        <w:rPr>
          <w:sz w:val="24"/>
          <w:szCs w:val="24"/>
        </w:rPr>
        <w:t xml:space="preserve"> guiding framework on which to base</w:t>
      </w:r>
      <w:r w:rsidRPr="00AC1CD6">
        <w:rPr>
          <w:sz w:val="24"/>
          <w:szCs w:val="24"/>
        </w:rPr>
        <w:t xml:space="preserve"> such policy </w:t>
      </w:r>
      <w:r w:rsidRPr="00AC1CD6">
        <w:rPr>
          <w:sz w:val="24"/>
          <w:szCs w:val="24"/>
        </w:rPr>
        <w:lastRenderedPageBreak/>
        <w:t xml:space="preserve">measures. Various initiatives have been undertaken at the national and international level to enunciate high-level governing principles for the Internet and its governance (including, </w:t>
      </w:r>
      <w:r w:rsidRPr="00AC1CD6">
        <w:rPr>
          <w:i/>
          <w:iCs/>
          <w:sz w:val="24"/>
          <w:szCs w:val="24"/>
        </w:rPr>
        <w:t>inter alia</w:t>
      </w:r>
      <w:r w:rsidRPr="00AC1CD6">
        <w:rPr>
          <w:sz w:val="24"/>
          <w:szCs w:val="24"/>
        </w:rPr>
        <w:t>, the United States</w:t>
      </w:r>
      <w:r w:rsidRPr="00AC1CD6">
        <w:rPr>
          <w:color w:val="1F497D"/>
          <w:sz w:val="24"/>
          <w:szCs w:val="24"/>
        </w:rPr>
        <w:t xml:space="preserve"> </w:t>
      </w:r>
      <w:hyperlink r:id="rId14" w:history="1">
        <w:r w:rsidR="00F41C41" w:rsidRPr="005D33A9">
          <w:rPr>
            <w:rStyle w:val="Hyperlink"/>
            <w:sz w:val="24"/>
            <w:szCs w:val="24"/>
          </w:rPr>
          <w:t>International Strategy for Cyberspace</w:t>
        </w:r>
      </w:hyperlink>
      <w:r w:rsidR="00F41C41" w:rsidRPr="005D33A9">
        <w:rPr>
          <w:sz w:val="24"/>
          <w:szCs w:val="24"/>
        </w:rPr>
        <w:t>, Brazil’s ten</w:t>
      </w:r>
      <w:r w:rsidR="00F41C41" w:rsidRPr="005D33A9">
        <w:rPr>
          <w:color w:val="1F497D"/>
          <w:sz w:val="24"/>
          <w:szCs w:val="24"/>
        </w:rPr>
        <w:t xml:space="preserve"> "</w:t>
      </w:r>
      <w:hyperlink r:id="rId15" w:history="1">
        <w:r w:rsidR="00F41C41" w:rsidRPr="005D33A9">
          <w:rPr>
            <w:rStyle w:val="Hyperlink"/>
            <w:sz w:val="24"/>
            <w:szCs w:val="24"/>
          </w:rPr>
          <w:t>Principles for the Governance and Use of the Internet</w:t>
        </w:r>
      </w:hyperlink>
      <w:r w:rsidR="00F41C41" w:rsidRPr="005D33A9">
        <w:rPr>
          <w:rStyle w:val="CommentReference"/>
          <w:sz w:val="24"/>
          <w:szCs w:val="24"/>
        </w:rPr>
        <w:t xml:space="preserve">” and </w:t>
      </w:r>
      <w:r w:rsidR="00F41C41" w:rsidRPr="005D33A9">
        <w:rPr>
          <w:rStyle w:val="CommentReference"/>
          <w:rFonts w:cs="Calibri"/>
          <w:sz w:val="24"/>
          <w:szCs w:val="24"/>
        </w:rPr>
        <w:t>the concept of the Russian Federation Convention</w:t>
      </w:r>
      <w:r>
        <w:rPr>
          <w:rStyle w:val="CommentReference"/>
          <w:rFonts w:cs="Calibri"/>
          <w:sz w:val="24"/>
          <w:szCs w:val="24"/>
        </w:rPr>
        <w:t xml:space="preserve"> on International Information Security), and</w:t>
      </w:r>
      <w:r>
        <w:rPr>
          <w:rStyle w:val="CommentReference"/>
          <w:sz w:val="24"/>
          <w:szCs w:val="24"/>
        </w:rPr>
        <w:t xml:space="preserve"> at the international level (such as </w:t>
      </w:r>
      <w:r>
        <w:rPr>
          <w:rStyle w:val="CommentReference"/>
          <w:rFonts w:cs="Calibri"/>
          <w:sz w:val="24"/>
          <w:szCs w:val="24"/>
        </w:rPr>
        <w:t xml:space="preserve">the Report of the Group of Governmental Experts on Developments in the Field of Information and Telecommunication in the Context of International Security 65/201, International Code of Conduct for Information Security A/66/359, and </w:t>
      </w:r>
      <w:r>
        <w:rPr>
          <w:sz w:val="24"/>
          <w:szCs w:val="24"/>
          <w:lang w:val="en-GB"/>
        </w:rPr>
        <w:t>the OECD Council Recommendation on Principles for Internet Policy-Making</w:t>
      </w:r>
      <w:r w:rsidR="00F41C41" w:rsidRPr="005D33A9">
        <w:rPr>
          <w:rStyle w:val="FootnoteReference"/>
          <w:sz w:val="24"/>
          <w:szCs w:val="24"/>
          <w:lang w:val="en-GB"/>
        </w:rPr>
        <w:footnoteReference w:id="48"/>
      </w:r>
      <w:r w:rsidR="00F41C41" w:rsidRPr="005D33A9">
        <w:rPr>
          <w:sz w:val="24"/>
          <w:szCs w:val="24"/>
          <w:lang w:val="en-GB"/>
        </w:rPr>
        <w:t>)</w:t>
      </w:r>
      <w:r w:rsidR="00F41C41" w:rsidRPr="005D33A9">
        <w:rPr>
          <w:color w:val="1F497D"/>
          <w:sz w:val="24"/>
          <w:szCs w:val="24"/>
        </w:rPr>
        <w:t>.</w:t>
      </w:r>
    </w:p>
    <w:p w:rsidR="007D1F2C" w:rsidRDefault="007D1F2C" w:rsidP="0040201F">
      <w:pPr>
        <w:spacing w:after="0" w:line="240" w:lineRule="auto"/>
        <w:jc w:val="both"/>
        <w:rPr>
          <w:color w:val="1F497D"/>
          <w:sz w:val="24"/>
          <w:szCs w:val="24"/>
        </w:rPr>
      </w:pPr>
    </w:p>
    <w:p w:rsidR="00E50D31" w:rsidRPr="00E50D31" w:rsidRDefault="00AC1CD6" w:rsidP="0040201F">
      <w:pPr>
        <w:pStyle w:val="ListParagraph"/>
        <w:numPr>
          <w:ilvl w:val="0"/>
          <w:numId w:val="22"/>
        </w:numPr>
        <w:spacing w:line="240" w:lineRule="auto"/>
        <w:ind w:left="426" w:hanging="426"/>
        <w:jc w:val="both"/>
        <w:rPr>
          <w:sz w:val="24"/>
          <w:szCs w:val="24"/>
        </w:rPr>
      </w:pPr>
      <w:r w:rsidRPr="00E50D31">
        <w:rPr>
          <w:sz w:val="24"/>
          <w:szCs w:val="24"/>
        </w:rPr>
        <w:t>The management of digital information has emerged in recent years as an important aspect of the Internet going forward. This will benefit many new efforts such as those involving current architectures – Cloud Computing, Big Data and the Internet of Things – and new architectures, such as the Digital Object Architecture (DOA), are being developed and deployed which support these initiatives</w:t>
      </w:r>
      <w:r w:rsidRPr="00F91831">
        <w:rPr>
          <w:rStyle w:val="FootnoteReference"/>
          <w:sz w:val="24"/>
          <w:szCs w:val="24"/>
        </w:rPr>
        <w:footnoteReference w:id="49"/>
      </w:r>
      <w:r w:rsidR="00F41C41" w:rsidRPr="00E50D31">
        <w:rPr>
          <w:sz w:val="24"/>
          <w:szCs w:val="24"/>
        </w:rPr>
        <w:t>. Major research and development activities are underway</w:t>
      </w:r>
      <w:r w:rsidRPr="00E50D31">
        <w:rPr>
          <w:sz w:val="24"/>
          <w:szCs w:val="24"/>
        </w:rPr>
        <w:t xml:space="preserve"> on new architectures and protocols for the future Internet, which aim, </w:t>
      </w:r>
      <w:r w:rsidRPr="00E50D31">
        <w:rPr>
          <w:i/>
          <w:iCs/>
          <w:sz w:val="24"/>
          <w:szCs w:val="24"/>
        </w:rPr>
        <w:t>inter alia</w:t>
      </w:r>
      <w:r w:rsidRPr="00E50D31">
        <w:rPr>
          <w:sz w:val="24"/>
          <w:szCs w:val="24"/>
        </w:rPr>
        <w:t xml:space="preserve">, to improve capacity, performance, stability and security, and provide support for </w:t>
      </w:r>
      <w:proofErr w:type="spellStart"/>
      <w:r w:rsidRPr="00E50D31">
        <w:rPr>
          <w:sz w:val="24"/>
          <w:szCs w:val="24"/>
        </w:rPr>
        <w:t>multilingualization</w:t>
      </w:r>
      <w:proofErr w:type="spellEnd"/>
      <w:r w:rsidRPr="00E50D31">
        <w:rPr>
          <w:sz w:val="24"/>
          <w:szCs w:val="24"/>
        </w:rPr>
        <w:t>.</w:t>
      </w:r>
    </w:p>
    <w:p w:rsidR="002976D8" w:rsidRDefault="002976D8" w:rsidP="0040201F">
      <w:pPr>
        <w:spacing w:line="240" w:lineRule="auto"/>
        <w:jc w:val="both"/>
        <w:rPr>
          <w:rFonts w:cstheme="minorHAnsi"/>
          <w:b/>
          <w:bCs/>
          <w:sz w:val="24"/>
          <w:szCs w:val="24"/>
        </w:rPr>
      </w:pPr>
    </w:p>
    <w:p w:rsidR="007D1F2C" w:rsidRDefault="00AC1CD6" w:rsidP="0040201F">
      <w:pPr>
        <w:spacing w:line="240" w:lineRule="auto"/>
        <w:jc w:val="both"/>
        <w:rPr>
          <w:rFonts w:cstheme="minorHAnsi"/>
          <w:b/>
          <w:bCs/>
          <w:sz w:val="24"/>
          <w:szCs w:val="24"/>
        </w:rPr>
      </w:pPr>
      <w:r w:rsidRPr="00AC1CD6">
        <w:rPr>
          <w:rFonts w:cstheme="minorHAnsi"/>
          <w:b/>
          <w:bCs/>
          <w:sz w:val="24"/>
          <w:szCs w:val="24"/>
        </w:rPr>
        <w:t>2.3.2</w:t>
      </w:r>
      <w:r w:rsidRPr="00AC1CD6">
        <w:rPr>
          <w:rFonts w:cstheme="minorHAnsi"/>
          <w:b/>
          <w:bCs/>
          <w:sz w:val="24"/>
          <w:szCs w:val="24"/>
        </w:rPr>
        <w:tab/>
        <w:t>The Multi-stakeholder Model</w:t>
      </w:r>
    </w:p>
    <w:p w:rsidR="007D1F2C" w:rsidRDefault="00AC1CD6" w:rsidP="0040201F">
      <w:pPr>
        <w:spacing w:after="0" w:line="240" w:lineRule="auto"/>
        <w:jc w:val="both"/>
        <w:rPr>
          <w:rFonts w:cstheme="minorHAnsi"/>
          <w:b/>
          <w:bCs/>
          <w:sz w:val="24"/>
          <w:szCs w:val="24"/>
        </w:rPr>
      </w:pPr>
      <w:r w:rsidRPr="00AC1CD6">
        <w:rPr>
          <w:rFonts w:cstheme="minorHAnsi"/>
          <w:b/>
          <w:bCs/>
          <w:sz w:val="24"/>
          <w:szCs w:val="24"/>
        </w:rPr>
        <w:t>2.3.2.1</w:t>
      </w:r>
      <w:r w:rsidRPr="00AC1CD6">
        <w:rPr>
          <w:rFonts w:cstheme="minorHAnsi"/>
          <w:b/>
          <w:bCs/>
          <w:sz w:val="24"/>
          <w:szCs w:val="24"/>
        </w:rPr>
        <w:tab/>
        <w:t xml:space="preserve">The Multi-stakeholder Model has been recognized at WSIS as the global model for Internet governance; WSIS outcome documents provided a set of framework principles for the </w:t>
      </w:r>
      <w:proofErr w:type="spellStart"/>
      <w:r w:rsidRPr="00AC1CD6">
        <w:rPr>
          <w:rFonts w:cstheme="minorHAnsi"/>
          <w:b/>
          <w:bCs/>
          <w:sz w:val="24"/>
          <w:szCs w:val="24"/>
        </w:rPr>
        <w:t>multistakeholder</w:t>
      </w:r>
      <w:proofErr w:type="spellEnd"/>
      <w:r w:rsidRPr="00AC1CD6">
        <w:rPr>
          <w:rFonts w:cstheme="minorHAnsi"/>
          <w:b/>
          <w:bCs/>
          <w:sz w:val="24"/>
          <w:szCs w:val="24"/>
        </w:rPr>
        <w:t xml:space="preserve"> model</w:t>
      </w:r>
    </w:p>
    <w:p w:rsidR="007D1F2C" w:rsidRDefault="007D1F2C" w:rsidP="0040201F">
      <w:pPr>
        <w:spacing w:after="0" w:line="240" w:lineRule="auto"/>
        <w:jc w:val="both"/>
        <w:rPr>
          <w:rFonts w:cstheme="minorHAnsi"/>
          <w:b/>
          <w:bCs/>
          <w:sz w:val="24"/>
          <w:szCs w:val="24"/>
          <w:u w:val="single"/>
        </w:rPr>
      </w:pPr>
    </w:p>
    <w:p w:rsidR="007D1F2C" w:rsidRDefault="00AC1CD6" w:rsidP="0040201F">
      <w:pPr>
        <w:pStyle w:val="HPMbodytext"/>
        <w:spacing w:before="0" w:after="0"/>
        <w:ind w:left="426" w:hanging="426"/>
        <w:jc w:val="both"/>
        <w:rPr>
          <w:rFonts w:asciiTheme="minorHAnsi" w:eastAsiaTheme="minorEastAsia" w:hAnsiTheme="minorHAnsi" w:cstheme="minorHAnsi"/>
          <w:szCs w:val="24"/>
          <w:shd w:val="clear" w:color="auto" w:fill="FFFFFF"/>
        </w:rPr>
      </w:pPr>
      <w:r w:rsidRPr="00AC1CD6">
        <w:rPr>
          <w:rFonts w:asciiTheme="minorHAnsi" w:hAnsiTheme="minorHAnsi" w:cstheme="minorHAnsi"/>
          <w:szCs w:val="24"/>
          <w:shd w:val="clear" w:color="auto" w:fill="FFFFFF"/>
        </w:rPr>
        <w:t>a)</w:t>
      </w:r>
      <w:r w:rsidR="00262200">
        <w:rPr>
          <w:rFonts w:asciiTheme="minorHAnsi" w:hAnsiTheme="minorHAnsi" w:cstheme="minorHAnsi"/>
          <w:szCs w:val="24"/>
          <w:shd w:val="clear" w:color="auto" w:fill="FFFFFF"/>
        </w:rPr>
        <w:tab/>
      </w:r>
      <w:r w:rsidRPr="00AC1CD6">
        <w:rPr>
          <w:rFonts w:asciiTheme="minorHAnsi" w:hAnsiTheme="minorHAnsi" w:cstheme="minorHAnsi"/>
          <w:szCs w:val="24"/>
          <w:shd w:val="clear" w:color="auto" w:fill="FFFFFF"/>
        </w:rPr>
        <w:t>Two key outcomes of WSIS were: (1) the clear enunciation of principles for the multi-stakeholder governance model of the Internet</w:t>
      </w:r>
      <w:r w:rsidRPr="00AC1CD6">
        <w:rPr>
          <w:rStyle w:val="FootnoteReference"/>
          <w:rFonts w:asciiTheme="minorHAnsi" w:hAnsiTheme="minorHAnsi" w:cstheme="minorHAnsi"/>
          <w:szCs w:val="24"/>
          <w:shd w:val="clear" w:color="auto" w:fill="FFFFFF"/>
        </w:rPr>
        <w:footnoteReference w:id="50"/>
      </w:r>
      <w:r w:rsidRPr="00AC1CD6">
        <w:rPr>
          <w:rFonts w:asciiTheme="minorHAnsi"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AC1CD6">
        <w:rPr>
          <w:rStyle w:val="FootnoteReference"/>
          <w:rFonts w:asciiTheme="minorHAnsi" w:hAnsiTheme="minorHAnsi" w:cstheme="minorHAnsi"/>
          <w:szCs w:val="24"/>
          <w:shd w:val="clear" w:color="auto" w:fill="FFFFFF"/>
        </w:rPr>
        <w:footnoteReference w:id="51"/>
      </w:r>
      <w:r w:rsidRPr="00AC1CD6">
        <w:rPr>
          <w:rFonts w:asciiTheme="minorHAnsi" w:hAnsiTheme="minorHAnsi" w:cstheme="minorHAnsi"/>
          <w:szCs w:val="24"/>
          <w:shd w:val="clear" w:color="auto" w:fill="FFFFFF"/>
        </w:rPr>
        <w:t>, examples of which are included in paragraphs (b)-(e) of this subsection.</w:t>
      </w:r>
    </w:p>
    <w:p w:rsidR="007D1F2C" w:rsidRDefault="007D1F2C" w:rsidP="0040201F">
      <w:pPr>
        <w:pStyle w:val="HPMbodytext"/>
        <w:spacing w:before="0" w:after="0"/>
        <w:ind w:left="426" w:hanging="426"/>
        <w:jc w:val="both"/>
        <w:rPr>
          <w:rFonts w:asciiTheme="minorHAnsi" w:eastAsiaTheme="minorEastAsia" w:hAnsiTheme="minorHAnsi" w:cstheme="minorHAnsi"/>
          <w:szCs w:val="24"/>
          <w:shd w:val="clear" w:color="auto" w:fill="FFFFFF"/>
        </w:rPr>
      </w:pPr>
    </w:p>
    <w:p w:rsidR="007D1F2C" w:rsidRPr="00262200" w:rsidRDefault="00AC1CD6" w:rsidP="0040201F">
      <w:pPr>
        <w:pStyle w:val="ListParagraph"/>
        <w:numPr>
          <w:ilvl w:val="0"/>
          <w:numId w:val="6"/>
        </w:numPr>
        <w:spacing w:after="0" w:line="240" w:lineRule="auto"/>
        <w:jc w:val="both"/>
        <w:rPr>
          <w:rFonts w:cstheme="minorHAnsi"/>
          <w:sz w:val="24"/>
          <w:szCs w:val="24"/>
        </w:rPr>
      </w:pPr>
      <w:r w:rsidRPr="00262200">
        <w:rPr>
          <w:rFonts w:cstheme="minorHAnsi"/>
          <w:sz w:val="24"/>
          <w:szCs w:val="24"/>
        </w:rPr>
        <w:t>“A working definition” of Internet governance was developed by the Working Group on Internet Governance (WGIG, a group comprising all stakeholders</w:t>
      </w:r>
      <w:r w:rsidR="006E18CA" w:rsidRPr="005D33A9">
        <w:rPr>
          <w:rStyle w:val="FootnoteReference"/>
          <w:rFonts w:cstheme="minorHAnsi"/>
          <w:sz w:val="24"/>
          <w:szCs w:val="24"/>
        </w:rPr>
        <w:footnoteReference w:id="52"/>
      </w:r>
      <w:r w:rsidR="006E18CA" w:rsidRPr="00262200">
        <w:rPr>
          <w:rFonts w:cstheme="minorHAnsi"/>
          <w:sz w:val="24"/>
          <w:szCs w:val="24"/>
        </w:rPr>
        <w:t xml:space="preserve">) and later adopted by </w:t>
      </w:r>
      <w:r w:rsidR="00633012" w:rsidRPr="00262200">
        <w:rPr>
          <w:rFonts w:cstheme="minorHAnsi"/>
          <w:sz w:val="24"/>
          <w:szCs w:val="24"/>
        </w:rPr>
        <w:t xml:space="preserve">the </w:t>
      </w:r>
      <w:r w:rsidR="006E18CA" w:rsidRPr="00262200">
        <w:rPr>
          <w:rFonts w:cstheme="minorHAnsi"/>
          <w:sz w:val="24"/>
          <w:szCs w:val="24"/>
        </w:rPr>
        <w:t xml:space="preserve">Summit and included in </w:t>
      </w:r>
      <w:proofErr w:type="spellStart"/>
      <w:r w:rsidR="006E18CA" w:rsidRPr="00262200">
        <w:rPr>
          <w:rFonts w:cstheme="minorHAnsi"/>
          <w:sz w:val="24"/>
          <w:szCs w:val="24"/>
        </w:rPr>
        <w:t>para</w:t>
      </w:r>
      <w:proofErr w:type="spellEnd"/>
      <w:r w:rsidR="006E18CA" w:rsidRPr="00262200">
        <w:rPr>
          <w:rFonts w:cstheme="minorHAnsi"/>
          <w:sz w:val="24"/>
          <w:szCs w:val="24"/>
        </w:rPr>
        <w:t xml:space="preserve">. 34 of the </w:t>
      </w:r>
      <w:r w:rsidRPr="00262200">
        <w:rPr>
          <w:rFonts w:cstheme="minorHAnsi"/>
          <w:i/>
          <w:iCs/>
          <w:sz w:val="24"/>
          <w:szCs w:val="24"/>
        </w:rPr>
        <w:t>Tunis Agenda,</w:t>
      </w:r>
      <w:r w:rsidRPr="00262200">
        <w:rPr>
          <w:rFonts w:cstheme="minorHAnsi"/>
          <w:sz w:val="24"/>
          <w:szCs w:val="24"/>
        </w:rPr>
        <w:t xml:space="preserve"> which states that Internet Governance is “the development and application by governments, the private sector and civil society, in their respective roles, of shared principles, norms, rules, decision-making procedures, and </w:t>
      </w:r>
      <w:proofErr w:type="spellStart"/>
      <w:r w:rsidRPr="00262200">
        <w:rPr>
          <w:rFonts w:cstheme="minorHAnsi"/>
          <w:sz w:val="24"/>
          <w:szCs w:val="24"/>
        </w:rPr>
        <w:t>programmes</w:t>
      </w:r>
      <w:proofErr w:type="spellEnd"/>
      <w:r w:rsidRPr="00262200">
        <w:rPr>
          <w:rFonts w:cstheme="minorHAnsi"/>
          <w:sz w:val="24"/>
          <w:szCs w:val="24"/>
        </w:rPr>
        <w:t xml:space="preserve"> that shape the evolution and use of the Internet”. Para. 58 of the </w:t>
      </w:r>
      <w:r w:rsidRPr="00262200">
        <w:rPr>
          <w:rFonts w:cstheme="minorHAnsi"/>
          <w:i/>
          <w:iCs/>
          <w:sz w:val="24"/>
          <w:szCs w:val="24"/>
        </w:rPr>
        <w:t>Tunis Agenda</w:t>
      </w:r>
      <w:r w:rsidRPr="00262200">
        <w:rPr>
          <w:rFonts w:cstheme="minorHAnsi"/>
          <w:sz w:val="24"/>
          <w:szCs w:val="24"/>
        </w:rPr>
        <w:t xml:space="preserve"> notes that Internet governance includes more than Internet naming and addressing; therefore it also includes other significant public policy issues such as, </w:t>
      </w:r>
      <w:r w:rsidRPr="00262200">
        <w:rPr>
          <w:rFonts w:cstheme="minorHAnsi"/>
          <w:i/>
          <w:iCs/>
          <w:sz w:val="24"/>
          <w:szCs w:val="24"/>
        </w:rPr>
        <w:t>inter alia</w:t>
      </w:r>
      <w:r w:rsidRPr="00262200">
        <w:rPr>
          <w:rFonts w:cstheme="minorHAnsi"/>
          <w:sz w:val="24"/>
          <w:szCs w:val="24"/>
        </w:rPr>
        <w:t>, critical Internet resources, the security and safety of the Internet, and developmental aspects and issues pertaining to the use of the Internet</w:t>
      </w:r>
      <w:r w:rsidR="004316DD" w:rsidRPr="005D33A9">
        <w:rPr>
          <w:rStyle w:val="FootnoteReference"/>
          <w:rFonts w:cstheme="minorHAnsi"/>
          <w:sz w:val="24"/>
          <w:szCs w:val="24"/>
        </w:rPr>
        <w:footnoteReference w:id="53"/>
      </w:r>
      <w:r w:rsidRPr="00262200">
        <w:rPr>
          <w:rFonts w:cstheme="minorHAnsi"/>
          <w:sz w:val="24"/>
          <w:szCs w:val="24"/>
        </w:rPr>
        <w:t>.</w:t>
      </w:r>
    </w:p>
    <w:p w:rsidR="007D1F2C" w:rsidRDefault="007D1F2C" w:rsidP="0040201F">
      <w:pPr>
        <w:spacing w:after="0" w:line="240" w:lineRule="auto"/>
        <w:ind w:left="426" w:hanging="426"/>
        <w:jc w:val="both"/>
        <w:rPr>
          <w:rFonts w:cstheme="minorHAnsi"/>
          <w:sz w:val="24"/>
          <w:szCs w:val="24"/>
        </w:rPr>
      </w:pPr>
    </w:p>
    <w:p w:rsidR="007D1F2C" w:rsidRDefault="00AC1CD6" w:rsidP="0040201F">
      <w:pPr>
        <w:spacing w:after="0" w:line="240" w:lineRule="auto"/>
        <w:ind w:left="426" w:hanging="426"/>
        <w:jc w:val="both"/>
        <w:rPr>
          <w:rFonts w:cstheme="minorHAnsi"/>
          <w:sz w:val="24"/>
          <w:szCs w:val="24"/>
        </w:rPr>
      </w:pPr>
      <w:r w:rsidRPr="00AC1CD6">
        <w:rPr>
          <w:rFonts w:cstheme="minorHAnsi"/>
          <w:sz w:val="24"/>
          <w:szCs w:val="24"/>
        </w:rPr>
        <w:t xml:space="preserve">c) </w:t>
      </w:r>
      <w:r w:rsidR="004316DD" w:rsidRPr="005D33A9">
        <w:rPr>
          <w:rStyle w:val="apple-converted-space"/>
          <w:rFonts w:cstheme="minorHAnsi"/>
          <w:sz w:val="24"/>
          <w:szCs w:val="24"/>
          <w:shd w:val="clear" w:color="auto" w:fill="FFFFFF"/>
        </w:rPr>
        <w:t> </w:t>
      </w:r>
      <w:r w:rsidR="004316DD" w:rsidRPr="005D33A9">
        <w:rPr>
          <w:rStyle w:val="apple-converted-space"/>
          <w:rFonts w:cstheme="minorHAnsi"/>
          <w:sz w:val="24"/>
          <w:szCs w:val="24"/>
          <w:shd w:val="clear" w:color="auto" w:fill="FFFFFF"/>
        </w:rPr>
        <w:tab/>
      </w:r>
      <w:r w:rsidR="004316DD" w:rsidRPr="005D33A9">
        <w:rPr>
          <w:rFonts w:cstheme="minorHAnsi"/>
          <w:sz w:val="24"/>
          <w:szCs w:val="24"/>
        </w:rPr>
        <w:t xml:space="preserve">Para. 29 of the </w:t>
      </w:r>
      <w:r w:rsidRPr="00AC1CD6">
        <w:rPr>
          <w:rFonts w:cstheme="minorHAnsi"/>
          <w:i/>
          <w:iCs/>
          <w:sz w:val="24"/>
          <w:szCs w:val="24"/>
        </w:rPr>
        <w:t>Tunis Agenda</w:t>
      </w:r>
      <w:r w:rsidRPr="00AC1CD6">
        <w:rPr>
          <w:rFonts w:cstheme="minorHAnsi"/>
          <w:sz w:val="24"/>
          <w:szCs w:val="24"/>
        </w:rPr>
        <w:t xml:space="preserve"> reaffirmed that</w:t>
      </w:r>
      <w:r w:rsidRPr="00AC1CD6">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7D1F2C" w:rsidRDefault="007D1F2C" w:rsidP="0040201F">
      <w:pPr>
        <w:spacing w:after="0" w:line="240" w:lineRule="auto"/>
        <w:ind w:left="426" w:hanging="426"/>
        <w:jc w:val="both"/>
        <w:rPr>
          <w:rFonts w:cstheme="minorHAnsi"/>
          <w:sz w:val="24"/>
          <w:szCs w:val="24"/>
        </w:rPr>
      </w:pPr>
    </w:p>
    <w:p w:rsidR="007D1F2C" w:rsidRDefault="00AC1CD6" w:rsidP="0040201F">
      <w:pPr>
        <w:spacing w:after="0" w:line="240" w:lineRule="auto"/>
        <w:ind w:left="426" w:hanging="426"/>
        <w:jc w:val="both"/>
        <w:rPr>
          <w:rFonts w:cstheme="minorHAnsi"/>
          <w:sz w:val="24"/>
          <w:szCs w:val="24"/>
        </w:rPr>
      </w:pPr>
      <w:r w:rsidRPr="00AC1CD6">
        <w:rPr>
          <w:rFonts w:cstheme="minorHAnsi"/>
          <w:sz w:val="24"/>
          <w:szCs w:val="24"/>
        </w:rPr>
        <w:t xml:space="preserve">d) </w:t>
      </w:r>
      <w:r w:rsidRPr="00AC1CD6">
        <w:rPr>
          <w:rFonts w:cstheme="minorHAnsi"/>
          <w:sz w:val="24"/>
          <w:szCs w:val="24"/>
        </w:rPr>
        <w:tab/>
        <w:t xml:space="preserve">The roles and responsibilities of each stakeholder group are specified in </w:t>
      </w:r>
      <w:proofErr w:type="spellStart"/>
      <w:r w:rsidRPr="00AC1CD6">
        <w:rPr>
          <w:rFonts w:cstheme="minorHAnsi"/>
          <w:sz w:val="24"/>
          <w:szCs w:val="24"/>
        </w:rPr>
        <w:t>para</w:t>
      </w:r>
      <w:proofErr w:type="spellEnd"/>
      <w:r w:rsidRPr="00AC1CD6">
        <w:rPr>
          <w:rFonts w:cstheme="minorHAnsi"/>
          <w:sz w:val="24"/>
          <w:szCs w:val="24"/>
        </w:rPr>
        <w:t xml:space="preserve">. 35 of the </w:t>
      </w:r>
      <w:r w:rsidRPr="00AC1CD6">
        <w:rPr>
          <w:rFonts w:cstheme="minorHAnsi"/>
          <w:i/>
          <w:iCs/>
          <w:sz w:val="24"/>
          <w:szCs w:val="24"/>
        </w:rPr>
        <w:t>Tunis Agenda</w:t>
      </w:r>
      <w:r w:rsidRPr="00AC1CD6">
        <w:rPr>
          <w:rFonts w:cstheme="minorHAnsi"/>
          <w:sz w:val="24"/>
          <w:szCs w:val="24"/>
        </w:rPr>
        <w:t xml:space="preserve">, which states that: </w:t>
      </w:r>
    </w:p>
    <w:p w:rsidR="007D1F2C" w:rsidRDefault="007D1F2C" w:rsidP="0040201F">
      <w:pPr>
        <w:tabs>
          <w:tab w:val="left" w:pos="993"/>
        </w:tabs>
        <w:spacing w:after="0" w:line="240" w:lineRule="auto"/>
        <w:ind w:left="426"/>
        <w:jc w:val="both"/>
        <w:rPr>
          <w:rFonts w:cstheme="minorHAnsi"/>
          <w:sz w:val="24"/>
          <w:szCs w:val="24"/>
          <w:shd w:val="clear" w:color="auto" w:fill="FFFFFF"/>
        </w:rPr>
      </w:pPr>
    </w:p>
    <w:p w:rsidR="007D1F2C" w:rsidRPr="00D57219" w:rsidRDefault="00AC1CD6" w:rsidP="0040201F">
      <w:pPr>
        <w:tabs>
          <w:tab w:val="left" w:pos="993"/>
        </w:tabs>
        <w:spacing w:after="0" w:line="240" w:lineRule="auto"/>
        <w:ind w:left="426"/>
        <w:jc w:val="both"/>
        <w:rPr>
          <w:rFonts w:cstheme="minorHAnsi"/>
          <w:i/>
          <w:iCs/>
          <w:sz w:val="24"/>
          <w:szCs w:val="24"/>
          <w:shd w:val="clear" w:color="auto" w:fill="FFFFFF"/>
        </w:rPr>
      </w:pPr>
      <w:r w:rsidRPr="00D57219">
        <w:rPr>
          <w:rFonts w:cstheme="minorHAnsi"/>
          <w:sz w:val="24"/>
          <w:szCs w:val="24"/>
          <w:shd w:val="clear" w:color="auto" w:fill="FFFFFF"/>
        </w:rPr>
        <w:t>“</w:t>
      </w:r>
      <w:r w:rsidRPr="00D57219">
        <w:rPr>
          <w:rFonts w:cstheme="minorHAnsi"/>
          <w:i/>
          <w:iCs/>
          <w:sz w:val="24"/>
          <w:szCs w:val="24"/>
          <w:shd w:val="clear" w:color="auto" w:fill="FFFFFF"/>
        </w:rPr>
        <w:t>The management of the Internet encompasses both technical and public policy issues and should involve all stakeholders and relevant intergovernmental and international organizations. In this respect, it is recognized that:</w:t>
      </w:r>
    </w:p>
    <w:p w:rsidR="007D1F2C" w:rsidRPr="00D57219" w:rsidRDefault="007D1F2C" w:rsidP="0040201F">
      <w:pPr>
        <w:tabs>
          <w:tab w:val="left" w:pos="993"/>
        </w:tabs>
        <w:spacing w:after="0" w:line="240" w:lineRule="auto"/>
        <w:ind w:left="426"/>
        <w:jc w:val="both"/>
        <w:rPr>
          <w:rFonts w:cstheme="minorHAnsi"/>
          <w:i/>
          <w:iCs/>
          <w:sz w:val="24"/>
          <w:szCs w:val="24"/>
        </w:rPr>
      </w:pPr>
    </w:p>
    <w:p w:rsidR="007D1F2C" w:rsidRPr="00D57219" w:rsidRDefault="00AC1CD6" w:rsidP="0040201F">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t xml:space="preserve">Policy authority for Internet-related public policy issues is the sovereign right of States. They have rights and responsibilities for international Internet-related public policy issues. </w:t>
      </w:r>
    </w:p>
    <w:p w:rsidR="007D1F2C" w:rsidRPr="00D57219" w:rsidRDefault="00AC1CD6" w:rsidP="0040201F">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t>The private sector has had, and should continue to have, an important role in the development of the Internet, both in the technical and economic fields.</w:t>
      </w:r>
    </w:p>
    <w:p w:rsidR="007D1F2C" w:rsidRPr="00D57219" w:rsidRDefault="00AC1CD6" w:rsidP="0040201F">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t>Civil society has also played an important role on Internet matters, especially at community level, and should continue to play such a role.</w:t>
      </w:r>
    </w:p>
    <w:p w:rsidR="007D1F2C" w:rsidRPr="00D57219" w:rsidRDefault="00AC1CD6" w:rsidP="0040201F">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i/>
          <w:iCs/>
        </w:rPr>
      </w:pPr>
      <w:r w:rsidRPr="00D57219">
        <w:rPr>
          <w:rFonts w:asciiTheme="minorHAnsi" w:eastAsia="SimSun" w:hAnsiTheme="minorHAnsi" w:cstheme="minorHAnsi"/>
          <w:i/>
          <w:iCs/>
        </w:rPr>
        <w:t xml:space="preserve">Intergovernmental organizations have had, and should continue to have, a facilitating role in the coordination of Internet-related public policy issues. </w:t>
      </w:r>
    </w:p>
    <w:p w:rsidR="007D1F2C" w:rsidRPr="00D57219" w:rsidRDefault="00AC1CD6" w:rsidP="0040201F">
      <w:pPr>
        <w:pStyle w:val="NormalWeb"/>
        <w:numPr>
          <w:ilvl w:val="8"/>
          <w:numId w:val="6"/>
        </w:numPr>
        <w:tabs>
          <w:tab w:val="left" w:pos="1134"/>
        </w:tabs>
        <w:spacing w:before="0" w:beforeAutospacing="0" w:after="0" w:afterAutospacing="0"/>
        <w:ind w:left="993" w:right="6" w:hanging="426"/>
        <w:jc w:val="both"/>
        <w:rPr>
          <w:rFonts w:asciiTheme="minorHAnsi" w:eastAsia="SimSun" w:hAnsiTheme="minorHAnsi" w:cstheme="minorHAnsi"/>
        </w:rPr>
      </w:pPr>
      <w:r w:rsidRPr="00D57219">
        <w:rPr>
          <w:rFonts w:asciiTheme="minorHAnsi" w:eastAsia="SimSun" w:hAnsiTheme="minorHAnsi" w:cstheme="minorHAnsi"/>
          <w:i/>
          <w:iCs/>
        </w:rPr>
        <w:t>International organizations have also had and should continue to have an important role in the development of Internet-related technical standards and relevant policies”.</w:t>
      </w:r>
    </w:p>
    <w:p w:rsidR="007D1F2C" w:rsidRPr="00D57219" w:rsidRDefault="007D1F2C" w:rsidP="0040201F">
      <w:pPr>
        <w:pStyle w:val="NormalWeb"/>
        <w:spacing w:before="0" w:beforeAutospacing="0" w:after="0" w:afterAutospacing="0"/>
        <w:ind w:right="6"/>
        <w:jc w:val="both"/>
        <w:rPr>
          <w:rFonts w:asciiTheme="minorHAnsi" w:hAnsiTheme="minorHAnsi" w:cstheme="minorHAnsi"/>
        </w:rPr>
      </w:pPr>
    </w:p>
    <w:p w:rsidR="007D1F2C" w:rsidRPr="00D57219" w:rsidRDefault="00AC1CD6" w:rsidP="0040201F">
      <w:pPr>
        <w:pStyle w:val="NormalWeb"/>
        <w:numPr>
          <w:ilvl w:val="0"/>
          <w:numId w:val="25"/>
        </w:numPr>
        <w:spacing w:before="0" w:beforeAutospacing="0" w:after="0" w:afterAutospacing="0"/>
        <w:ind w:left="426" w:right="6" w:hanging="426"/>
        <w:jc w:val="both"/>
        <w:rPr>
          <w:rFonts w:asciiTheme="minorHAnsi" w:hAnsiTheme="minorHAnsi"/>
        </w:rPr>
      </w:pPr>
      <w:r w:rsidRPr="00D57219">
        <w:rPr>
          <w:rFonts w:asciiTheme="minorHAnsi" w:hAnsiTheme="minorHAnsi"/>
        </w:rPr>
        <w:t xml:space="preserve">Under the broad framework of the </w:t>
      </w:r>
      <w:proofErr w:type="spellStart"/>
      <w:r w:rsidRPr="00D57219">
        <w:rPr>
          <w:rFonts w:asciiTheme="minorHAnsi" w:hAnsiTheme="minorHAnsi"/>
        </w:rPr>
        <w:t>multistakeholder</w:t>
      </w:r>
      <w:proofErr w:type="spellEnd"/>
      <w:r w:rsidRPr="00D57219">
        <w:rPr>
          <w:rFonts w:asciiTheme="minorHAnsi" w:hAnsiTheme="minorHAnsi"/>
        </w:rPr>
        <w:t xml:space="preserve"> governance model, </w:t>
      </w:r>
      <w:r w:rsidRPr="00D57219">
        <w:rPr>
          <w:rFonts w:asciiTheme="minorHAnsi" w:hAnsiTheme="minorHAnsi"/>
          <w:i/>
          <w:iCs/>
        </w:rPr>
        <w:t>the Tunis Agenda</w:t>
      </w:r>
      <w:r w:rsidRPr="00D57219">
        <w:rPr>
          <w:rFonts w:asciiTheme="minorHAnsi" w:hAnsiTheme="minorHAnsi"/>
        </w:rPr>
        <w:t xml:space="preserve"> provides </w:t>
      </w:r>
      <w:r w:rsidRPr="00D57219">
        <w:rPr>
          <w:rFonts w:asciiTheme="minorHAnsi" w:hAnsiTheme="minorHAnsi"/>
          <w:i/>
          <w:iCs/>
        </w:rPr>
        <w:t>guiding principles</w:t>
      </w:r>
      <w:r w:rsidRPr="00D57219">
        <w:rPr>
          <w:rFonts w:asciiTheme="minorHAnsi" w:hAnsiTheme="minorHAnsi"/>
        </w:rPr>
        <w:t xml:space="preserve"> for various aspects of the management of the Internet, including the relevant outcomes (§§ 29-82 of </w:t>
      </w:r>
      <w:r w:rsidRPr="00D57219">
        <w:rPr>
          <w:rFonts w:asciiTheme="minorHAnsi" w:hAnsiTheme="minorHAnsi"/>
          <w:i/>
          <w:iCs/>
        </w:rPr>
        <w:t>the Tunis Agenda</w:t>
      </w:r>
      <w:r w:rsidRPr="00D57219">
        <w:rPr>
          <w:rFonts w:asciiTheme="minorHAnsi" w:hAnsiTheme="minorHAnsi"/>
        </w:rPr>
        <w:t>), concerning Internet governance including enhanced cooperation and the establishment of the Internet Governance Forum (IGF).</w:t>
      </w:r>
    </w:p>
    <w:p w:rsidR="007D1F2C" w:rsidRDefault="007D1F2C" w:rsidP="0040201F">
      <w:pPr>
        <w:spacing w:after="0" w:line="240" w:lineRule="auto"/>
        <w:jc w:val="both"/>
        <w:rPr>
          <w:rFonts w:cstheme="minorHAnsi"/>
          <w:sz w:val="24"/>
          <w:szCs w:val="24"/>
        </w:rPr>
      </w:pPr>
    </w:p>
    <w:p w:rsidR="007D1F2C" w:rsidRDefault="006E18CA" w:rsidP="0040201F">
      <w:pPr>
        <w:spacing w:after="0" w:line="240" w:lineRule="auto"/>
        <w:jc w:val="both"/>
        <w:rPr>
          <w:rFonts w:cstheme="minorHAnsi"/>
          <w:b/>
          <w:bCs/>
          <w:sz w:val="24"/>
          <w:szCs w:val="24"/>
        </w:rPr>
      </w:pPr>
      <w:r w:rsidRPr="005D33A9">
        <w:rPr>
          <w:rFonts w:cstheme="minorHAnsi"/>
          <w:b/>
          <w:bCs/>
          <w:sz w:val="24"/>
          <w:szCs w:val="24"/>
        </w:rPr>
        <w:t>2.3.2.2</w:t>
      </w:r>
      <w:r w:rsidRPr="005D33A9">
        <w:rPr>
          <w:rFonts w:cstheme="minorHAnsi"/>
          <w:b/>
          <w:bCs/>
          <w:sz w:val="24"/>
          <w:szCs w:val="24"/>
        </w:rPr>
        <w:tab/>
        <w:t xml:space="preserve">Through its Plenipotentiary Resolutions, </w:t>
      </w:r>
      <w:r w:rsidR="000F64AC">
        <w:rPr>
          <w:rFonts w:cstheme="minorHAnsi"/>
          <w:b/>
          <w:bCs/>
          <w:sz w:val="24"/>
          <w:szCs w:val="24"/>
        </w:rPr>
        <w:t xml:space="preserve">the </w:t>
      </w:r>
      <w:r w:rsidRPr="005D33A9">
        <w:rPr>
          <w:rFonts w:cstheme="minorHAnsi"/>
          <w:b/>
          <w:bCs/>
          <w:sz w:val="24"/>
          <w:szCs w:val="24"/>
        </w:rPr>
        <w:t>ITU membership recognizes the multi-stakeholder governance model based on WSIS princip</w:t>
      </w:r>
      <w:r w:rsidR="00AC1CD6" w:rsidRPr="00AC1CD6">
        <w:rPr>
          <w:rFonts w:cstheme="minorHAnsi"/>
          <w:b/>
          <w:bCs/>
          <w:sz w:val="24"/>
          <w:szCs w:val="24"/>
        </w:rPr>
        <w:t>les as the framework for global Internet governance</w:t>
      </w:r>
    </w:p>
    <w:p w:rsidR="007D1F2C" w:rsidRDefault="007D1F2C" w:rsidP="0040201F">
      <w:pPr>
        <w:spacing w:after="0" w:line="240" w:lineRule="auto"/>
        <w:jc w:val="both"/>
        <w:rPr>
          <w:rFonts w:cstheme="minorHAnsi"/>
          <w:b/>
          <w:bCs/>
          <w:sz w:val="24"/>
          <w:szCs w:val="24"/>
        </w:rPr>
      </w:pPr>
    </w:p>
    <w:p w:rsidR="007D1F2C" w:rsidRDefault="00AC1CD6" w:rsidP="0040201F">
      <w:pPr>
        <w:pStyle w:val="HPMbodytext"/>
        <w:numPr>
          <w:ilvl w:val="0"/>
          <w:numId w:val="13"/>
        </w:numPr>
        <w:spacing w:before="0" w:after="0"/>
        <w:ind w:left="360" w:right="142"/>
        <w:jc w:val="both"/>
        <w:rPr>
          <w:rFonts w:asciiTheme="minorHAnsi" w:eastAsiaTheme="minorEastAsia" w:hAnsiTheme="minorHAnsi" w:cstheme="minorHAnsi"/>
          <w:szCs w:val="24"/>
        </w:rPr>
      </w:pPr>
      <w:r w:rsidRPr="00AC1CD6">
        <w:rPr>
          <w:rFonts w:asciiTheme="minorHAnsi" w:eastAsiaTheme="minorEastAsia" w:hAnsiTheme="minorHAnsi" w:cstheme="minorHAnsi"/>
          <w:szCs w:val="24"/>
        </w:rPr>
        <w:t xml:space="preserve">The recognition of WSIS principles, of the </w:t>
      </w:r>
      <w:proofErr w:type="spellStart"/>
      <w:r w:rsidRPr="00AC1CD6">
        <w:rPr>
          <w:rFonts w:asciiTheme="minorHAnsi" w:eastAsiaTheme="minorEastAsia" w:hAnsiTheme="minorHAnsi" w:cstheme="minorHAnsi"/>
          <w:szCs w:val="24"/>
        </w:rPr>
        <w:t>multistakeholder</w:t>
      </w:r>
      <w:proofErr w:type="spellEnd"/>
      <w:r w:rsidRPr="00AC1CD6">
        <w:rPr>
          <w:rFonts w:asciiTheme="minorHAnsi" w:eastAsiaTheme="minorEastAsia" w:hAnsiTheme="minorHAnsi" w:cstheme="minorHAnsi"/>
          <w:szCs w:val="24"/>
        </w:rPr>
        <w:t xml:space="preserve"> model of Internet governance and of the important role and responsibilities of each stakeholder group is advanced in the various </w:t>
      </w:r>
      <w:r w:rsidR="002836B7">
        <w:rPr>
          <w:rFonts w:asciiTheme="minorHAnsi" w:eastAsiaTheme="minorEastAsia" w:hAnsiTheme="minorHAnsi" w:cstheme="minorHAnsi"/>
          <w:szCs w:val="24"/>
        </w:rPr>
        <w:t xml:space="preserve">ITU </w:t>
      </w:r>
      <w:r w:rsidRPr="00AC1CD6">
        <w:rPr>
          <w:rFonts w:asciiTheme="minorHAnsi" w:eastAsiaTheme="minorEastAsia" w:hAnsiTheme="minorHAnsi" w:cstheme="minorHAnsi"/>
          <w:szCs w:val="24"/>
        </w:rPr>
        <w:t xml:space="preserve">Plenipotentiary Resolutions, especially in Res. 102 (Rev. Guadalajara, 2010). </w:t>
      </w:r>
    </w:p>
    <w:p w:rsidR="007D1F2C" w:rsidRDefault="007D1F2C" w:rsidP="0040201F">
      <w:pPr>
        <w:pStyle w:val="HPMbodytext"/>
        <w:spacing w:before="0" w:after="0"/>
        <w:ind w:left="360" w:right="142"/>
        <w:jc w:val="both"/>
        <w:rPr>
          <w:rFonts w:asciiTheme="minorHAnsi" w:eastAsiaTheme="minorEastAsia" w:hAnsiTheme="minorHAnsi" w:cstheme="minorHAnsi"/>
          <w:szCs w:val="24"/>
        </w:rPr>
      </w:pPr>
    </w:p>
    <w:p w:rsidR="007D1F2C" w:rsidRDefault="00AC1CD6" w:rsidP="0040201F">
      <w:pPr>
        <w:pStyle w:val="HPMbodytext"/>
        <w:numPr>
          <w:ilvl w:val="0"/>
          <w:numId w:val="13"/>
        </w:numPr>
        <w:spacing w:before="0" w:after="0"/>
        <w:ind w:left="360" w:right="142"/>
        <w:jc w:val="both"/>
        <w:rPr>
          <w:rFonts w:asciiTheme="minorHAnsi" w:eastAsiaTheme="minorEastAsia" w:hAnsiTheme="minorHAnsi" w:cstheme="minorHAnsi"/>
          <w:szCs w:val="24"/>
        </w:rPr>
      </w:pPr>
      <w:r w:rsidRPr="00AC1CD6">
        <w:rPr>
          <w:rFonts w:asciiTheme="minorHAnsi" w:eastAsiaTheme="minorEastAsia" w:hAnsiTheme="minorHAnsi" w:cstheme="minorHAnsi"/>
          <w:szCs w:val="24"/>
        </w:rPr>
        <w:t xml:space="preserve">Many of the paragraphs from the </w:t>
      </w:r>
      <w:r w:rsidRPr="00AC1CD6">
        <w:rPr>
          <w:rFonts w:asciiTheme="minorHAnsi" w:eastAsiaTheme="minorEastAsia" w:hAnsiTheme="minorHAnsi" w:cstheme="minorHAnsi"/>
          <w:i/>
          <w:iCs/>
          <w:szCs w:val="24"/>
        </w:rPr>
        <w:t>Tunis Agenda</w:t>
      </w:r>
      <w:r w:rsidRPr="00AC1CD6">
        <w:rPr>
          <w:rFonts w:asciiTheme="minorHAnsi" w:eastAsiaTheme="minorEastAsia" w:hAnsiTheme="minorHAnsi" w:cstheme="minorHAnsi"/>
          <w:szCs w:val="24"/>
        </w:rPr>
        <w:t xml:space="preserve"> on </w:t>
      </w:r>
      <w:proofErr w:type="spellStart"/>
      <w:r w:rsidRPr="00AC1CD6">
        <w:rPr>
          <w:rFonts w:asciiTheme="minorHAnsi" w:eastAsiaTheme="minorEastAsia" w:hAnsiTheme="minorHAnsi" w:cstheme="minorHAnsi"/>
          <w:szCs w:val="24"/>
        </w:rPr>
        <w:t>multistakeholder</w:t>
      </w:r>
      <w:proofErr w:type="spellEnd"/>
      <w:r w:rsidRPr="00AC1CD6">
        <w:rPr>
          <w:rFonts w:asciiTheme="minorHAnsi" w:eastAsiaTheme="minorEastAsia" w:hAnsiTheme="minorHAnsi" w:cstheme="minorHAnsi"/>
          <w:szCs w:val="24"/>
        </w:rPr>
        <w:t xml:space="preserve"> cooperation are included, </w:t>
      </w:r>
      <w:r w:rsidRPr="00AC1CD6">
        <w:rPr>
          <w:rFonts w:asciiTheme="minorHAnsi" w:eastAsiaTheme="minorEastAsia" w:hAnsiTheme="minorHAnsi" w:cstheme="minorHAnsi"/>
          <w:i/>
          <w:iCs/>
          <w:szCs w:val="24"/>
        </w:rPr>
        <w:t>inter alia</w:t>
      </w:r>
      <w:r w:rsidRPr="00AC1CD6">
        <w:rPr>
          <w:rFonts w:asciiTheme="minorHAnsi" w:eastAsiaTheme="minorEastAsia" w:hAnsiTheme="minorHAnsi" w:cstheme="minorHAnsi"/>
          <w:szCs w:val="24"/>
        </w:rPr>
        <w:t xml:space="preserve">, in Resolutions 101, 102 and 133. </w:t>
      </w:r>
      <w:r w:rsidR="00C42416">
        <w:rPr>
          <w:rFonts w:asciiTheme="minorHAnsi" w:eastAsiaTheme="minorEastAsia" w:hAnsiTheme="minorHAnsi" w:cstheme="minorHAnsi"/>
          <w:szCs w:val="24"/>
        </w:rPr>
        <w:t>Here, t</w:t>
      </w:r>
      <w:r w:rsidRPr="00AC1CD6">
        <w:rPr>
          <w:rFonts w:asciiTheme="minorHAnsi" w:eastAsiaTheme="minorEastAsia" w:hAnsiTheme="minorHAnsi" w:cstheme="minorHAnsi"/>
          <w:szCs w:val="24"/>
        </w:rPr>
        <w:t xml:space="preserve">he need for </w:t>
      </w:r>
      <w:proofErr w:type="spellStart"/>
      <w:r w:rsidRPr="00AC1CD6">
        <w:rPr>
          <w:rFonts w:asciiTheme="minorHAnsi" w:eastAsiaTheme="minorEastAsia" w:hAnsiTheme="minorHAnsi" w:cstheme="minorHAnsi"/>
          <w:szCs w:val="24"/>
        </w:rPr>
        <w:t>multistakeholder</w:t>
      </w:r>
      <w:proofErr w:type="spellEnd"/>
      <w:r w:rsidRPr="00AC1CD6">
        <w:rPr>
          <w:rFonts w:asciiTheme="minorHAnsi" w:eastAsiaTheme="minorEastAsia" w:hAnsiTheme="minorHAnsi" w:cstheme="minorHAnsi"/>
          <w:szCs w:val="24"/>
        </w:rPr>
        <w:t xml:space="preserve"> cooperation is apparent in paragraphs such as the ones below</w:t>
      </w:r>
      <w:r>
        <w:rPr>
          <w:rStyle w:val="FootnoteReference"/>
          <w:rFonts w:asciiTheme="minorHAnsi" w:eastAsiaTheme="minorEastAsia" w:hAnsiTheme="minorHAnsi" w:cstheme="minorHAnsi"/>
          <w:szCs w:val="24"/>
        </w:rPr>
        <w:footnoteReference w:id="54"/>
      </w:r>
      <w:r w:rsidRPr="00AC1CD6">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7D1F2C" w:rsidRDefault="007D1F2C" w:rsidP="0040201F">
      <w:pPr>
        <w:pStyle w:val="HPMbodytext"/>
        <w:spacing w:before="0" w:after="0"/>
        <w:ind w:right="142"/>
        <w:jc w:val="both"/>
        <w:rPr>
          <w:rFonts w:asciiTheme="minorHAnsi" w:eastAsiaTheme="minorEastAsia" w:hAnsiTheme="minorHAnsi" w:cstheme="minorHAnsi"/>
          <w:szCs w:val="24"/>
        </w:rPr>
      </w:pPr>
    </w:p>
    <w:p w:rsidR="007D1F2C" w:rsidRDefault="00AC1CD6" w:rsidP="0040201F">
      <w:pPr>
        <w:pStyle w:val="ListParagraph"/>
        <w:numPr>
          <w:ilvl w:val="0"/>
          <w:numId w:val="14"/>
        </w:numPr>
        <w:spacing w:after="0" w:line="240" w:lineRule="auto"/>
        <w:ind w:left="993" w:hanging="426"/>
        <w:jc w:val="both"/>
        <w:rPr>
          <w:rFonts w:cstheme="minorHAnsi"/>
          <w:b/>
          <w:bCs/>
          <w:i/>
          <w:iCs/>
          <w:sz w:val="24"/>
          <w:szCs w:val="24"/>
        </w:rPr>
      </w:pPr>
      <w:r w:rsidRPr="00AC1CD6">
        <w:rPr>
          <w:rFonts w:cstheme="minorHAnsi"/>
          <w:i/>
          <w:iCs/>
          <w:sz w:val="24"/>
          <w:szCs w:val="24"/>
        </w:rPr>
        <w:lastRenderedPageBreak/>
        <w:t>“The development of the Internet is today essentially market-led and has been driven by both private and government initiatives.</w:t>
      </w:r>
    </w:p>
    <w:p w:rsidR="007D1F2C" w:rsidRDefault="00AC1CD6" w:rsidP="0040201F">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t>The private sector continues to play a very important role in the expansion and development of the Internet, for example through investments in infrastructures and services.</w:t>
      </w:r>
    </w:p>
    <w:p w:rsidR="007D1F2C" w:rsidRDefault="00AC1CD6" w:rsidP="0040201F">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t xml:space="preserve">The management of the Internet is a subject of valid international interest and must flow from full international and </w:t>
      </w:r>
      <w:proofErr w:type="spellStart"/>
      <w:r w:rsidRPr="00AC1CD6">
        <w:rPr>
          <w:rFonts w:cstheme="minorHAnsi"/>
          <w:i/>
          <w:iCs/>
          <w:sz w:val="24"/>
          <w:szCs w:val="24"/>
        </w:rPr>
        <w:t>multistakeholder</w:t>
      </w:r>
      <w:proofErr w:type="spellEnd"/>
      <w:r w:rsidRPr="00AC1CD6">
        <w:rPr>
          <w:rFonts w:cstheme="minorHAnsi"/>
          <w:i/>
          <w:iCs/>
          <w:sz w:val="24"/>
          <w:szCs w:val="24"/>
        </w:rPr>
        <w:t xml:space="preserve"> cooperation on the basis of the WSIS outcomes.</w:t>
      </w:r>
    </w:p>
    <w:p w:rsidR="007D1F2C" w:rsidRDefault="00AC1CD6" w:rsidP="0040201F">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t>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p>
    <w:p w:rsidR="007D1F2C" w:rsidRDefault="00AC1CD6" w:rsidP="0040201F">
      <w:pPr>
        <w:pStyle w:val="ListParagraph"/>
        <w:numPr>
          <w:ilvl w:val="0"/>
          <w:numId w:val="14"/>
        </w:numPr>
        <w:spacing w:after="0" w:line="240" w:lineRule="auto"/>
        <w:ind w:left="993" w:hanging="426"/>
        <w:jc w:val="both"/>
        <w:rPr>
          <w:rFonts w:cstheme="minorHAnsi"/>
          <w:i/>
          <w:iCs/>
          <w:sz w:val="24"/>
          <w:szCs w:val="24"/>
        </w:rPr>
      </w:pPr>
      <w:r w:rsidRPr="00AC1CD6">
        <w:rPr>
          <w:rFonts w:cstheme="minorHAnsi"/>
          <w:i/>
          <w:iCs/>
          <w:sz w:val="24"/>
          <w:szCs w:val="24"/>
        </w:rPr>
        <w:t xml:space="preserve">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[source: </w:t>
      </w:r>
      <w:proofErr w:type="spellStart"/>
      <w:r w:rsidRPr="00AC1CD6">
        <w:rPr>
          <w:rFonts w:cstheme="minorHAnsi"/>
          <w:i/>
          <w:iCs/>
          <w:sz w:val="24"/>
          <w:szCs w:val="24"/>
        </w:rPr>
        <w:t>para</w:t>
      </w:r>
      <w:proofErr w:type="spellEnd"/>
      <w:r w:rsidRPr="00AC1CD6">
        <w:rPr>
          <w:rFonts w:cstheme="minorHAnsi"/>
          <w:i/>
          <w:iCs/>
          <w:sz w:val="24"/>
          <w:szCs w:val="24"/>
        </w:rPr>
        <w:t>. 69, Tunis Agenda</w:t>
      </w:r>
      <w:r w:rsidR="006E18CA" w:rsidRPr="005D33A9">
        <w:rPr>
          <w:rStyle w:val="FootnoteReference"/>
          <w:rFonts w:cstheme="minorHAnsi"/>
          <w:i/>
          <w:iCs/>
          <w:sz w:val="24"/>
          <w:szCs w:val="24"/>
        </w:rPr>
        <w:footnoteReference w:id="55"/>
      </w:r>
      <w:r w:rsidR="006E18CA" w:rsidRPr="005D33A9">
        <w:rPr>
          <w:rFonts w:cstheme="minorHAnsi"/>
          <w:i/>
          <w:iCs/>
          <w:sz w:val="24"/>
          <w:szCs w:val="24"/>
        </w:rPr>
        <w:t>].</w:t>
      </w:r>
    </w:p>
    <w:p w:rsidR="007D1F2C" w:rsidRDefault="006E18CA" w:rsidP="0040201F">
      <w:pPr>
        <w:pStyle w:val="ListParagraph"/>
        <w:numPr>
          <w:ilvl w:val="0"/>
          <w:numId w:val="14"/>
        </w:numPr>
        <w:spacing w:after="0" w:line="240" w:lineRule="auto"/>
        <w:ind w:left="993" w:hanging="426"/>
        <w:jc w:val="both"/>
        <w:rPr>
          <w:rFonts w:cstheme="minorHAnsi"/>
          <w:sz w:val="24"/>
          <w:szCs w:val="24"/>
        </w:rPr>
      </w:pPr>
      <w:r w:rsidRPr="005D33A9">
        <w:rPr>
          <w:rFonts w:cstheme="minorHAnsi"/>
          <w:i/>
          <w:iCs/>
          <w:sz w:val="24"/>
          <w:szCs w:val="24"/>
        </w:rPr>
        <w:t>Recalling the results of WSIS, there sh</w:t>
      </w:r>
      <w:r w:rsidR="00AC1CD6" w:rsidRPr="00AC1CD6">
        <w:rPr>
          <w:rFonts w:cstheme="minorHAnsi"/>
          <w:i/>
          <w:iCs/>
          <w:sz w:val="24"/>
          <w:szCs w:val="24"/>
        </w:rPr>
        <w:t xml:space="preserve">ould be a commitment to working earnestly towards </w:t>
      </w:r>
      <w:proofErr w:type="spellStart"/>
      <w:r w:rsidR="00AC1CD6" w:rsidRPr="00AC1CD6">
        <w:rPr>
          <w:rFonts w:cstheme="minorHAnsi"/>
          <w:i/>
          <w:iCs/>
          <w:sz w:val="24"/>
          <w:szCs w:val="24"/>
        </w:rPr>
        <w:t>multilingualization</w:t>
      </w:r>
      <w:proofErr w:type="spellEnd"/>
      <w:r w:rsidR="00AC1CD6" w:rsidRPr="00AC1CD6">
        <w:rPr>
          <w:rFonts w:cstheme="minorHAnsi"/>
          <w:i/>
          <w:iCs/>
          <w:sz w:val="24"/>
          <w:szCs w:val="24"/>
        </w:rPr>
        <w:t xml:space="preserve"> of the Internet, as part of a multilateral, transparent and democratic process, involving governments and all stakeholders, in their respective roles</w:t>
      </w:r>
      <w:r w:rsidR="00F84074">
        <w:rPr>
          <w:rFonts w:cstheme="minorHAnsi"/>
          <w:i/>
          <w:iCs/>
          <w:sz w:val="24"/>
          <w:szCs w:val="24"/>
        </w:rPr>
        <w:t>”.</w:t>
      </w:r>
      <w:r w:rsidRPr="005D33A9">
        <w:rPr>
          <w:rStyle w:val="FootnoteReference"/>
          <w:rFonts w:cstheme="minorHAnsi"/>
          <w:i/>
          <w:iCs/>
          <w:sz w:val="24"/>
          <w:szCs w:val="24"/>
        </w:rPr>
        <w:footnoteReference w:id="56"/>
      </w:r>
    </w:p>
    <w:p w:rsidR="007D1F2C" w:rsidRDefault="007D1F2C" w:rsidP="0040201F">
      <w:pPr>
        <w:spacing w:after="0" w:line="240" w:lineRule="auto"/>
        <w:jc w:val="both"/>
        <w:rPr>
          <w:rFonts w:cstheme="minorHAnsi"/>
          <w:sz w:val="24"/>
          <w:szCs w:val="24"/>
        </w:rPr>
      </w:pPr>
    </w:p>
    <w:p w:rsidR="007D1F2C" w:rsidRDefault="00AC1CD6" w:rsidP="0040201F">
      <w:pPr>
        <w:spacing w:after="0" w:line="240" w:lineRule="auto"/>
        <w:jc w:val="both"/>
        <w:rPr>
          <w:rFonts w:cstheme="minorHAnsi"/>
          <w:b/>
          <w:bCs/>
          <w:sz w:val="24"/>
          <w:szCs w:val="24"/>
          <w:lang w:val="en-GB"/>
        </w:rPr>
      </w:pPr>
      <w:r w:rsidRPr="00AC1CD6">
        <w:rPr>
          <w:rFonts w:cstheme="minorHAnsi"/>
          <w:b/>
          <w:bCs/>
          <w:sz w:val="24"/>
          <w:szCs w:val="24"/>
          <w:lang w:val="en-GB"/>
        </w:rPr>
        <w:t>2.3.2.3</w:t>
      </w:r>
      <w:r w:rsidRPr="00AC1CD6">
        <w:rPr>
          <w:rFonts w:cstheme="minorHAnsi"/>
          <w:b/>
          <w:bCs/>
          <w:sz w:val="24"/>
          <w:szCs w:val="24"/>
          <w:lang w:val="en-GB"/>
        </w:rPr>
        <w:tab/>
        <w:t xml:space="preserve">The implementation of the WSIS </w:t>
      </w:r>
      <w:proofErr w:type="spellStart"/>
      <w:r w:rsidRPr="00AC1CD6">
        <w:rPr>
          <w:rFonts w:cstheme="minorHAnsi"/>
          <w:b/>
          <w:bCs/>
          <w:sz w:val="24"/>
          <w:szCs w:val="24"/>
          <w:lang w:val="en-GB"/>
        </w:rPr>
        <w:t>multistakeholder</w:t>
      </w:r>
      <w:proofErr w:type="spellEnd"/>
      <w:r w:rsidRPr="00AC1CD6">
        <w:rPr>
          <w:rFonts w:cstheme="minorHAnsi"/>
          <w:b/>
          <w:bCs/>
          <w:sz w:val="24"/>
          <w:szCs w:val="24"/>
          <w:lang w:val="en-GB"/>
        </w:rPr>
        <w:t xml:space="preserve"> principles is under discussion. The issues raised in </w:t>
      </w:r>
      <w:r w:rsidR="007466EE">
        <w:rPr>
          <w:rFonts w:cstheme="minorHAnsi"/>
          <w:b/>
          <w:bCs/>
          <w:sz w:val="24"/>
          <w:szCs w:val="24"/>
          <w:lang w:val="en-GB"/>
        </w:rPr>
        <w:t xml:space="preserve">ITU </w:t>
      </w:r>
      <w:r w:rsidRPr="00AC1CD6">
        <w:rPr>
          <w:rFonts w:cstheme="minorHAnsi"/>
          <w:b/>
          <w:bCs/>
          <w:sz w:val="24"/>
          <w:szCs w:val="24"/>
          <w:lang w:val="en-GB"/>
        </w:rPr>
        <w:t>Plenipotentiary Resolutions reflect the delicate interplay between the roles and responsibilities of different stakeholders in the management of the Internet</w:t>
      </w:r>
    </w:p>
    <w:p w:rsidR="007D1F2C" w:rsidRDefault="007D1F2C" w:rsidP="0040201F">
      <w:pPr>
        <w:spacing w:after="0" w:line="240" w:lineRule="auto"/>
        <w:jc w:val="both"/>
        <w:rPr>
          <w:rFonts w:cstheme="minorHAnsi"/>
          <w:b/>
          <w:bCs/>
          <w:sz w:val="24"/>
          <w:szCs w:val="24"/>
          <w:u w:val="single"/>
          <w:lang w:val="en-GB"/>
        </w:rPr>
      </w:pPr>
    </w:p>
    <w:p w:rsidR="007D1F2C" w:rsidRDefault="00AC1CD6" w:rsidP="0040201F">
      <w:pPr>
        <w:pStyle w:val="Default"/>
        <w:numPr>
          <w:ilvl w:val="0"/>
          <w:numId w:val="15"/>
        </w:numPr>
        <w:ind w:left="426" w:hanging="426"/>
        <w:jc w:val="both"/>
        <w:rPr>
          <w:rFonts w:asciiTheme="minorHAnsi" w:hAnsiTheme="minorHAnsi" w:cstheme="minorHAnsi"/>
          <w:color w:val="0D0D0D" w:themeColor="text1" w:themeTint="F2"/>
        </w:rPr>
      </w:pPr>
      <w:r w:rsidRPr="00AC1CD6">
        <w:rPr>
          <w:rFonts w:asciiTheme="minorHAnsi" w:hAnsiTheme="minorHAnsi"/>
          <w:color w:val="auto"/>
        </w:rPr>
        <w:t xml:space="preserve">The principle of </w:t>
      </w:r>
      <w:proofErr w:type="spellStart"/>
      <w:r w:rsidRPr="00AC1CD6">
        <w:rPr>
          <w:rFonts w:asciiTheme="minorHAnsi" w:hAnsiTheme="minorHAnsi"/>
          <w:color w:val="auto"/>
        </w:rPr>
        <w:t>multistakeholder</w:t>
      </w:r>
      <w:proofErr w:type="spellEnd"/>
      <w:r w:rsidRPr="00AC1CD6">
        <w:rPr>
          <w:rFonts w:asciiTheme="minorHAnsi" w:hAnsiTheme="minorHAnsi"/>
          <w:color w:val="auto"/>
        </w:rPr>
        <w:t xml:space="preserve"> governance of the Internet is broadly recognized.  However, implementation is quite diverse and varies by organization, by country, and other scenarios and often based upon the issues in question. </w:t>
      </w:r>
      <w:r w:rsidRPr="00AC1CD6">
        <w:rPr>
          <w:rFonts w:asciiTheme="minorHAnsi" w:eastAsiaTheme="minorEastAsia" w:hAnsiTheme="minorHAnsi" w:cstheme="minorHAnsi"/>
          <w:color w:val="auto"/>
          <w:lang w:eastAsia="zh-CN"/>
        </w:rPr>
        <w:t xml:space="preserve">Discussions on Internet governance have been carried out from both a narrow and broad perspective. The narrow perspective focuses on Internet architecture and communication infrastructure (DNS, IP numbers, and root servers) – fields in which organizations such as the Internet Corporation for Assigned Names and Numbers (ICANN), the Regional Internet Registries (RIRs) play a significant role, with many stakeholders therein. A broader perspective on Internet governance goes beyond infrastructural points and address other </w:t>
      </w:r>
      <w:r w:rsidRPr="00AC1CD6">
        <w:rPr>
          <w:rFonts w:asciiTheme="minorHAnsi" w:eastAsiaTheme="minorEastAsia" w:hAnsiTheme="minorHAnsi" w:cstheme="minorHAnsi"/>
          <w:color w:val="0D0D0D" w:themeColor="text1" w:themeTint="F2"/>
          <w:lang w:eastAsia="zh-CN"/>
        </w:rPr>
        <w:t>legal, economic, developmental, and socio-cultural issues, such as the approach adopted by the WSIS</w:t>
      </w:r>
      <w:r w:rsidRPr="00AC1CD6">
        <w:rPr>
          <w:rFonts w:asciiTheme="minorHAnsi" w:hAnsiTheme="minorHAnsi"/>
          <w:color w:val="0D0D0D" w:themeColor="text1" w:themeTint="F2"/>
        </w:rPr>
        <w:t xml:space="preserve"> </w:t>
      </w:r>
      <w:r w:rsidRPr="00AC1CD6">
        <w:rPr>
          <w:rStyle w:val="FootnoteReference"/>
          <w:rFonts w:asciiTheme="minorHAnsi" w:eastAsiaTheme="minorEastAsia" w:hAnsiTheme="minorHAnsi" w:cstheme="minorHAnsi"/>
          <w:color w:val="0D0D0D" w:themeColor="text1" w:themeTint="F2"/>
          <w:lang w:eastAsia="zh-CN"/>
        </w:rPr>
        <w:footnoteReference w:id="57"/>
      </w:r>
      <w:r w:rsidRPr="00AC1CD6">
        <w:rPr>
          <w:rStyle w:val="Hyperlink"/>
          <w:rFonts w:asciiTheme="minorHAnsi" w:hAnsiTheme="minorHAnsi" w:cstheme="minorHAnsi"/>
          <w:color w:val="0D0D0D" w:themeColor="text1" w:themeTint="F2"/>
          <w:u w:val="none"/>
          <w:vertAlign w:val="superscript"/>
        </w:rPr>
        <w:t>,</w:t>
      </w:r>
      <w:r w:rsidRPr="00AC1CD6">
        <w:rPr>
          <w:rStyle w:val="FootnoteReference"/>
          <w:rFonts w:asciiTheme="minorHAnsi" w:hAnsiTheme="minorHAnsi" w:cstheme="minorHAnsi"/>
          <w:color w:val="0D0D0D" w:themeColor="text1" w:themeTint="F2"/>
        </w:rPr>
        <w:footnoteReference w:id="58"/>
      </w:r>
      <w:r w:rsidRPr="00AC1CD6">
        <w:rPr>
          <w:rFonts w:asciiTheme="minorHAnsi" w:eastAsiaTheme="minorEastAsia" w:hAnsiTheme="minorHAnsi" w:cstheme="minorHAnsi"/>
          <w:color w:val="0D0D0D" w:themeColor="text1" w:themeTint="F2"/>
          <w:lang w:eastAsia="zh-CN"/>
        </w:rPr>
        <w:t>.</w:t>
      </w:r>
    </w:p>
    <w:p w:rsidR="007D1F2C" w:rsidRDefault="007D1F2C" w:rsidP="0040201F">
      <w:pPr>
        <w:pStyle w:val="Default"/>
        <w:ind w:left="426" w:hanging="426"/>
        <w:jc w:val="both"/>
        <w:rPr>
          <w:rFonts w:asciiTheme="minorHAnsi" w:hAnsiTheme="minorHAnsi" w:cstheme="minorHAnsi"/>
          <w:color w:val="0D0D0D" w:themeColor="text1" w:themeTint="F2"/>
        </w:rPr>
      </w:pPr>
    </w:p>
    <w:p w:rsidR="007D1F2C" w:rsidRDefault="006E18CA" w:rsidP="0040201F">
      <w:pPr>
        <w:pStyle w:val="ListParagraph"/>
        <w:numPr>
          <w:ilvl w:val="0"/>
          <w:numId w:val="15"/>
        </w:numPr>
        <w:spacing w:after="0" w:line="240" w:lineRule="auto"/>
        <w:ind w:left="426" w:hanging="426"/>
        <w:jc w:val="both"/>
        <w:rPr>
          <w:rFonts w:cstheme="minorHAnsi"/>
          <w:sz w:val="24"/>
          <w:szCs w:val="24"/>
        </w:rPr>
      </w:pPr>
      <w:r w:rsidRPr="005D33A9">
        <w:rPr>
          <w:rFonts w:cstheme="minorHAnsi"/>
          <w:sz w:val="24"/>
          <w:szCs w:val="24"/>
        </w:rPr>
        <w:t>The WSIS outcome documents and ITU Plenipotentiary Resolutions, as well as many national and regional initiatives</w:t>
      </w:r>
      <w:r w:rsidRPr="005D33A9">
        <w:rPr>
          <w:rStyle w:val="FootnoteReference"/>
          <w:rFonts w:cstheme="minorHAnsi"/>
          <w:sz w:val="24"/>
          <w:szCs w:val="24"/>
        </w:rPr>
        <w:footnoteReference w:id="59"/>
      </w:r>
      <w:r w:rsidRPr="005D33A9">
        <w:rPr>
          <w:rFonts w:cstheme="minorHAnsi"/>
          <w:sz w:val="24"/>
          <w:szCs w:val="24"/>
        </w:rPr>
        <w:t xml:space="preserve">, have endorsed the WSIS </w:t>
      </w:r>
      <w:proofErr w:type="spellStart"/>
      <w:r w:rsidRPr="005D33A9">
        <w:rPr>
          <w:rFonts w:cstheme="minorHAnsi"/>
          <w:sz w:val="24"/>
          <w:szCs w:val="24"/>
        </w:rPr>
        <w:t>multistakeholder</w:t>
      </w:r>
      <w:proofErr w:type="spellEnd"/>
      <w:r w:rsidRPr="005D33A9">
        <w:rPr>
          <w:rFonts w:cstheme="minorHAnsi"/>
          <w:sz w:val="24"/>
          <w:szCs w:val="24"/>
        </w:rPr>
        <w:t xml:space="preserve"> model for the </w:t>
      </w:r>
      <w:r w:rsidRPr="005D33A9">
        <w:rPr>
          <w:rFonts w:cstheme="minorHAnsi"/>
          <w:sz w:val="24"/>
          <w:szCs w:val="24"/>
        </w:rPr>
        <w:lastRenderedPageBreak/>
        <w:t>management of the Internet that includes governments, private sector, international and intergovernmental organizations, civil society and academia.</w:t>
      </w:r>
    </w:p>
    <w:p w:rsidR="007D1F2C" w:rsidRDefault="007D1F2C" w:rsidP="0040201F">
      <w:pPr>
        <w:spacing w:after="0" w:line="240" w:lineRule="auto"/>
        <w:ind w:left="426" w:hanging="426"/>
        <w:jc w:val="both"/>
        <w:rPr>
          <w:rFonts w:cstheme="minorHAnsi"/>
          <w:sz w:val="24"/>
          <w:szCs w:val="24"/>
        </w:rPr>
      </w:pPr>
    </w:p>
    <w:p w:rsidR="007D1F2C" w:rsidRDefault="00AC1CD6" w:rsidP="0040201F">
      <w:pPr>
        <w:pStyle w:val="ListParagraph"/>
        <w:numPr>
          <w:ilvl w:val="0"/>
          <w:numId w:val="15"/>
        </w:numPr>
        <w:spacing w:after="0" w:line="240" w:lineRule="auto"/>
        <w:ind w:left="426" w:hanging="426"/>
        <w:jc w:val="both"/>
        <w:rPr>
          <w:rFonts w:cstheme="minorHAnsi"/>
          <w:sz w:val="24"/>
          <w:szCs w:val="24"/>
        </w:rPr>
      </w:pPr>
      <w:r w:rsidRPr="00AC1CD6">
        <w:rPr>
          <w:rFonts w:cstheme="minorHAnsi"/>
          <w:sz w:val="24"/>
          <w:szCs w:val="24"/>
          <w:lang w:val="en-GB"/>
        </w:rPr>
        <w:t xml:space="preserve">A divergence in opinion is observed in the implementation of the WSIS </w:t>
      </w:r>
      <w:proofErr w:type="spellStart"/>
      <w:r w:rsidRPr="00AC1CD6">
        <w:rPr>
          <w:rFonts w:cstheme="minorHAnsi"/>
          <w:sz w:val="24"/>
          <w:szCs w:val="24"/>
          <w:lang w:val="en-GB"/>
        </w:rPr>
        <w:t>multistakeholder</w:t>
      </w:r>
      <w:proofErr w:type="spellEnd"/>
      <w:r w:rsidRPr="00AC1CD6">
        <w:rPr>
          <w:rFonts w:cstheme="minorHAnsi"/>
          <w:sz w:val="24"/>
          <w:szCs w:val="24"/>
          <w:lang w:val="en-GB"/>
        </w:rPr>
        <w:t xml:space="preserve"> model in the current Internet governance ecosystem</w:t>
      </w:r>
      <w:r w:rsidRPr="00AC1CD6">
        <w:rPr>
          <w:rFonts w:cstheme="minorHAnsi"/>
          <w:sz w:val="24"/>
          <w:szCs w:val="24"/>
        </w:rPr>
        <w:t>:</w:t>
      </w:r>
    </w:p>
    <w:p w:rsidR="007D1F2C" w:rsidRDefault="007D1F2C" w:rsidP="0040201F">
      <w:pPr>
        <w:pStyle w:val="ListParagraph"/>
        <w:spacing w:after="0" w:line="240" w:lineRule="auto"/>
        <w:ind w:left="426"/>
        <w:jc w:val="both"/>
        <w:rPr>
          <w:rFonts w:cstheme="minorHAnsi"/>
          <w:sz w:val="24"/>
          <w:szCs w:val="24"/>
        </w:rPr>
      </w:pPr>
    </w:p>
    <w:p w:rsidR="007D1F2C" w:rsidRPr="00F91831" w:rsidRDefault="006E18CA" w:rsidP="0040201F">
      <w:pPr>
        <w:pStyle w:val="Default"/>
        <w:numPr>
          <w:ilvl w:val="8"/>
          <w:numId w:val="14"/>
        </w:numPr>
        <w:tabs>
          <w:tab w:val="left" w:pos="709"/>
        </w:tabs>
        <w:ind w:left="709" w:hanging="425"/>
        <w:jc w:val="both"/>
        <w:rPr>
          <w:rFonts w:asciiTheme="minorHAnsi" w:eastAsiaTheme="minorEastAsia" w:hAnsiTheme="minorHAnsi" w:cstheme="minorHAnsi"/>
          <w:color w:val="auto"/>
          <w:lang w:eastAsia="zh-CN"/>
        </w:rPr>
      </w:pPr>
      <w:r w:rsidRPr="005D33A9">
        <w:rPr>
          <w:rFonts w:asciiTheme="minorHAnsi" w:eastAsiaTheme="minorEastAsia" w:hAnsiTheme="minorHAnsi" w:cstheme="minorHAnsi"/>
          <w:color w:val="auto"/>
          <w:lang w:eastAsia="zh-CN"/>
        </w:rPr>
        <w:t xml:space="preserve">One view is that the current governance of the Internet is appropriately </w:t>
      </w:r>
      <w:proofErr w:type="spellStart"/>
      <w:r w:rsidRPr="005D33A9">
        <w:rPr>
          <w:rFonts w:asciiTheme="minorHAnsi" w:eastAsiaTheme="minorEastAsia" w:hAnsiTheme="minorHAnsi" w:cstheme="minorHAnsi"/>
          <w:color w:val="auto"/>
          <w:lang w:eastAsia="zh-CN"/>
        </w:rPr>
        <w:t>multistakeholder</w:t>
      </w:r>
      <w:proofErr w:type="spellEnd"/>
      <w:r w:rsidRPr="005D33A9">
        <w:rPr>
          <w:rFonts w:asciiTheme="minorHAnsi" w:eastAsiaTheme="minorEastAsia" w:hAnsiTheme="minorHAnsi" w:cstheme="minorHAnsi"/>
          <w:color w:val="auto"/>
          <w:lang w:eastAsia="zh-CN"/>
        </w:rPr>
        <w:t xml:space="preserve"> and designed to be inclusive in terms of involvement of all stakeholder groups</w:t>
      </w:r>
      <w:r w:rsidRPr="005D33A9">
        <w:rPr>
          <w:rStyle w:val="FootnoteReference"/>
          <w:rFonts w:asciiTheme="minorHAnsi" w:eastAsiaTheme="minorEastAsia" w:hAnsiTheme="minorHAnsi" w:cstheme="minorHAnsi"/>
          <w:color w:val="auto"/>
          <w:lang w:eastAsia="zh-CN"/>
        </w:rPr>
        <w:footnoteReference w:id="60"/>
      </w:r>
      <w:proofErr w:type="gramStart"/>
      <w:r w:rsidR="00AC1CD6" w:rsidRPr="00AC1CD6">
        <w:rPr>
          <w:rFonts w:asciiTheme="minorHAnsi" w:hAnsiTheme="minorHAnsi"/>
          <w:vertAlign w:val="superscript"/>
        </w:rPr>
        <w:t>,</w:t>
      </w:r>
      <w:r w:rsidRPr="005D33A9">
        <w:rPr>
          <w:rStyle w:val="FootnoteReference"/>
          <w:rFonts w:asciiTheme="minorHAnsi" w:eastAsiaTheme="minorEastAsia" w:hAnsiTheme="minorHAnsi" w:cstheme="minorHAnsi"/>
          <w:color w:val="auto"/>
          <w:lang w:eastAsia="zh-CN"/>
        </w:rPr>
        <w:footnoteReference w:id="61"/>
      </w:r>
      <w:r w:rsidRPr="005D33A9">
        <w:rPr>
          <w:rFonts w:asciiTheme="minorHAnsi" w:eastAsiaTheme="minorEastAsia" w:hAnsiTheme="minorHAnsi" w:cstheme="minorHAnsi"/>
          <w:color w:val="auto"/>
          <w:lang w:eastAsia="zh-CN"/>
        </w:rPr>
        <w:t>.</w:t>
      </w:r>
      <w:proofErr w:type="gramEnd"/>
      <w:r w:rsidRPr="005D33A9">
        <w:rPr>
          <w:rFonts w:asciiTheme="minorHAnsi" w:eastAsiaTheme="minorEastAsia" w:hAnsiTheme="minorHAnsi" w:cstheme="minorHAnsi"/>
          <w:color w:val="auto"/>
          <w:lang w:eastAsia="zh-CN"/>
        </w:rPr>
        <w:t xml:space="preserve"> Those holding this view state that the current organizations, systems and processes successfully meet the needs of its stakeholders through “industry-led, bottom-up, volunt</w:t>
      </w:r>
      <w:r w:rsidR="00AC1CD6" w:rsidRPr="00AC1CD6">
        <w:rPr>
          <w:rFonts w:asciiTheme="minorHAnsi" w:eastAsiaTheme="minorEastAsia" w:hAnsiTheme="minorHAnsi" w:cstheme="minorHAnsi"/>
          <w:color w:val="auto"/>
          <w:lang w:eastAsia="zh-CN"/>
        </w:rPr>
        <w:t>ary, decentralized and consensus-based” processes. The current model has been cited has being “flexible, transparent and accountable”, “</w:t>
      </w:r>
      <w:r w:rsidR="00AC1CD6" w:rsidRPr="00AC1CD6">
        <w:rPr>
          <w:rFonts w:asciiTheme="minorHAnsi" w:eastAsiaTheme="minorEastAsia" w:hAnsiTheme="minorHAnsi" w:cstheme="minorHAnsi"/>
          <w:color w:val="auto"/>
          <w:lang w:val="en-GB"/>
        </w:rPr>
        <w:t>enabling a stable, open and innovative network of networks, the Internet today”</w:t>
      </w:r>
      <w:r w:rsidRPr="005D33A9">
        <w:rPr>
          <w:rStyle w:val="FootnoteReference"/>
          <w:rFonts w:asciiTheme="minorHAnsi" w:eastAsiaTheme="minorEastAsia" w:hAnsiTheme="minorHAnsi" w:cstheme="minorHAnsi"/>
          <w:color w:val="auto"/>
          <w:lang w:eastAsia="zh-CN"/>
        </w:rPr>
        <w:footnoteReference w:id="62"/>
      </w:r>
      <w:r w:rsidRPr="005D33A9">
        <w:rPr>
          <w:rFonts w:asciiTheme="minorHAnsi" w:eastAsiaTheme="minorEastAsia" w:hAnsiTheme="minorHAnsi" w:cstheme="minorHAnsi"/>
          <w:color w:val="auto"/>
          <w:lang w:eastAsia="zh-CN"/>
        </w:rPr>
        <w:t>. These characteristics are credited with helping maximize flexibility and innovation and are cited as one</w:t>
      </w:r>
      <w:r w:rsidR="00AC1CD6" w:rsidRPr="00AC1CD6">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 </w:t>
      </w:r>
      <w:r w:rsidR="00AC1CD6" w:rsidRPr="00AC1CD6">
        <w:rPr>
          <w:rFonts w:asciiTheme="minorHAnsi" w:eastAsiaTheme="minorEastAsia" w:hAnsiTheme="minorHAnsi" w:cstheme="minorHAnsi"/>
          <w:color w:val="auto"/>
          <w:lang w:eastAsia="zh-CN"/>
        </w:rPr>
        <w:t xml:space="preserve">Those holding this view also note that, </w:t>
      </w:r>
      <w:r w:rsidR="00AC1CD6" w:rsidRPr="00AC1CD6">
        <w:rPr>
          <w:rFonts w:asciiTheme="minorHAnsi" w:eastAsiaTheme="minorEastAsia" w:hAnsiTheme="minorHAnsi" w:cstheme="minorHAnsi"/>
          <w:color w:val="auto"/>
          <w:lang w:val="en-GB"/>
        </w:rPr>
        <w:t xml:space="preserve">although all of the existing </w:t>
      </w:r>
      <w:proofErr w:type="spellStart"/>
      <w:r w:rsidR="00AC1CD6" w:rsidRPr="00AC1CD6">
        <w:rPr>
          <w:rFonts w:asciiTheme="minorHAnsi" w:eastAsiaTheme="minorEastAsia" w:hAnsiTheme="minorHAnsi" w:cstheme="minorHAnsi"/>
          <w:color w:val="auto"/>
          <w:lang w:val="en-GB"/>
        </w:rPr>
        <w:t>multistakeholder</w:t>
      </w:r>
      <w:proofErr w:type="spellEnd"/>
      <w:r w:rsidR="00AC1CD6" w:rsidRPr="00AC1CD6">
        <w:rPr>
          <w:rFonts w:asciiTheme="minorHAnsi" w:eastAsiaTheme="minorEastAsia" w:hAnsiTheme="minorHAnsi" w:cstheme="minorHAnsi"/>
          <w:color w:val="auto"/>
          <w:lang w:val="en-GB"/>
        </w:rPr>
        <w:t xml:space="preserve"> entities involved in Internet </w:t>
      </w:r>
      <w:r w:rsidR="00AC1CD6" w:rsidRPr="00F91831">
        <w:rPr>
          <w:rFonts w:asciiTheme="minorHAnsi" w:eastAsiaTheme="minorEastAsia" w:hAnsiTheme="minorHAnsi" w:cstheme="minorHAnsi"/>
          <w:color w:val="auto"/>
          <w:lang w:val="en-GB"/>
        </w:rPr>
        <w:t>governance are open to participation by governments, there is an explicit recognition in ICANN’s Bylaws of the important role of governments in providing public policy advice to the ICANN Board and community through the Governmental Advisory Committee (GAC)</w:t>
      </w:r>
      <w:r w:rsidRPr="00F91831">
        <w:rPr>
          <w:rStyle w:val="FootnoteReference"/>
          <w:rFonts w:asciiTheme="minorHAnsi" w:eastAsiaTheme="minorEastAsia" w:hAnsiTheme="minorHAnsi" w:cstheme="minorHAnsi"/>
          <w:color w:val="auto"/>
          <w:lang w:val="en-GB"/>
        </w:rPr>
        <w:footnoteReference w:id="63"/>
      </w:r>
      <w:r w:rsidRPr="00F91831">
        <w:rPr>
          <w:rFonts w:asciiTheme="minorHAnsi" w:eastAsiaTheme="minorEastAsia" w:hAnsiTheme="minorHAnsi" w:cstheme="minorHAnsi"/>
          <w:color w:val="auto"/>
          <w:lang w:val="en-GB"/>
        </w:rPr>
        <w:t>.</w:t>
      </w:r>
    </w:p>
    <w:p w:rsidR="007D1F2C" w:rsidRDefault="007D1F2C" w:rsidP="0040201F">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rsidP="0040201F">
      <w:pPr>
        <w:pStyle w:val="Default"/>
        <w:tabs>
          <w:tab w:val="left" w:pos="709"/>
        </w:tabs>
        <w:ind w:left="709" w:hanging="425"/>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ab/>
        <w:t>Another view is that further evolution is needed to keep pace with the spread of the Internet around the world, how the Internet is used today and that the various players need to work together to ensure its ongoing evolution</w:t>
      </w:r>
      <w:r w:rsidR="006E18CA" w:rsidRPr="005D33A9">
        <w:rPr>
          <w:rStyle w:val="FootnoteReference"/>
          <w:rFonts w:asciiTheme="minorHAnsi" w:eastAsiaTheme="minorEastAsia" w:hAnsiTheme="minorHAnsi" w:cstheme="minorHAnsi"/>
          <w:color w:val="auto"/>
          <w:lang w:eastAsia="zh-CN"/>
        </w:rPr>
        <w:footnoteReference w:id="64"/>
      </w:r>
      <w:proofErr w:type="gramStart"/>
      <w:r w:rsidRPr="00AC1CD6">
        <w:rPr>
          <w:rFonts w:asciiTheme="minorHAnsi" w:hAnsiTheme="minorHAnsi"/>
          <w:vertAlign w:val="superscript"/>
        </w:rPr>
        <w:t>,</w:t>
      </w:r>
      <w:r w:rsidR="006E18CA" w:rsidRPr="005D33A9">
        <w:rPr>
          <w:rStyle w:val="FootnoteReference"/>
          <w:rFonts w:asciiTheme="minorHAnsi" w:eastAsiaTheme="minorEastAsia" w:hAnsiTheme="minorHAnsi" w:cstheme="minorHAnsi"/>
          <w:color w:val="auto"/>
          <w:lang w:eastAsia="zh-CN"/>
        </w:rPr>
        <w:footnoteReference w:id="65"/>
      </w:r>
      <w:r w:rsidR="00C356FD" w:rsidRPr="005D33A9">
        <w:rPr>
          <w:rFonts w:asciiTheme="minorHAnsi" w:eastAsiaTheme="minorEastAsia" w:hAnsiTheme="minorHAnsi" w:cstheme="minorHAnsi"/>
          <w:color w:val="auto"/>
          <w:lang w:eastAsia="zh-CN"/>
        </w:rPr>
        <w:t>.</w:t>
      </w:r>
      <w:proofErr w:type="gramEnd"/>
      <w:r w:rsidRPr="00AC1CD6">
        <w:rPr>
          <w:rFonts w:asciiTheme="minorHAnsi" w:eastAsiaTheme="minorEastAsia" w:hAnsiTheme="minorHAnsi" w:cstheme="minorHAnsi"/>
          <w:color w:val="auto"/>
          <w:lang w:eastAsia="zh-CN"/>
        </w:rPr>
        <w:t xml:space="preserve"> </w:t>
      </w:r>
      <w:proofErr w:type="gramStart"/>
      <w:r w:rsidRPr="00AC1CD6">
        <w:rPr>
          <w:rFonts w:asciiTheme="minorHAnsi" w:eastAsiaTheme="minorEastAsia" w:hAnsiTheme="minorHAnsi" w:cstheme="minorHAnsi"/>
          <w:color w:val="auto"/>
          <w:lang w:eastAsia="zh-CN"/>
        </w:rPr>
        <w:t xml:space="preserve">Those holding this view state that, with regards to international Internet-related public policy, the role of one stakeholder </w:t>
      </w:r>
      <w:r w:rsidRPr="00AC1CD6">
        <w:rPr>
          <w:rFonts w:asciiTheme="minorHAnsi" w:hAnsiTheme="minorHAnsi"/>
        </w:rPr>
        <w:t>–</w:t>
      </w:r>
      <w:r w:rsidRPr="00AC1CD6">
        <w:rPr>
          <w:rFonts w:asciiTheme="minorHAnsi" w:eastAsiaTheme="minorEastAsia" w:hAnsiTheme="minorHAnsi" w:cstheme="minorHAnsi"/>
          <w:color w:val="auto"/>
          <w:lang w:eastAsia="zh-CN"/>
        </w:rPr>
        <w:t xml:space="preserve"> Governments </w:t>
      </w:r>
      <w:r w:rsidRPr="00AC1CD6">
        <w:rPr>
          <w:rFonts w:asciiTheme="minorHAnsi" w:hAnsiTheme="minorHAnsi"/>
        </w:rPr>
        <w:t>–</w:t>
      </w:r>
      <w:r w:rsidRPr="00AC1CD6">
        <w:rPr>
          <w:rFonts w:asciiTheme="minorHAnsi" w:eastAsiaTheme="minorEastAsia" w:hAnsiTheme="minorHAnsi" w:cstheme="minorHAnsi"/>
          <w:color w:val="auto"/>
          <w:lang w:eastAsia="zh-CN"/>
        </w:rPr>
        <w:t xml:space="preserve"> has</w:t>
      </w:r>
      <w:proofErr w:type="gramEnd"/>
      <w:r w:rsidRPr="00AC1CD6">
        <w:rPr>
          <w:rFonts w:asciiTheme="minorHAnsi" w:eastAsiaTheme="minorEastAsia" w:hAnsiTheme="minorHAnsi" w:cstheme="minorHAnsi"/>
          <w:color w:val="auto"/>
          <w:lang w:eastAsia="zh-CN"/>
        </w:rPr>
        <w:t xml:space="preserve"> not been allowed to evolve according to WSIS principles,</w:t>
      </w:r>
      <w:r w:rsidRPr="00AC1CD6">
        <w:rPr>
          <w:rFonts w:asciiTheme="minorHAnsi" w:hAnsiTheme="minorHAnsi" w:cs="Calibri"/>
        </w:rPr>
        <w:t xml:space="preserve"> paragraph 35 of Tunis Agenda specifying that “Policy authority for Internet-related public policy issues is the sovereign right of States. They have rights and responsibilities for international Internet-related public policy issues”</w:t>
      </w:r>
      <w:r w:rsidR="006E18CA" w:rsidRPr="005D33A9">
        <w:rPr>
          <w:rStyle w:val="FootnoteReference"/>
          <w:rFonts w:asciiTheme="minorHAnsi" w:hAnsiTheme="minorHAnsi" w:cs="Calibri"/>
        </w:rPr>
        <w:footnoteReference w:id="66"/>
      </w:r>
      <w:r w:rsidR="006E18CA" w:rsidRPr="005D33A9">
        <w:rPr>
          <w:rFonts w:asciiTheme="minorHAnsi" w:hAnsiTheme="minorHAnsi" w:cs="Calibri"/>
        </w:rPr>
        <w:t>.</w:t>
      </w:r>
      <w:r w:rsidR="006E18CA" w:rsidRPr="005D33A9">
        <w:rPr>
          <w:rFonts w:asciiTheme="minorHAnsi" w:eastAsiaTheme="minorEastAsia" w:hAnsiTheme="minorHAnsi" w:cstheme="minorHAnsi"/>
          <w:color w:val="auto"/>
          <w:lang w:eastAsia="zh-CN"/>
        </w:rPr>
        <w:t xml:space="preserve"> They consider t</w:t>
      </w:r>
      <w:r w:rsidRPr="00AC1CD6">
        <w:rPr>
          <w:rFonts w:asciiTheme="minorHAnsi" w:eastAsiaTheme="minorEastAsia" w:hAnsiTheme="minorHAnsi" w:cstheme="minorHAnsi"/>
          <w:color w:val="auto"/>
          <w:lang w:eastAsia="zh-CN"/>
        </w:rPr>
        <w:t xml:space="preserve">his to be one reason for ongoing challenges in dealing with various issues (e.g., exploitation of children, security, cyber-crime and spam, </w:t>
      </w:r>
      <w:proofErr w:type="spellStart"/>
      <w:r w:rsidRPr="00AC1CD6">
        <w:rPr>
          <w:rFonts w:asciiTheme="minorHAnsi" w:eastAsiaTheme="minorEastAsia" w:hAnsiTheme="minorHAnsi" w:cstheme="minorHAnsi"/>
          <w:color w:val="auto"/>
          <w:lang w:eastAsia="zh-CN"/>
        </w:rPr>
        <w:t>etc</w:t>
      </w:r>
      <w:proofErr w:type="spellEnd"/>
      <w:r w:rsidRPr="00AC1CD6">
        <w:rPr>
          <w:rFonts w:asciiTheme="minorHAnsi" w:eastAsiaTheme="minorEastAsia" w:hAnsiTheme="minorHAnsi" w:cstheme="minorHAnsi"/>
          <w:color w:val="auto"/>
          <w:lang w:eastAsia="zh-CN"/>
        </w:rPr>
        <w:t>).  Those with this view identify and raise issues associated with the flexibility, transparency and accountability of the current management structure and issues concerning, for example, the adequacy of the role of governments in ICANN through bodies such as the GAC (see Section 2.3.6).</w:t>
      </w:r>
    </w:p>
    <w:p w:rsidR="007D1F2C" w:rsidRDefault="007D1F2C" w:rsidP="0040201F">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rsidP="0040201F">
      <w:pPr>
        <w:tabs>
          <w:tab w:val="left" w:pos="709"/>
        </w:tabs>
        <w:autoSpaceDE w:val="0"/>
        <w:autoSpaceDN w:val="0"/>
        <w:adjustRightInd w:val="0"/>
        <w:spacing w:after="0" w:line="240" w:lineRule="auto"/>
        <w:ind w:left="709" w:hanging="425"/>
        <w:jc w:val="both"/>
        <w:rPr>
          <w:rFonts w:cstheme="minorHAnsi"/>
        </w:rPr>
      </w:pPr>
      <w:r w:rsidRPr="00AC1CD6">
        <w:rPr>
          <w:rFonts w:cstheme="minorHAnsi"/>
          <w:sz w:val="24"/>
          <w:szCs w:val="24"/>
        </w:rPr>
        <w:tab/>
        <w:t xml:space="preserve">Some also caution that issues such as ensuring effective participation of all stakeholders and </w:t>
      </w:r>
      <w:r w:rsidR="002B1CCB">
        <w:rPr>
          <w:rFonts w:cstheme="minorHAnsi"/>
          <w:sz w:val="24"/>
          <w:szCs w:val="24"/>
        </w:rPr>
        <w:t xml:space="preserve">the </w:t>
      </w:r>
      <w:r w:rsidRPr="00AC1CD6">
        <w:rPr>
          <w:rFonts w:cstheme="minorHAnsi"/>
          <w:sz w:val="24"/>
          <w:szCs w:val="24"/>
        </w:rPr>
        <w:t xml:space="preserve">risk of capture by different groups should continue </w:t>
      </w:r>
      <w:r w:rsidR="00E63E7B">
        <w:rPr>
          <w:rFonts w:cstheme="minorHAnsi"/>
          <w:sz w:val="24"/>
          <w:szCs w:val="24"/>
        </w:rPr>
        <w:t xml:space="preserve">to </w:t>
      </w:r>
      <w:r w:rsidRPr="00AC1CD6">
        <w:rPr>
          <w:rFonts w:cstheme="minorHAnsi"/>
          <w:sz w:val="24"/>
          <w:szCs w:val="24"/>
        </w:rPr>
        <w:t xml:space="preserve">be addressed for the effective implementation of the </w:t>
      </w:r>
      <w:proofErr w:type="spellStart"/>
      <w:r w:rsidRPr="00AC1CD6">
        <w:rPr>
          <w:rFonts w:cstheme="minorHAnsi"/>
          <w:sz w:val="24"/>
          <w:szCs w:val="24"/>
        </w:rPr>
        <w:t>multistakeholder</w:t>
      </w:r>
      <w:proofErr w:type="spellEnd"/>
      <w:r w:rsidRPr="00AC1CD6">
        <w:rPr>
          <w:rFonts w:cstheme="minorHAnsi"/>
          <w:sz w:val="24"/>
          <w:szCs w:val="24"/>
        </w:rPr>
        <w:t xml:space="preserve"> model at a global level</w:t>
      </w:r>
      <w:r w:rsidR="004316DD" w:rsidRPr="005D33A9">
        <w:rPr>
          <w:rStyle w:val="FootnoteReference"/>
          <w:rFonts w:cstheme="minorHAnsi"/>
          <w:sz w:val="24"/>
          <w:szCs w:val="24"/>
        </w:rPr>
        <w:footnoteReference w:id="67"/>
      </w:r>
      <w:r w:rsidRPr="00AC1CD6">
        <w:rPr>
          <w:rFonts w:cstheme="minorHAnsi"/>
          <w:sz w:val="24"/>
          <w:szCs w:val="24"/>
        </w:rPr>
        <w:t xml:space="preserve">. </w:t>
      </w:r>
    </w:p>
    <w:p w:rsidR="007D1F2C" w:rsidRDefault="007D1F2C" w:rsidP="0040201F">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rsidP="0040201F">
      <w:pPr>
        <w:pStyle w:val="Default"/>
        <w:numPr>
          <w:ilvl w:val="8"/>
          <w:numId w:val="14"/>
        </w:numPr>
        <w:tabs>
          <w:tab w:val="left" w:pos="709"/>
        </w:tabs>
        <w:ind w:left="709" w:hanging="425"/>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 xml:space="preserve">Res. 102 (Rev. Guadalajara, 2010) recognized “§§ 71 and 78a) of the </w:t>
      </w:r>
      <w:r w:rsidRPr="00AC1CD6">
        <w:rPr>
          <w:rFonts w:asciiTheme="minorHAnsi" w:eastAsiaTheme="minorEastAsia" w:hAnsiTheme="minorHAnsi" w:cstheme="minorHAnsi"/>
          <w:i/>
          <w:iCs/>
          <w:color w:val="auto"/>
          <w:lang w:eastAsia="zh-CN"/>
        </w:rPr>
        <w:t>Tunis Agenda</w:t>
      </w:r>
      <w:r w:rsidRPr="00AC1CD6">
        <w:rPr>
          <w:rFonts w:asciiTheme="minorHAnsi" w:eastAsiaTheme="minorEastAsia" w:hAnsiTheme="minorHAnsi" w:cstheme="minorHAnsi"/>
          <w:color w:val="auto"/>
          <w:lang w:eastAsia="zh-CN"/>
        </w:rPr>
        <w:t xml:space="preserve"> with regard to the establishment of enhanced cooperation on Internet governance and the establishment of the Internet Governance Forum (IGF), as two distinct processes”. The IGF brings stakeholders together annually to host a dialogue on international Internet-related public policy issues. </w:t>
      </w:r>
    </w:p>
    <w:p w:rsidR="007D1F2C" w:rsidRDefault="007D1F2C" w:rsidP="0040201F">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rsidP="0040201F">
      <w:pPr>
        <w:pStyle w:val="Default"/>
        <w:tabs>
          <w:tab w:val="left" w:pos="709"/>
        </w:tabs>
        <w:ind w:left="709" w:hanging="425"/>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ab/>
        <w:t>One topic of discussion</w:t>
      </w:r>
      <w:r w:rsidR="006E18CA" w:rsidRPr="005D33A9">
        <w:rPr>
          <w:rStyle w:val="FootnoteReference"/>
          <w:rFonts w:asciiTheme="minorHAnsi" w:eastAsiaTheme="minorEastAsia" w:hAnsiTheme="minorHAnsi" w:cstheme="minorHAnsi"/>
          <w:color w:val="auto"/>
          <w:lang w:eastAsia="zh-CN"/>
        </w:rPr>
        <w:footnoteReference w:id="68"/>
      </w:r>
      <w:r w:rsidR="006E18CA" w:rsidRPr="005D33A9">
        <w:rPr>
          <w:rFonts w:asciiTheme="minorHAnsi" w:eastAsiaTheme="minorEastAsia" w:hAnsiTheme="minorHAnsi" w:cstheme="minorHAnsi"/>
          <w:color w:val="auto"/>
          <w:vertAlign w:val="superscript"/>
          <w:lang w:eastAsia="zh-CN"/>
        </w:rPr>
        <w:t>,</w:t>
      </w:r>
      <w:r w:rsidR="006E18CA" w:rsidRPr="005D33A9">
        <w:rPr>
          <w:rStyle w:val="FootnoteReference"/>
          <w:rFonts w:asciiTheme="minorHAnsi" w:eastAsiaTheme="minorEastAsia" w:hAnsiTheme="minorHAnsi" w:cstheme="minorHAnsi"/>
          <w:color w:val="auto"/>
          <w:lang w:eastAsia="zh-CN"/>
        </w:rPr>
        <w:footnoteReference w:id="69"/>
      </w:r>
      <w:r w:rsidR="006E18CA" w:rsidRPr="005D33A9">
        <w:rPr>
          <w:rFonts w:asciiTheme="minorHAnsi" w:eastAsiaTheme="minorEastAsia" w:hAnsiTheme="minorHAnsi" w:cstheme="minorHAnsi"/>
          <w:color w:val="auto"/>
          <w:lang w:eastAsia="zh-CN"/>
        </w:rPr>
        <w:t xml:space="preserve"> concerning the implementation of the process of enhanced cooperation focuses on the role of different stakeholder groups. One view is that </w:t>
      </w:r>
      <w:r w:rsidR="006E18CA" w:rsidRPr="005D33A9">
        <w:rPr>
          <w:rFonts w:asciiTheme="minorHAnsi" w:eastAsiaTheme="minorEastAsia" w:hAnsiTheme="minorHAnsi" w:cstheme="minorHAnsi"/>
          <w:iCs/>
          <w:color w:val="auto"/>
          <w:lang w:val="en-GB"/>
        </w:rPr>
        <w:t>the “process towards enhanced co-operation involves all stak</w:t>
      </w:r>
      <w:r w:rsidRPr="00AC1CD6">
        <w:rPr>
          <w:rFonts w:asciiTheme="minorHAnsi" w:eastAsiaTheme="minorEastAsia" w:hAnsiTheme="minorHAnsi" w:cstheme="minorHAnsi"/>
          <w:iCs/>
          <w:color w:val="auto"/>
          <w:lang w:val="en-GB"/>
        </w:rPr>
        <w:t xml:space="preserve">eholders in their respective roles, a recognition of the need for all stakeholders to recognize the </w:t>
      </w:r>
      <w:proofErr w:type="spellStart"/>
      <w:r w:rsidRPr="00AC1CD6">
        <w:rPr>
          <w:rFonts w:asciiTheme="minorHAnsi" w:eastAsiaTheme="minorEastAsia" w:hAnsiTheme="minorHAnsi" w:cstheme="minorHAnsi"/>
          <w:iCs/>
          <w:color w:val="auto"/>
          <w:lang w:val="en-GB"/>
        </w:rPr>
        <w:t>ongoing</w:t>
      </w:r>
      <w:proofErr w:type="spellEnd"/>
      <w:r w:rsidRPr="00AC1CD6">
        <w:rPr>
          <w:rFonts w:asciiTheme="minorHAnsi" w:eastAsiaTheme="minorEastAsia" w:hAnsiTheme="minorHAnsi" w:cstheme="minorHAnsi"/>
          <w:iCs/>
          <w:color w:val="auto"/>
          <w:lang w:val="en-GB"/>
        </w:rPr>
        <w:t xml:space="preserve"> roles of each stakeholder and for all to co-exist </w:t>
      </w:r>
      <w:r w:rsidRPr="00AC1CD6">
        <w:rPr>
          <w:rFonts w:asciiTheme="minorHAnsi" w:eastAsiaTheme="minorEastAsia" w:hAnsiTheme="minorHAnsi" w:cstheme="minorHAnsi"/>
          <w:color w:val="auto"/>
          <w:lang w:eastAsia="zh-CN"/>
        </w:rPr>
        <w:t>in an environment of mutual trusted co-operation</w:t>
      </w:r>
      <w:proofErr w:type="gramStart"/>
      <w:r w:rsidRPr="00AC1CD6">
        <w:rPr>
          <w:rFonts w:asciiTheme="minorHAnsi" w:eastAsiaTheme="minorEastAsia" w:hAnsiTheme="minorHAnsi" w:cstheme="minorHAnsi"/>
          <w:color w:val="auto"/>
          <w:lang w:eastAsia="zh-CN"/>
        </w:rPr>
        <w:t xml:space="preserve">” </w:t>
      </w:r>
      <w:proofErr w:type="gramEnd"/>
      <w:r w:rsidR="006E18CA" w:rsidRPr="005D33A9">
        <w:rPr>
          <w:rStyle w:val="FootnoteReference"/>
          <w:rFonts w:asciiTheme="minorHAnsi" w:eastAsiaTheme="minorEastAsia" w:hAnsiTheme="minorHAnsi" w:cstheme="minorHAnsi"/>
          <w:color w:val="auto"/>
          <w:lang w:eastAsia="zh-CN"/>
        </w:rPr>
        <w:footnoteReference w:id="70"/>
      </w:r>
      <w:r w:rsidRPr="00AC1CD6">
        <w:rPr>
          <w:rFonts w:asciiTheme="minorHAnsi" w:eastAsiaTheme="minorEastAsia" w:hAnsiTheme="minorHAnsi" w:cstheme="minorHAnsi"/>
          <w:color w:val="auto"/>
          <w:lang w:eastAsia="zh-CN"/>
        </w:rPr>
        <w:t xml:space="preserve">. Those with this view also note that paragraph 55 of the Tunis </w:t>
      </w:r>
      <w:proofErr w:type="gramStart"/>
      <w:r w:rsidRPr="00AC1CD6">
        <w:rPr>
          <w:rFonts w:asciiTheme="minorHAnsi" w:eastAsiaTheme="minorEastAsia" w:hAnsiTheme="minorHAnsi" w:cstheme="minorHAnsi"/>
          <w:color w:val="auto"/>
          <w:lang w:eastAsia="zh-CN"/>
        </w:rPr>
        <w:t>Agenda  makes</w:t>
      </w:r>
      <w:proofErr w:type="gramEnd"/>
      <w:r w:rsidRPr="00AC1CD6">
        <w:rPr>
          <w:rFonts w:asciiTheme="minorHAnsi" w:eastAsiaTheme="minorEastAsia" w:hAnsiTheme="minorHAnsi" w:cstheme="minorHAnsi"/>
          <w:color w:val="auto"/>
          <w:lang w:eastAsia="zh-CN"/>
        </w:rPr>
        <w:t xml:space="preserve"> no mention of the role of governments being any more critical to effective Internet governance than the role of any other stakeholder community</w:t>
      </w:r>
      <w:r>
        <w:rPr>
          <w:rStyle w:val="FootnoteReference"/>
          <w:rFonts w:asciiTheme="minorHAnsi" w:eastAsiaTheme="minorEastAsia" w:hAnsiTheme="minorHAnsi" w:cstheme="minorHAnsi"/>
          <w:color w:val="auto"/>
          <w:lang w:eastAsia="zh-CN"/>
        </w:rPr>
        <w:footnoteReference w:id="71"/>
      </w:r>
      <w:r w:rsidRPr="00AC1CD6">
        <w:rPr>
          <w:rFonts w:asciiTheme="minorHAnsi" w:eastAsiaTheme="minorEastAsia" w:hAnsiTheme="minorHAnsi" w:cstheme="minorHAnsi"/>
          <w:color w:val="auto"/>
          <w:lang w:eastAsia="zh-CN"/>
        </w:rPr>
        <w:t xml:space="preserve">. Another view is that there is a specific role for governments, as defined clearly in Para. 69 of the </w:t>
      </w:r>
      <w:r w:rsidRPr="00AC1CD6">
        <w:rPr>
          <w:rFonts w:asciiTheme="minorHAnsi" w:eastAsiaTheme="minorEastAsia" w:hAnsiTheme="minorHAnsi" w:cstheme="minorHAnsi"/>
          <w:i/>
          <w:iCs/>
          <w:color w:val="auto"/>
          <w:lang w:eastAsia="zh-CN"/>
        </w:rPr>
        <w:t>Tunis Agend</w:t>
      </w:r>
      <w:r w:rsidRPr="00AC1CD6">
        <w:rPr>
          <w:rFonts w:asciiTheme="minorHAnsi" w:eastAsiaTheme="minorEastAsia" w:hAnsiTheme="minorHAnsi" w:cstheme="minorHAnsi"/>
          <w:color w:val="auto"/>
          <w:lang w:eastAsia="zh-CN"/>
        </w:rPr>
        <w:t>a: “enhanced cooperation is needed to enable governments, on an equal footing, to carry out their roles and responsibilities in international public policy issues pertaining to the Internet”, as well as in Para. 71: “the process towards enhanced cooperation will involve all stakeholders in their respective roles”</w:t>
      </w:r>
      <w:r w:rsidR="006E18CA" w:rsidRPr="005D33A9">
        <w:rPr>
          <w:rStyle w:val="FootnoteReference"/>
          <w:rFonts w:asciiTheme="minorHAnsi" w:eastAsiaTheme="minorEastAsia" w:hAnsiTheme="minorHAnsi" w:cstheme="minorHAnsi"/>
          <w:color w:val="auto"/>
          <w:lang w:eastAsia="zh-CN"/>
        </w:rPr>
        <w:footnoteReference w:id="72"/>
      </w:r>
      <w:r w:rsidRPr="00AC1CD6">
        <w:rPr>
          <w:rFonts w:asciiTheme="minorHAnsi" w:eastAsiaTheme="minorEastAsia" w:hAnsiTheme="minorHAnsi" w:cstheme="minorHAnsi"/>
          <w:color w:val="auto"/>
          <w:lang w:eastAsia="zh-CN"/>
        </w:rPr>
        <w:t xml:space="preserve">. </w:t>
      </w:r>
    </w:p>
    <w:p w:rsidR="007D1F2C" w:rsidRDefault="007D1F2C" w:rsidP="0040201F">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C42416" w:rsidP="0040201F">
      <w:pPr>
        <w:tabs>
          <w:tab w:val="left" w:pos="709"/>
        </w:tabs>
        <w:spacing w:after="240" w:line="240" w:lineRule="auto"/>
        <w:ind w:left="709" w:right="142" w:hanging="425"/>
        <w:jc w:val="both"/>
        <w:rPr>
          <w:rFonts w:cstheme="minorHAnsi"/>
          <w:sz w:val="24"/>
          <w:szCs w:val="24"/>
        </w:rPr>
      </w:pPr>
      <w:r>
        <w:rPr>
          <w:rFonts w:cstheme="minorHAnsi"/>
          <w:sz w:val="24"/>
          <w:szCs w:val="24"/>
        </w:rPr>
        <w:t>iii.</w:t>
      </w:r>
      <w:r>
        <w:rPr>
          <w:rFonts w:cstheme="minorHAnsi"/>
          <w:sz w:val="24"/>
          <w:szCs w:val="24"/>
        </w:rPr>
        <w:tab/>
      </w:r>
      <w:r w:rsidR="00AC1CD6" w:rsidRPr="00AC1CD6">
        <w:rPr>
          <w:rFonts w:cstheme="minorHAnsi"/>
          <w:sz w:val="24"/>
          <w:szCs w:val="24"/>
        </w:rPr>
        <w:t>One view is that participation of different stakeholder groups (especially civil society) could be improved in ITU forums discussing Internet-related public policy issues</w:t>
      </w:r>
      <w:r w:rsidR="00AC1CD6">
        <w:rPr>
          <w:rStyle w:val="FootnoteReference"/>
          <w:rFonts w:cstheme="minorHAnsi"/>
          <w:sz w:val="24"/>
          <w:szCs w:val="24"/>
        </w:rPr>
        <w:footnoteReference w:id="73"/>
      </w:r>
      <w:r w:rsidR="00AC1CD6" w:rsidRPr="00AC1CD6">
        <w:rPr>
          <w:rFonts w:cstheme="minorHAnsi"/>
          <w:sz w:val="24"/>
          <w:szCs w:val="24"/>
        </w:rPr>
        <w:t xml:space="preserve">. This has been a topic of active discussion at recent ITU conferences, assemblies and meetings. Detailed discussions on this topic were held as recently as in </w:t>
      </w:r>
      <w:r w:rsidR="00474DEB">
        <w:rPr>
          <w:rFonts w:cstheme="minorHAnsi"/>
          <w:sz w:val="24"/>
          <w:szCs w:val="24"/>
        </w:rPr>
        <w:t xml:space="preserve">the 2012 ITU </w:t>
      </w:r>
      <w:r w:rsidR="00AC1CD6" w:rsidRPr="00AC1CD6">
        <w:rPr>
          <w:rFonts w:cstheme="minorHAnsi"/>
          <w:sz w:val="24"/>
          <w:szCs w:val="24"/>
        </w:rPr>
        <w:t xml:space="preserve">Council </w:t>
      </w:r>
      <w:r w:rsidR="00474DEB">
        <w:rPr>
          <w:rFonts w:cstheme="minorHAnsi"/>
          <w:sz w:val="24"/>
          <w:szCs w:val="24"/>
        </w:rPr>
        <w:t>meeting</w:t>
      </w:r>
      <w:r w:rsidR="00474DEB" w:rsidRPr="00AC1CD6">
        <w:rPr>
          <w:rFonts w:cstheme="minorHAnsi"/>
          <w:sz w:val="24"/>
          <w:szCs w:val="24"/>
        </w:rPr>
        <w:t xml:space="preserve"> </w:t>
      </w:r>
      <w:r w:rsidR="00AC1CD6" w:rsidRPr="00AC1CD6">
        <w:rPr>
          <w:rFonts w:cstheme="minorHAnsi"/>
          <w:sz w:val="24"/>
          <w:szCs w:val="24"/>
        </w:rPr>
        <w:t xml:space="preserve">in the context of the modalities for open consultations by the </w:t>
      </w:r>
      <w:r w:rsidR="00AC1CD6" w:rsidRPr="00ED1570">
        <w:rPr>
          <w:rFonts w:cstheme="minorHAnsi"/>
          <w:sz w:val="24"/>
          <w:szCs w:val="24"/>
        </w:rPr>
        <w:t>CWG-Internet</w:t>
      </w:r>
      <w:r w:rsidR="00AC1CD6" w:rsidRPr="00AC1CD6">
        <w:rPr>
          <w:rFonts w:cstheme="minorHAnsi"/>
          <w:sz w:val="24"/>
          <w:szCs w:val="24"/>
        </w:rPr>
        <w:t>.  Under the WSIS principles, ITU Plenipotentiary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6E18CA" w:rsidRPr="005D33A9">
        <w:rPr>
          <w:rStyle w:val="FootnoteReference"/>
          <w:rFonts w:cstheme="minorHAnsi"/>
          <w:sz w:val="24"/>
          <w:szCs w:val="24"/>
        </w:rPr>
        <w:footnoteReference w:id="74"/>
      </w:r>
      <w:r w:rsidR="006E18CA" w:rsidRPr="005D33A9">
        <w:rPr>
          <w:rFonts w:cstheme="minorHAnsi"/>
          <w:sz w:val="24"/>
          <w:szCs w:val="24"/>
        </w:rPr>
        <w:t xml:space="preserve">. </w:t>
      </w:r>
    </w:p>
    <w:p w:rsidR="007D1F2C" w:rsidRDefault="00AC1CD6" w:rsidP="0040201F">
      <w:pPr>
        <w:pStyle w:val="mine"/>
        <w:tabs>
          <w:tab w:val="clear" w:pos="1134"/>
          <w:tab w:val="left" w:pos="709"/>
        </w:tabs>
        <w:ind w:left="709"/>
        <w:rPr>
          <w:rFonts w:asciiTheme="minorHAnsi" w:hAnsiTheme="minorHAnsi"/>
        </w:rPr>
      </w:pPr>
      <w:r w:rsidRPr="00AC1CD6">
        <w:rPr>
          <w:rFonts w:asciiTheme="minorHAnsi" w:hAnsiTheme="minorHAnsi"/>
        </w:rPr>
        <w:t xml:space="preserve">ITU’s </w:t>
      </w:r>
      <w:proofErr w:type="spellStart"/>
      <w:r w:rsidRPr="00AC1CD6">
        <w:rPr>
          <w:rFonts w:asciiTheme="minorHAnsi" w:hAnsiTheme="minorHAnsi"/>
        </w:rPr>
        <w:t>multistakeholder</w:t>
      </w:r>
      <w:proofErr w:type="spellEnd"/>
      <w:r w:rsidRPr="00AC1CD6">
        <w:rPr>
          <w:rFonts w:asciiTheme="minorHAnsi" w:hAnsiTheme="minorHAnsi"/>
        </w:rPr>
        <w:t xml:space="preserve"> membership includes governments, regulators, industry, international organizations (intergovernmental and non-governmental), financial institutions and civil society</w:t>
      </w:r>
      <w:r w:rsidR="006E18CA" w:rsidRPr="005D33A9">
        <w:rPr>
          <w:rStyle w:val="FootnoteReference"/>
          <w:rFonts w:asciiTheme="minorHAnsi" w:hAnsiTheme="minorHAnsi"/>
        </w:rPr>
        <w:footnoteReference w:id="75"/>
      </w:r>
      <w:r w:rsidR="006E18CA" w:rsidRPr="005D33A9">
        <w:rPr>
          <w:rFonts w:asciiTheme="minorHAnsi" w:hAnsiTheme="minorHAnsi"/>
        </w:rPr>
        <w:t xml:space="preserve"> — all participating in different capacities and in a wide range of ITU’s activities. ITU’s membership ranges from mobile and fixed phone </w:t>
      </w:r>
      <w:r w:rsidR="006E18CA" w:rsidRPr="005D33A9">
        <w:rPr>
          <w:rFonts w:asciiTheme="minorHAnsi" w:hAnsiTheme="minorHAnsi"/>
        </w:rPr>
        <w:lastRenderedPageBreak/>
        <w:t xml:space="preserve">operators </w:t>
      </w:r>
      <w:r w:rsidR="006E18CA" w:rsidRPr="00F91831">
        <w:rPr>
          <w:rFonts w:asciiTheme="minorHAnsi" w:hAnsiTheme="minorHAnsi"/>
        </w:rPr>
        <w:t>to satellite companies, from equipment vendors to broadcasters and Internet Service Providers (ISPs). It also includes</w:t>
      </w:r>
      <w:r w:rsidR="006E18CA" w:rsidRPr="005D33A9">
        <w:rPr>
          <w:rFonts w:asciiTheme="minorHAnsi" w:hAnsiTheme="minorHAnsi"/>
        </w:rPr>
        <w:t xml:space="preserve"> organizations focusing on access for people with disabilities, for exam</w:t>
      </w:r>
      <w:r w:rsidRPr="00AC1CD6">
        <w:rPr>
          <w:rFonts w:asciiTheme="minorHAnsi" w:hAnsiTheme="minorHAnsi"/>
        </w:rPr>
        <w:t>ple, or on emergency communications. ITU members also include various Internet-related organizations and academic institutions, including universities and research institutes focusing on ICTs. Indeed, non-profit institutions having an international character can request exemption from membership fees</w:t>
      </w:r>
      <w:r w:rsidR="006E18CA" w:rsidRPr="005D33A9">
        <w:rPr>
          <w:rStyle w:val="FootnoteReference"/>
          <w:rFonts w:asciiTheme="minorHAnsi" w:hAnsiTheme="minorHAnsi"/>
        </w:rPr>
        <w:footnoteReference w:id="76"/>
      </w:r>
      <w:r w:rsidR="006E18CA" w:rsidRPr="005D33A9">
        <w:rPr>
          <w:rFonts w:asciiTheme="minorHAnsi" w:hAnsiTheme="minorHAnsi"/>
        </w:rPr>
        <w:t>.</w:t>
      </w:r>
    </w:p>
    <w:p w:rsidR="007D1F2C" w:rsidRDefault="007D1F2C" w:rsidP="0040201F">
      <w:pPr>
        <w:pStyle w:val="Default"/>
        <w:tabs>
          <w:tab w:val="left" w:pos="709"/>
        </w:tabs>
        <w:ind w:left="709" w:hanging="425"/>
        <w:jc w:val="both"/>
        <w:rPr>
          <w:rFonts w:asciiTheme="minorHAnsi" w:eastAsiaTheme="minorEastAsia" w:hAnsiTheme="minorHAnsi" w:cstheme="minorHAnsi"/>
          <w:color w:val="auto"/>
          <w:lang w:eastAsia="zh-CN"/>
        </w:rPr>
      </w:pPr>
    </w:p>
    <w:p w:rsidR="007D1F2C" w:rsidRDefault="00AC1CD6" w:rsidP="0040201F">
      <w:pPr>
        <w:pStyle w:val="mine"/>
        <w:tabs>
          <w:tab w:val="clear" w:pos="1134"/>
          <w:tab w:val="left" w:pos="709"/>
        </w:tabs>
        <w:ind w:left="709" w:hanging="425"/>
        <w:rPr>
          <w:rFonts w:asciiTheme="minorHAnsi" w:hAnsiTheme="minorHAnsi"/>
        </w:rPr>
      </w:pPr>
      <w:r w:rsidRPr="00AC1CD6">
        <w:rPr>
          <w:rFonts w:asciiTheme="minorHAnsi" w:hAnsiTheme="minorHAnsi"/>
        </w:rPr>
        <w:tab/>
        <w:t xml:space="preserve">Another view is that there is a lack of clarity on whether civil society is part of </w:t>
      </w:r>
      <w:r w:rsidR="000F64AC">
        <w:rPr>
          <w:rFonts w:asciiTheme="minorHAnsi" w:hAnsiTheme="minorHAnsi"/>
        </w:rPr>
        <w:t xml:space="preserve">the </w:t>
      </w:r>
      <w:r w:rsidRPr="00AC1CD6">
        <w:rPr>
          <w:rFonts w:asciiTheme="minorHAnsi" w:hAnsiTheme="minorHAnsi"/>
        </w:rPr>
        <w:t xml:space="preserve">ITU membership and how such organizations can become members of the ITU. It should be noted that all civil society organizations of an international nature and which are working on issues related to ICTs are entitled and encouraged to join the ITU as members. </w:t>
      </w:r>
    </w:p>
    <w:p w:rsidR="007D1F2C" w:rsidRDefault="007D1F2C" w:rsidP="0040201F">
      <w:pPr>
        <w:pStyle w:val="mine"/>
        <w:tabs>
          <w:tab w:val="clear" w:pos="1134"/>
          <w:tab w:val="left" w:pos="709"/>
        </w:tabs>
        <w:ind w:left="709" w:hanging="425"/>
        <w:rPr>
          <w:rFonts w:asciiTheme="minorHAnsi" w:hAnsiTheme="minorHAnsi"/>
        </w:rPr>
      </w:pPr>
    </w:p>
    <w:p w:rsidR="007D1F2C" w:rsidRDefault="00AC1CD6" w:rsidP="0040201F">
      <w:pPr>
        <w:pStyle w:val="mine"/>
        <w:tabs>
          <w:tab w:val="clear" w:pos="1134"/>
          <w:tab w:val="left" w:pos="709"/>
        </w:tabs>
        <w:ind w:left="709" w:hanging="425"/>
        <w:rPr>
          <w:rFonts w:asciiTheme="minorHAnsi" w:hAnsiTheme="minorHAnsi"/>
        </w:rPr>
      </w:pPr>
      <w:r w:rsidRPr="00AC1CD6">
        <w:rPr>
          <w:rFonts w:asciiTheme="minorHAnsi" w:hAnsiTheme="minorHAnsi"/>
        </w:rPr>
        <w:tab/>
        <w:t xml:space="preserve">ITU’s IPv6 Group, formed by </w:t>
      </w:r>
      <w:r w:rsidR="003E4D15">
        <w:rPr>
          <w:rFonts w:asciiTheme="minorHAnsi" w:hAnsiTheme="minorHAnsi"/>
        </w:rPr>
        <w:t xml:space="preserve">the </w:t>
      </w:r>
      <w:r w:rsidRPr="00AC1CD6">
        <w:rPr>
          <w:rFonts w:asciiTheme="minorHAnsi" w:hAnsiTheme="minorHAnsi"/>
        </w:rPr>
        <w:t xml:space="preserve">ITU Council under the Directors of the ITU Development and Standardization </w:t>
      </w:r>
      <w:proofErr w:type="spellStart"/>
      <w:r w:rsidRPr="00AC1CD6">
        <w:rPr>
          <w:rFonts w:asciiTheme="minorHAnsi" w:hAnsiTheme="minorHAnsi"/>
        </w:rPr>
        <w:t>Bureaux</w:t>
      </w:r>
      <w:proofErr w:type="spellEnd"/>
      <w:r w:rsidRPr="00AC1CD6">
        <w:rPr>
          <w:rFonts w:asciiTheme="minorHAnsi" w:hAnsiTheme="minorHAnsi"/>
        </w:rPr>
        <w:t xml:space="preserve">, is one example of inter-institutional collaboration and coordination. The WTPF IEG, which is open to all stakeholders </w:t>
      </w:r>
      <w:r w:rsidR="00F231F9">
        <w:rPr>
          <w:rFonts w:asciiTheme="minorHAnsi" w:hAnsiTheme="minorHAnsi"/>
        </w:rPr>
        <w:t>(including non-ITU members)</w:t>
      </w:r>
      <w:r w:rsidRPr="00AC1CD6">
        <w:rPr>
          <w:rFonts w:asciiTheme="minorHAnsi" w:hAnsiTheme="minorHAnsi"/>
        </w:rPr>
        <w:t xml:space="preserve"> and is contributing to the preparation of this </w:t>
      </w:r>
      <w:r w:rsidR="004850A8">
        <w:rPr>
          <w:rFonts w:asciiTheme="minorHAnsi" w:hAnsiTheme="minorHAnsi"/>
        </w:rPr>
        <w:t>R</w:t>
      </w:r>
      <w:r w:rsidR="004850A8" w:rsidRPr="00AC1CD6">
        <w:rPr>
          <w:rFonts w:asciiTheme="minorHAnsi" w:hAnsiTheme="minorHAnsi"/>
        </w:rPr>
        <w:t xml:space="preserve">eport </w:t>
      </w:r>
      <w:r w:rsidRPr="00AC1CD6">
        <w:rPr>
          <w:rFonts w:asciiTheme="minorHAnsi" w:hAnsiTheme="minorHAnsi"/>
        </w:rPr>
        <w:t xml:space="preserve">in a transparent and constructive manner, is another example of successful </w:t>
      </w:r>
      <w:proofErr w:type="spellStart"/>
      <w:r w:rsidRPr="00AC1CD6">
        <w:rPr>
          <w:rFonts w:asciiTheme="minorHAnsi" w:hAnsiTheme="minorHAnsi"/>
        </w:rPr>
        <w:t>multistakeholder</w:t>
      </w:r>
      <w:proofErr w:type="spellEnd"/>
      <w:r w:rsidRPr="00AC1CD6">
        <w:rPr>
          <w:rFonts w:asciiTheme="minorHAnsi" w:hAnsiTheme="minorHAnsi"/>
        </w:rPr>
        <w:t xml:space="preserve"> cooperation. In order to promote greater understanding of the involvement of all stakeholder groups within ITU </w:t>
      </w:r>
      <w:proofErr w:type="spellStart"/>
      <w:r w:rsidRPr="00AC1CD6">
        <w:rPr>
          <w:rFonts w:asciiTheme="minorHAnsi" w:hAnsiTheme="minorHAnsi"/>
        </w:rPr>
        <w:t>fora</w:t>
      </w:r>
      <w:proofErr w:type="spellEnd"/>
      <w:r w:rsidRPr="00AC1CD6">
        <w:rPr>
          <w:rFonts w:asciiTheme="minorHAnsi" w:hAnsiTheme="minorHAnsi"/>
        </w:rPr>
        <w:t xml:space="preserve">, it could be beneficial for ITU to foster similar collaborative efforts between ITU and other relevant groups. </w:t>
      </w:r>
    </w:p>
    <w:p w:rsidR="007D1F2C" w:rsidRDefault="00AC1CD6" w:rsidP="0040201F">
      <w:pPr>
        <w:pStyle w:val="mine"/>
        <w:ind w:left="709" w:hanging="349"/>
        <w:rPr>
          <w:rFonts w:asciiTheme="minorHAnsi" w:eastAsiaTheme="minorEastAsia" w:hAnsiTheme="minorHAnsi"/>
          <w:color w:val="auto"/>
          <w:lang w:eastAsia="zh-CN"/>
        </w:rPr>
      </w:pPr>
      <w:r w:rsidRPr="00AC1CD6">
        <w:rPr>
          <w:rFonts w:asciiTheme="minorHAnsi" w:hAnsiTheme="minorHAnsi"/>
        </w:rPr>
        <w:tab/>
      </w:r>
    </w:p>
    <w:p w:rsidR="007D1F2C" w:rsidRDefault="00AC1CD6" w:rsidP="0040201F">
      <w:pPr>
        <w:pStyle w:val="ListParagraph"/>
        <w:numPr>
          <w:ilvl w:val="2"/>
          <w:numId w:val="18"/>
        </w:numPr>
        <w:spacing w:after="0" w:line="240" w:lineRule="auto"/>
        <w:jc w:val="both"/>
        <w:rPr>
          <w:b/>
          <w:bCs/>
          <w:sz w:val="24"/>
          <w:szCs w:val="24"/>
        </w:rPr>
      </w:pPr>
      <w:r w:rsidRPr="00AC1CD6">
        <w:rPr>
          <w:b/>
          <w:bCs/>
          <w:sz w:val="24"/>
          <w:szCs w:val="24"/>
        </w:rPr>
        <w:t>Internet Protocol (</w:t>
      </w:r>
      <w:r w:rsidRPr="00AC1CD6">
        <w:rPr>
          <w:rFonts w:cstheme="majorBidi"/>
          <w:b/>
          <w:bCs/>
          <w:sz w:val="24"/>
          <w:szCs w:val="24"/>
        </w:rPr>
        <w:t>IP)-Based Networks and Management of Internet Resources</w:t>
      </w:r>
    </w:p>
    <w:p w:rsidR="007D1F2C" w:rsidRDefault="007D1F2C" w:rsidP="0040201F">
      <w:pPr>
        <w:pStyle w:val="ListParagraph"/>
        <w:spacing w:after="0" w:line="240" w:lineRule="auto"/>
        <w:jc w:val="both"/>
        <w:rPr>
          <w:b/>
          <w:bCs/>
          <w:sz w:val="24"/>
          <w:szCs w:val="24"/>
        </w:rPr>
      </w:pPr>
    </w:p>
    <w:p w:rsidR="007D1F2C" w:rsidRDefault="00AC1CD6" w:rsidP="0040201F">
      <w:pPr>
        <w:pStyle w:val="ListParagraph"/>
        <w:numPr>
          <w:ilvl w:val="0"/>
          <w:numId w:val="5"/>
        </w:numPr>
        <w:spacing w:after="0" w:line="240" w:lineRule="auto"/>
        <w:ind w:left="426" w:hanging="426"/>
        <w:jc w:val="both"/>
        <w:rPr>
          <w:sz w:val="24"/>
          <w:szCs w:val="24"/>
        </w:rPr>
      </w:pPr>
      <w:r w:rsidRPr="00AC1CD6">
        <w:rPr>
          <w:sz w:val="24"/>
          <w:szCs w:val="24"/>
        </w:rPr>
        <w:t xml:space="preserve">Fixed and mobile broadband networks are critical infrastructures in the growing global economy. The increased use of the Internet enhances the value of the network and encourages additional development of applications, information services and content, due to the nature of the Internet and </w:t>
      </w:r>
      <w:r w:rsidRPr="00F91831">
        <w:rPr>
          <w:sz w:val="24"/>
          <w:szCs w:val="24"/>
        </w:rPr>
        <w:t>the ‘end-to-end principle’ siting intelligence at the edges allowing for the easy introduction of new applications</w:t>
      </w:r>
      <w:r w:rsidRPr="00F91831">
        <w:rPr>
          <w:rStyle w:val="FootnoteReference"/>
          <w:sz w:val="24"/>
          <w:szCs w:val="24"/>
        </w:rPr>
        <w:footnoteReference w:id="77"/>
      </w:r>
      <w:r w:rsidRPr="00F91831">
        <w:rPr>
          <w:sz w:val="24"/>
          <w:szCs w:val="24"/>
        </w:rPr>
        <w:t>. Internet services are used widely, although challenges regarding quality of service (</w:t>
      </w:r>
      <w:proofErr w:type="spellStart"/>
      <w:r w:rsidRPr="00F91831">
        <w:rPr>
          <w:sz w:val="24"/>
          <w:szCs w:val="24"/>
        </w:rPr>
        <w:t>QoS</w:t>
      </w:r>
      <w:proofErr w:type="spellEnd"/>
      <w:r w:rsidRPr="00F91831">
        <w:rPr>
          <w:sz w:val="24"/>
          <w:szCs w:val="24"/>
        </w:rPr>
        <w:t>), uncertainty of origin for some applications, and high costs of international Internet connectivity (IIC) persist</w:t>
      </w:r>
      <w:r w:rsidRPr="00AC1CD6">
        <w:rPr>
          <w:sz w:val="24"/>
          <w:szCs w:val="24"/>
        </w:rPr>
        <w:t xml:space="preserve"> for many developing countries. Many countries are looking at promoting the development of national information and communication infrastructure with the creation of new, or more, national IXPs and improving the environment for the growth of local content and applications (e.g. Kenya and Nigeria)</w:t>
      </w:r>
      <w:r>
        <w:rPr>
          <w:rStyle w:val="FootnoteReference"/>
          <w:sz w:val="24"/>
          <w:szCs w:val="24"/>
        </w:rPr>
        <w:footnoteReference w:id="78"/>
      </w:r>
      <w:r w:rsidRPr="00AC1CD6">
        <w:rPr>
          <w:sz w:val="24"/>
          <w:szCs w:val="24"/>
        </w:rPr>
        <w:t xml:space="preserve">. </w:t>
      </w:r>
      <w:r w:rsidRPr="00AC1CD6">
        <w:rPr>
          <w:rFonts w:cs="Times New Roman"/>
          <w:sz w:val="24"/>
          <w:szCs w:val="24"/>
        </w:rPr>
        <w:t>Most carriers endeavor to provide a satisfactory level of service to end-users</w:t>
      </w:r>
      <w:r>
        <w:rPr>
          <w:rStyle w:val="FootnoteReference"/>
          <w:rFonts w:cs="Times New Roman"/>
          <w:sz w:val="24"/>
          <w:szCs w:val="24"/>
        </w:rPr>
        <w:footnoteReference w:id="79"/>
      </w:r>
      <w:r w:rsidRPr="00AC1CD6">
        <w:rPr>
          <w:rFonts w:cs="Times New Roman"/>
          <w:sz w:val="24"/>
          <w:szCs w:val="24"/>
        </w:rPr>
        <w:t>.</w:t>
      </w:r>
    </w:p>
    <w:p w:rsidR="007D1F2C" w:rsidRDefault="007D1F2C" w:rsidP="0040201F">
      <w:pPr>
        <w:spacing w:after="0" w:line="240" w:lineRule="auto"/>
        <w:jc w:val="both"/>
        <w:rPr>
          <w:sz w:val="24"/>
          <w:szCs w:val="24"/>
        </w:rPr>
      </w:pPr>
    </w:p>
    <w:p w:rsidR="007D1F2C" w:rsidRDefault="00AC1CD6" w:rsidP="0040201F">
      <w:pPr>
        <w:pStyle w:val="ListParagraph"/>
        <w:numPr>
          <w:ilvl w:val="0"/>
          <w:numId w:val="5"/>
        </w:numPr>
        <w:spacing w:after="0" w:line="240" w:lineRule="auto"/>
        <w:jc w:val="both"/>
        <w:rPr>
          <w:sz w:val="24"/>
          <w:szCs w:val="24"/>
        </w:rPr>
      </w:pPr>
      <w:r w:rsidRPr="00AC1CD6">
        <w:rPr>
          <w:sz w:val="24"/>
          <w:szCs w:val="24"/>
        </w:rPr>
        <w:t>Thanks to innovation and investment, the information and communication infrastructure has become a vital part of national and international infrastructures and an engine of growth in the twenty-first century. The Internet will continue to evolve and introduce new ways to acquire, produce, circulate and consume information. Encouraging competition, thereby providing high-speed Internet at low prices, will continue changing the way we produce and sell products and services for the benefit of all people</w:t>
      </w:r>
      <w:r>
        <w:rPr>
          <w:rStyle w:val="FootnoteReference"/>
          <w:sz w:val="24"/>
          <w:szCs w:val="24"/>
        </w:rPr>
        <w:footnoteReference w:id="80"/>
      </w:r>
      <w:r w:rsidRPr="00AC1CD6">
        <w:rPr>
          <w:sz w:val="24"/>
          <w:szCs w:val="24"/>
        </w:rPr>
        <w:t xml:space="preserve">. </w:t>
      </w:r>
    </w:p>
    <w:p w:rsidR="007D1F2C" w:rsidRDefault="007D1F2C" w:rsidP="0040201F">
      <w:pPr>
        <w:spacing w:after="0" w:line="240" w:lineRule="auto"/>
        <w:jc w:val="both"/>
        <w:rPr>
          <w:sz w:val="24"/>
          <w:szCs w:val="24"/>
        </w:rPr>
      </w:pPr>
    </w:p>
    <w:p w:rsidR="007D1F2C" w:rsidRDefault="00AC1CD6" w:rsidP="0040201F">
      <w:pPr>
        <w:pStyle w:val="ListParagraph"/>
        <w:numPr>
          <w:ilvl w:val="0"/>
          <w:numId w:val="5"/>
        </w:numPr>
        <w:shd w:val="clear" w:color="auto" w:fill="FFFFFF"/>
        <w:spacing w:after="0" w:line="240" w:lineRule="auto"/>
        <w:jc w:val="both"/>
        <w:rPr>
          <w:rFonts w:eastAsia="SimSun" w:cs="Times New Roman"/>
          <w:sz w:val="24"/>
          <w:szCs w:val="24"/>
        </w:rPr>
      </w:pPr>
      <w:r w:rsidRPr="00AC1CD6">
        <w:rPr>
          <w:sz w:val="24"/>
          <w:szCs w:val="24"/>
        </w:rPr>
        <w:t>On the basis of such growth, demands are now growing on the existing infrastructure</w:t>
      </w:r>
      <w:r w:rsidR="005D65FC" w:rsidRPr="005D33A9">
        <w:rPr>
          <w:rStyle w:val="FootnoteReference"/>
          <w:sz w:val="24"/>
          <w:szCs w:val="24"/>
        </w:rPr>
        <w:footnoteReference w:id="81"/>
      </w:r>
      <w:proofErr w:type="gramStart"/>
      <w:r w:rsidRPr="00AC1CD6">
        <w:rPr>
          <w:sz w:val="24"/>
          <w:szCs w:val="24"/>
          <w:vertAlign w:val="superscript"/>
        </w:rPr>
        <w:t>,</w:t>
      </w:r>
      <w:r w:rsidR="005D65FC" w:rsidRPr="005D33A9">
        <w:rPr>
          <w:rStyle w:val="FootnoteReference"/>
          <w:sz w:val="24"/>
          <w:szCs w:val="24"/>
        </w:rPr>
        <w:footnoteReference w:id="82"/>
      </w:r>
      <w:r w:rsidR="005D65FC" w:rsidRPr="005D33A9">
        <w:rPr>
          <w:sz w:val="24"/>
          <w:szCs w:val="24"/>
        </w:rPr>
        <w:t>.</w:t>
      </w:r>
      <w:proofErr w:type="gramEnd"/>
      <w:r w:rsidR="005D65FC" w:rsidRPr="005D33A9">
        <w:rPr>
          <w:sz w:val="24"/>
          <w:szCs w:val="24"/>
        </w:rPr>
        <w:t xml:space="preserve"> One view is that the underlying technical archite</w:t>
      </w:r>
      <w:r w:rsidRPr="00AC1CD6">
        <w:rPr>
          <w:sz w:val="24"/>
          <w:szCs w:val="24"/>
        </w:rPr>
        <w:t>cture of the present Internet may not have been designed for, and hence may not be sufficiently robust, to support some new classes of applications and services. Security, identity management and multilingualism are commonly cited examples</w:t>
      </w:r>
      <w:r w:rsidR="005D65FC" w:rsidRPr="005D33A9">
        <w:rPr>
          <w:rStyle w:val="FootnoteReference"/>
          <w:sz w:val="24"/>
          <w:szCs w:val="24"/>
        </w:rPr>
        <w:footnoteReference w:id="83"/>
      </w:r>
      <w:r w:rsidR="005D65FC" w:rsidRPr="005D33A9">
        <w:rPr>
          <w:sz w:val="24"/>
          <w:szCs w:val="24"/>
        </w:rPr>
        <w:t xml:space="preserve">. Another view is that the current architecture has allowed astonishing levels of innovation and growth with, in particular, massive uptake of video traffic and multi-user </w:t>
      </w:r>
      <w:r w:rsidR="005D65FC" w:rsidRPr="00F91831">
        <w:rPr>
          <w:sz w:val="24"/>
          <w:szCs w:val="24"/>
        </w:rPr>
        <w:t>applications</w:t>
      </w:r>
      <w:r w:rsidRPr="00F91831">
        <w:rPr>
          <w:rStyle w:val="FootnoteReference"/>
          <w:sz w:val="24"/>
          <w:szCs w:val="24"/>
        </w:rPr>
        <w:footnoteReference w:id="84"/>
      </w:r>
      <w:r w:rsidR="005D65FC" w:rsidRPr="00F91831">
        <w:rPr>
          <w:sz w:val="24"/>
          <w:szCs w:val="24"/>
        </w:rPr>
        <w:t>.  Opinions d</w:t>
      </w:r>
      <w:r w:rsidRPr="00F91831">
        <w:rPr>
          <w:sz w:val="24"/>
          <w:szCs w:val="24"/>
        </w:rPr>
        <w:t xml:space="preserve">iffer as to how well current infrastructure may be able to continue to evolve and grow to cope with growth in demand. </w:t>
      </w:r>
      <w:r w:rsidRPr="00F91831">
        <w:rPr>
          <w:rFonts w:eastAsia="SimSun" w:cs="Arial"/>
          <w:sz w:val="24"/>
          <w:szCs w:val="24"/>
        </w:rPr>
        <w:t xml:space="preserve">However, thus far, the Internet has proven capable of adapting through the introduction of new protocols to address security issues and multilingualism, as evident in the implementation and adoption of </w:t>
      </w:r>
      <w:r w:rsidR="00F97800" w:rsidRPr="00F91831">
        <w:rPr>
          <w:rFonts w:eastAsia="SimSun" w:cs="Arial"/>
          <w:sz w:val="24"/>
          <w:szCs w:val="24"/>
        </w:rPr>
        <w:t>Domain Name System Security Extensions (</w:t>
      </w:r>
      <w:r w:rsidRPr="00F91831">
        <w:rPr>
          <w:rFonts w:eastAsia="SimSun" w:cs="Arial"/>
          <w:sz w:val="24"/>
          <w:szCs w:val="24"/>
        </w:rPr>
        <w:t>DNSSEC</w:t>
      </w:r>
      <w:r w:rsidR="00F97800" w:rsidRPr="00F91831">
        <w:rPr>
          <w:rFonts w:eastAsia="SimSun" w:cs="Arial"/>
          <w:sz w:val="24"/>
          <w:szCs w:val="24"/>
        </w:rPr>
        <w:t>)</w:t>
      </w:r>
      <w:r w:rsidRPr="00F91831">
        <w:rPr>
          <w:rFonts w:eastAsia="SimSun" w:cs="Arial"/>
          <w:sz w:val="24"/>
          <w:szCs w:val="24"/>
        </w:rPr>
        <w:t xml:space="preserve">, </w:t>
      </w:r>
      <w:r w:rsidR="00F97800" w:rsidRPr="00F91831">
        <w:rPr>
          <w:rFonts w:eastAsia="SimSun" w:cs="Arial"/>
          <w:sz w:val="24"/>
          <w:szCs w:val="24"/>
        </w:rPr>
        <w:t>Internet Protocol version 6 (</w:t>
      </w:r>
      <w:r w:rsidRPr="00F91831">
        <w:rPr>
          <w:rFonts w:eastAsia="SimSun" w:cs="Arial"/>
          <w:sz w:val="24"/>
          <w:szCs w:val="24"/>
        </w:rPr>
        <w:t>IPv6</w:t>
      </w:r>
      <w:r w:rsidR="00F97800" w:rsidRPr="00F91831">
        <w:rPr>
          <w:rFonts w:eastAsia="SimSun" w:cs="Arial"/>
          <w:sz w:val="24"/>
          <w:szCs w:val="24"/>
        </w:rPr>
        <w:t>)</w:t>
      </w:r>
      <w:r w:rsidRPr="00F91831">
        <w:rPr>
          <w:rFonts w:eastAsia="SimSun" w:cs="Arial"/>
          <w:sz w:val="24"/>
          <w:szCs w:val="24"/>
        </w:rPr>
        <w:t xml:space="preserve">, and </w:t>
      </w:r>
      <w:r w:rsidR="00F97800" w:rsidRPr="00F91831">
        <w:rPr>
          <w:rFonts w:eastAsia="SimSun" w:cs="Arial"/>
          <w:sz w:val="24"/>
          <w:szCs w:val="24"/>
        </w:rPr>
        <w:t>Internationalized Domain Names (</w:t>
      </w:r>
      <w:r w:rsidRPr="00F91831">
        <w:rPr>
          <w:rFonts w:eastAsia="SimSun" w:cs="Arial"/>
          <w:sz w:val="24"/>
          <w:szCs w:val="24"/>
        </w:rPr>
        <w:t>IDNs</w:t>
      </w:r>
      <w:r w:rsidR="00F97800" w:rsidRPr="00F91831">
        <w:rPr>
          <w:rFonts w:eastAsia="SimSun" w:cs="Arial"/>
          <w:sz w:val="24"/>
          <w:szCs w:val="24"/>
        </w:rPr>
        <w:t>)</w:t>
      </w:r>
      <w:r w:rsidRPr="00F91831">
        <w:rPr>
          <w:rFonts w:eastAsia="SimSun" w:cs="Arial"/>
          <w:sz w:val="24"/>
          <w:szCs w:val="24"/>
        </w:rPr>
        <w:t>.  Many of these issues</w:t>
      </w:r>
      <w:r w:rsidRPr="00AC1CD6">
        <w:rPr>
          <w:rFonts w:eastAsia="SimSun" w:cs="Arial"/>
          <w:sz w:val="24"/>
          <w:szCs w:val="24"/>
        </w:rPr>
        <w:t xml:space="preserve"> are also being dealt with through the application of other technical and non-technical approaches such as domestic and international public policy and education</w:t>
      </w:r>
      <w:r w:rsidR="00B51A2B" w:rsidRPr="005D33A9">
        <w:rPr>
          <w:rStyle w:val="FootnoteReference"/>
          <w:rFonts w:eastAsia="SimSun" w:cs="Arial"/>
          <w:sz w:val="24"/>
          <w:szCs w:val="24"/>
        </w:rPr>
        <w:footnoteReference w:id="85"/>
      </w:r>
      <w:r w:rsidR="00B51A2B" w:rsidRPr="005D33A9">
        <w:rPr>
          <w:rFonts w:eastAsia="SimSun" w:cs="Arial"/>
          <w:sz w:val="24"/>
          <w:szCs w:val="24"/>
        </w:rPr>
        <w:t>.</w:t>
      </w:r>
    </w:p>
    <w:p w:rsidR="007D1F2C" w:rsidRDefault="007D1F2C" w:rsidP="0040201F">
      <w:pPr>
        <w:pStyle w:val="ListParagraph"/>
        <w:shd w:val="clear" w:color="auto" w:fill="FFFFFF"/>
        <w:spacing w:after="0" w:line="240" w:lineRule="auto"/>
        <w:ind w:left="426"/>
        <w:jc w:val="both"/>
        <w:rPr>
          <w:rFonts w:cstheme="majorBidi"/>
          <w:sz w:val="24"/>
          <w:szCs w:val="24"/>
        </w:rPr>
      </w:pPr>
    </w:p>
    <w:p w:rsidR="007D1F2C" w:rsidRDefault="00AC1CD6" w:rsidP="0040201F">
      <w:pPr>
        <w:pStyle w:val="ListParagraph"/>
        <w:numPr>
          <w:ilvl w:val="0"/>
          <w:numId w:val="5"/>
        </w:numPr>
        <w:shd w:val="clear" w:color="auto" w:fill="FFFFFF"/>
        <w:spacing w:after="0" w:line="240" w:lineRule="auto"/>
        <w:ind w:left="426" w:hanging="426"/>
        <w:jc w:val="both"/>
        <w:rPr>
          <w:rFonts w:cstheme="minorHAnsi"/>
          <w:sz w:val="24"/>
          <w:szCs w:val="24"/>
        </w:rPr>
      </w:pPr>
      <w:r w:rsidRPr="00AC1CD6">
        <w:rPr>
          <w:rFonts w:cstheme="majorBidi"/>
          <w:sz w:val="24"/>
          <w:szCs w:val="24"/>
        </w:rPr>
        <w:t xml:space="preserve">The high costs of the circuits for IIC between Least Developed </w:t>
      </w:r>
      <w:r w:rsidRPr="00F91831">
        <w:rPr>
          <w:rFonts w:cstheme="majorBidi"/>
          <w:sz w:val="24"/>
          <w:szCs w:val="24"/>
        </w:rPr>
        <w:t>Countries (LDCs) and the Internet backbone networks remains a persistent problem for these countries</w:t>
      </w:r>
      <w:r w:rsidR="005D65FC" w:rsidRPr="00F91831">
        <w:rPr>
          <w:rStyle w:val="FootnoteReference"/>
          <w:rFonts w:cstheme="majorBidi"/>
          <w:sz w:val="24"/>
          <w:szCs w:val="24"/>
        </w:rPr>
        <w:footnoteReference w:id="86"/>
      </w:r>
      <w:r w:rsidR="005D65FC" w:rsidRPr="00F91831">
        <w:rPr>
          <w:rFonts w:cstheme="majorBidi"/>
          <w:sz w:val="24"/>
          <w:szCs w:val="24"/>
        </w:rPr>
        <w:t>. An enabling and competitive environment must be in place to allow for availability of affordable bandwidth for cross-border and in-country interconnection, as well as to enable ISPs to make commercial arrangements for peering or transit</w:t>
      </w:r>
      <w:r w:rsidRPr="00F91831">
        <w:rPr>
          <w:rStyle w:val="FootnoteReference"/>
          <w:rFonts w:cstheme="majorBidi"/>
          <w:sz w:val="24"/>
          <w:szCs w:val="24"/>
        </w:rPr>
        <w:footnoteReference w:id="87"/>
      </w:r>
      <w:r w:rsidR="005D65FC" w:rsidRPr="00F91831">
        <w:rPr>
          <w:sz w:val="24"/>
          <w:szCs w:val="24"/>
        </w:rPr>
        <w:t>.</w:t>
      </w:r>
      <w:r w:rsidRPr="00F91831">
        <w:rPr>
          <w:rFonts w:cstheme="majorBidi"/>
          <w:sz w:val="24"/>
          <w:szCs w:val="24"/>
        </w:rPr>
        <w:t xml:space="preserve"> </w:t>
      </w:r>
      <w:r w:rsidRPr="00F91831">
        <w:rPr>
          <w:sz w:val="24"/>
          <w:szCs w:val="24"/>
        </w:rPr>
        <w:t xml:space="preserve">Para. 50 of the </w:t>
      </w:r>
      <w:r w:rsidRPr="00F91831">
        <w:rPr>
          <w:i/>
          <w:iCs/>
          <w:sz w:val="24"/>
          <w:szCs w:val="24"/>
        </w:rPr>
        <w:t>Tunis Agenda</w:t>
      </w:r>
      <w:r w:rsidRPr="00F91831">
        <w:rPr>
          <w:sz w:val="24"/>
          <w:szCs w:val="24"/>
        </w:rPr>
        <w:t xml:space="preserve"> (2005) acknowledged </w:t>
      </w:r>
      <w:r w:rsidRPr="00F91831">
        <w:rPr>
          <w:rFonts w:cstheme="majorBidi"/>
          <w:sz w:val="24"/>
          <w:szCs w:val="24"/>
        </w:rPr>
        <w:t>there are concerns,</w:t>
      </w:r>
      <w:r w:rsidRPr="00F91831">
        <w:rPr>
          <w:rFonts w:cs="Times New Roman"/>
          <w:sz w:val="24"/>
          <w:szCs w:val="24"/>
        </w:rPr>
        <w:t xml:space="preserve"> particularly amongst developing countries, that the charges for IIC should be better balanced to enhance access.</w:t>
      </w:r>
      <w:r w:rsidRPr="00F91831">
        <w:rPr>
          <w:rFonts w:cstheme="majorBidi"/>
          <w:sz w:val="24"/>
          <w:szCs w:val="24"/>
        </w:rPr>
        <w:t xml:space="preserve"> </w:t>
      </w:r>
      <w:r w:rsidRPr="00F91831">
        <w:rPr>
          <w:rFonts w:cstheme="minorHAnsi"/>
          <w:sz w:val="24"/>
          <w:szCs w:val="24"/>
        </w:rPr>
        <w:t>It</w:t>
      </w:r>
      <w:r w:rsidRPr="00AC1CD6">
        <w:rPr>
          <w:rFonts w:cstheme="minorHAnsi"/>
          <w:sz w:val="24"/>
          <w:szCs w:val="24"/>
        </w:rPr>
        <w:t xml:space="preserve"> called for the development of strategies for increasing affordable global connectivity, thereby facilitating improved and equitable access for all, by:</w:t>
      </w:r>
    </w:p>
    <w:p w:rsidR="007D1F2C" w:rsidRDefault="007D1F2C" w:rsidP="0040201F">
      <w:pPr>
        <w:pStyle w:val="ListParagraph"/>
        <w:shd w:val="clear" w:color="auto" w:fill="FFFFFF"/>
        <w:spacing w:after="0" w:line="240" w:lineRule="auto"/>
        <w:ind w:left="426"/>
        <w:jc w:val="both"/>
        <w:rPr>
          <w:rFonts w:cstheme="minorHAnsi"/>
          <w:sz w:val="24"/>
          <w:szCs w:val="24"/>
        </w:rPr>
      </w:pPr>
    </w:p>
    <w:p w:rsidR="007D1F2C" w:rsidRDefault="00AC1CD6" w:rsidP="0040201F">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D1F2C" w:rsidRDefault="00AC1CD6" w:rsidP="0040201F">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Setting up regional high-speed Internet backbone networks and the creation of national, sub-regional and regional IXPs.</w:t>
      </w:r>
      <w:r w:rsidR="004316DD" w:rsidRPr="005D33A9">
        <w:rPr>
          <w:rStyle w:val="FootnoteReference"/>
          <w:rFonts w:asciiTheme="minorHAnsi" w:hAnsiTheme="minorHAnsi" w:cstheme="minorHAnsi"/>
          <w:color w:val="000000"/>
          <w:lang w:eastAsia="en-US"/>
        </w:rPr>
        <w:footnoteReference w:id="88"/>
      </w:r>
    </w:p>
    <w:p w:rsidR="007D1F2C" w:rsidRDefault="00AC1CD6" w:rsidP="0040201F">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lastRenderedPageBreak/>
        <w:t xml:space="preserve">Recommending donor </w:t>
      </w:r>
      <w:proofErr w:type="spellStart"/>
      <w:r w:rsidRPr="00AC1CD6">
        <w:rPr>
          <w:rFonts w:asciiTheme="minorHAnsi" w:hAnsiTheme="minorHAnsi" w:cstheme="minorHAnsi"/>
          <w:color w:val="000000"/>
          <w:lang w:eastAsia="en-US"/>
        </w:rPr>
        <w:t>programmes</w:t>
      </w:r>
      <w:proofErr w:type="spellEnd"/>
      <w:r w:rsidRPr="00AC1CD6">
        <w:rPr>
          <w:rFonts w:asciiTheme="minorHAnsi" w:hAnsiTheme="minorHAnsi" w:cstheme="minorHAnsi"/>
          <w:color w:val="000000"/>
          <w:lang w:eastAsia="en-US"/>
        </w:rPr>
        <w:t xml:space="preserve"> and developmental financing mechanisms to consider the need to provide funding for initiatives that advance connectivity, IXPs and local content for developing countries.</w:t>
      </w:r>
    </w:p>
    <w:p w:rsidR="007D1F2C" w:rsidRDefault="00AC1CD6" w:rsidP="0040201F">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7D1F2C" w:rsidRDefault="00AC1CD6" w:rsidP="0040201F">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7D1F2C" w:rsidRDefault="00AC1CD6" w:rsidP="0040201F">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7D1F2C" w:rsidRDefault="00AC1CD6" w:rsidP="0040201F">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AC1CD6">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7D1F2C" w:rsidRDefault="007D1F2C" w:rsidP="0040201F">
      <w:pPr>
        <w:pStyle w:val="NormalWeb"/>
        <w:shd w:val="clear" w:color="auto" w:fill="FFFFFF"/>
        <w:spacing w:before="0" w:beforeAutospacing="0" w:after="0" w:afterAutospacing="0"/>
        <w:ind w:left="1134"/>
        <w:jc w:val="both"/>
        <w:rPr>
          <w:rFonts w:asciiTheme="minorHAnsi" w:hAnsiTheme="minorHAnsi" w:cstheme="minorHAnsi"/>
          <w:color w:val="000000"/>
          <w:lang w:eastAsia="en-US"/>
        </w:rPr>
      </w:pPr>
    </w:p>
    <w:p w:rsidR="007D1F2C" w:rsidRDefault="00AC1CD6" w:rsidP="0040201F">
      <w:pPr>
        <w:pStyle w:val="Default"/>
        <w:numPr>
          <w:ilvl w:val="0"/>
          <w:numId w:val="9"/>
        </w:numPr>
        <w:ind w:left="426" w:hanging="426"/>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 xml:space="preserve">Rates for IIC have been </w:t>
      </w:r>
      <w:r w:rsidRPr="00F91831">
        <w:rPr>
          <w:rFonts w:asciiTheme="minorHAnsi" w:eastAsiaTheme="minorEastAsia" w:hAnsiTheme="minorHAnsi" w:cstheme="minorHAnsi"/>
          <w:color w:val="auto"/>
          <w:lang w:eastAsia="zh-CN"/>
        </w:rPr>
        <w:t>studied in ITU-T Study</w:t>
      </w:r>
      <w:r w:rsidRPr="00AC1CD6">
        <w:rPr>
          <w:rFonts w:asciiTheme="minorHAnsi" w:eastAsiaTheme="minorEastAsia" w:hAnsiTheme="minorHAnsi" w:cstheme="minorHAnsi"/>
          <w:color w:val="auto"/>
          <w:lang w:eastAsia="zh-CN"/>
        </w:rPr>
        <w:t xml:space="preserve"> Group 3 with several recommendations</w:t>
      </w:r>
      <w:r w:rsidR="004316DD" w:rsidRPr="005D33A9">
        <w:rPr>
          <w:rFonts w:asciiTheme="minorHAnsi" w:eastAsiaTheme="minorEastAsia" w:hAnsiTheme="minorHAnsi" w:cstheme="minorHAnsi"/>
          <w:color w:val="auto"/>
          <w:vertAlign w:val="superscript"/>
          <w:lang w:eastAsia="zh-CN"/>
        </w:rPr>
        <w:footnoteReference w:id="89"/>
      </w:r>
      <w:r w:rsidR="004316DD" w:rsidRPr="005D33A9">
        <w:rPr>
          <w:rFonts w:asciiTheme="minorHAnsi" w:eastAsiaTheme="minorEastAsia" w:hAnsiTheme="minorHAnsi" w:cstheme="minorHAnsi"/>
          <w:color w:val="auto"/>
          <w:vertAlign w:val="superscript"/>
          <w:lang w:eastAsia="zh-CN"/>
        </w:rPr>
        <w:t xml:space="preserve"> </w:t>
      </w:r>
      <w:r w:rsidRPr="00AC1CD6">
        <w:rPr>
          <w:rFonts w:asciiTheme="minorHAnsi" w:eastAsiaTheme="minorEastAsia" w:hAnsiTheme="minorHAnsi" w:cstheme="minorHAnsi"/>
          <w:color w:val="auto"/>
          <w:lang w:eastAsia="zh-CN"/>
        </w:rPr>
        <w:t xml:space="preserve">having been made on methods to reduce connectivity </w:t>
      </w:r>
      <w:r w:rsidRPr="00F91831">
        <w:rPr>
          <w:rFonts w:asciiTheme="minorHAnsi" w:eastAsiaTheme="minorEastAsia" w:hAnsiTheme="minorHAnsi" w:cstheme="minorHAnsi"/>
          <w:color w:val="auto"/>
          <w:lang w:eastAsia="zh-CN"/>
        </w:rPr>
        <w:t>rates. WCIT Resolution</w:t>
      </w:r>
      <w:r w:rsidRPr="00AC1CD6">
        <w:rPr>
          <w:rFonts w:asciiTheme="minorHAnsi" w:eastAsiaTheme="minorEastAsia" w:hAnsiTheme="minorHAnsi" w:cstheme="minorHAnsi"/>
          <w:color w:val="auto"/>
          <w:lang w:eastAsia="zh-CN"/>
        </w:rPr>
        <w:t xml:space="preserve"> 5</w:t>
      </w:r>
      <w:r w:rsidR="004316DD" w:rsidRPr="005D33A9">
        <w:rPr>
          <w:rStyle w:val="FootnoteReference"/>
          <w:rFonts w:asciiTheme="minorHAnsi" w:eastAsiaTheme="minorEastAsia" w:hAnsiTheme="minorHAnsi" w:cstheme="minorHAnsi"/>
          <w:color w:val="auto"/>
          <w:lang w:eastAsia="zh-CN"/>
        </w:rPr>
        <w:footnoteReference w:id="90"/>
      </w:r>
      <w:r w:rsidRPr="00AC1CD6">
        <w:rPr>
          <w:rFonts w:asciiTheme="minorHAnsi" w:eastAsiaTheme="minorEastAsia" w:hAnsiTheme="minorHAnsi" w:cstheme="minorHAnsi"/>
          <w:color w:val="auto"/>
          <w:lang w:eastAsia="zh-CN"/>
        </w:rPr>
        <w:t xml:space="preserve"> - </w:t>
      </w:r>
      <w:proofErr w:type="gramStart"/>
      <w:r w:rsidRPr="00AC1CD6">
        <w:rPr>
          <w:rFonts w:asciiTheme="minorHAnsi" w:eastAsiaTheme="minorEastAsia" w:hAnsiTheme="minorHAnsi" w:cstheme="minorHAnsi"/>
          <w:color w:val="auto"/>
          <w:lang w:eastAsia="zh-CN"/>
        </w:rPr>
        <w:t>on  “</w:t>
      </w:r>
      <w:proofErr w:type="gramEnd"/>
      <w:r w:rsidRPr="00AC1CD6">
        <w:rPr>
          <w:rFonts w:asciiTheme="minorHAnsi" w:eastAsiaTheme="minorEastAsia" w:hAnsiTheme="minorHAnsi" w:cstheme="minorHAnsi"/>
          <w:color w:val="auto"/>
          <w:lang w:eastAsia="zh-CN"/>
        </w:rPr>
        <w:t xml:space="preserve">International telecommunication service traffic termination and exchange” -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w:t>
      </w:r>
      <w:r w:rsidRPr="00F91831">
        <w:rPr>
          <w:rFonts w:asciiTheme="minorHAnsi" w:eastAsiaTheme="minorEastAsia" w:hAnsiTheme="minorHAnsi" w:cstheme="minorHAnsi"/>
          <w:color w:val="auto"/>
          <w:lang w:eastAsia="zh-CN"/>
        </w:rPr>
        <w:t xml:space="preserve">instruct the </w:t>
      </w:r>
      <w:r w:rsidR="00F97800" w:rsidRPr="00F91831">
        <w:rPr>
          <w:rFonts w:asciiTheme="minorHAnsi" w:eastAsiaTheme="minorEastAsia" w:hAnsiTheme="minorHAnsi" w:cstheme="minorHAnsi"/>
          <w:color w:val="auto"/>
          <w:lang w:eastAsia="zh-CN"/>
        </w:rPr>
        <w:t>Telecommunication Standardization Bureau (</w:t>
      </w:r>
      <w:r w:rsidRPr="00F91831">
        <w:rPr>
          <w:rFonts w:asciiTheme="minorHAnsi" w:eastAsiaTheme="minorEastAsia" w:hAnsiTheme="minorHAnsi" w:cstheme="minorHAnsi"/>
          <w:color w:val="auto"/>
          <w:lang w:eastAsia="zh-CN"/>
        </w:rPr>
        <w:t>TSB</w:t>
      </w:r>
      <w:r w:rsidR="00F97800" w:rsidRPr="00F91831">
        <w:rPr>
          <w:rFonts w:asciiTheme="minorHAnsi" w:eastAsiaTheme="minorEastAsia" w:hAnsiTheme="minorHAnsi" w:cstheme="minorHAnsi"/>
          <w:color w:val="auto"/>
          <w:lang w:eastAsia="zh-CN"/>
        </w:rPr>
        <w:t>)</w:t>
      </w:r>
      <w:r w:rsidRPr="00F91831">
        <w:rPr>
          <w:rFonts w:asciiTheme="minorHAnsi" w:eastAsiaTheme="minorEastAsia" w:hAnsiTheme="minorHAnsi" w:cstheme="minorHAnsi"/>
          <w:color w:val="auto"/>
          <w:lang w:eastAsia="zh-CN"/>
        </w:rPr>
        <w:t xml:space="preserve"> Director to</w:t>
      </w:r>
      <w:r w:rsidRPr="00F91831">
        <w:rPr>
          <w:rFonts w:asciiTheme="minorHAnsi" w:hAnsiTheme="minorHAnsi"/>
        </w:rPr>
        <w:t xml:space="preserve"> </w:t>
      </w:r>
      <w:r w:rsidRPr="00F91831">
        <w:rPr>
          <w:rFonts w:asciiTheme="minorHAnsi" w:eastAsiaTheme="minorEastAsia" w:hAnsiTheme="minorHAnsi" w:cstheme="minorHAnsi"/>
          <w:color w:val="auto"/>
          <w:lang w:eastAsia="zh-CN"/>
        </w:rPr>
        <w:t>take necessary action in order that</w:t>
      </w:r>
      <w:r w:rsidRPr="00AC1CD6">
        <w:rPr>
          <w:rFonts w:asciiTheme="minorHAnsi" w:hAnsiTheme="minorHAnsi"/>
        </w:rPr>
        <w:t xml:space="preserve"> </w:t>
      </w:r>
      <w:r w:rsidRPr="00AC1CD6">
        <w:rPr>
          <w:rFonts w:asciiTheme="minorHAnsi" w:eastAsiaTheme="minorEastAsia" w:hAnsiTheme="minorHAnsi" w:cstheme="minorHAnsi"/>
          <w:color w:val="auto"/>
          <w:lang w:eastAsia="zh-CN"/>
        </w:rPr>
        <w:t xml:space="preserve">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7D1F2C" w:rsidRDefault="007D1F2C" w:rsidP="0040201F">
      <w:pPr>
        <w:pStyle w:val="Default"/>
        <w:jc w:val="both"/>
        <w:rPr>
          <w:rFonts w:asciiTheme="minorHAnsi" w:eastAsiaTheme="minorEastAsia" w:hAnsiTheme="minorHAnsi" w:cstheme="minorHAnsi"/>
          <w:color w:val="auto"/>
          <w:lang w:eastAsia="zh-CN"/>
        </w:rPr>
      </w:pPr>
    </w:p>
    <w:p w:rsidR="007D1F2C" w:rsidRDefault="00AC1CD6" w:rsidP="0040201F">
      <w:pPr>
        <w:pStyle w:val="Default"/>
        <w:numPr>
          <w:ilvl w:val="0"/>
          <w:numId w:val="9"/>
        </w:numPr>
        <w:ind w:left="426" w:hanging="426"/>
        <w:jc w:val="both"/>
        <w:rPr>
          <w:rFonts w:asciiTheme="minorHAnsi" w:eastAsiaTheme="minorEastAsia" w:hAnsiTheme="minorHAnsi" w:cstheme="minorHAnsi"/>
          <w:color w:val="auto"/>
          <w:lang w:eastAsia="zh-CN"/>
        </w:rPr>
      </w:pPr>
      <w:r w:rsidRPr="00AC1CD6">
        <w:rPr>
          <w:rFonts w:asciiTheme="minorHAnsi" w:eastAsiaTheme="minorEastAsia" w:hAnsiTheme="minorHAnsi" w:cstheme="minorHAnsi"/>
          <w:color w:val="auto"/>
          <w:lang w:eastAsia="zh-CN"/>
        </w:rPr>
        <w:t xml:space="preserve"> ITU Member States and the ITU may wish to consider which policy environments and strategies can facilitate the growth of networks and reduction in connectivity rates, including IXPs (both at a local and regional level). The need for IIC can be reduced th</w:t>
      </w:r>
      <w:r w:rsidR="00D94658">
        <w:rPr>
          <w:rFonts w:asciiTheme="minorHAnsi" w:eastAsiaTheme="minorEastAsia" w:hAnsiTheme="minorHAnsi" w:cstheme="minorHAnsi"/>
          <w:color w:val="auto"/>
          <w:lang w:eastAsia="zh-CN"/>
        </w:rPr>
        <w:t>rough the development of local/</w:t>
      </w:r>
      <w:r w:rsidRPr="00AC1CD6">
        <w:rPr>
          <w:rFonts w:asciiTheme="minorHAnsi" w:eastAsiaTheme="minorEastAsia" w:hAnsiTheme="minorHAnsi" w:cstheme="minorHAnsi"/>
          <w:color w:val="auto"/>
          <w:lang w:eastAsia="zh-CN"/>
        </w:rPr>
        <w:t>national/regional networks. Content hosted within a country rather than abroad, will reduce demand for international connectivity. Hosting local content closer to the users may also reduce latency, improve user experience, and increase demand for Internet connectivity</w:t>
      </w:r>
      <w:r w:rsidR="005D65FC" w:rsidRPr="005D33A9">
        <w:rPr>
          <w:rStyle w:val="FootnoteReference"/>
          <w:rFonts w:asciiTheme="minorHAnsi" w:eastAsiaTheme="minorEastAsia" w:hAnsiTheme="minorHAnsi" w:cstheme="minorHAnsi"/>
          <w:color w:val="auto"/>
          <w:lang w:eastAsia="zh-CN"/>
        </w:rPr>
        <w:footnoteReference w:id="91"/>
      </w:r>
      <w:r w:rsidRPr="00AC1CD6">
        <w:rPr>
          <w:rFonts w:asciiTheme="minorHAnsi" w:eastAsiaTheme="minorEastAsia" w:hAnsiTheme="minorHAnsi" w:cstheme="minorHAnsi"/>
          <w:color w:val="auto"/>
          <w:lang w:eastAsia="zh-CN"/>
        </w:rPr>
        <w:t xml:space="preserve">.  </w:t>
      </w:r>
    </w:p>
    <w:p w:rsidR="007D1F2C" w:rsidRDefault="007D1F2C" w:rsidP="0040201F">
      <w:pPr>
        <w:pStyle w:val="Default"/>
        <w:ind w:left="426"/>
        <w:jc w:val="both"/>
        <w:rPr>
          <w:rFonts w:asciiTheme="minorHAnsi" w:eastAsiaTheme="minorEastAsia" w:hAnsiTheme="minorHAnsi" w:cstheme="minorHAnsi"/>
          <w:color w:val="auto"/>
          <w:lang w:eastAsia="zh-CN"/>
        </w:rPr>
      </w:pPr>
    </w:p>
    <w:p w:rsidR="007D1F2C" w:rsidRDefault="00AC1CD6" w:rsidP="0040201F">
      <w:pPr>
        <w:pStyle w:val="Default"/>
        <w:numPr>
          <w:ilvl w:val="0"/>
          <w:numId w:val="9"/>
        </w:numPr>
        <w:ind w:left="426" w:hanging="426"/>
        <w:jc w:val="both"/>
        <w:rPr>
          <w:rFonts w:asciiTheme="minorHAnsi" w:hAnsiTheme="minorHAnsi" w:cstheme="minorHAnsi"/>
        </w:rPr>
      </w:pPr>
      <w:r w:rsidRPr="00AC1CD6">
        <w:rPr>
          <w:rFonts w:asciiTheme="minorHAnsi" w:hAnsiTheme="minorHAnsi" w:cstheme="minorHAnsi"/>
        </w:rPr>
        <w:t>With the move from traditional networks (based on dedicated service-channels and/or separate networks for each service) to integrated (transport) services on a single packet-based transport infrastructure, maintaining pre-defined transmission planning of Quality of Service (</w:t>
      </w:r>
      <w:proofErr w:type="spellStart"/>
      <w:r w:rsidRPr="00AC1CD6">
        <w:rPr>
          <w:rFonts w:asciiTheme="minorHAnsi" w:hAnsiTheme="minorHAnsi" w:cstheme="minorHAnsi"/>
        </w:rPr>
        <w:t>QoS</w:t>
      </w:r>
      <w:proofErr w:type="spellEnd"/>
      <w:r w:rsidRPr="00AC1CD6">
        <w:rPr>
          <w:rFonts w:asciiTheme="minorHAnsi" w:hAnsiTheme="minorHAnsi" w:cstheme="minorHAnsi"/>
        </w:rPr>
        <w:t>)</w:t>
      </w:r>
      <w:r w:rsidR="005D65FC" w:rsidRPr="005D33A9">
        <w:rPr>
          <w:rStyle w:val="FootnoteReference"/>
          <w:rFonts w:asciiTheme="minorHAnsi" w:hAnsiTheme="minorHAnsi" w:cstheme="minorHAnsi"/>
        </w:rPr>
        <w:footnoteReference w:id="92"/>
      </w:r>
      <w:r w:rsidR="005D65FC" w:rsidRPr="005D33A9">
        <w:rPr>
          <w:rFonts w:asciiTheme="minorHAnsi" w:hAnsiTheme="minorHAnsi" w:cstheme="minorHAnsi"/>
        </w:rPr>
        <w:t xml:space="preserve"> presents a challenge, since many IP-based networks might not provide for self-standing end-to-end </w:t>
      </w:r>
      <w:proofErr w:type="spellStart"/>
      <w:r w:rsidR="005D65FC" w:rsidRPr="005D33A9">
        <w:rPr>
          <w:rFonts w:asciiTheme="minorHAnsi" w:hAnsiTheme="minorHAnsi" w:cstheme="minorHAnsi"/>
        </w:rPr>
        <w:t>QoS</w:t>
      </w:r>
      <w:proofErr w:type="spellEnd"/>
      <w:r w:rsidR="005D65FC" w:rsidRPr="005D33A9">
        <w:rPr>
          <w:rFonts w:asciiTheme="minorHAnsi" w:hAnsiTheme="minorHAnsi" w:cstheme="minorHAnsi"/>
        </w:rPr>
        <w:t xml:space="preserve">, </w:t>
      </w:r>
      <w:r w:rsidRPr="00AC1CD6">
        <w:rPr>
          <w:rFonts w:asciiTheme="minorHAnsi" w:hAnsiTheme="minorHAnsi" w:cstheme="minorHAnsi"/>
        </w:rPr>
        <w:t xml:space="preserve">but only transport classes, which enable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differentiation. Rather than relying on expensive, fault-tolerant equipment for reliability, engineers experimented with a larger number of inexpensive, less reliable nodes with a multiplicity of paths as another option to obtain reliability. </w:t>
      </w:r>
    </w:p>
    <w:p w:rsidR="007D1F2C" w:rsidRDefault="007D1F2C" w:rsidP="0040201F">
      <w:pPr>
        <w:pStyle w:val="ListParagraph"/>
        <w:spacing w:after="0" w:line="240" w:lineRule="auto"/>
        <w:ind w:left="360"/>
        <w:jc w:val="both"/>
        <w:rPr>
          <w:rFonts w:cstheme="minorHAnsi"/>
          <w:sz w:val="24"/>
          <w:szCs w:val="24"/>
        </w:rPr>
      </w:pPr>
    </w:p>
    <w:p w:rsidR="007D1F2C" w:rsidRDefault="00AC1CD6" w:rsidP="0040201F">
      <w:pPr>
        <w:pStyle w:val="Default"/>
        <w:numPr>
          <w:ilvl w:val="0"/>
          <w:numId w:val="9"/>
        </w:numPr>
        <w:ind w:left="426" w:hanging="426"/>
        <w:jc w:val="both"/>
        <w:rPr>
          <w:rFonts w:asciiTheme="minorHAnsi" w:hAnsiTheme="minorHAnsi" w:cstheme="minorHAnsi"/>
        </w:rPr>
      </w:pPr>
      <w:r w:rsidRPr="00AC1CD6">
        <w:rPr>
          <w:rFonts w:asciiTheme="minorHAnsi" w:hAnsiTheme="minorHAnsi" w:cstheme="minorHAnsi"/>
        </w:rPr>
        <w:lastRenderedPageBreak/>
        <w:t xml:space="preserve">An IP-based network can support end-to-end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if its routers support the appropriate mechanisms and the network is designed for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Adding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to a network can increase the complexity and the cost of the network, depending on the mechanisms used and the service quality levels </w:t>
      </w:r>
      <w:proofErr w:type="gramStart"/>
      <w:r w:rsidRPr="00AC1CD6">
        <w:rPr>
          <w:rFonts w:asciiTheme="minorHAnsi" w:hAnsiTheme="minorHAnsi" w:cstheme="minorHAnsi"/>
        </w:rPr>
        <w:t xml:space="preserve">provided </w:t>
      </w:r>
      <w:proofErr w:type="gramEnd"/>
      <w:r w:rsidR="005D65FC" w:rsidRPr="005D33A9">
        <w:rPr>
          <w:rStyle w:val="FootnoteReference"/>
          <w:rFonts w:asciiTheme="minorHAnsi" w:hAnsiTheme="minorHAnsi" w:cstheme="minorHAnsi"/>
        </w:rPr>
        <w:footnoteReference w:id="93"/>
      </w:r>
      <w:r w:rsidRPr="00AC1CD6">
        <w:rPr>
          <w:rFonts w:asciiTheme="minorHAnsi" w:hAnsiTheme="minorHAnsi" w:cstheme="minorHAnsi"/>
        </w:rPr>
        <w:t xml:space="preserve">. Moreover, even if one network can guarantee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this would not guarantee end-to-end </w:t>
      </w:r>
      <w:proofErr w:type="spellStart"/>
      <w:r w:rsidRPr="00AC1CD6">
        <w:rPr>
          <w:rFonts w:asciiTheme="minorHAnsi" w:hAnsiTheme="minorHAnsi" w:cstheme="minorHAnsi"/>
        </w:rPr>
        <w:t>QoS</w:t>
      </w:r>
      <w:proofErr w:type="spellEnd"/>
      <w:r w:rsidRPr="00AC1CD6">
        <w:rPr>
          <w:rFonts w:asciiTheme="minorHAnsi" w:hAnsiTheme="minorHAnsi" w:cstheme="minorHAnsi"/>
        </w:rPr>
        <w:t>, where traffic crosses multiple networks on its transmission path</w:t>
      </w:r>
      <w:r w:rsidR="006E087A" w:rsidRPr="005D33A9">
        <w:rPr>
          <w:rStyle w:val="FootnoteReference"/>
          <w:rFonts w:asciiTheme="minorHAnsi" w:hAnsiTheme="minorHAnsi" w:cstheme="minorHAnsi"/>
        </w:rPr>
        <w:footnoteReference w:id="94"/>
      </w:r>
      <w:r w:rsidR="005D65FC" w:rsidRPr="005D33A9">
        <w:rPr>
          <w:rFonts w:asciiTheme="minorHAnsi" w:hAnsiTheme="minorHAnsi" w:cstheme="minorHAnsi"/>
        </w:rPr>
        <w:t>.</w:t>
      </w:r>
    </w:p>
    <w:p w:rsidR="007D1F2C" w:rsidRDefault="007D1F2C" w:rsidP="0040201F">
      <w:pPr>
        <w:pStyle w:val="ListParagraph"/>
        <w:spacing w:after="0" w:line="240" w:lineRule="auto"/>
        <w:ind w:left="360"/>
        <w:jc w:val="both"/>
        <w:rPr>
          <w:rFonts w:cstheme="minorHAnsi"/>
          <w:sz w:val="24"/>
          <w:szCs w:val="24"/>
        </w:rPr>
      </w:pPr>
    </w:p>
    <w:p w:rsidR="007D1F2C" w:rsidRDefault="00AC1CD6" w:rsidP="0040201F">
      <w:pPr>
        <w:pStyle w:val="Default"/>
        <w:numPr>
          <w:ilvl w:val="0"/>
          <w:numId w:val="9"/>
        </w:numPr>
        <w:ind w:left="426" w:hanging="426"/>
        <w:jc w:val="both"/>
        <w:rPr>
          <w:rFonts w:asciiTheme="minorHAnsi" w:hAnsiTheme="minorHAnsi" w:cstheme="minorHAnsi"/>
        </w:rPr>
      </w:pPr>
      <w:r w:rsidRPr="00AC1CD6">
        <w:rPr>
          <w:rFonts w:asciiTheme="minorHAnsi" w:hAnsiTheme="minorHAnsi" w:cstheme="minorHAnsi"/>
        </w:rPr>
        <w:t xml:space="preserve">Due to the dramatic increase in mobile communications (both in terms of the number of registered devices and of the volume and transmission of requested resources), one view is that it may become increasingly difficult for network operators to establish, implement or maintain certain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standards</w:t>
      </w:r>
      <w:r w:rsidR="005D65FC" w:rsidRPr="005D33A9">
        <w:rPr>
          <w:rStyle w:val="FootnoteReference"/>
          <w:rFonts w:asciiTheme="minorHAnsi" w:hAnsiTheme="minorHAnsi" w:cstheme="minorHAnsi"/>
        </w:rPr>
        <w:footnoteReference w:id="95"/>
      </w:r>
      <w:r w:rsidR="005D65FC" w:rsidRPr="005D33A9">
        <w:rPr>
          <w:rFonts w:asciiTheme="minorHAnsi" w:hAnsiTheme="minorHAnsi" w:cstheme="minorHAnsi"/>
        </w:rPr>
        <w:t>. Another view is that networks have historically evolved to meet increased demand, and this evolution may continu</w:t>
      </w:r>
      <w:r w:rsidRPr="00AC1CD6">
        <w:rPr>
          <w:rFonts w:asciiTheme="minorHAnsi" w:hAnsiTheme="minorHAnsi" w:cstheme="minorHAnsi"/>
        </w:rPr>
        <w:t>e, allowing network operators to deal with traffic increases just as they have since the Internet’s inception</w:t>
      </w:r>
      <w:r w:rsidR="003F27C5" w:rsidRPr="005D33A9">
        <w:rPr>
          <w:rStyle w:val="FootnoteReference"/>
          <w:rFonts w:asciiTheme="minorHAnsi" w:hAnsiTheme="minorHAnsi" w:cstheme="minorHAnsi"/>
        </w:rPr>
        <w:footnoteReference w:id="96"/>
      </w:r>
      <w:r w:rsidR="005D65FC" w:rsidRPr="005D33A9">
        <w:rPr>
          <w:rFonts w:asciiTheme="minorHAnsi" w:hAnsiTheme="minorHAnsi" w:cstheme="minorHAnsi"/>
        </w:rPr>
        <w:t>.</w:t>
      </w:r>
    </w:p>
    <w:p w:rsidR="007D1F2C" w:rsidRDefault="007D1F2C" w:rsidP="0040201F">
      <w:pPr>
        <w:spacing w:after="0" w:line="240" w:lineRule="auto"/>
        <w:jc w:val="both"/>
        <w:rPr>
          <w:rFonts w:cstheme="minorHAnsi"/>
          <w:sz w:val="24"/>
          <w:szCs w:val="24"/>
        </w:rPr>
      </w:pPr>
    </w:p>
    <w:p w:rsidR="007D1F2C" w:rsidRDefault="00AC1CD6" w:rsidP="0040201F">
      <w:pPr>
        <w:pStyle w:val="Default"/>
        <w:numPr>
          <w:ilvl w:val="0"/>
          <w:numId w:val="9"/>
        </w:numPr>
        <w:ind w:left="426" w:hanging="426"/>
        <w:jc w:val="both"/>
        <w:rPr>
          <w:rFonts w:asciiTheme="minorHAnsi" w:hAnsiTheme="minorHAnsi"/>
        </w:rPr>
      </w:pPr>
      <w:r w:rsidRPr="00AC1CD6">
        <w:rPr>
          <w:rFonts w:asciiTheme="minorHAnsi" w:hAnsiTheme="minorHAnsi" w:cstheme="minorHAnsi"/>
        </w:rPr>
        <w:t xml:space="preserve">One view is that the importance of standardization is such that the quality of service of telecommunications/ICTs should be in line with international standards. Those who subscribe to this view believe that it is in the public interest </w:t>
      </w:r>
      <w:proofErr w:type="gramStart"/>
      <w:r w:rsidRPr="00AC1CD6">
        <w:rPr>
          <w:rFonts w:asciiTheme="minorHAnsi" w:hAnsiTheme="minorHAnsi" w:cstheme="minorHAnsi"/>
        </w:rPr>
        <w:t>that IP-based networks</w:t>
      </w:r>
      <w:proofErr w:type="gramEnd"/>
      <w:r w:rsidRPr="00AC1CD6">
        <w:rPr>
          <w:rFonts w:asciiTheme="minorHAnsi" w:hAnsiTheme="minorHAnsi" w:cstheme="minorHAnsi"/>
        </w:rPr>
        <w:t xml:space="preserve"> and other telecommunication networks be both interoperable and provide, at a minimum, the level of </w:t>
      </w:r>
      <w:proofErr w:type="spellStart"/>
      <w:r w:rsidRPr="00AC1CD6">
        <w:rPr>
          <w:rFonts w:asciiTheme="minorHAnsi" w:hAnsiTheme="minorHAnsi" w:cstheme="minorHAnsi"/>
        </w:rPr>
        <w:t>QoS</w:t>
      </w:r>
      <w:proofErr w:type="spellEnd"/>
      <w:r w:rsidRPr="00AC1CD6">
        <w:rPr>
          <w:rFonts w:asciiTheme="minorHAnsi" w:hAnsiTheme="minorHAnsi" w:cstheme="minorHAnsi"/>
        </w:rPr>
        <w:t xml:space="preserve"> provided by traditional networks</w:t>
      </w:r>
      <w:r w:rsidR="005D65FC" w:rsidRPr="005D33A9">
        <w:rPr>
          <w:rStyle w:val="FootnoteReference"/>
          <w:rFonts w:asciiTheme="minorHAnsi" w:hAnsiTheme="minorHAnsi" w:cstheme="minorHAnsi"/>
        </w:rPr>
        <w:footnoteReference w:id="97"/>
      </w:r>
      <w:r w:rsidR="005D65FC" w:rsidRPr="005D33A9">
        <w:rPr>
          <w:rFonts w:asciiTheme="minorHAnsi" w:hAnsiTheme="minorHAnsi" w:cstheme="minorHAnsi"/>
        </w:rPr>
        <w:t xml:space="preserve">. Another view is that any attempt to mandate traditional </w:t>
      </w:r>
      <w:proofErr w:type="spellStart"/>
      <w:r w:rsidR="005D65FC" w:rsidRPr="005D33A9">
        <w:rPr>
          <w:rFonts w:asciiTheme="minorHAnsi" w:hAnsiTheme="minorHAnsi" w:cstheme="minorHAnsi"/>
        </w:rPr>
        <w:t>QoS</w:t>
      </w:r>
      <w:proofErr w:type="spellEnd"/>
      <w:r w:rsidR="005D65FC" w:rsidRPr="005D33A9">
        <w:rPr>
          <w:rFonts w:asciiTheme="minorHAnsi" w:hAnsiTheme="minorHAnsi" w:cstheme="minorHAnsi"/>
        </w:rPr>
        <w:t xml:space="preserve"> in a packet switching Internet will significantly increase costs; </w:t>
      </w:r>
      <w:proofErr w:type="gramStart"/>
      <w:r w:rsidRPr="00AC1CD6">
        <w:rPr>
          <w:rFonts w:asciiTheme="minorHAnsi" w:hAnsiTheme="minorHAnsi" w:cstheme="minorHAnsi"/>
        </w:rPr>
        <w:t>Those</w:t>
      </w:r>
      <w:proofErr w:type="gramEnd"/>
      <w:r w:rsidRPr="00AC1CD6">
        <w:rPr>
          <w:rFonts w:asciiTheme="minorHAnsi" w:hAnsiTheme="minorHAnsi" w:cstheme="minorHAnsi"/>
        </w:rPr>
        <w:t xml:space="preserve"> who subscribe to this view believe that a likely consequence of this could be to</w:t>
      </w:r>
      <w:r w:rsidRPr="00AC1CD6">
        <w:rPr>
          <w:rFonts w:asciiTheme="minorHAnsi" w:hAnsiTheme="minorHAnsi"/>
        </w:rPr>
        <w:t xml:space="preserve"> price LDCs out of the Internet and to reduce participation rates in developed and developing countries</w:t>
      </w:r>
      <w:r w:rsidR="005D65FC" w:rsidRPr="005D33A9">
        <w:rPr>
          <w:rStyle w:val="FootnoteReference"/>
          <w:rFonts w:asciiTheme="minorHAnsi" w:hAnsiTheme="minorHAnsi"/>
        </w:rPr>
        <w:footnoteReference w:id="98"/>
      </w:r>
      <w:r w:rsidRPr="00AC1CD6">
        <w:rPr>
          <w:rFonts w:asciiTheme="minorHAnsi" w:hAnsiTheme="minorHAnsi"/>
        </w:rPr>
        <w:t xml:space="preserve">. </w:t>
      </w:r>
    </w:p>
    <w:p w:rsidR="007D1F2C" w:rsidRDefault="007D1F2C" w:rsidP="0040201F">
      <w:pPr>
        <w:spacing w:after="0" w:line="240" w:lineRule="auto"/>
        <w:jc w:val="both"/>
        <w:rPr>
          <w:sz w:val="24"/>
          <w:szCs w:val="24"/>
        </w:rPr>
      </w:pPr>
    </w:p>
    <w:p w:rsidR="007D1F2C" w:rsidRDefault="00AC1CD6" w:rsidP="0040201F">
      <w:pPr>
        <w:pStyle w:val="Default"/>
        <w:numPr>
          <w:ilvl w:val="0"/>
          <w:numId w:val="9"/>
        </w:numPr>
        <w:ind w:left="426" w:hanging="426"/>
        <w:jc w:val="both"/>
        <w:rPr>
          <w:rFonts w:asciiTheme="minorHAnsi" w:hAnsiTheme="minorHAnsi"/>
        </w:rPr>
      </w:pPr>
      <w:r w:rsidRPr="00AC1CD6">
        <w:rPr>
          <w:rFonts w:asciiTheme="minorHAnsi" w:hAnsiTheme="minorHAnsi"/>
        </w:rPr>
        <w:t>As a natural consequence of today’s environment, from a commercial perspective, there is a growing divergence between growth in traffic (requiring supporting growth in investment in telecommunication infrastructure) and trends in pricing and revenues. One view is that the mismatch between trends in traffic growth, pricing and revenues poses a challenge to network operators</w:t>
      </w:r>
      <w:r w:rsidR="005D65FC" w:rsidRPr="005D33A9">
        <w:rPr>
          <w:rStyle w:val="FootnoteReference"/>
          <w:rFonts w:asciiTheme="minorHAnsi" w:hAnsiTheme="minorHAnsi"/>
        </w:rPr>
        <w:footnoteReference w:id="99"/>
      </w:r>
      <w:r w:rsidR="005D65FC" w:rsidRPr="005D33A9">
        <w:rPr>
          <w:rFonts w:asciiTheme="minorHAnsi" w:hAnsiTheme="minorHAnsi"/>
        </w:rPr>
        <w:t xml:space="preserve">. Another view is that investment in new capacity is </w:t>
      </w:r>
      <w:r w:rsidRPr="00AC1CD6">
        <w:rPr>
          <w:rFonts w:asciiTheme="minorHAnsi" w:hAnsiTheme="minorHAnsi"/>
        </w:rPr>
        <w:t>keeping up the growth in traffic</w:t>
      </w:r>
      <w:r w:rsidR="005D65FC" w:rsidRPr="005D33A9">
        <w:rPr>
          <w:rStyle w:val="FootnoteReference"/>
          <w:rFonts w:asciiTheme="minorHAnsi" w:hAnsiTheme="minorHAnsi"/>
        </w:rPr>
        <w:footnoteReference w:id="100"/>
      </w:r>
      <w:r w:rsidRPr="00AC1CD6">
        <w:rPr>
          <w:rFonts w:asciiTheme="minorHAnsi" w:hAnsiTheme="minorHAnsi"/>
        </w:rPr>
        <w:t>.</w:t>
      </w:r>
    </w:p>
    <w:p w:rsidR="007D1F2C" w:rsidRDefault="007D1F2C" w:rsidP="0040201F">
      <w:pPr>
        <w:pStyle w:val="Default"/>
        <w:ind w:left="426"/>
        <w:jc w:val="both"/>
        <w:rPr>
          <w:rFonts w:asciiTheme="minorHAnsi" w:hAnsiTheme="minorHAnsi"/>
          <w:sz w:val="12"/>
          <w:szCs w:val="12"/>
        </w:rPr>
      </w:pPr>
    </w:p>
    <w:p w:rsidR="00B97C5D" w:rsidRDefault="00B97C5D" w:rsidP="0040201F">
      <w:pPr>
        <w:spacing w:line="240" w:lineRule="auto"/>
        <w:rPr>
          <w:sz w:val="24"/>
          <w:szCs w:val="24"/>
        </w:rPr>
      </w:pPr>
    </w:p>
    <w:p w:rsidR="0040201F" w:rsidRDefault="0040201F">
      <w:pPr>
        <w:rPr>
          <w:b/>
          <w:bCs/>
          <w:sz w:val="24"/>
          <w:szCs w:val="24"/>
        </w:rPr>
      </w:pPr>
      <w:r>
        <w:rPr>
          <w:b/>
          <w:bCs/>
          <w:sz w:val="24"/>
          <w:szCs w:val="24"/>
        </w:rPr>
        <w:br w:type="page"/>
      </w:r>
    </w:p>
    <w:p w:rsidR="007D1F2C" w:rsidRDefault="005D65FC" w:rsidP="0040201F">
      <w:pPr>
        <w:spacing w:after="0" w:line="240" w:lineRule="auto"/>
        <w:jc w:val="center"/>
        <w:rPr>
          <w:sz w:val="24"/>
          <w:szCs w:val="24"/>
        </w:rPr>
      </w:pPr>
      <w:r w:rsidRPr="005D33A9">
        <w:rPr>
          <w:b/>
          <w:bCs/>
          <w:sz w:val="24"/>
          <w:szCs w:val="24"/>
        </w:rPr>
        <w:lastRenderedPageBreak/>
        <w:t>Figure 2: Trends in pricing and revenues</w:t>
      </w:r>
      <w:r w:rsidR="00AC1CD6">
        <w:rPr>
          <w:rStyle w:val="FootnoteReference"/>
          <w:b/>
          <w:bCs/>
          <w:sz w:val="24"/>
          <w:szCs w:val="24"/>
        </w:rPr>
        <w:footnoteReference w:id="101"/>
      </w:r>
      <w:r w:rsidR="00AC1CD6" w:rsidRPr="00AC1CD6">
        <w:rPr>
          <w:sz w:val="24"/>
          <w:szCs w:val="24"/>
        </w:rPr>
        <w:t xml:space="preserve"> </w:t>
      </w:r>
    </w:p>
    <w:p w:rsidR="007D1F2C" w:rsidRDefault="007D1F2C" w:rsidP="0040201F">
      <w:pPr>
        <w:spacing w:after="0" w:line="240" w:lineRule="auto"/>
        <w:jc w:val="center"/>
        <w:rPr>
          <w:sz w:val="24"/>
          <w:szCs w:val="24"/>
        </w:rPr>
      </w:pPr>
    </w:p>
    <w:p w:rsidR="007D1F2C" w:rsidRDefault="00F55769" w:rsidP="0040201F">
      <w:pPr>
        <w:spacing w:after="0" w:line="240" w:lineRule="auto"/>
        <w:jc w:val="center"/>
        <w:rPr>
          <w:sz w:val="24"/>
          <w:szCs w:val="24"/>
        </w:rPr>
      </w:pPr>
      <w:r>
        <w:rPr>
          <w:noProof/>
          <w:sz w:val="24"/>
          <w:szCs w:val="24"/>
        </w:rPr>
        <w:drawing>
          <wp:inline distT="0" distB="0" distL="0" distR="0" wp14:anchorId="45099226" wp14:editId="1B388FBA">
            <wp:extent cx="3706283" cy="2157389"/>
            <wp:effectExtent l="19050" t="0" r="8467"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714514" cy="2162180"/>
                    </a:xfrm>
                    <a:prstGeom prst="rect">
                      <a:avLst/>
                    </a:prstGeom>
                    <a:noFill/>
                    <a:ln w="9525">
                      <a:noFill/>
                      <a:miter lim="800000"/>
                      <a:headEnd/>
                      <a:tailEnd/>
                    </a:ln>
                  </pic:spPr>
                </pic:pic>
              </a:graphicData>
            </a:graphic>
          </wp:inline>
        </w:drawing>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9"/>
        </w:numPr>
        <w:spacing w:after="0" w:line="240" w:lineRule="auto"/>
        <w:ind w:left="426" w:hanging="426"/>
        <w:jc w:val="both"/>
        <w:rPr>
          <w:sz w:val="24"/>
          <w:szCs w:val="24"/>
        </w:rPr>
      </w:pPr>
      <w:r w:rsidRPr="00AC1CD6">
        <w:rPr>
          <w:sz w:val="24"/>
          <w:szCs w:val="24"/>
        </w:rPr>
        <w:t>Figure 2 does not show cost data. There is reason to believe that operating costs are falling (but data on operating costs are hard to obtain).  Another view is that capital expenses (which contribute to overall costs) will rise significantly and that consequently the current billing paradigm for Internet services should be revisited</w:t>
      </w:r>
      <w:r w:rsidRPr="00AC1CD6">
        <w:rPr>
          <w:sz w:val="24"/>
          <w:szCs w:val="24"/>
          <w:vertAlign w:val="superscript"/>
        </w:rPr>
        <w:footnoteReference w:id="102"/>
      </w:r>
      <w:r w:rsidRPr="00AC1CD6">
        <w:rPr>
          <w:sz w:val="24"/>
          <w:szCs w:val="24"/>
        </w:rPr>
        <w:t>. However, regional trends are likely to differ significantly.</w:t>
      </w:r>
    </w:p>
    <w:p w:rsidR="007D1F2C" w:rsidRDefault="007D1F2C" w:rsidP="0040201F">
      <w:pPr>
        <w:spacing w:after="0" w:line="240" w:lineRule="auto"/>
        <w:ind w:left="426" w:hanging="426"/>
        <w:jc w:val="both"/>
        <w:rPr>
          <w:sz w:val="24"/>
          <w:szCs w:val="24"/>
        </w:rPr>
      </w:pPr>
    </w:p>
    <w:p w:rsidR="007D1F2C" w:rsidRDefault="00AC1CD6" w:rsidP="0040201F">
      <w:pPr>
        <w:pStyle w:val="ListParagraph"/>
        <w:numPr>
          <w:ilvl w:val="0"/>
          <w:numId w:val="9"/>
        </w:numPr>
        <w:spacing w:after="0" w:line="240" w:lineRule="auto"/>
        <w:ind w:left="426" w:hanging="426"/>
        <w:jc w:val="both"/>
        <w:rPr>
          <w:sz w:val="24"/>
          <w:szCs w:val="24"/>
        </w:rPr>
      </w:pPr>
      <w:r w:rsidRPr="00AC1CD6">
        <w:rPr>
          <w:sz w:val="24"/>
          <w:szCs w:val="24"/>
        </w:rPr>
        <w:t>IP-based networks have evolved into a widely accessible and flexible medium used for commerce and communication. Resolution 101 (rev. Guadalajara, 2010) recognizes a need to identify the global activities related to IP-based networks with respect to, for example:</w:t>
      </w:r>
    </w:p>
    <w:p w:rsidR="007D1F2C" w:rsidRDefault="00AC1CD6" w:rsidP="0040201F">
      <w:pPr>
        <w:pStyle w:val="ListParagraph"/>
        <w:numPr>
          <w:ilvl w:val="2"/>
          <w:numId w:val="4"/>
        </w:numPr>
        <w:spacing w:after="0" w:line="240" w:lineRule="auto"/>
        <w:ind w:left="993" w:hanging="426"/>
        <w:jc w:val="both"/>
        <w:rPr>
          <w:sz w:val="24"/>
          <w:szCs w:val="24"/>
        </w:rPr>
      </w:pPr>
      <w:r w:rsidRPr="00AC1CD6">
        <w:rPr>
          <w:sz w:val="24"/>
          <w:szCs w:val="24"/>
        </w:rPr>
        <w:t>infrastructure, interoperability and standardization;</w:t>
      </w:r>
    </w:p>
    <w:p w:rsidR="007D1F2C" w:rsidRDefault="00AC1CD6" w:rsidP="0040201F">
      <w:pPr>
        <w:pStyle w:val="ListParagraph"/>
        <w:numPr>
          <w:ilvl w:val="2"/>
          <w:numId w:val="4"/>
        </w:numPr>
        <w:spacing w:after="0" w:line="240" w:lineRule="auto"/>
        <w:ind w:left="993" w:hanging="426"/>
        <w:jc w:val="both"/>
        <w:rPr>
          <w:sz w:val="24"/>
          <w:szCs w:val="24"/>
        </w:rPr>
      </w:pPr>
      <w:r w:rsidRPr="00AC1CD6">
        <w:rPr>
          <w:sz w:val="24"/>
          <w:szCs w:val="24"/>
        </w:rPr>
        <w:t xml:space="preserve">Internet naming and addressing; </w:t>
      </w:r>
    </w:p>
    <w:p w:rsidR="007D1F2C" w:rsidRDefault="00AC1CD6" w:rsidP="0040201F">
      <w:pPr>
        <w:pStyle w:val="ListParagraph"/>
        <w:numPr>
          <w:ilvl w:val="2"/>
          <w:numId w:val="4"/>
        </w:numPr>
        <w:spacing w:after="0" w:line="240" w:lineRule="auto"/>
        <w:ind w:left="993" w:hanging="426"/>
        <w:jc w:val="both"/>
        <w:rPr>
          <w:sz w:val="24"/>
          <w:szCs w:val="24"/>
        </w:rPr>
      </w:pPr>
      <w:proofErr w:type="gramStart"/>
      <w:r w:rsidRPr="00AC1CD6">
        <w:rPr>
          <w:sz w:val="24"/>
          <w:szCs w:val="24"/>
        </w:rPr>
        <w:t>dissemination</w:t>
      </w:r>
      <w:proofErr w:type="gramEnd"/>
      <w:r w:rsidRPr="00AC1CD6">
        <w:rPr>
          <w:sz w:val="24"/>
          <w:szCs w:val="24"/>
        </w:rPr>
        <w:t xml:space="preserve"> of information about IP-based networks and the implications of their development for ITU Member States, particularly among developing countries.</w:t>
      </w:r>
    </w:p>
    <w:p w:rsidR="007D1F2C" w:rsidRDefault="00AC1CD6" w:rsidP="0040201F">
      <w:pPr>
        <w:spacing w:before="240" w:after="0" w:line="240" w:lineRule="auto"/>
        <w:jc w:val="both"/>
        <w:rPr>
          <w:b/>
          <w:bCs/>
          <w:sz w:val="24"/>
          <w:szCs w:val="24"/>
        </w:rPr>
      </w:pPr>
      <w:r w:rsidRPr="00AC1CD6">
        <w:rPr>
          <w:b/>
          <w:bCs/>
          <w:sz w:val="24"/>
          <w:szCs w:val="24"/>
        </w:rPr>
        <w:t>2.3.3.1</w:t>
      </w:r>
      <w:r w:rsidR="00B97C5D">
        <w:rPr>
          <w:b/>
          <w:bCs/>
          <w:sz w:val="24"/>
          <w:szCs w:val="24"/>
        </w:rPr>
        <w:tab/>
      </w:r>
      <w:r w:rsidR="00B97C5D">
        <w:rPr>
          <w:b/>
          <w:bCs/>
          <w:sz w:val="24"/>
          <w:szCs w:val="24"/>
        </w:rPr>
        <w:tab/>
      </w:r>
      <w:r w:rsidRPr="00AC1CD6">
        <w:rPr>
          <w:b/>
          <w:bCs/>
          <w:sz w:val="24"/>
          <w:szCs w:val="24"/>
        </w:rPr>
        <w:t>Infrastructure, interoperability and standardization</w:t>
      </w:r>
      <w:r w:rsidR="004316DD" w:rsidRPr="005D33A9">
        <w:rPr>
          <w:rStyle w:val="FootnoteReference"/>
          <w:b/>
          <w:bCs/>
          <w:sz w:val="24"/>
          <w:szCs w:val="24"/>
        </w:rPr>
        <w:footnoteReference w:id="103"/>
      </w:r>
      <w:r w:rsidRPr="00AC1CD6">
        <w:rPr>
          <w:b/>
          <w:bCs/>
          <w:sz w:val="24"/>
          <w:szCs w:val="24"/>
        </w:rPr>
        <w:t xml:space="preserve"> </w:t>
      </w:r>
    </w:p>
    <w:p w:rsidR="007D1F2C" w:rsidRDefault="007D1F2C" w:rsidP="0040201F">
      <w:pPr>
        <w:spacing w:after="0" w:line="240" w:lineRule="auto"/>
        <w:jc w:val="both"/>
        <w:rPr>
          <w:b/>
          <w:bCs/>
          <w:sz w:val="24"/>
          <w:szCs w:val="24"/>
        </w:rPr>
      </w:pPr>
    </w:p>
    <w:p w:rsidR="007D1F2C" w:rsidRDefault="00AC1CD6" w:rsidP="0040201F">
      <w:pPr>
        <w:pStyle w:val="Default"/>
        <w:numPr>
          <w:ilvl w:val="0"/>
          <w:numId w:val="10"/>
        </w:numPr>
        <w:ind w:left="426" w:hanging="426"/>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Internet-related applications and services are carried over both public and privately-owned telecommunication infrastructures (wired and/or wireless)</w:t>
      </w:r>
      <w:r w:rsidR="00745F93" w:rsidRPr="005D33A9">
        <w:rPr>
          <w:rStyle w:val="FootnoteReference"/>
          <w:rFonts w:asciiTheme="minorHAnsi" w:eastAsiaTheme="minorEastAsia" w:hAnsiTheme="minorHAnsi" w:cstheme="minorBidi"/>
          <w:color w:val="auto"/>
          <w:lang w:eastAsia="zh-CN"/>
        </w:rPr>
        <w:footnoteReference w:id="104"/>
      </w:r>
      <w:r w:rsidR="00745F93" w:rsidRPr="005D33A9">
        <w:rPr>
          <w:rFonts w:asciiTheme="minorHAnsi" w:eastAsiaTheme="minorEastAsia" w:hAnsiTheme="minorHAnsi" w:cstheme="minorBidi"/>
          <w:color w:val="auto"/>
          <w:lang w:eastAsia="zh-CN"/>
        </w:rPr>
        <w:t xml:space="preserve">. </w:t>
      </w:r>
    </w:p>
    <w:p w:rsidR="007D1F2C" w:rsidRDefault="007D1F2C" w:rsidP="0040201F">
      <w:pPr>
        <w:pStyle w:val="Default"/>
        <w:ind w:left="426"/>
        <w:jc w:val="both"/>
        <w:rPr>
          <w:rFonts w:asciiTheme="minorHAnsi" w:eastAsiaTheme="minorEastAsia" w:hAnsiTheme="minorHAnsi" w:cstheme="minorBidi"/>
          <w:color w:val="auto"/>
          <w:lang w:eastAsia="zh-CN"/>
        </w:rPr>
      </w:pPr>
    </w:p>
    <w:p w:rsidR="007D1F2C" w:rsidRDefault="00AC1CD6" w:rsidP="0040201F">
      <w:pPr>
        <w:pStyle w:val="Default"/>
        <w:numPr>
          <w:ilvl w:val="0"/>
          <w:numId w:val="10"/>
        </w:numPr>
        <w:ind w:left="426" w:hanging="426"/>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Convergence of ICT technology is making IP a key protocol for applications and services provided over modern telecommunication networks</w:t>
      </w:r>
      <w:r>
        <w:rPr>
          <w:rStyle w:val="FootnoteReference"/>
          <w:rFonts w:asciiTheme="minorHAnsi" w:eastAsiaTheme="minorEastAsia" w:hAnsiTheme="minorHAnsi" w:cstheme="minorBidi"/>
          <w:color w:val="auto"/>
          <w:lang w:eastAsia="zh-CN"/>
        </w:rPr>
        <w:footnoteReference w:id="105"/>
      </w:r>
      <w:r w:rsidRPr="00AC1CD6">
        <w:rPr>
          <w:rFonts w:asciiTheme="minorHAnsi" w:eastAsiaTheme="minorEastAsia" w:hAnsiTheme="minorHAnsi" w:cstheme="minorBidi"/>
          <w:color w:val="auto"/>
          <w:lang w:eastAsia="zh-CN"/>
        </w:rPr>
        <w:t>, and IP is also increasingly underpinning infrastructure.</w:t>
      </w:r>
    </w:p>
    <w:p w:rsidR="007D1F2C" w:rsidRDefault="007D1F2C" w:rsidP="0040201F">
      <w:pPr>
        <w:pStyle w:val="Default"/>
        <w:ind w:left="426"/>
        <w:jc w:val="both"/>
        <w:rPr>
          <w:rFonts w:asciiTheme="minorHAnsi" w:eastAsiaTheme="minorEastAsia" w:hAnsiTheme="minorHAnsi" w:cstheme="minorBidi"/>
          <w:color w:val="auto"/>
          <w:lang w:eastAsia="zh-CN"/>
        </w:rPr>
      </w:pPr>
    </w:p>
    <w:p w:rsidR="007D1F2C" w:rsidRDefault="00AC1CD6" w:rsidP="0040201F">
      <w:pPr>
        <w:pStyle w:val="Default"/>
        <w:numPr>
          <w:ilvl w:val="0"/>
          <w:numId w:val="10"/>
        </w:numPr>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There have been calls for bold new initiatives to continue to expand the flexibility and capabilities of the Internet beyond incremental improvements to its deployed capabilities</w:t>
      </w:r>
      <w:r>
        <w:rPr>
          <w:rStyle w:val="FootnoteReference"/>
          <w:rFonts w:asciiTheme="minorHAnsi" w:eastAsiaTheme="minorEastAsia" w:hAnsiTheme="minorHAnsi" w:cstheme="minorBidi"/>
          <w:color w:val="auto"/>
          <w:lang w:eastAsia="zh-CN"/>
        </w:rPr>
        <w:footnoteReference w:id="106"/>
      </w:r>
      <w:r w:rsidRPr="00AC1CD6">
        <w:rPr>
          <w:rFonts w:asciiTheme="minorHAnsi" w:eastAsiaTheme="minorEastAsia" w:hAnsiTheme="minorHAnsi" w:cstheme="minorBidi"/>
          <w:color w:val="auto"/>
          <w:lang w:eastAsia="zh-CN"/>
        </w:rPr>
        <w:t xml:space="preserve">. </w:t>
      </w:r>
      <w:r w:rsidRPr="00AC1CD6">
        <w:rPr>
          <w:rFonts w:asciiTheme="minorHAnsi" w:eastAsiaTheme="minorEastAsia" w:hAnsiTheme="minorHAnsi" w:cstheme="minorBidi"/>
          <w:color w:val="auto"/>
          <w:lang w:eastAsia="zh-CN"/>
        </w:rPr>
        <w:lastRenderedPageBreak/>
        <w:t>These calls have been no doubt been well-intentioned but to date the Internet has demonstrated an ability to both rise up and meet the needs of its users. Even so, further research, development and innovation in fundamental network design of the Internet (including architecture, protocols, interfaces and services) is taking place through both government-funded and private sector research and should be encouraged. The current Internet was the fruit of just such research and there is every reason to suspect that the next one will be as well</w:t>
      </w:r>
      <w:r w:rsidR="00745F93" w:rsidRPr="005D33A9">
        <w:rPr>
          <w:rStyle w:val="FootnoteReference"/>
          <w:rFonts w:asciiTheme="minorHAnsi" w:eastAsiaTheme="minorEastAsia" w:hAnsiTheme="minorHAnsi" w:cstheme="minorBidi"/>
          <w:color w:val="auto"/>
          <w:lang w:eastAsia="zh-CN"/>
        </w:rPr>
        <w:footnoteReference w:id="107"/>
      </w:r>
      <w:r w:rsidRPr="00AC1CD6">
        <w:rPr>
          <w:rFonts w:asciiTheme="minorHAnsi" w:eastAsiaTheme="minorEastAsia" w:hAnsiTheme="minorHAnsi" w:cstheme="minorBidi"/>
          <w:color w:val="auto"/>
          <w:lang w:eastAsia="zh-CN"/>
        </w:rPr>
        <w:t>.</w:t>
      </w:r>
    </w:p>
    <w:p w:rsidR="007D1F2C" w:rsidRDefault="007D1F2C" w:rsidP="0040201F">
      <w:pPr>
        <w:pStyle w:val="Default"/>
        <w:ind w:left="360"/>
        <w:jc w:val="both"/>
        <w:rPr>
          <w:rFonts w:asciiTheme="minorHAnsi" w:eastAsiaTheme="minorEastAsia" w:hAnsiTheme="minorHAnsi" w:cstheme="minorBidi"/>
          <w:color w:val="auto"/>
          <w:lang w:eastAsia="zh-CN"/>
        </w:rPr>
      </w:pPr>
    </w:p>
    <w:p w:rsidR="007D1F2C" w:rsidRDefault="00AC1CD6" w:rsidP="0040201F">
      <w:pPr>
        <w:pStyle w:val="Default"/>
        <w:numPr>
          <w:ilvl w:val="0"/>
          <w:numId w:val="10"/>
        </w:numPr>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 xml:space="preserve">Given the depth to which the Internet is embedded in the socio-economic fabric of many societies, any evolutionary approach to building the future Internet should strive to ensure full interoperability with the existing one to minimize disruption. </w:t>
      </w:r>
    </w:p>
    <w:p w:rsidR="007D1F2C" w:rsidRDefault="007D1F2C" w:rsidP="0040201F">
      <w:pPr>
        <w:pStyle w:val="Default"/>
        <w:jc w:val="both"/>
        <w:rPr>
          <w:rFonts w:asciiTheme="minorHAnsi" w:eastAsiaTheme="minorEastAsia" w:hAnsiTheme="minorHAnsi" w:cstheme="minorBidi"/>
          <w:color w:val="auto"/>
          <w:lang w:eastAsia="zh-CN"/>
        </w:rPr>
      </w:pPr>
    </w:p>
    <w:p w:rsidR="007D1F2C" w:rsidRDefault="00AC1CD6" w:rsidP="0040201F">
      <w:pPr>
        <w:pStyle w:val="Default"/>
        <w:numPr>
          <w:ilvl w:val="0"/>
          <w:numId w:val="10"/>
        </w:numPr>
        <w:jc w:val="both"/>
        <w:rPr>
          <w:rFonts w:asciiTheme="minorHAnsi" w:eastAsiaTheme="minorEastAsia" w:hAnsiTheme="minorHAnsi" w:cstheme="minorBidi"/>
          <w:color w:val="auto"/>
          <w:lang w:eastAsia="zh-CN"/>
        </w:rPr>
      </w:pPr>
      <w:r w:rsidRPr="00AC1CD6">
        <w:rPr>
          <w:rFonts w:asciiTheme="minorHAnsi" w:eastAsiaTheme="minorEastAsia" w:hAnsiTheme="minorHAnsi" w:cstheme="minorBidi"/>
          <w:color w:val="auto"/>
          <w:lang w:eastAsia="zh-CN"/>
        </w:rPr>
        <w:t>Research and standardization play an important role in ensuring this interoperability, while facilitating the continuous development of the Internet and its capabilities</w:t>
      </w:r>
      <w:r w:rsidR="00745F93" w:rsidRPr="005D33A9">
        <w:rPr>
          <w:rStyle w:val="FootnoteReference"/>
          <w:rFonts w:asciiTheme="minorHAnsi" w:eastAsiaTheme="minorEastAsia" w:hAnsiTheme="minorHAnsi" w:cstheme="minorBidi"/>
          <w:color w:val="auto"/>
          <w:lang w:eastAsia="zh-CN"/>
        </w:rPr>
        <w:footnoteReference w:id="108"/>
      </w:r>
      <w:r w:rsidR="00745F93" w:rsidRPr="005D33A9">
        <w:rPr>
          <w:rFonts w:asciiTheme="minorHAnsi" w:eastAsiaTheme="minorEastAsia" w:hAnsiTheme="minorHAnsi" w:cstheme="minorBidi"/>
          <w:color w:val="auto"/>
          <w:lang w:eastAsia="zh-CN"/>
        </w:rPr>
        <w:t>. Significant work and research on IP-related issues and the future Internet is being conducted by many entities at the national, regional and international level</w:t>
      </w:r>
      <w:r w:rsidRPr="00AC1CD6">
        <w:rPr>
          <w:rFonts w:asciiTheme="minorHAnsi" w:eastAsiaTheme="minorEastAsia" w:hAnsiTheme="minorHAnsi" w:cstheme="minorBidi"/>
          <w:color w:val="auto"/>
          <w:lang w:eastAsia="zh-CN"/>
        </w:rPr>
        <w:t xml:space="preserve">s. Some examples include: ITU; the Internet Engineering Task Force (IETF); US National Science Foundation (NSF) projects, including the Global Environment for Network Innovations (GENI) and Future Internet Design (FIND) projects; </w:t>
      </w:r>
      <w:r w:rsidRPr="00AC1CD6">
        <w:rPr>
          <w:rFonts w:asciiTheme="minorHAnsi" w:hAnsiTheme="minorHAnsi"/>
        </w:rPr>
        <w:t xml:space="preserve">Japan’s </w:t>
      </w:r>
      <w:proofErr w:type="spellStart"/>
      <w:r w:rsidRPr="00AC1CD6">
        <w:rPr>
          <w:rFonts w:asciiTheme="minorHAnsi" w:hAnsiTheme="minorHAnsi"/>
        </w:rPr>
        <w:t>NeW</w:t>
      </w:r>
      <w:proofErr w:type="spellEnd"/>
      <w:r w:rsidRPr="00AC1CD6">
        <w:rPr>
          <w:rFonts w:asciiTheme="minorHAnsi" w:hAnsiTheme="minorHAnsi"/>
        </w:rPr>
        <w:t xml:space="preserve"> Generation Network (NWGN) research and development initiative, including the </w:t>
      </w:r>
      <w:proofErr w:type="spellStart"/>
      <w:r w:rsidRPr="00AC1CD6">
        <w:rPr>
          <w:rFonts w:asciiTheme="minorHAnsi" w:hAnsiTheme="minorHAnsi"/>
        </w:rPr>
        <w:t>Akari</w:t>
      </w:r>
      <w:proofErr w:type="spellEnd"/>
      <w:r w:rsidRPr="00AC1CD6">
        <w:rPr>
          <w:rFonts w:asciiTheme="minorHAnsi" w:hAnsiTheme="minorHAnsi"/>
        </w:rPr>
        <w:t xml:space="preserve"> project by Japan’s National Institute of ICT (NICT);</w:t>
      </w:r>
      <w:r w:rsidRPr="00AC1CD6">
        <w:rPr>
          <w:rFonts w:asciiTheme="minorHAnsi" w:eastAsiaTheme="minorEastAsia" w:hAnsiTheme="minorHAnsi" w:cstheme="minorBidi"/>
          <w:color w:val="auto"/>
          <w:lang w:eastAsia="zh-CN"/>
        </w:rPr>
        <w:t xml:space="preserve"> and the European Union’s Future Internet Research &amp; Experimentation (FIRE) initiative.</w:t>
      </w:r>
    </w:p>
    <w:p w:rsidR="007D1F2C" w:rsidRDefault="007D1F2C" w:rsidP="0040201F">
      <w:pPr>
        <w:spacing w:after="0" w:line="240" w:lineRule="auto"/>
        <w:ind w:left="720"/>
        <w:jc w:val="both"/>
        <w:rPr>
          <w:b/>
          <w:bCs/>
          <w:sz w:val="24"/>
          <w:szCs w:val="24"/>
        </w:rPr>
      </w:pPr>
    </w:p>
    <w:p w:rsidR="007D1F2C" w:rsidRDefault="00AC1CD6" w:rsidP="0040201F">
      <w:pPr>
        <w:spacing w:after="0" w:line="240" w:lineRule="auto"/>
        <w:jc w:val="both"/>
        <w:rPr>
          <w:b/>
          <w:bCs/>
          <w:sz w:val="24"/>
          <w:szCs w:val="24"/>
        </w:rPr>
      </w:pPr>
      <w:r w:rsidRPr="00AC1CD6">
        <w:rPr>
          <w:b/>
          <w:bCs/>
          <w:sz w:val="24"/>
          <w:szCs w:val="24"/>
        </w:rPr>
        <w:t xml:space="preserve">2.3.3.2 </w:t>
      </w:r>
      <w:r w:rsidR="00B97C5D">
        <w:rPr>
          <w:b/>
          <w:bCs/>
          <w:sz w:val="24"/>
          <w:szCs w:val="24"/>
        </w:rPr>
        <w:tab/>
      </w:r>
      <w:r w:rsidRPr="00AC1CD6">
        <w:rPr>
          <w:b/>
          <w:bCs/>
          <w:sz w:val="24"/>
          <w:szCs w:val="24"/>
        </w:rPr>
        <w:t xml:space="preserve">Internet Naming and Addressing </w:t>
      </w:r>
    </w:p>
    <w:p w:rsidR="007D1F2C" w:rsidRDefault="007D1F2C" w:rsidP="0040201F">
      <w:pPr>
        <w:spacing w:after="0" w:line="240" w:lineRule="auto"/>
        <w:jc w:val="both"/>
        <w:rPr>
          <w:b/>
          <w:bCs/>
          <w:sz w:val="24"/>
          <w:szCs w:val="24"/>
        </w:rPr>
      </w:pPr>
    </w:p>
    <w:p w:rsidR="007D1F2C" w:rsidRDefault="00AC1CD6" w:rsidP="0040201F">
      <w:pPr>
        <w:pStyle w:val="ListParagraph"/>
        <w:numPr>
          <w:ilvl w:val="0"/>
          <w:numId w:val="1"/>
        </w:numPr>
        <w:spacing w:after="0" w:line="240" w:lineRule="auto"/>
        <w:ind w:left="426" w:hanging="426"/>
        <w:jc w:val="both"/>
        <w:rPr>
          <w:sz w:val="24"/>
          <w:szCs w:val="24"/>
        </w:rPr>
      </w:pPr>
      <w:r w:rsidRPr="00AC1CD6">
        <w:rPr>
          <w:sz w:val="24"/>
          <w:szCs w:val="24"/>
        </w:rPr>
        <w:t>Every device connected to the Internet is identified by an IP address used to route data packets globally across the Internet. IP addresses are a finite resource. IP version 4 or ‘IPv4’, was deployed on 1 January 1983 and uses 32 bits to represent addresses, generating a theoretical total limit of 2</w:t>
      </w:r>
      <w:r w:rsidR="004316DD" w:rsidRPr="005D33A9">
        <w:rPr>
          <w:sz w:val="24"/>
          <w:szCs w:val="24"/>
          <w:vertAlign w:val="superscript"/>
        </w:rPr>
        <w:t>32</w:t>
      </w:r>
      <w:r w:rsidRPr="00AC1CD6">
        <w:rPr>
          <w:sz w:val="24"/>
          <w:szCs w:val="24"/>
        </w:rPr>
        <w:t xml:space="preserve"> (4 billion</w:t>
      </w:r>
      <w:r w:rsidR="00F009E7">
        <w:rPr>
          <w:sz w:val="24"/>
          <w:szCs w:val="24"/>
        </w:rPr>
        <w:t>)</w:t>
      </w:r>
      <w:r w:rsidRPr="00AC1CD6">
        <w:rPr>
          <w:sz w:val="24"/>
          <w:szCs w:val="24"/>
        </w:rPr>
        <w:t xml:space="preserve"> addresses</w:t>
      </w:r>
      <w:r w:rsidR="00163A20">
        <w:rPr>
          <w:sz w:val="24"/>
          <w:szCs w:val="24"/>
        </w:rPr>
        <w:t>.</w:t>
      </w:r>
      <w:r w:rsidRPr="00AC1CD6">
        <w:rPr>
          <w:sz w:val="24"/>
          <w:szCs w:val="24"/>
        </w:rPr>
        <w:t xml:space="preserve"> </w:t>
      </w:r>
      <w:r w:rsidR="00163A20">
        <w:rPr>
          <w:sz w:val="24"/>
          <w:szCs w:val="24"/>
        </w:rPr>
        <w:t>T</w:t>
      </w:r>
      <w:r w:rsidR="00163A20" w:rsidRPr="00AC1CD6">
        <w:rPr>
          <w:sz w:val="24"/>
          <w:szCs w:val="24"/>
        </w:rPr>
        <w:t xml:space="preserve">his </w:t>
      </w:r>
      <w:r w:rsidRPr="00AC1CD6">
        <w:rPr>
          <w:sz w:val="24"/>
          <w:szCs w:val="24"/>
        </w:rPr>
        <w:t>does not</w:t>
      </w:r>
      <w:r w:rsidR="00163A20">
        <w:rPr>
          <w:sz w:val="24"/>
          <w:szCs w:val="24"/>
        </w:rPr>
        <w:t>, however,</w:t>
      </w:r>
      <w:r w:rsidRPr="00AC1CD6">
        <w:rPr>
          <w:sz w:val="24"/>
          <w:szCs w:val="24"/>
        </w:rPr>
        <w:t xml:space="preserve"> establish the </w:t>
      </w:r>
      <w:r w:rsidRPr="00F91831">
        <w:rPr>
          <w:sz w:val="24"/>
          <w:szCs w:val="24"/>
        </w:rPr>
        <w:t>upper bound of devices that may connect to the Internet using IPv4. Rather, there is no static upper bound considering most devices connect to the Internet through private networks that assign IP addresses dynamically using protocols like</w:t>
      </w:r>
      <w:r w:rsidR="00646247" w:rsidRPr="00F91831">
        <w:rPr>
          <w:sz w:val="24"/>
          <w:szCs w:val="24"/>
        </w:rPr>
        <w:t xml:space="preserve"> the Dynamic Host Configuration Protocol (</w:t>
      </w:r>
      <w:r w:rsidRPr="00F91831">
        <w:rPr>
          <w:sz w:val="24"/>
          <w:szCs w:val="24"/>
        </w:rPr>
        <w:t>DHCP</w:t>
      </w:r>
      <w:r w:rsidR="00646247" w:rsidRPr="00F91831">
        <w:rPr>
          <w:sz w:val="24"/>
          <w:szCs w:val="24"/>
        </w:rPr>
        <w:t>)</w:t>
      </w:r>
      <w:r w:rsidR="008C5C77" w:rsidRPr="00F91831">
        <w:rPr>
          <w:rStyle w:val="FootnoteReference"/>
          <w:sz w:val="24"/>
          <w:szCs w:val="24"/>
        </w:rPr>
        <w:footnoteReference w:id="109"/>
      </w:r>
      <w:r w:rsidR="004316DD" w:rsidRPr="00F91831">
        <w:rPr>
          <w:sz w:val="24"/>
          <w:szCs w:val="24"/>
          <w:vertAlign w:val="superscript"/>
        </w:rPr>
        <w:t>,</w:t>
      </w:r>
      <w:r w:rsidRPr="00F91831">
        <w:rPr>
          <w:rStyle w:val="FootnoteReference"/>
          <w:rFonts w:cstheme="minorHAnsi"/>
          <w:sz w:val="24"/>
          <w:szCs w:val="24"/>
        </w:rPr>
        <w:footnoteReference w:id="110"/>
      </w:r>
      <w:r w:rsidRPr="00F91831">
        <w:rPr>
          <w:sz w:val="24"/>
          <w:szCs w:val="24"/>
        </w:rPr>
        <w:t>.</w:t>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1"/>
        </w:numPr>
        <w:spacing w:after="0" w:line="240" w:lineRule="auto"/>
        <w:ind w:left="426" w:hanging="426"/>
        <w:jc w:val="both"/>
        <w:rPr>
          <w:sz w:val="24"/>
          <w:szCs w:val="24"/>
          <w:lang w:val="en-GB"/>
        </w:rPr>
      </w:pPr>
      <w:r w:rsidRPr="00AC1CD6">
        <w:rPr>
          <w:sz w:val="24"/>
          <w:szCs w:val="24"/>
        </w:rPr>
        <w:t xml:space="preserve">The Internet Assigned </w:t>
      </w:r>
      <w:r w:rsidRPr="00F91831">
        <w:rPr>
          <w:sz w:val="24"/>
          <w:szCs w:val="24"/>
        </w:rPr>
        <w:t>Numbers Authority (IANA)</w:t>
      </w:r>
      <w:r w:rsidR="008C5C77" w:rsidRPr="00F91831">
        <w:rPr>
          <w:rStyle w:val="FootnoteReference"/>
          <w:sz w:val="24"/>
          <w:szCs w:val="24"/>
        </w:rPr>
        <w:footnoteReference w:id="111"/>
      </w:r>
      <w:r w:rsidR="008C5C77" w:rsidRPr="00F91831">
        <w:rPr>
          <w:sz w:val="24"/>
          <w:szCs w:val="24"/>
        </w:rPr>
        <w:t xml:space="preserve"> functions</w:t>
      </w:r>
      <w:r w:rsidR="008C5C77" w:rsidRPr="005D33A9">
        <w:rPr>
          <w:sz w:val="24"/>
          <w:szCs w:val="24"/>
        </w:rPr>
        <w:t xml:space="preserve"> </w:t>
      </w:r>
      <w:r w:rsidR="00773BC1" w:rsidRPr="005D33A9">
        <w:rPr>
          <w:sz w:val="24"/>
          <w:szCs w:val="24"/>
        </w:rPr>
        <w:t xml:space="preserve">are </w:t>
      </w:r>
      <w:r w:rsidR="00773BC1" w:rsidRPr="00AC1CD6">
        <w:rPr>
          <w:rFonts w:cs="Times New Roman"/>
          <w:sz w:val="24"/>
          <w:szCs w:val="24"/>
        </w:rPr>
        <w:t>a</w:t>
      </w:r>
      <w:r w:rsidRPr="00AC1CD6">
        <w:rPr>
          <w:rFonts w:cs="Times New Roman"/>
          <w:sz w:val="24"/>
          <w:szCs w:val="24"/>
        </w:rPr>
        <w:t xml:space="preserve"> set of technical functions that include the allocation of IP addresses from the global pool of unallocated </w:t>
      </w:r>
      <w:r w:rsidRPr="00AC1CD6">
        <w:rPr>
          <w:rFonts w:cs="Times New Roman"/>
          <w:sz w:val="24"/>
          <w:szCs w:val="24"/>
        </w:rPr>
        <w:lastRenderedPageBreak/>
        <w:t>addresses to the RIRs, according to their needs.</w:t>
      </w:r>
      <w:r w:rsidRPr="00AC1CD6">
        <w:rPr>
          <w:sz w:val="24"/>
          <w:szCs w:val="24"/>
        </w:rPr>
        <w:t xml:space="preserve"> </w:t>
      </w:r>
      <w:r w:rsidRPr="00AC1CD6">
        <w:rPr>
          <w:sz w:val="24"/>
          <w:szCs w:val="24"/>
          <w:lang w:val="en-GB"/>
        </w:rPr>
        <w:t xml:space="preserve">Another key IANA role is the reservation of IP addresses for specific technical purposes, which is carried out following the direction of the IETF. Examples include Multicast assignments, transition tunnelling technologies and private use addresses. </w:t>
      </w:r>
    </w:p>
    <w:p w:rsidR="007D1F2C" w:rsidRDefault="007D1F2C" w:rsidP="0040201F">
      <w:pPr>
        <w:pStyle w:val="ListParagraph"/>
        <w:spacing w:after="0" w:line="240" w:lineRule="auto"/>
        <w:ind w:left="426"/>
        <w:jc w:val="both"/>
        <w:rPr>
          <w:sz w:val="24"/>
          <w:szCs w:val="24"/>
          <w:lang w:val="en-GB"/>
        </w:rPr>
      </w:pPr>
    </w:p>
    <w:p w:rsidR="007D1F2C" w:rsidRDefault="00AC1CD6" w:rsidP="0040201F">
      <w:pPr>
        <w:pStyle w:val="ListParagraph"/>
        <w:numPr>
          <w:ilvl w:val="0"/>
          <w:numId w:val="1"/>
        </w:numPr>
        <w:spacing w:after="0" w:line="240" w:lineRule="auto"/>
        <w:ind w:left="426" w:hanging="426"/>
        <w:jc w:val="both"/>
        <w:rPr>
          <w:b/>
          <w:sz w:val="24"/>
          <w:szCs w:val="24"/>
        </w:rPr>
      </w:pPr>
      <w:r w:rsidRPr="00AC1CD6">
        <w:rPr>
          <w:sz w:val="24"/>
          <w:szCs w:val="24"/>
        </w:rPr>
        <w:t xml:space="preserve">The continued rapid growth of the number of devices connected to the Internet </w:t>
      </w:r>
      <w:r w:rsidRPr="00AC1CD6">
        <w:rPr>
          <w:rFonts w:cs="Times New Roman"/>
          <w:sz w:val="24"/>
          <w:szCs w:val="24"/>
        </w:rPr>
        <w:t>led to the exhaustion of the IANA function</w:t>
      </w:r>
      <w:r w:rsidR="00732741">
        <w:rPr>
          <w:rFonts w:cs="Times New Roman"/>
          <w:sz w:val="24"/>
          <w:szCs w:val="24"/>
        </w:rPr>
        <w:t>s</w:t>
      </w:r>
      <w:r w:rsidRPr="00AC1CD6">
        <w:rPr>
          <w:rFonts w:cs="Times New Roman"/>
          <w:sz w:val="24"/>
          <w:szCs w:val="24"/>
        </w:rPr>
        <w:t xml:space="preserve"> operator managed global pool of IPv4 addresses</w:t>
      </w:r>
      <w:r w:rsidRPr="00AC1CD6">
        <w:rPr>
          <w:sz w:val="24"/>
          <w:szCs w:val="24"/>
        </w:rPr>
        <w:t>. In anticipation of this exhaustion, in 1998 the IETF developed a new version - IPv6</w:t>
      </w:r>
      <w:r w:rsidR="008C5C77" w:rsidRPr="005D33A9">
        <w:rPr>
          <w:rStyle w:val="FootnoteReference"/>
          <w:sz w:val="24"/>
          <w:szCs w:val="24"/>
        </w:rPr>
        <w:footnoteReference w:id="112"/>
      </w:r>
      <w:r w:rsidR="008C5C77" w:rsidRPr="005D33A9">
        <w:rPr>
          <w:sz w:val="24"/>
          <w:szCs w:val="24"/>
        </w:rPr>
        <w:t xml:space="preserve"> - which provides a greatly expanded address space since i</w:t>
      </w:r>
      <w:r w:rsidRPr="00AC1CD6">
        <w:rPr>
          <w:sz w:val="24"/>
          <w:szCs w:val="24"/>
        </w:rPr>
        <w:t>t uses 128 bits to represent addresses (generating a new limit of 2</w:t>
      </w:r>
      <w:r>
        <w:rPr>
          <w:sz w:val="24"/>
          <w:szCs w:val="24"/>
          <w:vertAlign w:val="superscript"/>
        </w:rPr>
        <w:t>128</w:t>
      </w:r>
      <w:r w:rsidRPr="00AC1CD6">
        <w:rPr>
          <w:sz w:val="24"/>
          <w:szCs w:val="24"/>
        </w:rPr>
        <w:t xml:space="preserve"> addresses, equivalent to some 340 </w:t>
      </w:r>
      <w:proofErr w:type="spellStart"/>
      <w:r w:rsidRPr="00AC1CD6">
        <w:rPr>
          <w:sz w:val="24"/>
          <w:szCs w:val="24"/>
          <w:lang w:val="en-GB"/>
        </w:rPr>
        <w:t>undecillion</w:t>
      </w:r>
      <w:proofErr w:type="spellEnd"/>
      <w:r w:rsidRPr="00AC1CD6">
        <w:rPr>
          <w:sz w:val="24"/>
          <w:szCs w:val="24"/>
        </w:rPr>
        <w:t>). The IANA function</w:t>
      </w:r>
      <w:r w:rsidR="00732741">
        <w:rPr>
          <w:sz w:val="24"/>
          <w:szCs w:val="24"/>
        </w:rPr>
        <w:t>s</w:t>
      </w:r>
      <w:r w:rsidRPr="00AC1CD6">
        <w:rPr>
          <w:sz w:val="24"/>
          <w:szCs w:val="24"/>
        </w:rPr>
        <w:t xml:space="preserve"> operator began allocating blocks of IPv6 addresses in 1999</w:t>
      </w:r>
      <w:r w:rsidR="008C5C77" w:rsidRPr="005D33A9">
        <w:rPr>
          <w:rStyle w:val="FootnoteReference"/>
          <w:sz w:val="24"/>
          <w:szCs w:val="24"/>
        </w:rPr>
        <w:footnoteReference w:id="113"/>
      </w:r>
      <w:proofErr w:type="gramStart"/>
      <w:r w:rsidR="008C5C77" w:rsidRPr="005D33A9">
        <w:rPr>
          <w:sz w:val="24"/>
          <w:szCs w:val="24"/>
          <w:vertAlign w:val="superscript"/>
        </w:rPr>
        <w:t xml:space="preserve">, </w:t>
      </w:r>
      <w:proofErr w:type="gramEnd"/>
      <w:r w:rsidR="008C5C77" w:rsidRPr="005D33A9">
        <w:rPr>
          <w:rStyle w:val="FootnoteReference"/>
          <w:sz w:val="24"/>
          <w:szCs w:val="24"/>
        </w:rPr>
        <w:footnoteReference w:id="114"/>
      </w:r>
      <w:r w:rsidR="008C5C77" w:rsidRPr="005D33A9">
        <w:rPr>
          <w:sz w:val="24"/>
          <w:szCs w:val="24"/>
        </w:rPr>
        <w:t>. In February 2011, the IANA function</w:t>
      </w:r>
      <w:r w:rsidR="00732741">
        <w:rPr>
          <w:sz w:val="24"/>
          <w:szCs w:val="24"/>
        </w:rPr>
        <w:t>s</w:t>
      </w:r>
      <w:r w:rsidR="008C5C77" w:rsidRPr="005D33A9">
        <w:rPr>
          <w:sz w:val="24"/>
          <w:szCs w:val="24"/>
        </w:rPr>
        <w:t xml:space="preserve"> operator assigned t</w:t>
      </w:r>
      <w:r w:rsidRPr="00AC1CD6">
        <w:rPr>
          <w:sz w:val="24"/>
          <w:szCs w:val="24"/>
        </w:rPr>
        <w:t>he last five remaining free blocks of IPv4 addresses to the five RIRs and the global IPv4 pool was exhausted.</w:t>
      </w:r>
    </w:p>
    <w:p w:rsidR="007D1F2C" w:rsidRDefault="007D1F2C" w:rsidP="0040201F">
      <w:pPr>
        <w:pStyle w:val="ListParagraph"/>
        <w:spacing w:after="0" w:line="240" w:lineRule="auto"/>
        <w:ind w:left="426"/>
        <w:jc w:val="both"/>
        <w:rPr>
          <w:b/>
          <w:sz w:val="24"/>
          <w:szCs w:val="24"/>
        </w:rPr>
      </w:pPr>
    </w:p>
    <w:p w:rsidR="007D1F2C" w:rsidRDefault="00AC1CD6" w:rsidP="0040201F">
      <w:pPr>
        <w:pStyle w:val="ListParagraph"/>
        <w:numPr>
          <w:ilvl w:val="0"/>
          <w:numId w:val="1"/>
        </w:numPr>
        <w:tabs>
          <w:tab w:val="left" w:pos="5529"/>
        </w:tabs>
        <w:spacing w:after="0" w:line="240" w:lineRule="auto"/>
        <w:ind w:left="426" w:hanging="426"/>
        <w:jc w:val="both"/>
        <w:rPr>
          <w:sz w:val="24"/>
          <w:szCs w:val="24"/>
        </w:rPr>
      </w:pPr>
      <w:r w:rsidRPr="00AC1CD6">
        <w:rPr>
          <w:sz w:val="24"/>
          <w:szCs w:val="24"/>
        </w:rPr>
        <w:t xml:space="preserve">The migration from IPv4 to IPv6 represents a key global issue, the fundamental crux of which is that IPv6 and IPv4 are not compatible at Layer 3.  Much of the same infrastructure, equipment, etc. can be used for IPv6, but a modified Layer 3 stack must be deployed that supports both protocols: IPv4 and </w:t>
      </w:r>
      <w:proofErr w:type="gramStart"/>
      <w:r w:rsidRPr="00AC1CD6">
        <w:rPr>
          <w:sz w:val="24"/>
          <w:szCs w:val="24"/>
        </w:rPr>
        <w:t>IPv6</w:t>
      </w:r>
      <w:r w:rsidR="00CA4DEA" w:rsidRPr="005D33A9">
        <w:rPr>
          <w:sz w:val="24"/>
          <w:szCs w:val="24"/>
        </w:rPr>
        <w:t xml:space="preserve"> </w:t>
      </w:r>
      <w:proofErr w:type="gramEnd"/>
      <w:r w:rsidR="008C5C77" w:rsidRPr="005D33A9">
        <w:rPr>
          <w:rStyle w:val="FootnoteReference"/>
          <w:sz w:val="24"/>
          <w:szCs w:val="24"/>
        </w:rPr>
        <w:footnoteReference w:id="115"/>
      </w:r>
      <w:r w:rsidRPr="00AC1CD6">
        <w:rPr>
          <w:sz w:val="24"/>
          <w:szCs w:val="24"/>
        </w:rPr>
        <w:t>. In addition, some applications (that use IP address literals) must be modified. IPv6 implementation has been picking up relatively significantly in recent years</w:t>
      </w:r>
      <w:r>
        <w:rPr>
          <w:rStyle w:val="FootnoteReference"/>
          <w:sz w:val="24"/>
          <w:szCs w:val="24"/>
        </w:rPr>
        <w:footnoteReference w:id="116"/>
      </w:r>
      <w:proofErr w:type="gramStart"/>
      <w:r>
        <w:rPr>
          <w:sz w:val="24"/>
          <w:szCs w:val="24"/>
          <w:vertAlign w:val="superscript"/>
        </w:rPr>
        <w:t xml:space="preserve">, </w:t>
      </w:r>
      <w:r w:rsidR="008C5C77" w:rsidRPr="005D33A9">
        <w:rPr>
          <w:rStyle w:val="FootnoteReference"/>
          <w:sz w:val="24"/>
          <w:szCs w:val="24"/>
        </w:rPr>
        <w:footnoteReference w:id="117"/>
      </w:r>
      <w:proofErr w:type="gramEnd"/>
      <w:r w:rsidR="008C5C77" w:rsidRPr="005D33A9">
        <w:rPr>
          <w:sz w:val="24"/>
          <w:szCs w:val="24"/>
        </w:rPr>
        <w:t xml:space="preserve"> , but statistics show that IPv6 de</w:t>
      </w:r>
      <w:r w:rsidRPr="00AC1CD6">
        <w:rPr>
          <w:sz w:val="24"/>
          <w:szCs w:val="24"/>
        </w:rPr>
        <w:t>ployment is still low</w:t>
      </w:r>
      <w:r w:rsidR="008C5C77" w:rsidRPr="005D33A9">
        <w:rPr>
          <w:rStyle w:val="FootnoteReference"/>
          <w:sz w:val="24"/>
          <w:szCs w:val="24"/>
        </w:rPr>
        <w:footnoteReference w:id="118"/>
      </w:r>
      <w:r w:rsidR="004316DD" w:rsidRPr="005D33A9">
        <w:rPr>
          <w:sz w:val="24"/>
          <w:szCs w:val="24"/>
          <w:vertAlign w:val="superscript"/>
        </w:rPr>
        <w:t>,</w:t>
      </w:r>
      <w:r w:rsidR="008C5C77" w:rsidRPr="005D33A9">
        <w:rPr>
          <w:rStyle w:val="FootnoteReference"/>
          <w:sz w:val="24"/>
          <w:szCs w:val="24"/>
        </w:rPr>
        <w:footnoteReference w:id="119"/>
      </w:r>
      <w:r w:rsidRPr="00AC1CD6">
        <w:rPr>
          <w:sz w:val="24"/>
          <w:szCs w:val="24"/>
          <w:vertAlign w:val="superscript"/>
        </w:rPr>
        <w:t xml:space="preserve"> </w:t>
      </w:r>
      <w:r w:rsidR="008C5C77" w:rsidRPr="005D33A9">
        <w:rPr>
          <w:sz w:val="24"/>
          <w:szCs w:val="24"/>
        </w:rPr>
        <w:t>or uneven</w:t>
      </w:r>
      <w:r w:rsidR="008C5C77" w:rsidRPr="005D33A9">
        <w:rPr>
          <w:rStyle w:val="FootnoteReference"/>
          <w:sz w:val="24"/>
          <w:szCs w:val="24"/>
        </w:rPr>
        <w:footnoteReference w:id="120"/>
      </w:r>
      <w:r w:rsidRPr="00AC1CD6">
        <w:rPr>
          <w:sz w:val="24"/>
          <w:szCs w:val="24"/>
        </w:rPr>
        <w:t xml:space="preserve">, and more could be done to encourage the deployment and smooth migration to IPv6. According to some, </w:t>
      </w:r>
      <w:r w:rsidRPr="00F91831">
        <w:rPr>
          <w:sz w:val="24"/>
          <w:szCs w:val="24"/>
        </w:rPr>
        <w:t>the deployment of IPv6 should become a clearly-stated priority objective for national policy-makers and all stakeholders to enhance the pace of IPv6 deployment</w:t>
      </w:r>
      <w:r w:rsidR="008C5C77" w:rsidRPr="00F91831">
        <w:rPr>
          <w:rStyle w:val="FootnoteReference"/>
          <w:sz w:val="24"/>
          <w:szCs w:val="24"/>
        </w:rPr>
        <w:footnoteReference w:id="121"/>
      </w:r>
      <w:r w:rsidR="008C5C77" w:rsidRPr="00F91831">
        <w:rPr>
          <w:sz w:val="24"/>
          <w:szCs w:val="24"/>
        </w:rPr>
        <w:t xml:space="preserve">. The </w:t>
      </w:r>
      <w:r w:rsidR="00214FF5" w:rsidRPr="00F91831">
        <w:rPr>
          <w:sz w:val="24"/>
          <w:szCs w:val="24"/>
        </w:rPr>
        <w:t>2008 ITU World Telecommunication Standardization Assembly (</w:t>
      </w:r>
      <w:r w:rsidR="008C5C77" w:rsidRPr="00F91831">
        <w:rPr>
          <w:sz w:val="24"/>
          <w:szCs w:val="24"/>
        </w:rPr>
        <w:t>WTSA</w:t>
      </w:r>
      <w:r w:rsidR="00214FF5" w:rsidRPr="00F91831">
        <w:rPr>
          <w:sz w:val="24"/>
          <w:szCs w:val="24"/>
        </w:rPr>
        <w:t>)</w:t>
      </w:r>
      <w:r w:rsidR="008C5C77" w:rsidRPr="00F91831">
        <w:rPr>
          <w:sz w:val="24"/>
          <w:szCs w:val="24"/>
        </w:rPr>
        <w:t xml:space="preserve">, </w:t>
      </w:r>
      <w:r w:rsidR="00214FF5" w:rsidRPr="00F91831">
        <w:rPr>
          <w:sz w:val="24"/>
          <w:szCs w:val="24"/>
        </w:rPr>
        <w:t>the 2010 ITU World Telecommunication Development Conference (WTDC)</w:t>
      </w:r>
      <w:r w:rsidR="008C5C77" w:rsidRPr="00F91831">
        <w:rPr>
          <w:sz w:val="24"/>
          <w:szCs w:val="24"/>
        </w:rPr>
        <w:t xml:space="preserve">, and </w:t>
      </w:r>
      <w:r w:rsidR="00214FF5" w:rsidRPr="00F91831">
        <w:rPr>
          <w:sz w:val="24"/>
          <w:szCs w:val="24"/>
        </w:rPr>
        <w:t xml:space="preserve">the </w:t>
      </w:r>
      <w:r w:rsidR="00B81F37" w:rsidRPr="00F91831">
        <w:rPr>
          <w:sz w:val="24"/>
          <w:szCs w:val="24"/>
        </w:rPr>
        <w:t xml:space="preserve">2010 </w:t>
      </w:r>
      <w:r w:rsidR="00214FF5" w:rsidRPr="00F91831">
        <w:rPr>
          <w:sz w:val="24"/>
          <w:szCs w:val="24"/>
        </w:rPr>
        <w:t xml:space="preserve">ITU </w:t>
      </w:r>
      <w:r w:rsidR="008C5C77" w:rsidRPr="00F91831">
        <w:rPr>
          <w:sz w:val="24"/>
          <w:szCs w:val="24"/>
        </w:rPr>
        <w:t xml:space="preserve">Plenipotentiary </w:t>
      </w:r>
      <w:r w:rsidR="00B81F37" w:rsidRPr="00F91831">
        <w:rPr>
          <w:sz w:val="24"/>
          <w:szCs w:val="24"/>
        </w:rPr>
        <w:t>conference</w:t>
      </w:r>
      <w:r w:rsidR="008C5C77" w:rsidRPr="00F91831">
        <w:rPr>
          <w:sz w:val="24"/>
          <w:szCs w:val="24"/>
        </w:rPr>
        <w:t xml:space="preserve"> resulted in Resolutions related</w:t>
      </w:r>
      <w:r w:rsidR="008C5C77" w:rsidRPr="005D33A9">
        <w:rPr>
          <w:sz w:val="24"/>
          <w:szCs w:val="24"/>
        </w:rPr>
        <w:t xml:space="preserve"> to IP addressing that stressed</w:t>
      </w:r>
      <w:r w:rsidRPr="00AC1CD6">
        <w:rPr>
          <w:sz w:val="24"/>
          <w:szCs w:val="24"/>
        </w:rPr>
        <w:t xml:space="preserve"> the need for human capacity development and training with respect to IPv6 address deployment. </w:t>
      </w:r>
    </w:p>
    <w:p w:rsidR="007D1F2C" w:rsidRDefault="007D1F2C" w:rsidP="0040201F">
      <w:pPr>
        <w:pStyle w:val="ListParagraph"/>
        <w:tabs>
          <w:tab w:val="left" w:pos="5529"/>
        </w:tabs>
        <w:spacing w:after="0" w:line="240" w:lineRule="auto"/>
        <w:ind w:left="426"/>
        <w:jc w:val="both"/>
        <w:rPr>
          <w:sz w:val="24"/>
          <w:szCs w:val="24"/>
        </w:rPr>
      </w:pPr>
    </w:p>
    <w:p w:rsidR="007D1F2C" w:rsidRDefault="00AC1CD6" w:rsidP="0040201F">
      <w:pPr>
        <w:pStyle w:val="ListParagraph"/>
        <w:spacing w:after="0" w:line="240" w:lineRule="auto"/>
        <w:ind w:left="426" w:hanging="425"/>
        <w:jc w:val="both"/>
        <w:rPr>
          <w:sz w:val="24"/>
          <w:szCs w:val="24"/>
        </w:rPr>
      </w:pPr>
      <w:r w:rsidRPr="00AC1CD6">
        <w:rPr>
          <w:sz w:val="24"/>
          <w:szCs w:val="24"/>
        </w:rPr>
        <w:t xml:space="preserve">e) </w:t>
      </w:r>
      <w:r w:rsidRPr="00AC1CD6">
        <w:rPr>
          <w:sz w:val="24"/>
          <w:szCs w:val="24"/>
        </w:rPr>
        <w:tab/>
        <w:t xml:space="preserve">One view is that the approach </w:t>
      </w:r>
      <w:r w:rsidR="00272CEE">
        <w:rPr>
          <w:sz w:val="24"/>
          <w:szCs w:val="24"/>
        </w:rPr>
        <w:t>for</w:t>
      </w:r>
      <w:r w:rsidRPr="00AC1CD6">
        <w:rPr>
          <w:sz w:val="24"/>
          <w:szCs w:val="24"/>
        </w:rPr>
        <w:t xml:space="preserve"> new IPv6 allocation policies could be similar to IPv4 policies, on a “first come, first serve” basis with ‘demonstrated’ need. However, this may represent a cause for concern</w:t>
      </w:r>
      <w:r w:rsidR="009E4778">
        <w:rPr>
          <w:sz w:val="24"/>
          <w:szCs w:val="24"/>
        </w:rPr>
        <w:t xml:space="preserve"> to some</w:t>
      </w:r>
      <w:r w:rsidR="008C5C77" w:rsidRPr="005D33A9">
        <w:rPr>
          <w:rStyle w:val="FootnoteReference"/>
          <w:sz w:val="24"/>
          <w:szCs w:val="24"/>
        </w:rPr>
        <w:footnoteReference w:id="122"/>
      </w:r>
      <w:r w:rsidR="008C5C77" w:rsidRPr="005D33A9">
        <w:rPr>
          <w:sz w:val="24"/>
          <w:szCs w:val="24"/>
        </w:rPr>
        <w:t xml:space="preserve">. Another view is that this policy has led to the occupancy of a substantial amount of the finite IP addresses in the IPv4 address </w:t>
      </w:r>
      <w:r w:rsidRPr="00AC1CD6">
        <w:rPr>
          <w:sz w:val="24"/>
          <w:szCs w:val="24"/>
        </w:rPr>
        <w:t xml:space="preserve">space and </w:t>
      </w:r>
      <w:r w:rsidRPr="00AC1CD6">
        <w:rPr>
          <w:sz w:val="24"/>
          <w:szCs w:val="24"/>
        </w:rPr>
        <w:lastRenderedPageBreak/>
        <w:t>may work against late entrants, especially developing countries. A third view is that IPv6 address space is virtually inexhaustible, and that this quasi-inexhaustibility of the IPv6 space means that any past issues regarding imbalances</w:t>
      </w:r>
      <w:r>
        <w:rPr>
          <w:rStyle w:val="FootnoteReference"/>
          <w:sz w:val="24"/>
          <w:szCs w:val="24"/>
        </w:rPr>
        <w:footnoteReference w:id="123"/>
      </w:r>
      <w:r w:rsidRPr="00AC1CD6">
        <w:rPr>
          <w:sz w:val="24"/>
          <w:szCs w:val="24"/>
        </w:rPr>
        <w:t xml:space="preserve"> would be avoided in the future and therefore the current allocation policies of the RIRs are feasible for IPv6. Those with this view note that IPv6 address policies apply from the beginning, whilst IPv4 policies have developed retrospectively</w:t>
      </w:r>
      <w:r>
        <w:rPr>
          <w:rStyle w:val="FootnoteReference"/>
          <w:sz w:val="24"/>
          <w:szCs w:val="24"/>
        </w:rPr>
        <w:footnoteReference w:id="124"/>
      </w:r>
      <w:r w:rsidRPr="00AC1CD6">
        <w:rPr>
          <w:sz w:val="24"/>
          <w:szCs w:val="24"/>
        </w:rPr>
        <w:t xml:space="preserve">. The </w:t>
      </w:r>
      <w:hyperlink r:id="rId17" w:history="1">
        <w:r>
          <w:rPr>
            <w:rStyle w:val="Hyperlink"/>
            <w:sz w:val="24"/>
            <w:szCs w:val="24"/>
          </w:rPr>
          <w:t xml:space="preserve">2005 </w:t>
        </w:r>
        <w:r w:rsidR="000E30F4">
          <w:rPr>
            <w:rStyle w:val="Hyperlink"/>
            <w:sz w:val="24"/>
            <w:szCs w:val="24"/>
          </w:rPr>
          <w:t xml:space="preserve">Report </w:t>
        </w:r>
        <w:r>
          <w:rPr>
            <w:rStyle w:val="Hyperlink"/>
            <w:sz w:val="24"/>
            <w:szCs w:val="24"/>
          </w:rPr>
          <w:t>of WSIS-Working Group on Internet Governance (WGIG)</w:t>
        </w:r>
      </w:hyperlink>
      <w:r w:rsidR="008C5C77" w:rsidRPr="005D33A9">
        <w:rPr>
          <w:sz w:val="24"/>
          <w:szCs w:val="24"/>
        </w:rPr>
        <w:t xml:space="preserve"> acknowledged that “the </w:t>
      </w:r>
      <w:r w:rsidRPr="00AC1CD6">
        <w:rPr>
          <w:sz w:val="24"/>
          <w:szCs w:val="24"/>
        </w:rPr>
        <w:t>current numbering management is required to ensure equitable distribution of resources and access for all into the future”.</w:t>
      </w:r>
    </w:p>
    <w:p w:rsidR="007D1F2C" w:rsidRDefault="007D1F2C" w:rsidP="0040201F">
      <w:pPr>
        <w:pStyle w:val="ListParagraph"/>
        <w:spacing w:after="0" w:line="240" w:lineRule="auto"/>
        <w:ind w:left="426" w:hanging="425"/>
        <w:jc w:val="both"/>
        <w:rPr>
          <w:sz w:val="24"/>
          <w:szCs w:val="24"/>
        </w:rPr>
      </w:pPr>
    </w:p>
    <w:p w:rsidR="007D1F2C" w:rsidRDefault="00AC1CD6" w:rsidP="0040201F">
      <w:pPr>
        <w:spacing w:after="0" w:line="240" w:lineRule="auto"/>
        <w:ind w:left="426" w:hanging="426"/>
        <w:jc w:val="both"/>
        <w:rPr>
          <w:sz w:val="24"/>
          <w:szCs w:val="24"/>
        </w:rPr>
      </w:pPr>
      <w:r w:rsidRPr="00F91831">
        <w:rPr>
          <w:sz w:val="24"/>
          <w:szCs w:val="24"/>
        </w:rPr>
        <w:t xml:space="preserve">f) </w:t>
      </w:r>
      <w:r w:rsidRPr="00F91831">
        <w:rPr>
          <w:sz w:val="24"/>
          <w:szCs w:val="24"/>
        </w:rPr>
        <w:tab/>
        <w:t>Furthermore, now that IANA function</w:t>
      </w:r>
      <w:r w:rsidR="00F54471" w:rsidRPr="00F91831">
        <w:rPr>
          <w:sz w:val="24"/>
          <w:szCs w:val="24"/>
        </w:rPr>
        <w:t>s</w:t>
      </w:r>
      <w:r w:rsidRPr="00F91831">
        <w:rPr>
          <w:sz w:val="24"/>
          <w:szCs w:val="24"/>
        </w:rPr>
        <w:t xml:space="preserve"> operator, </w:t>
      </w:r>
      <w:r w:rsidR="00276514" w:rsidRPr="00F91831">
        <w:rPr>
          <w:sz w:val="24"/>
          <w:szCs w:val="24"/>
        </w:rPr>
        <w:t>t</w:t>
      </w:r>
      <w:r w:rsidR="00646247" w:rsidRPr="00F91831">
        <w:rPr>
          <w:sz w:val="24"/>
          <w:szCs w:val="24"/>
        </w:rPr>
        <w:t>he Asia Pacific Network Information Centre (</w:t>
      </w:r>
      <w:r w:rsidRPr="00F91831">
        <w:rPr>
          <w:sz w:val="24"/>
          <w:szCs w:val="24"/>
        </w:rPr>
        <w:t>APNIC</w:t>
      </w:r>
      <w:r w:rsidR="00646247" w:rsidRPr="00F91831">
        <w:rPr>
          <w:sz w:val="24"/>
          <w:szCs w:val="24"/>
        </w:rPr>
        <w:t>)</w:t>
      </w:r>
      <w:r w:rsidRPr="00F91831">
        <w:rPr>
          <w:sz w:val="24"/>
          <w:szCs w:val="24"/>
        </w:rPr>
        <w:t xml:space="preserve"> and </w:t>
      </w:r>
      <w:r w:rsidR="00276514" w:rsidRPr="00F91831">
        <w:rPr>
          <w:sz w:val="24"/>
          <w:szCs w:val="24"/>
        </w:rPr>
        <w:t xml:space="preserve">the </w:t>
      </w:r>
      <w:proofErr w:type="spellStart"/>
      <w:r w:rsidR="00276514" w:rsidRPr="00F91831">
        <w:rPr>
          <w:sz w:val="24"/>
          <w:szCs w:val="24"/>
        </w:rPr>
        <w:t>Réseaux</w:t>
      </w:r>
      <w:proofErr w:type="spellEnd"/>
      <w:r w:rsidR="00276514" w:rsidRPr="00F91831">
        <w:rPr>
          <w:sz w:val="24"/>
          <w:szCs w:val="24"/>
        </w:rPr>
        <w:t xml:space="preserve"> IP </w:t>
      </w:r>
      <w:proofErr w:type="spellStart"/>
      <w:r w:rsidR="00276514" w:rsidRPr="00F91831">
        <w:rPr>
          <w:sz w:val="24"/>
          <w:szCs w:val="24"/>
        </w:rPr>
        <w:t>Européens</w:t>
      </w:r>
      <w:proofErr w:type="spellEnd"/>
      <w:r w:rsidR="00276514" w:rsidRPr="00F91831">
        <w:rPr>
          <w:sz w:val="24"/>
          <w:szCs w:val="24"/>
        </w:rPr>
        <w:t xml:space="preserve"> Network Coordination Centre (</w:t>
      </w:r>
      <w:r w:rsidRPr="00F91831">
        <w:rPr>
          <w:sz w:val="24"/>
          <w:szCs w:val="24"/>
        </w:rPr>
        <w:t>RIPE-NCC</w:t>
      </w:r>
      <w:r w:rsidR="00276514" w:rsidRPr="00F91831">
        <w:rPr>
          <w:sz w:val="24"/>
          <w:szCs w:val="24"/>
        </w:rPr>
        <w:t>)</w:t>
      </w:r>
      <w:r w:rsidRPr="00F91831">
        <w:rPr>
          <w:sz w:val="24"/>
          <w:szCs w:val="24"/>
        </w:rPr>
        <w:t xml:space="preserve"> have exhausted their IPv4 free pools (in February 2011, April 2011 and September 2012, respectively), for the current migration to IPv6, ISPs using IPv6 still need to use IPv4 in order to be able to access large amounts of content</w:t>
      </w:r>
      <w:r w:rsidR="008C5C77" w:rsidRPr="00F91831">
        <w:rPr>
          <w:rStyle w:val="FootnoteReference"/>
          <w:sz w:val="24"/>
          <w:szCs w:val="24"/>
        </w:rPr>
        <w:footnoteReference w:id="125"/>
      </w:r>
      <w:r w:rsidR="008C5C77" w:rsidRPr="00F91831">
        <w:rPr>
          <w:sz w:val="24"/>
          <w:szCs w:val="24"/>
        </w:rPr>
        <w:t xml:space="preserve"> and users</w:t>
      </w:r>
      <w:r w:rsidRPr="00F91831">
        <w:rPr>
          <w:rStyle w:val="FootnoteReference"/>
          <w:sz w:val="24"/>
          <w:szCs w:val="24"/>
        </w:rPr>
        <w:footnoteReference w:id="126"/>
      </w:r>
      <w:r w:rsidRPr="00F91831">
        <w:rPr>
          <w:sz w:val="24"/>
          <w:szCs w:val="24"/>
        </w:rPr>
        <w:t xml:space="preserve"> that</w:t>
      </w:r>
      <w:r w:rsidRPr="00AC1CD6">
        <w:rPr>
          <w:sz w:val="24"/>
          <w:szCs w:val="24"/>
        </w:rPr>
        <w:t xml:space="preserve"> are still IPv4-only (and might likely remain so for several years ahead). The availability (or lack thereof) of IPv4 addresses is a factor which therefore continues to be relevant today. Another view is that quantities of IPv4 space remain and inter-regional transfer policies will help mitigate potential shortages until a more complete transition to IPv6 can be accomplished</w:t>
      </w:r>
      <w:r>
        <w:rPr>
          <w:rStyle w:val="FootnoteReference"/>
          <w:sz w:val="24"/>
          <w:szCs w:val="24"/>
        </w:rPr>
        <w:footnoteReference w:id="127"/>
      </w:r>
      <w:r w:rsidRPr="00AC1CD6">
        <w:rPr>
          <w:sz w:val="24"/>
          <w:szCs w:val="24"/>
        </w:rPr>
        <w:t>. Special policies have gone into effect to secure blocks of IPv4 addresses for the new networks over the long-term</w:t>
      </w:r>
      <w:r>
        <w:rPr>
          <w:rStyle w:val="FootnoteReference"/>
          <w:sz w:val="24"/>
          <w:szCs w:val="24"/>
        </w:rPr>
        <w:footnoteReference w:id="128"/>
      </w:r>
      <w:r w:rsidRPr="00AC1CD6">
        <w:rPr>
          <w:sz w:val="24"/>
          <w:szCs w:val="24"/>
        </w:rPr>
        <w:t xml:space="preserve"> to allow new networks to access both the IPv4 and IPv6, until IPv6 reaches its full deployment. </w:t>
      </w:r>
    </w:p>
    <w:p w:rsidR="007D1F2C" w:rsidRDefault="007D1F2C" w:rsidP="0040201F">
      <w:pPr>
        <w:spacing w:after="0" w:line="240" w:lineRule="auto"/>
        <w:ind w:left="426" w:hanging="426"/>
        <w:jc w:val="both"/>
        <w:rPr>
          <w:sz w:val="24"/>
          <w:szCs w:val="24"/>
        </w:rPr>
      </w:pPr>
    </w:p>
    <w:p w:rsidR="007D1F2C" w:rsidRDefault="00AC1CD6" w:rsidP="0040201F">
      <w:pPr>
        <w:spacing w:after="0" w:line="240" w:lineRule="auto"/>
        <w:ind w:left="426" w:hanging="426"/>
        <w:jc w:val="both"/>
        <w:rPr>
          <w:sz w:val="24"/>
          <w:szCs w:val="24"/>
        </w:rPr>
      </w:pPr>
      <w:r w:rsidRPr="00AC1CD6">
        <w:rPr>
          <w:sz w:val="24"/>
          <w:szCs w:val="24"/>
        </w:rPr>
        <w:t>g)</w:t>
      </w:r>
      <w:r w:rsidRPr="00AC1CD6">
        <w:rPr>
          <w:sz w:val="24"/>
          <w:szCs w:val="24"/>
        </w:rPr>
        <w:tab/>
        <w:t xml:space="preserve">The exhaustion of IPv4 address and migration to IPv6 have led to suggestions that the governance structure of IP addresses needs to be reformed for improvement. One view is that any reform should come from within the existing structures and </w:t>
      </w:r>
      <w:proofErr w:type="gramStart"/>
      <w:r w:rsidRPr="00AC1CD6">
        <w:rPr>
          <w:sz w:val="24"/>
          <w:szCs w:val="24"/>
        </w:rPr>
        <w:t>processes</w:t>
      </w:r>
      <w:r w:rsidR="00CA4DEA" w:rsidRPr="005D33A9">
        <w:rPr>
          <w:sz w:val="24"/>
          <w:szCs w:val="24"/>
        </w:rPr>
        <w:t xml:space="preserve"> </w:t>
      </w:r>
      <w:proofErr w:type="gramEnd"/>
      <w:r w:rsidR="008C5C77" w:rsidRPr="005D33A9">
        <w:rPr>
          <w:rStyle w:val="FootnoteReference"/>
          <w:sz w:val="24"/>
          <w:szCs w:val="24"/>
        </w:rPr>
        <w:footnoteReference w:id="129"/>
      </w:r>
      <w:r w:rsidRPr="00AC1CD6">
        <w:rPr>
          <w:sz w:val="24"/>
          <w:szCs w:val="24"/>
          <w:vertAlign w:val="superscript"/>
        </w:rPr>
        <w:t>,</w:t>
      </w:r>
      <w:r w:rsidR="008C5C77" w:rsidRPr="005D33A9">
        <w:rPr>
          <w:rStyle w:val="FootnoteReference"/>
          <w:sz w:val="24"/>
          <w:szCs w:val="24"/>
        </w:rPr>
        <w:footnoteReference w:id="130"/>
      </w:r>
      <w:r w:rsidR="008C5C77" w:rsidRPr="005D33A9">
        <w:rPr>
          <w:sz w:val="24"/>
          <w:szCs w:val="24"/>
          <w:vertAlign w:val="superscript"/>
        </w:rPr>
        <w:t>,</w:t>
      </w:r>
      <w:r>
        <w:rPr>
          <w:rStyle w:val="FootnoteReference"/>
          <w:sz w:val="24"/>
          <w:szCs w:val="24"/>
        </w:rPr>
        <w:footnoteReference w:id="131"/>
      </w:r>
      <w:r w:rsidRPr="00AC1CD6">
        <w:rPr>
          <w:sz w:val="24"/>
          <w:szCs w:val="24"/>
          <w:vertAlign w:val="superscript"/>
        </w:rPr>
        <w:t>.</w:t>
      </w:r>
      <w:r w:rsidR="008C5C77" w:rsidRPr="005D33A9">
        <w:rPr>
          <w:sz w:val="24"/>
          <w:szCs w:val="24"/>
        </w:rPr>
        <w:t xml:space="preserve"> Another view is that this might not be sufficient and that greater reforms may be </w:t>
      </w:r>
      <w:proofErr w:type="gramStart"/>
      <w:r w:rsidR="008C5C77" w:rsidRPr="005D33A9">
        <w:rPr>
          <w:sz w:val="24"/>
          <w:szCs w:val="24"/>
        </w:rPr>
        <w:t xml:space="preserve">needed </w:t>
      </w:r>
      <w:proofErr w:type="gramEnd"/>
      <w:r w:rsidR="008C5C77" w:rsidRPr="005D33A9">
        <w:rPr>
          <w:rStyle w:val="FootnoteReference"/>
          <w:sz w:val="24"/>
          <w:szCs w:val="24"/>
        </w:rPr>
        <w:footnoteReference w:id="132"/>
      </w:r>
      <w:r w:rsidRPr="00AC1CD6">
        <w:rPr>
          <w:sz w:val="24"/>
          <w:szCs w:val="24"/>
          <w:vertAlign w:val="superscript"/>
        </w:rPr>
        <w:t>,</w:t>
      </w:r>
      <w:r w:rsidR="008C5C77" w:rsidRPr="005D33A9">
        <w:rPr>
          <w:rStyle w:val="FootnoteReference"/>
          <w:sz w:val="24"/>
          <w:szCs w:val="24"/>
        </w:rPr>
        <w:footnoteReference w:id="133"/>
      </w:r>
      <w:r w:rsidR="008C5C77" w:rsidRPr="005D33A9">
        <w:rPr>
          <w:sz w:val="24"/>
          <w:szCs w:val="24"/>
          <w:vertAlign w:val="superscript"/>
        </w:rPr>
        <w:t>,</w:t>
      </w:r>
      <w:r>
        <w:rPr>
          <w:rStyle w:val="FootnoteReference"/>
          <w:sz w:val="24"/>
          <w:szCs w:val="24"/>
        </w:rPr>
        <w:footnoteReference w:id="134"/>
      </w:r>
      <w:r w:rsidRPr="00AC1CD6">
        <w:rPr>
          <w:sz w:val="24"/>
          <w:szCs w:val="24"/>
          <w:vertAlign w:val="superscript"/>
        </w:rPr>
        <w:t xml:space="preserve">. </w:t>
      </w:r>
    </w:p>
    <w:p w:rsidR="007D1F2C" w:rsidRDefault="007D1F2C" w:rsidP="0040201F">
      <w:pPr>
        <w:spacing w:after="0" w:line="240" w:lineRule="auto"/>
        <w:ind w:left="426" w:hanging="426"/>
        <w:jc w:val="both"/>
        <w:rPr>
          <w:sz w:val="24"/>
          <w:szCs w:val="24"/>
        </w:rPr>
      </w:pPr>
    </w:p>
    <w:p w:rsidR="007D1F2C" w:rsidRDefault="000C480F" w:rsidP="0040201F">
      <w:pPr>
        <w:spacing w:after="0" w:line="240" w:lineRule="auto"/>
        <w:ind w:left="426" w:hanging="426"/>
        <w:jc w:val="both"/>
        <w:rPr>
          <w:sz w:val="24"/>
          <w:szCs w:val="24"/>
          <w:lang w:val="en-GB"/>
        </w:rPr>
      </w:pPr>
      <w:r w:rsidRPr="005D33A9">
        <w:rPr>
          <w:sz w:val="24"/>
          <w:szCs w:val="24"/>
        </w:rPr>
        <w:lastRenderedPageBreak/>
        <w:t>h</w:t>
      </w:r>
      <w:r w:rsidR="00AC1CD6" w:rsidRPr="00AC1CD6">
        <w:rPr>
          <w:sz w:val="24"/>
          <w:szCs w:val="24"/>
        </w:rPr>
        <w:t xml:space="preserve">) </w:t>
      </w:r>
      <w:r w:rsidR="00AC1CD6" w:rsidRPr="00AC1CD6">
        <w:rPr>
          <w:sz w:val="24"/>
          <w:szCs w:val="24"/>
        </w:rPr>
        <w:tab/>
        <w:t xml:space="preserve">Specifically on the issue of IPv6 address allocation, the ITU’s IPv6 Group, formed by </w:t>
      </w:r>
      <w:r w:rsidR="00AF1F97">
        <w:rPr>
          <w:sz w:val="24"/>
          <w:szCs w:val="24"/>
        </w:rPr>
        <w:t xml:space="preserve">the </w:t>
      </w:r>
      <w:r w:rsidR="00AC1CD6" w:rsidRPr="00AC1CD6">
        <w:rPr>
          <w:sz w:val="24"/>
          <w:szCs w:val="24"/>
        </w:rPr>
        <w:t xml:space="preserve">ITU Council under the Directors of the ITU Development and Standardization </w:t>
      </w:r>
      <w:proofErr w:type="spellStart"/>
      <w:r w:rsidR="00AC1CD6" w:rsidRPr="00AC1CD6">
        <w:rPr>
          <w:sz w:val="24"/>
          <w:szCs w:val="24"/>
        </w:rPr>
        <w:t>Bureaux</w:t>
      </w:r>
      <w:proofErr w:type="spellEnd"/>
      <w:r w:rsidR="00AC1CD6" w:rsidRPr="00AC1CD6">
        <w:rPr>
          <w:sz w:val="24"/>
          <w:szCs w:val="24"/>
        </w:rPr>
        <w:t>, concluded “</w:t>
      </w:r>
      <w:r w:rsidR="00AC1CD6" w:rsidRPr="00AC1CD6">
        <w:rPr>
          <w:sz w:val="24"/>
          <w:szCs w:val="24"/>
          <w:lang w:val="en-GB"/>
        </w:rPr>
        <w:t xml:space="preserve">that </w:t>
      </w:r>
      <w:r w:rsidR="00AC1CD6" w:rsidRPr="00AC1CD6">
        <w:rPr>
          <w:sz w:val="24"/>
          <w:szCs w:val="24"/>
        </w:rPr>
        <w:t>current</w:t>
      </w:r>
      <w:r w:rsidR="00AC1CD6" w:rsidRPr="00AC1CD6">
        <w:rPr>
          <w:sz w:val="24"/>
          <w:szCs w:val="24"/>
          <w:lang w:val="en-GB"/>
        </w:rPr>
        <w:t xml:space="preserve"> IPv6 allocation policies and processes met the needs of stakeholders”</w:t>
      </w:r>
      <w:r w:rsidR="008C5C77" w:rsidRPr="005D33A9">
        <w:rPr>
          <w:rStyle w:val="FootnoteReference"/>
          <w:sz w:val="24"/>
          <w:szCs w:val="24"/>
          <w:lang w:val="en-GB"/>
        </w:rPr>
        <w:footnoteReference w:id="135"/>
      </w:r>
      <w:r w:rsidR="008C5C77" w:rsidRPr="005D33A9">
        <w:rPr>
          <w:sz w:val="24"/>
          <w:szCs w:val="24"/>
          <w:lang w:val="en-GB"/>
        </w:rPr>
        <w:t xml:space="preserve">.  One view </w:t>
      </w:r>
      <w:r w:rsidR="00AC1CD6" w:rsidRPr="00AC1CD6">
        <w:rPr>
          <w:sz w:val="24"/>
          <w:szCs w:val="24"/>
        </w:rPr>
        <w:t xml:space="preserve">recommends organizing rational usages of IPv6 addresses in all regions within further ITU function of the IPv6 </w:t>
      </w:r>
      <w:proofErr w:type="gramStart"/>
      <w:r w:rsidR="00AC1CD6" w:rsidRPr="00AC1CD6">
        <w:rPr>
          <w:sz w:val="24"/>
          <w:szCs w:val="24"/>
        </w:rPr>
        <w:t>allocation</w:t>
      </w:r>
      <w:r w:rsidR="00AC1CD6" w:rsidRPr="00AC1CD6">
        <w:t xml:space="preserve"> </w:t>
      </w:r>
      <w:proofErr w:type="gramEnd"/>
      <w:r w:rsidR="00AC1CD6">
        <w:rPr>
          <w:rStyle w:val="FootnoteReference"/>
          <w:sz w:val="24"/>
          <w:szCs w:val="24"/>
        </w:rPr>
        <w:footnoteReference w:id="136"/>
      </w:r>
      <w:r w:rsidR="00AC1CD6" w:rsidRPr="00AC1CD6">
        <w:rPr>
          <w:sz w:val="24"/>
          <w:szCs w:val="24"/>
        </w:rPr>
        <w:t>, while another view is that</w:t>
      </w:r>
      <w:r w:rsidR="00AC1CD6" w:rsidRPr="00AC1CD6">
        <w:rPr>
          <w:sz w:val="24"/>
          <w:szCs w:val="24"/>
          <w:lang w:val="en-GB"/>
        </w:rPr>
        <w:t xml:space="preserve"> present IPv6 allocation mechanisms and existing Regional Internet Registry processes are adequate and that the key objective should be identifying ways to spur IPv6 adoption by relevant stakeholders</w:t>
      </w:r>
      <w:r w:rsidR="00AC1CD6">
        <w:rPr>
          <w:rStyle w:val="FootnoteReference"/>
          <w:sz w:val="24"/>
          <w:szCs w:val="24"/>
          <w:lang w:val="en-GB"/>
        </w:rPr>
        <w:footnoteReference w:id="137"/>
      </w:r>
      <w:r w:rsidR="00AC1CD6" w:rsidRPr="00AC1CD6">
        <w:rPr>
          <w:sz w:val="24"/>
          <w:szCs w:val="24"/>
          <w:lang w:val="en-GB"/>
        </w:rPr>
        <w:t>.</w:t>
      </w:r>
    </w:p>
    <w:p w:rsidR="004627D4" w:rsidRPr="004627D4" w:rsidRDefault="004627D4" w:rsidP="0040201F">
      <w:pPr>
        <w:spacing w:after="0" w:line="240" w:lineRule="auto"/>
        <w:ind w:left="851"/>
        <w:jc w:val="both"/>
        <w:rPr>
          <w:sz w:val="24"/>
          <w:szCs w:val="24"/>
        </w:rPr>
      </w:pPr>
      <w:r w:rsidRPr="005A26CE">
        <w:rPr>
          <w:sz w:val="24"/>
          <w:szCs w:val="24"/>
          <w:highlight w:val="yellow"/>
          <w:u w:val="single"/>
          <w:lang w:val="en-GB"/>
        </w:rPr>
        <w:t>However, in Resolution 64 adopted on WTSA-12 indicated that</w:t>
      </w:r>
      <w:r w:rsidRPr="005A26CE">
        <w:rPr>
          <w:sz w:val="24"/>
          <w:szCs w:val="24"/>
          <w:highlight w:val="yellow"/>
          <w:lang w:val="en-GB"/>
        </w:rPr>
        <w:t xml:space="preserve"> </w:t>
      </w:r>
      <w:r w:rsidRPr="005A26CE">
        <w:rPr>
          <w:sz w:val="24"/>
          <w:szCs w:val="24"/>
          <w:highlight w:val="yellow"/>
        </w:rPr>
        <w:t>«</w:t>
      </w:r>
      <w:r w:rsidRPr="002C0511">
        <w:rPr>
          <w:i/>
          <w:sz w:val="24"/>
          <w:szCs w:val="24"/>
          <w:highlight w:val="yellow"/>
        </w:rPr>
        <w:t>considering</w:t>
      </w:r>
      <w:r w:rsidRPr="005A26CE">
        <w:rPr>
          <w:sz w:val="24"/>
          <w:szCs w:val="24"/>
          <w:highlight w:val="yellow"/>
        </w:rPr>
        <w:t xml:space="preserve"> that many developing countries want ITU-T to become a registry of IP addresses in order to give the developing </w:t>
      </w:r>
      <w:r w:rsidR="00F51CF1">
        <w:rPr>
          <w:sz w:val="24"/>
          <w:szCs w:val="24"/>
          <w:highlight w:val="yellow"/>
        </w:rPr>
        <w:t xml:space="preserve">countries </w:t>
      </w:r>
      <w:r w:rsidRPr="005A26CE">
        <w:rPr>
          <w:sz w:val="24"/>
          <w:szCs w:val="24"/>
          <w:highlight w:val="yellow"/>
        </w:rPr>
        <w:t xml:space="preserve">the opinion of obtaining IP addresses directly from ITU, whilst other countries prefer to use the current system, instructs the </w:t>
      </w:r>
      <w:r w:rsidRPr="002C0511">
        <w:rPr>
          <w:i/>
          <w:sz w:val="24"/>
          <w:szCs w:val="24"/>
          <w:highlight w:val="yellow"/>
        </w:rPr>
        <w:t>Director of the Telecommunication Standardization Bureau</w:t>
      </w:r>
      <w:r w:rsidRPr="005A26CE">
        <w:rPr>
          <w:sz w:val="24"/>
          <w:szCs w:val="24"/>
          <w:highlight w:val="yellow"/>
        </w:rPr>
        <w:t xml:space="preserve"> to conduct a feasibility study on the necessary action that would enable ITU-T to become a registry of IPv6 addresses, in</w:t>
      </w:r>
      <w:r w:rsidR="005A26CE" w:rsidRPr="005A26CE">
        <w:rPr>
          <w:sz w:val="24"/>
          <w:szCs w:val="24"/>
          <w:highlight w:val="yellow"/>
        </w:rPr>
        <w:t xml:space="preserve"> consultation with the relevant bodies, in order to assist those Member States which require support in the management and allocation of IPv6 resources.</w:t>
      </w:r>
      <w:r w:rsidRPr="005A26CE">
        <w:rPr>
          <w:sz w:val="24"/>
          <w:szCs w:val="24"/>
          <w:highlight w:val="yellow"/>
        </w:rPr>
        <w:t>»</w:t>
      </w:r>
    </w:p>
    <w:p w:rsidR="007D1F2C" w:rsidRDefault="007D1F2C" w:rsidP="0040201F">
      <w:pPr>
        <w:spacing w:after="0" w:line="240" w:lineRule="auto"/>
        <w:ind w:left="426" w:hanging="426"/>
        <w:jc w:val="both"/>
        <w:rPr>
          <w:sz w:val="24"/>
          <w:szCs w:val="24"/>
        </w:rPr>
      </w:pPr>
    </w:p>
    <w:p w:rsidR="007D1F2C" w:rsidRDefault="00AC1CD6" w:rsidP="0040201F">
      <w:pPr>
        <w:spacing w:after="0" w:line="240" w:lineRule="auto"/>
        <w:ind w:left="426" w:hanging="426"/>
        <w:jc w:val="both"/>
        <w:rPr>
          <w:sz w:val="24"/>
          <w:szCs w:val="24"/>
        </w:rPr>
      </w:pPr>
      <w:proofErr w:type="spellStart"/>
      <w:r w:rsidRPr="00AC1CD6">
        <w:rPr>
          <w:sz w:val="24"/>
          <w:szCs w:val="24"/>
        </w:rPr>
        <w:t>i</w:t>
      </w:r>
      <w:proofErr w:type="spellEnd"/>
      <w:r w:rsidRPr="00AC1CD6">
        <w:rPr>
          <w:sz w:val="24"/>
          <w:szCs w:val="24"/>
        </w:rPr>
        <w:t>)</w:t>
      </w:r>
      <w:r w:rsidRPr="00AC1CD6">
        <w:rPr>
          <w:sz w:val="24"/>
          <w:szCs w:val="24"/>
        </w:rPr>
        <w:tab/>
      </w:r>
      <w:r w:rsidRPr="00AC1CD6">
        <w:rPr>
          <w:rFonts w:cs="Calibri"/>
          <w:sz w:val="24"/>
          <w:szCs w:val="24"/>
        </w:rPr>
        <w:t xml:space="preserve">As the Internet evolves, the potential for abuse of Internet resources also evolves. In response to some routing failures and international calls for enhanced security, changes are underway in Internet routing and addressing policy to incorporate new measures for secure authentication. </w:t>
      </w:r>
      <w:r w:rsidRPr="00AC1CD6">
        <w:rPr>
          <w:sz w:val="24"/>
          <w:szCs w:val="24"/>
        </w:rPr>
        <w:t xml:space="preserve">Resource </w:t>
      </w:r>
      <w:r w:rsidRPr="00F91831">
        <w:rPr>
          <w:sz w:val="24"/>
          <w:szCs w:val="24"/>
        </w:rPr>
        <w:t>Public Key Infrastructure (RPKI)</w:t>
      </w:r>
      <w:r w:rsidR="008C5C77" w:rsidRPr="00F91831">
        <w:rPr>
          <w:rStyle w:val="FootnoteReference"/>
          <w:sz w:val="24"/>
          <w:szCs w:val="24"/>
        </w:rPr>
        <w:footnoteReference w:id="138"/>
      </w:r>
      <w:r w:rsidR="008C5C77" w:rsidRPr="00F91831">
        <w:rPr>
          <w:sz w:val="24"/>
          <w:szCs w:val="24"/>
        </w:rPr>
        <w:t xml:space="preserve"> is a </w:t>
      </w:r>
      <w:r w:rsidRPr="00F91831">
        <w:rPr>
          <w:rFonts w:cs="Calibri"/>
          <w:sz w:val="24"/>
          <w:szCs w:val="24"/>
        </w:rPr>
        <w:t>security technology that would create a hierarchy of digital certificates which could be used to authenticate the information associated with allocated addresses</w:t>
      </w:r>
      <w:r w:rsidRPr="00F91831">
        <w:rPr>
          <w:rStyle w:val="FootnoteReference"/>
          <w:rFonts w:cs="Calibri"/>
          <w:sz w:val="24"/>
          <w:szCs w:val="24"/>
        </w:rPr>
        <w:footnoteReference w:id="139"/>
      </w:r>
      <w:r w:rsidRPr="00F91831">
        <w:rPr>
          <w:sz w:val="24"/>
          <w:szCs w:val="24"/>
        </w:rPr>
        <w:t xml:space="preserve">. </w:t>
      </w:r>
      <w:r w:rsidRPr="00F91831">
        <w:rPr>
          <w:rFonts w:cs="Calibri"/>
          <w:sz w:val="24"/>
          <w:szCs w:val="24"/>
        </w:rPr>
        <w:t xml:space="preserve">These certificates could be used by ISPs to secure their route announcements </w:t>
      </w:r>
      <w:r w:rsidRPr="00F91831">
        <w:rPr>
          <w:sz w:val="24"/>
          <w:szCs w:val="24"/>
        </w:rPr>
        <w:t>in order to improve the security of the global routing system.</w:t>
      </w:r>
    </w:p>
    <w:p w:rsidR="007D1F2C" w:rsidRDefault="007D1F2C" w:rsidP="0040201F">
      <w:pPr>
        <w:spacing w:after="0" w:line="240" w:lineRule="auto"/>
        <w:ind w:left="426" w:hanging="426"/>
        <w:jc w:val="both"/>
        <w:rPr>
          <w:sz w:val="24"/>
          <w:szCs w:val="24"/>
        </w:rPr>
      </w:pPr>
    </w:p>
    <w:p w:rsidR="007D1F2C" w:rsidRDefault="00AC1CD6" w:rsidP="0040201F">
      <w:pPr>
        <w:spacing w:after="0" w:line="240" w:lineRule="auto"/>
        <w:ind w:left="426" w:hanging="426"/>
        <w:jc w:val="both"/>
        <w:rPr>
          <w:sz w:val="24"/>
          <w:szCs w:val="24"/>
        </w:rPr>
      </w:pPr>
      <w:r w:rsidRPr="00AC1CD6">
        <w:rPr>
          <w:sz w:val="24"/>
          <w:szCs w:val="24"/>
        </w:rPr>
        <w:t xml:space="preserve">j) </w:t>
      </w:r>
      <w:r w:rsidRPr="00AC1CD6">
        <w:rPr>
          <w:sz w:val="24"/>
          <w:szCs w:val="24"/>
        </w:rPr>
        <w:tab/>
        <w:t xml:space="preserve">RPKI enables users of the Internet, to verify the authenticity of registration data of Internet Numbering </w:t>
      </w:r>
      <w:r w:rsidRPr="00F91831">
        <w:rPr>
          <w:sz w:val="24"/>
          <w:szCs w:val="24"/>
        </w:rPr>
        <w:t>Resources (INR) that has been digitally signed by the originator of the data.  In other words, RPKI provides a secure means to certify the allocation of Internet number resources, particularly Autonomous System (AS) numbers and IP addresses. The certificate structure mirrors the way in which INR are distributed – resources are distributed by the IANA function</w:t>
      </w:r>
      <w:r w:rsidR="00ED1B2C" w:rsidRPr="00F91831">
        <w:rPr>
          <w:sz w:val="24"/>
          <w:szCs w:val="24"/>
        </w:rPr>
        <w:t>s</w:t>
      </w:r>
      <w:r w:rsidRPr="00F91831">
        <w:rPr>
          <w:sz w:val="24"/>
          <w:szCs w:val="24"/>
        </w:rPr>
        <w:t xml:space="preserve"> operator to the RIRs, who allocate them to Local Internet Registries (LIRs),</w:t>
      </w:r>
      <w:r w:rsidRPr="00AC1CD6">
        <w:rPr>
          <w:sz w:val="24"/>
          <w:szCs w:val="24"/>
        </w:rPr>
        <w:t xml:space="preserve"> who then assign the resources to their customers. Each RIR has its RPKI guidelines and process posted on its website</w:t>
      </w:r>
      <w:r w:rsidR="008C5C77" w:rsidRPr="005D33A9">
        <w:rPr>
          <w:rStyle w:val="FootnoteReference"/>
          <w:sz w:val="24"/>
          <w:szCs w:val="24"/>
        </w:rPr>
        <w:footnoteReference w:id="140"/>
      </w:r>
      <w:r w:rsidRPr="00AC1CD6">
        <w:rPr>
          <w:sz w:val="24"/>
          <w:szCs w:val="24"/>
        </w:rPr>
        <w:t>.</w:t>
      </w:r>
    </w:p>
    <w:p w:rsidR="007D1F2C" w:rsidRDefault="007D1F2C" w:rsidP="0040201F">
      <w:pPr>
        <w:spacing w:after="0" w:line="240" w:lineRule="auto"/>
        <w:ind w:left="426" w:hanging="426"/>
        <w:jc w:val="both"/>
        <w:rPr>
          <w:sz w:val="24"/>
          <w:szCs w:val="24"/>
        </w:rPr>
      </w:pPr>
    </w:p>
    <w:p w:rsidR="007D1F2C" w:rsidRDefault="00AC1CD6" w:rsidP="0040201F">
      <w:pPr>
        <w:spacing w:after="0" w:line="240" w:lineRule="auto"/>
        <w:ind w:left="426" w:hanging="426"/>
        <w:jc w:val="both"/>
        <w:rPr>
          <w:sz w:val="24"/>
          <w:szCs w:val="24"/>
        </w:rPr>
      </w:pPr>
      <w:r w:rsidRPr="00AC1CD6">
        <w:rPr>
          <w:sz w:val="24"/>
          <w:szCs w:val="24"/>
        </w:rPr>
        <w:t xml:space="preserve">k) </w:t>
      </w:r>
      <w:r w:rsidRPr="00AC1CD6">
        <w:rPr>
          <w:sz w:val="24"/>
          <w:szCs w:val="24"/>
        </w:rPr>
        <w:tab/>
        <w:t>One view is that such a rigid global hierarchy could converge on a single trust anchor and that “</w:t>
      </w:r>
      <w:r w:rsidRPr="00AC1CD6">
        <w:rPr>
          <w:rFonts w:cs="Calibri"/>
          <w:sz w:val="24"/>
          <w:szCs w:val="24"/>
        </w:rPr>
        <w:t xml:space="preserve">if RPKI is used there are concerns that could affect the growth, freedom and </w:t>
      </w:r>
      <w:r w:rsidRPr="00AC1CD6">
        <w:rPr>
          <w:rFonts w:cs="Calibri"/>
          <w:sz w:val="24"/>
          <w:szCs w:val="24"/>
        </w:rPr>
        <w:lastRenderedPageBreak/>
        <w:t>democratic process that the Internet currently enjoys”</w:t>
      </w:r>
      <w:r w:rsidR="008C5C77" w:rsidRPr="005D33A9">
        <w:rPr>
          <w:rStyle w:val="FootnoteReference"/>
          <w:rFonts w:cs="Calibri"/>
          <w:sz w:val="24"/>
          <w:szCs w:val="24"/>
        </w:rPr>
        <w:footnoteReference w:id="141"/>
      </w:r>
      <w:r w:rsidRPr="00AC1CD6">
        <w:rPr>
          <w:sz w:val="24"/>
          <w:szCs w:val="24"/>
        </w:rPr>
        <w:t>.  The Syracuse University-based Internet Governance Project states that</w:t>
      </w:r>
      <w:r>
        <w:rPr>
          <w:rStyle w:val="FootnoteReference"/>
          <w:sz w:val="24"/>
          <w:szCs w:val="24"/>
        </w:rPr>
        <w:footnoteReference w:id="142"/>
      </w:r>
      <w:r w:rsidRPr="00AC1CD6">
        <w:rPr>
          <w:sz w:val="24"/>
          <w:szCs w:val="24"/>
        </w:rPr>
        <w:t xml:space="preserve"> :</w:t>
      </w:r>
    </w:p>
    <w:p w:rsidR="007D1F2C" w:rsidRDefault="007D1F2C" w:rsidP="0040201F">
      <w:pPr>
        <w:spacing w:after="0" w:line="240" w:lineRule="auto"/>
        <w:ind w:left="426" w:hanging="426"/>
        <w:jc w:val="both"/>
        <w:rPr>
          <w:sz w:val="24"/>
          <w:szCs w:val="24"/>
        </w:rPr>
      </w:pPr>
    </w:p>
    <w:p w:rsidR="007D1F2C" w:rsidRDefault="00AC1CD6" w:rsidP="0040201F">
      <w:pPr>
        <w:pStyle w:val="ListParagraph"/>
        <w:spacing w:after="0" w:line="240" w:lineRule="auto"/>
        <w:jc w:val="both"/>
        <w:rPr>
          <w:i/>
          <w:iCs/>
          <w:sz w:val="24"/>
          <w:szCs w:val="24"/>
        </w:rPr>
      </w:pPr>
      <w:r w:rsidRPr="00AC1CD6">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7D1F2C" w:rsidRDefault="007D1F2C" w:rsidP="0040201F">
      <w:pPr>
        <w:pStyle w:val="ListParagraph"/>
        <w:spacing w:after="0" w:line="240" w:lineRule="auto"/>
        <w:jc w:val="both"/>
        <w:rPr>
          <w:i/>
          <w:iCs/>
          <w:sz w:val="24"/>
          <w:szCs w:val="24"/>
        </w:rPr>
      </w:pPr>
    </w:p>
    <w:p w:rsidR="007D1F2C" w:rsidRDefault="00AC1CD6" w:rsidP="0040201F">
      <w:pPr>
        <w:tabs>
          <w:tab w:val="left" w:pos="0"/>
          <w:tab w:val="left" w:pos="426"/>
        </w:tabs>
        <w:spacing w:after="0" w:line="240" w:lineRule="auto"/>
        <w:jc w:val="both"/>
        <w:rPr>
          <w:sz w:val="24"/>
          <w:szCs w:val="24"/>
        </w:rPr>
      </w:pPr>
      <w:r w:rsidRPr="00AC1CD6">
        <w:rPr>
          <w:sz w:val="24"/>
          <w:szCs w:val="24"/>
        </w:rPr>
        <w:t xml:space="preserve">l)  </w:t>
      </w:r>
      <w:r w:rsidRPr="00AC1CD6">
        <w:rPr>
          <w:sz w:val="24"/>
          <w:szCs w:val="24"/>
        </w:rPr>
        <w:tab/>
        <w:t xml:space="preserve">Another view is that while RPKI is a good tool to provide others with authentication, it is </w:t>
      </w:r>
      <w:r w:rsidRPr="00AC1CD6">
        <w:rPr>
          <w:sz w:val="24"/>
          <w:szCs w:val="24"/>
        </w:rPr>
        <w:tab/>
        <w:t>optional for network operators to decide whether they wish to use it</w:t>
      </w:r>
      <w:r w:rsidRPr="00AC1CD6">
        <w:rPr>
          <w:sz w:val="24"/>
          <w:szCs w:val="24"/>
          <w:vertAlign w:val="superscript"/>
        </w:rPr>
        <w:footnoteReference w:id="143"/>
      </w:r>
      <w:r w:rsidRPr="00AC1CD6">
        <w:rPr>
          <w:sz w:val="24"/>
          <w:szCs w:val="24"/>
        </w:rPr>
        <w:t>.</w:t>
      </w:r>
    </w:p>
    <w:p w:rsidR="007D1F2C" w:rsidRDefault="007D1F2C" w:rsidP="0040201F">
      <w:pPr>
        <w:spacing w:after="0" w:line="240" w:lineRule="auto"/>
        <w:jc w:val="both"/>
        <w:rPr>
          <w:b/>
          <w:bCs/>
          <w:sz w:val="24"/>
          <w:szCs w:val="24"/>
        </w:rPr>
      </w:pPr>
    </w:p>
    <w:p w:rsidR="007D1F2C" w:rsidRDefault="00AC1CD6" w:rsidP="0040201F">
      <w:pPr>
        <w:spacing w:after="0" w:line="240" w:lineRule="auto"/>
        <w:jc w:val="both"/>
        <w:rPr>
          <w:sz w:val="24"/>
          <w:szCs w:val="24"/>
        </w:rPr>
      </w:pPr>
      <w:r w:rsidRPr="00AC1CD6">
        <w:rPr>
          <w:b/>
          <w:bCs/>
          <w:sz w:val="24"/>
          <w:szCs w:val="24"/>
        </w:rPr>
        <w:t>2.3.3.3 Dissemination of information about</w:t>
      </w:r>
      <w:r w:rsidRPr="00AC1CD6">
        <w:rPr>
          <w:sz w:val="24"/>
          <w:szCs w:val="24"/>
        </w:rPr>
        <w:t xml:space="preserve"> </w:t>
      </w:r>
      <w:r w:rsidRPr="00AC1CD6">
        <w:rPr>
          <w:b/>
          <w:bCs/>
          <w:sz w:val="24"/>
          <w:szCs w:val="24"/>
        </w:rPr>
        <w:t>IP-based networks and the implications of their development for ITU Member States, particularly developing countries</w:t>
      </w:r>
    </w:p>
    <w:p w:rsidR="007D1F2C" w:rsidRDefault="007D1F2C" w:rsidP="0040201F">
      <w:pPr>
        <w:autoSpaceDE w:val="0"/>
        <w:autoSpaceDN w:val="0"/>
        <w:spacing w:after="0" w:line="240" w:lineRule="auto"/>
        <w:jc w:val="both"/>
        <w:rPr>
          <w:sz w:val="24"/>
          <w:szCs w:val="24"/>
        </w:rPr>
      </w:pPr>
    </w:p>
    <w:p w:rsidR="00290289" w:rsidRPr="00072F7C" w:rsidRDefault="00290289" w:rsidP="0040201F">
      <w:pPr>
        <w:pStyle w:val="ListParagraph"/>
        <w:numPr>
          <w:ilvl w:val="0"/>
          <w:numId w:val="16"/>
        </w:numPr>
        <w:autoSpaceDE w:val="0"/>
        <w:autoSpaceDN w:val="0"/>
        <w:spacing w:after="0" w:line="240" w:lineRule="auto"/>
        <w:ind w:left="426" w:hanging="426"/>
        <w:contextualSpacing w:val="0"/>
        <w:jc w:val="both"/>
        <w:rPr>
          <w:sz w:val="24"/>
          <w:szCs w:val="24"/>
          <w:highlight w:val="yellow"/>
        </w:rPr>
      </w:pPr>
      <w:r w:rsidRPr="00072F7C">
        <w:rPr>
          <w:sz w:val="24"/>
          <w:szCs w:val="24"/>
          <w:highlight w:val="yellow"/>
        </w:rPr>
        <w:t>In order to discuss matters related to International public policy issuers, related to Internet, the ITU Council has established a Council Working Group on international Intern</w:t>
      </w:r>
      <w:r w:rsidR="00332D8F" w:rsidRPr="00072F7C">
        <w:rPr>
          <w:sz w:val="24"/>
          <w:szCs w:val="24"/>
          <w:highlight w:val="yellow"/>
        </w:rPr>
        <w:t>e</w:t>
      </w:r>
      <w:r w:rsidRPr="00072F7C">
        <w:rPr>
          <w:sz w:val="24"/>
          <w:szCs w:val="24"/>
          <w:highlight w:val="yellow"/>
        </w:rPr>
        <w:t>t-related Public Policy Issues, limi</w:t>
      </w:r>
      <w:r w:rsidR="00332D8F" w:rsidRPr="00072F7C">
        <w:rPr>
          <w:sz w:val="24"/>
          <w:szCs w:val="24"/>
          <w:highlight w:val="yellow"/>
        </w:rPr>
        <w:t>ted to Member States, with open consultation to all stakeholders. According to its Terms of Reference, the Council Working Group is to identify, study and develop matters related to international Internet-related public policy issues, and including these issues identified in Council Resolution 1305 (2009). Those issues include</w:t>
      </w:r>
      <w:r w:rsidR="00332D8F" w:rsidRPr="00072F7C">
        <w:rPr>
          <w:sz w:val="24"/>
          <w:szCs w:val="24"/>
          <w:highlight w:val="yellow"/>
          <w:lang w:val="ru-RU"/>
        </w:rPr>
        <w:t>:</w:t>
      </w:r>
    </w:p>
    <w:p w:rsidR="00332D8F" w:rsidRPr="00072F7C" w:rsidRDefault="00332D8F"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 xml:space="preserve">- </w:t>
      </w:r>
      <w:proofErr w:type="spellStart"/>
      <w:r w:rsidRPr="00072F7C">
        <w:rPr>
          <w:sz w:val="24"/>
          <w:szCs w:val="24"/>
          <w:highlight w:val="yellow"/>
        </w:rPr>
        <w:t>Multilingualization</w:t>
      </w:r>
      <w:proofErr w:type="spellEnd"/>
      <w:r w:rsidRPr="00072F7C">
        <w:rPr>
          <w:sz w:val="24"/>
          <w:szCs w:val="24"/>
          <w:highlight w:val="yellow"/>
        </w:rPr>
        <w:t xml:space="preserve"> of the Internet Including </w:t>
      </w:r>
      <w:r w:rsidR="00974A88">
        <w:rPr>
          <w:sz w:val="24"/>
          <w:szCs w:val="24"/>
          <w:highlight w:val="yellow"/>
        </w:rPr>
        <w:t>I</w:t>
      </w:r>
      <w:r w:rsidRPr="00072F7C">
        <w:rPr>
          <w:sz w:val="24"/>
          <w:szCs w:val="24"/>
          <w:highlight w:val="yellow"/>
        </w:rPr>
        <w:t>nternationalized (multilingual) Domain Names</w:t>
      </w:r>
    </w:p>
    <w:p w:rsidR="00332D8F" w:rsidRPr="00072F7C" w:rsidRDefault="00332D8F"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 International Internet Connectivity</w:t>
      </w:r>
    </w:p>
    <w:p w:rsidR="00332D8F" w:rsidRPr="00072F7C" w:rsidRDefault="00332D8F"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 International public policy issues pertaining to the Internet and the management of Internet resources, including domain names and addresses</w:t>
      </w:r>
    </w:p>
    <w:p w:rsidR="00332D8F" w:rsidRPr="00072F7C" w:rsidRDefault="00FD34EE"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w:t>
      </w:r>
      <w:r w:rsidR="00332D8F" w:rsidRPr="00072F7C">
        <w:rPr>
          <w:sz w:val="24"/>
          <w:szCs w:val="24"/>
          <w:highlight w:val="yellow"/>
        </w:rPr>
        <w:t xml:space="preserve"> The security, safety, continuity, sustainability, and </w:t>
      </w:r>
      <w:r w:rsidRPr="00072F7C">
        <w:rPr>
          <w:sz w:val="24"/>
          <w:szCs w:val="24"/>
          <w:highlight w:val="yellow"/>
        </w:rPr>
        <w:t>robustness of the Internet</w:t>
      </w:r>
    </w:p>
    <w:p w:rsidR="00FD34EE" w:rsidRPr="00072F7C" w:rsidRDefault="00FD34EE"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 Combating Cybercrime</w:t>
      </w:r>
    </w:p>
    <w:p w:rsidR="00FD34EE" w:rsidRPr="00072F7C" w:rsidRDefault="00FD34EE"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 Dealing effectively with spam</w:t>
      </w:r>
    </w:p>
    <w:p w:rsidR="00FD34EE" w:rsidRPr="00072F7C" w:rsidRDefault="00072F7C"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w:t>
      </w:r>
      <w:r>
        <w:rPr>
          <w:sz w:val="24"/>
          <w:szCs w:val="24"/>
          <w:highlight w:val="yellow"/>
        </w:rPr>
        <w:t xml:space="preserve"> </w:t>
      </w:r>
      <w:r w:rsidR="00FD34EE" w:rsidRPr="00072F7C">
        <w:rPr>
          <w:sz w:val="24"/>
          <w:szCs w:val="24"/>
          <w:highlight w:val="yellow"/>
        </w:rPr>
        <w:t>Issues pertaining to the use and misuse of the Internet</w:t>
      </w:r>
    </w:p>
    <w:p w:rsidR="00FD34EE" w:rsidRPr="00072F7C" w:rsidRDefault="00072F7C"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w:t>
      </w:r>
      <w:r>
        <w:rPr>
          <w:sz w:val="24"/>
          <w:szCs w:val="24"/>
          <w:highlight w:val="yellow"/>
        </w:rPr>
        <w:t xml:space="preserve"> </w:t>
      </w:r>
      <w:r w:rsidR="00FD34EE" w:rsidRPr="00072F7C">
        <w:rPr>
          <w:sz w:val="24"/>
          <w:szCs w:val="24"/>
          <w:highlight w:val="yellow"/>
        </w:rPr>
        <w:t>Availability, affordability, reliability, and quality of service</w:t>
      </w:r>
      <w:r w:rsidR="00974A88">
        <w:rPr>
          <w:sz w:val="24"/>
          <w:szCs w:val="24"/>
          <w:highlight w:val="yellow"/>
        </w:rPr>
        <w:t>,</w:t>
      </w:r>
      <w:r w:rsidR="00FD34EE" w:rsidRPr="00072F7C">
        <w:rPr>
          <w:sz w:val="24"/>
          <w:szCs w:val="24"/>
          <w:highlight w:val="yellow"/>
        </w:rPr>
        <w:t xml:space="preserve"> especially in the developing world</w:t>
      </w:r>
    </w:p>
    <w:p w:rsidR="00FD34EE" w:rsidRPr="00072F7C" w:rsidRDefault="00072F7C"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w:t>
      </w:r>
      <w:r>
        <w:rPr>
          <w:sz w:val="24"/>
          <w:szCs w:val="24"/>
          <w:highlight w:val="yellow"/>
        </w:rPr>
        <w:t xml:space="preserve"> </w:t>
      </w:r>
      <w:r w:rsidR="00FD34EE" w:rsidRPr="00072F7C">
        <w:rPr>
          <w:sz w:val="24"/>
          <w:szCs w:val="24"/>
          <w:highlight w:val="yellow"/>
        </w:rPr>
        <w:t>Contributing to capacity building for Internet governance in developing countries</w:t>
      </w:r>
    </w:p>
    <w:p w:rsidR="00FD34EE" w:rsidRPr="00072F7C" w:rsidRDefault="00072F7C"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w:t>
      </w:r>
      <w:r>
        <w:rPr>
          <w:sz w:val="24"/>
          <w:szCs w:val="24"/>
          <w:highlight w:val="yellow"/>
        </w:rPr>
        <w:t xml:space="preserve"> </w:t>
      </w:r>
      <w:r w:rsidR="00FD34EE" w:rsidRPr="00072F7C">
        <w:rPr>
          <w:sz w:val="24"/>
          <w:szCs w:val="24"/>
          <w:highlight w:val="yellow"/>
        </w:rPr>
        <w:t>Developmental aspects of the Internet</w:t>
      </w:r>
    </w:p>
    <w:p w:rsidR="00FD34EE" w:rsidRPr="00072F7C" w:rsidRDefault="00072F7C"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w:t>
      </w:r>
      <w:r>
        <w:rPr>
          <w:sz w:val="24"/>
          <w:szCs w:val="24"/>
          <w:highlight w:val="yellow"/>
        </w:rPr>
        <w:t xml:space="preserve"> </w:t>
      </w:r>
      <w:r w:rsidR="00FD34EE" w:rsidRPr="00072F7C">
        <w:rPr>
          <w:sz w:val="24"/>
          <w:szCs w:val="24"/>
          <w:highlight w:val="yellow"/>
        </w:rPr>
        <w:t>Respect for privacy and the protection of personal information and data</w:t>
      </w:r>
    </w:p>
    <w:p w:rsidR="00FD34EE" w:rsidRPr="00072F7C" w:rsidRDefault="00072F7C" w:rsidP="0040201F">
      <w:pPr>
        <w:pStyle w:val="ListParagraph"/>
        <w:numPr>
          <w:ilvl w:val="4"/>
          <w:numId w:val="4"/>
        </w:numPr>
        <w:autoSpaceDE w:val="0"/>
        <w:autoSpaceDN w:val="0"/>
        <w:spacing w:after="0" w:line="240" w:lineRule="auto"/>
        <w:ind w:left="1276"/>
        <w:contextualSpacing w:val="0"/>
        <w:jc w:val="both"/>
        <w:rPr>
          <w:sz w:val="24"/>
          <w:szCs w:val="24"/>
          <w:highlight w:val="yellow"/>
        </w:rPr>
      </w:pPr>
      <w:r w:rsidRPr="00072F7C">
        <w:rPr>
          <w:sz w:val="24"/>
          <w:szCs w:val="24"/>
          <w:highlight w:val="yellow"/>
        </w:rPr>
        <w:t>-</w:t>
      </w:r>
      <w:r>
        <w:rPr>
          <w:sz w:val="24"/>
          <w:szCs w:val="24"/>
          <w:highlight w:val="yellow"/>
        </w:rPr>
        <w:t xml:space="preserve"> </w:t>
      </w:r>
      <w:r w:rsidR="00FD34EE" w:rsidRPr="00072F7C">
        <w:rPr>
          <w:sz w:val="24"/>
          <w:szCs w:val="24"/>
          <w:highlight w:val="yellow"/>
        </w:rPr>
        <w:t>Protecting children and young people from abuse and exploitation.</w:t>
      </w:r>
    </w:p>
    <w:p w:rsidR="00072F7C" w:rsidRDefault="00FD34EE" w:rsidP="0040201F">
      <w:pPr>
        <w:pStyle w:val="ListParagraph"/>
        <w:autoSpaceDE w:val="0"/>
        <w:autoSpaceDN w:val="0"/>
        <w:spacing w:after="0" w:line="240" w:lineRule="auto"/>
        <w:ind w:left="426"/>
        <w:contextualSpacing w:val="0"/>
        <w:jc w:val="both"/>
        <w:rPr>
          <w:sz w:val="24"/>
          <w:szCs w:val="24"/>
        </w:rPr>
      </w:pPr>
      <w:r w:rsidRPr="00072F7C">
        <w:rPr>
          <w:sz w:val="24"/>
          <w:szCs w:val="24"/>
          <w:highlight w:val="yellow"/>
        </w:rPr>
        <w:t>This, as well as other issues, may be discussed by the ITU Mem</w:t>
      </w:r>
      <w:r w:rsidR="00072F7C" w:rsidRPr="00072F7C">
        <w:rPr>
          <w:sz w:val="24"/>
          <w:szCs w:val="24"/>
          <w:highlight w:val="yellow"/>
        </w:rPr>
        <w:t>b</w:t>
      </w:r>
      <w:r w:rsidRPr="00072F7C">
        <w:rPr>
          <w:sz w:val="24"/>
          <w:szCs w:val="24"/>
          <w:highlight w:val="yellow"/>
        </w:rPr>
        <w:t>er-States in frames of</w:t>
      </w:r>
      <w:r w:rsidR="00072F7C" w:rsidRPr="00072F7C">
        <w:rPr>
          <w:sz w:val="24"/>
          <w:szCs w:val="24"/>
          <w:highlight w:val="yellow"/>
        </w:rPr>
        <w:t xml:space="preserve"> implementation of ITU Resolutions 101, 102, 133, and other relevant activities led by ITU.</w:t>
      </w:r>
    </w:p>
    <w:p w:rsidR="00FD34EE" w:rsidRPr="00332D8F" w:rsidRDefault="00FD34EE" w:rsidP="0040201F">
      <w:pPr>
        <w:pStyle w:val="ListParagraph"/>
        <w:autoSpaceDE w:val="0"/>
        <w:autoSpaceDN w:val="0"/>
        <w:spacing w:after="0" w:line="240" w:lineRule="auto"/>
        <w:ind w:left="426"/>
        <w:contextualSpacing w:val="0"/>
        <w:jc w:val="both"/>
        <w:rPr>
          <w:sz w:val="24"/>
          <w:szCs w:val="24"/>
        </w:rPr>
      </w:pPr>
    </w:p>
    <w:p w:rsidR="007D1F2C" w:rsidRDefault="00AC1CD6" w:rsidP="0040201F">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 xml:space="preserve">Awareness of issues pertaining to Internet-related public policy, including Internet governance, </w:t>
      </w:r>
      <w:proofErr w:type="gramStart"/>
      <w:r w:rsidRPr="00AC1CD6">
        <w:rPr>
          <w:sz w:val="24"/>
          <w:szCs w:val="24"/>
        </w:rPr>
        <w:t>are</w:t>
      </w:r>
      <w:proofErr w:type="gramEnd"/>
      <w:r w:rsidRPr="00AC1CD6">
        <w:rPr>
          <w:sz w:val="24"/>
          <w:szCs w:val="24"/>
        </w:rPr>
        <w:t xml:space="preserve"> key issues for all stakeholders, including ITU Member States</w:t>
      </w:r>
      <w:r w:rsidR="004316DD" w:rsidRPr="005D33A9">
        <w:rPr>
          <w:rStyle w:val="FootnoteReference"/>
          <w:sz w:val="24"/>
          <w:szCs w:val="24"/>
        </w:rPr>
        <w:footnoteReference w:id="144"/>
      </w:r>
      <w:r w:rsidRPr="00AC1CD6">
        <w:rPr>
          <w:sz w:val="24"/>
          <w:szCs w:val="24"/>
        </w:rPr>
        <w:t xml:space="preserve">. These include, providing open and equitable to information about critical internet resources, by enabling the adaptation of adequate national and/or regional policy processes. </w:t>
      </w:r>
      <w:r w:rsidR="004A7777">
        <w:rPr>
          <w:sz w:val="24"/>
          <w:szCs w:val="24"/>
        </w:rPr>
        <w:t>S</w:t>
      </w:r>
      <w:r w:rsidRPr="00AC1CD6">
        <w:rPr>
          <w:sz w:val="24"/>
          <w:szCs w:val="24"/>
        </w:rPr>
        <w:t xml:space="preserve">pecifically </w:t>
      </w:r>
      <w:r w:rsidRPr="00AC1CD6">
        <w:rPr>
          <w:sz w:val="24"/>
          <w:szCs w:val="24"/>
        </w:rPr>
        <w:lastRenderedPageBreak/>
        <w:t>for IP-based networks, these include the transition from IPv4 and migration to/deployment of IPv6, domain names and their internationalized versions.</w:t>
      </w:r>
    </w:p>
    <w:p w:rsidR="007D1F2C" w:rsidRDefault="007D1F2C" w:rsidP="0040201F">
      <w:pPr>
        <w:pStyle w:val="ListParagraph"/>
        <w:autoSpaceDE w:val="0"/>
        <w:autoSpaceDN w:val="0"/>
        <w:spacing w:after="0" w:line="240" w:lineRule="auto"/>
        <w:ind w:left="426"/>
        <w:contextualSpacing w:val="0"/>
        <w:jc w:val="both"/>
        <w:rPr>
          <w:sz w:val="24"/>
          <w:szCs w:val="24"/>
        </w:rPr>
      </w:pPr>
    </w:p>
    <w:p w:rsidR="007D1F2C" w:rsidRDefault="00AC1CD6" w:rsidP="0040201F">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With the ever-increasing migration to all-IP based networks and the evolution of the current Internet governance arrangements, many developing countries have realized the need to build national capacity and improve their contribution and involvement in the management and effective governance of the Internet</w:t>
      </w:r>
      <w:r w:rsidR="009B0C58" w:rsidRPr="005D33A9">
        <w:rPr>
          <w:rStyle w:val="FootnoteReference"/>
          <w:sz w:val="24"/>
          <w:szCs w:val="24"/>
        </w:rPr>
        <w:footnoteReference w:id="145"/>
      </w:r>
      <w:r w:rsidR="009B0C58" w:rsidRPr="005D33A9">
        <w:rPr>
          <w:sz w:val="24"/>
          <w:szCs w:val="24"/>
        </w:rPr>
        <w:t xml:space="preserve">. </w:t>
      </w:r>
    </w:p>
    <w:p w:rsidR="007D1F2C" w:rsidRDefault="007D1F2C" w:rsidP="0040201F">
      <w:pPr>
        <w:pStyle w:val="ListParagraph"/>
        <w:autoSpaceDE w:val="0"/>
        <w:autoSpaceDN w:val="0"/>
        <w:spacing w:after="0" w:line="240" w:lineRule="auto"/>
        <w:ind w:left="426"/>
        <w:contextualSpacing w:val="0"/>
        <w:jc w:val="both"/>
        <w:rPr>
          <w:sz w:val="24"/>
          <w:szCs w:val="24"/>
        </w:rPr>
      </w:pPr>
    </w:p>
    <w:p w:rsidR="007D1F2C" w:rsidRDefault="00AC1CD6" w:rsidP="0040201F">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 xml:space="preserve">Resolutions from </w:t>
      </w:r>
      <w:r w:rsidR="004A59F1">
        <w:rPr>
          <w:sz w:val="24"/>
          <w:szCs w:val="24"/>
        </w:rPr>
        <w:t>various ITU plenipotentiary and world conferences (</w:t>
      </w:r>
      <w:r w:rsidRPr="00AC1CD6">
        <w:rPr>
          <w:sz w:val="24"/>
          <w:szCs w:val="24"/>
        </w:rPr>
        <w:t>WTSA-08, WTDC-10</w:t>
      </w:r>
      <w:r w:rsidR="004316DD" w:rsidRPr="005D33A9">
        <w:rPr>
          <w:sz w:val="24"/>
          <w:szCs w:val="24"/>
        </w:rPr>
        <w:t xml:space="preserve">, </w:t>
      </w:r>
      <w:r w:rsidR="004A59F1">
        <w:rPr>
          <w:sz w:val="24"/>
          <w:szCs w:val="24"/>
        </w:rPr>
        <w:t>PP-10</w:t>
      </w:r>
      <w:r w:rsidRPr="00AC1CD6">
        <w:rPr>
          <w:sz w:val="24"/>
          <w:szCs w:val="24"/>
        </w:rPr>
        <w:t>, and WTSA-12</w:t>
      </w:r>
      <w:r w:rsidR="004A59F1">
        <w:rPr>
          <w:sz w:val="24"/>
          <w:szCs w:val="24"/>
        </w:rPr>
        <w:t>)</w:t>
      </w:r>
      <w:r w:rsidRPr="00AC1CD6">
        <w:rPr>
          <w:sz w:val="24"/>
          <w:szCs w:val="24"/>
        </w:rPr>
        <w:t xml:space="preserve"> all point to the importance of coordination and collaboration with respect to human capacity development and training with respect to the deployment of IPv6 addresses and the transition from IPv4 to IPv6.</w:t>
      </w:r>
    </w:p>
    <w:p w:rsidR="007D1F2C" w:rsidRDefault="007D1F2C" w:rsidP="0040201F">
      <w:pPr>
        <w:pStyle w:val="ListParagraph"/>
        <w:spacing w:line="240" w:lineRule="auto"/>
        <w:jc w:val="both"/>
        <w:rPr>
          <w:sz w:val="24"/>
          <w:szCs w:val="24"/>
        </w:rPr>
      </w:pPr>
    </w:p>
    <w:p w:rsidR="007D1F2C" w:rsidRDefault="00AC1CD6" w:rsidP="0040201F">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 xml:space="preserve">Participants from developing countries and LDCs could be disadvantaged by the significant costs and human capacity requirements associated with participation in various global </w:t>
      </w:r>
      <w:proofErr w:type="spellStart"/>
      <w:r w:rsidRPr="00AC1CD6">
        <w:rPr>
          <w:sz w:val="24"/>
          <w:szCs w:val="24"/>
        </w:rPr>
        <w:t>fora</w:t>
      </w:r>
      <w:proofErr w:type="spellEnd"/>
      <w:r w:rsidRPr="00AC1CD6">
        <w:rPr>
          <w:sz w:val="24"/>
          <w:szCs w:val="24"/>
        </w:rPr>
        <w:t xml:space="preserve"> where Internet-related technical and public policy issues are discussed</w:t>
      </w:r>
      <w:r w:rsidR="009B0C58" w:rsidRPr="005D33A9">
        <w:rPr>
          <w:rStyle w:val="FootnoteReference"/>
          <w:sz w:val="24"/>
          <w:szCs w:val="24"/>
        </w:rPr>
        <w:footnoteReference w:id="146"/>
      </w:r>
      <w:r w:rsidR="009B0C58" w:rsidRPr="005D33A9">
        <w:rPr>
          <w:sz w:val="24"/>
          <w:szCs w:val="24"/>
        </w:rPr>
        <w:t>. This has often been highlighted as a barrier to equitable access to participation in the open global decision-making process on Internet-related matters.</w:t>
      </w:r>
    </w:p>
    <w:p w:rsidR="007D1F2C" w:rsidRDefault="007D1F2C" w:rsidP="0040201F">
      <w:pPr>
        <w:pStyle w:val="ListParagraph"/>
        <w:autoSpaceDE w:val="0"/>
        <w:autoSpaceDN w:val="0"/>
        <w:spacing w:after="0" w:line="240" w:lineRule="auto"/>
        <w:ind w:left="426"/>
        <w:contextualSpacing w:val="0"/>
        <w:jc w:val="both"/>
        <w:rPr>
          <w:sz w:val="24"/>
          <w:szCs w:val="24"/>
        </w:rPr>
      </w:pPr>
    </w:p>
    <w:p w:rsidR="007D1F2C" w:rsidRDefault="00AC1CD6" w:rsidP="0040201F">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 xml:space="preserve">To enable participants from developing countries and LDCs to participate in various global </w:t>
      </w:r>
      <w:proofErr w:type="spellStart"/>
      <w:r w:rsidRPr="00AC1CD6">
        <w:rPr>
          <w:sz w:val="24"/>
          <w:szCs w:val="24"/>
        </w:rPr>
        <w:t>fora</w:t>
      </w:r>
      <w:proofErr w:type="spellEnd"/>
      <w:r w:rsidRPr="00AC1CD6">
        <w:rPr>
          <w:sz w:val="24"/>
          <w:szCs w:val="24"/>
        </w:rPr>
        <w:t xml:space="preserve"> where Internet-related technical and public policy issues are discussed, a range of capacity building </w:t>
      </w:r>
      <w:proofErr w:type="spellStart"/>
      <w:r w:rsidRPr="00AC1CD6">
        <w:rPr>
          <w:sz w:val="24"/>
          <w:szCs w:val="24"/>
        </w:rPr>
        <w:t>programmes</w:t>
      </w:r>
      <w:proofErr w:type="spellEnd"/>
      <w:r w:rsidRPr="00AC1CD6">
        <w:rPr>
          <w:sz w:val="24"/>
          <w:szCs w:val="24"/>
        </w:rPr>
        <w:t xml:space="preserve"> are being developed, including the wider use of remote participation, accommodative participatory policies, travel fellowships, and electronic working methods. These initiatives should be encouraged, expanded to those </w:t>
      </w:r>
      <w:proofErr w:type="spellStart"/>
      <w:r w:rsidRPr="00AC1CD6">
        <w:rPr>
          <w:sz w:val="24"/>
          <w:szCs w:val="24"/>
        </w:rPr>
        <w:t>fora</w:t>
      </w:r>
      <w:proofErr w:type="spellEnd"/>
      <w:r w:rsidRPr="00AC1CD6">
        <w:rPr>
          <w:sz w:val="24"/>
          <w:szCs w:val="24"/>
        </w:rPr>
        <w:t xml:space="preserve"> that do not currently employ them, and regularly assessed</w:t>
      </w:r>
      <w:r w:rsidR="0095582B" w:rsidRPr="005D33A9">
        <w:rPr>
          <w:rStyle w:val="FootnoteReference"/>
          <w:sz w:val="24"/>
          <w:szCs w:val="24"/>
        </w:rPr>
        <w:footnoteReference w:id="147"/>
      </w:r>
      <w:r w:rsidR="009B0C58" w:rsidRPr="005D33A9">
        <w:rPr>
          <w:sz w:val="24"/>
          <w:szCs w:val="24"/>
        </w:rPr>
        <w:t xml:space="preserve"> and reviewed in order to</w:t>
      </w:r>
      <w:r w:rsidRPr="00AC1CD6">
        <w:rPr>
          <w:sz w:val="24"/>
          <w:szCs w:val="24"/>
        </w:rPr>
        <w:t xml:space="preserve"> facilitate equitable access to participation in the open global decision-making process on Internet-related matters. </w:t>
      </w:r>
    </w:p>
    <w:p w:rsidR="007D1F2C" w:rsidRDefault="007D1F2C" w:rsidP="0040201F">
      <w:pPr>
        <w:pStyle w:val="ListParagraph"/>
        <w:autoSpaceDE w:val="0"/>
        <w:autoSpaceDN w:val="0"/>
        <w:spacing w:after="0" w:line="240" w:lineRule="auto"/>
        <w:ind w:left="426"/>
        <w:contextualSpacing w:val="0"/>
        <w:jc w:val="both"/>
        <w:rPr>
          <w:sz w:val="24"/>
          <w:szCs w:val="24"/>
        </w:rPr>
      </w:pPr>
    </w:p>
    <w:p w:rsidR="007D1F2C" w:rsidRDefault="00AC1CD6" w:rsidP="0040201F">
      <w:pPr>
        <w:pStyle w:val="ListParagraph"/>
        <w:numPr>
          <w:ilvl w:val="0"/>
          <w:numId w:val="16"/>
        </w:numPr>
        <w:autoSpaceDE w:val="0"/>
        <w:autoSpaceDN w:val="0"/>
        <w:spacing w:after="0" w:line="240" w:lineRule="auto"/>
        <w:ind w:left="426" w:hanging="426"/>
        <w:contextualSpacing w:val="0"/>
        <w:jc w:val="both"/>
        <w:rPr>
          <w:sz w:val="24"/>
          <w:szCs w:val="24"/>
        </w:rPr>
      </w:pPr>
      <w:r w:rsidRPr="00AC1CD6">
        <w:rPr>
          <w:sz w:val="24"/>
          <w:szCs w:val="24"/>
        </w:rPr>
        <w:t>Relevant international organizations recognize the importance of enabling wide stakeholder involvement in their processes</w:t>
      </w:r>
      <w:r>
        <w:rPr>
          <w:rStyle w:val="FootnoteReference"/>
          <w:sz w:val="24"/>
          <w:szCs w:val="24"/>
        </w:rPr>
        <w:footnoteReference w:id="148"/>
      </w:r>
      <w:r w:rsidRPr="00AC1CD6">
        <w:rPr>
          <w:sz w:val="24"/>
          <w:szCs w:val="24"/>
        </w:rPr>
        <w:t xml:space="preserve">. Examples of international organizations with initiatives to promote remote participation include ITU, ICANN and sub-groups </w:t>
      </w:r>
      <w:r w:rsidR="004A44E0" w:rsidRPr="00AC1CD6">
        <w:rPr>
          <w:sz w:val="24"/>
          <w:szCs w:val="24"/>
        </w:rPr>
        <w:t>with</w:t>
      </w:r>
      <w:r w:rsidR="004A44E0">
        <w:rPr>
          <w:sz w:val="24"/>
          <w:szCs w:val="24"/>
        </w:rPr>
        <w:t>in</w:t>
      </w:r>
      <w:r w:rsidR="007527E1">
        <w:rPr>
          <w:sz w:val="24"/>
          <w:szCs w:val="24"/>
        </w:rPr>
        <w:t xml:space="preserve"> </w:t>
      </w:r>
      <w:r w:rsidRPr="00AC1CD6">
        <w:rPr>
          <w:sz w:val="24"/>
          <w:szCs w:val="24"/>
        </w:rPr>
        <w:t>ICANN (</w:t>
      </w:r>
      <w:r w:rsidRPr="00F91831">
        <w:rPr>
          <w:sz w:val="24"/>
          <w:szCs w:val="24"/>
        </w:rPr>
        <w:t xml:space="preserve">e.g. </w:t>
      </w:r>
      <w:r w:rsidR="00276514" w:rsidRPr="00F91831">
        <w:rPr>
          <w:sz w:val="24"/>
          <w:szCs w:val="24"/>
        </w:rPr>
        <w:t>the</w:t>
      </w:r>
      <w:r w:rsidR="00276514" w:rsidRPr="00F91831">
        <w:t xml:space="preserve"> </w:t>
      </w:r>
      <w:r w:rsidR="00276514" w:rsidRPr="00F91831">
        <w:rPr>
          <w:sz w:val="24"/>
          <w:szCs w:val="24"/>
        </w:rPr>
        <w:t xml:space="preserve">Country Code Names Supporting </w:t>
      </w:r>
      <w:proofErr w:type="spellStart"/>
      <w:r w:rsidR="00276514" w:rsidRPr="00F91831">
        <w:rPr>
          <w:sz w:val="24"/>
          <w:szCs w:val="24"/>
        </w:rPr>
        <w:t>Organisation</w:t>
      </w:r>
      <w:proofErr w:type="spellEnd"/>
      <w:r w:rsidR="00276514" w:rsidRPr="00F91831">
        <w:rPr>
          <w:sz w:val="24"/>
          <w:szCs w:val="24"/>
        </w:rPr>
        <w:t xml:space="preserve"> (</w:t>
      </w:r>
      <w:proofErr w:type="spellStart"/>
      <w:r w:rsidRPr="00F91831">
        <w:rPr>
          <w:sz w:val="24"/>
          <w:szCs w:val="24"/>
        </w:rPr>
        <w:t>ccNSO</w:t>
      </w:r>
      <w:proofErr w:type="spellEnd"/>
      <w:r w:rsidRPr="00F91831">
        <w:rPr>
          <w:sz w:val="24"/>
          <w:szCs w:val="24"/>
        </w:rPr>
        <w:t>)</w:t>
      </w:r>
      <w:r w:rsidR="00276514" w:rsidRPr="00F91831">
        <w:rPr>
          <w:sz w:val="24"/>
          <w:szCs w:val="24"/>
        </w:rPr>
        <w:t>)</w:t>
      </w:r>
      <w:r w:rsidRPr="00F91831">
        <w:rPr>
          <w:rStyle w:val="FootnoteReference"/>
          <w:sz w:val="24"/>
          <w:szCs w:val="24"/>
        </w:rPr>
        <w:footnoteReference w:id="149"/>
      </w:r>
      <w:r w:rsidRPr="00F91831">
        <w:rPr>
          <w:sz w:val="24"/>
          <w:szCs w:val="24"/>
        </w:rPr>
        <w:t>,</w:t>
      </w:r>
      <w:r w:rsidRPr="00AC1CD6">
        <w:rPr>
          <w:sz w:val="24"/>
          <w:szCs w:val="24"/>
        </w:rPr>
        <w:t xml:space="preserve"> IETF and ISOC</w:t>
      </w:r>
      <w:r>
        <w:rPr>
          <w:rStyle w:val="FootnoteReference"/>
          <w:sz w:val="24"/>
          <w:szCs w:val="24"/>
        </w:rPr>
        <w:footnoteReference w:id="150"/>
      </w:r>
      <w:r w:rsidR="00CA4DEA" w:rsidRPr="005D33A9">
        <w:t>,</w:t>
      </w:r>
      <w:r w:rsidRPr="00AC1CD6">
        <w:rPr>
          <w:sz w:val="24"/>
          <w:szCs w:val="24"/>
        </w:rPr>
        <w:t xml:space="preserve"> and also in forums such as the IGF and WSIS Forum.</w:t>
      </w:r>
    </w:p>
    <w:p w:rsidR="007D1F2C" w:rsidRDefault="007D1F2C" w:rsidP="0040201F">
      <w:pPr>
        <w:pStyle w:val="ListParagraph"/>
        <w:autoSpaceDE w:val="0"/>
        <w:autoSpaceDN w:val="0"/>
        <w:spacing w:after="0" w:line="240" w:lineRule="auto"/>
        <w:ind w:left="426"/>
        <w:contextualSpacing w:val="0"/>
        <w:jc w:val="both"/>
        <w:rPr>
          <w:sz w:val="24"/>
          <w:szCs w:val="24"/>
        </w:rPr>
      </w:pPr>
    </w:p>
    <w:p w:rsidR="007D1F2C" w:rsidRDefault="007D1F2C" w:rsidP="0040201F">
      <w:pPr>
        <w:pStyle w:val="ListParagraph"/>
        <w:autoSpaceDE w:val="0"/>
        <w:autoSpaceDN w:val="0"/>
        <w:spacing w:after="0" w:line="240" w:lineRule="auto"/>
        <w:ind w:left="426"/>
        <w:contextualSpacing w:val="0"/>
        <w:jc w:val="both"/>
        <w:rPr>
          <w:sz w:val="24"/>
          <w:szCs w:val="24"/>
        </w:rPr>
      </w:pPr>
    </w:p>
    <w:p w:rsidR="007D1F2C" w:rsidRDefault="00AC1CD6" w:rsidP="0040201F">
      <w:pPr>
        <w:pStyle w:val="ListParagraph"/>
        <w:keepNext/>
        <w:numPr>
          <w:ilvl w:val="2"/>
          <w:numId w:val="18"/>
        </w:numPr>
        <w:spacing w:after="0" w:line="240" w:lineRule="auto"/>
        <w:jc w:val="both"/>
        <w:rPr>
          <w:b/>
          <w:bCs/>
          <w:sz w:val="24"/>
          <w:szCs w:val="24"/>
        </w:rPr>
      </w:pPr>
      <w:r w:rsidRPr="00AC1CD6">
        <w:rPr>
          <w:b/>
          <w:bCs/>
          <w:sz w:val="24"/>
          <w:szCs w:val="24"/>
        </w:rPr>
        <w:lastRenderedPageBreak/>
        <w:t xml:space="preserve">International public policy issues and the management of Internet resources </w:t>
      </w:r>
    </w:p>
    <w:p w:rsidR="007D1F2C" w:rsidRDefault="007D1F2C" w:rsidP="0040201F">
      <w:pPr>
        <w:keepNext/>
        <w:spacing w:after="0" w:line="240" w:lineRule="auto"/>
        <w:jc w:val="both"/>
        <w:rPr>
          <w:b/>
          <w:bCs/>
          <w:sz w:val="24"/>
          <w:szCs w:val="24"/>
        </w:rPr>
      </w:pPr>
    </w:p>
    <w:p w:rsidR="007D1F2C" w:rsidRPr="00F91831" w:rsidRDefault="00AC1CD6" w:rsidP="0040201F">
      <w:pPr>
        <w:keepNext/>
        <w:spacing w:after="0" w:line="240" w:lineRule="auto"/>
        <w:jc w:val="both"/>
        <w:rPr>
          <w:b/>
          <w:bCs/>
          <w:sz w:val="24"/>
          <w:szCs w:val="24"/>
        </w:rPr>
      </w:pPr>
      <w:r w:rsidRPr="00AC1CD6">
        <w:rPr>
          <w:b/>
          <w:bCs/>
          <w:sz w:val="24"/>
          <w:szCs w:val="24"/>
        </w:rPr>
        <w:t xml:space="preserve">2.3.4.1   </w:t>
      </w:r>
      <w:proofErr w:type="gramStart"/>
      <w:r w:rsidRPr="00AC1CD6">
        <w:rPr>
          <w:b/>
          <w:bCs/>
          <w:sz w:val="24"/>
          <w:szCs w:val="24"/>
        </w:rPr>
        <w:t>generic</w:t>
      </w:r>
      <w:proofErr w:type="gramEnd"/>
      <w:r w:rsidRPr="00AC1CD6">
        <w:rPr>
          <w:b/>
          <w:bCs/>
          <w:sz w:val="24"/>
          <w:szCs w:val="24"/>
        </w:rPr>
        <w:t xml:space="preserve"> </w:t>
      </w:r>
      <w:r w:rsidRPr="00F91831">
        <w:rPr>
          <w:b/>
          <w:bCs/>
          <w:sz w:val="24"/>
          <w:szCs w:val="24"/>
        </w:rPr>
        <w:t>Top-Level Domains (</w:t>
      </w:r>
      <w:proofErr w:type="spellStart"/>
      <w:r w:rsidRPr="00F91831">
        <w:rPr>
          <w:b/>
          <w:bCs/>
          <w:sz w:val="24"/>
          <w:szCs w:val="24"/>
        </w:rPr>
        <w:t>gTLDs</w:t>
      </w:r>
      <w:proofErr w:type="spellEnd"/>
      <w:r w:rsidRPr="00F91831">
        <w:rPr>
          <w:b/>
          <w:bCs/>
          <w:sz w:val="24"/>
          <w:szCs w:val="24"/>
        </w:rPr>
        <w:t>) under the DNS</w:t>
      </w:r>
    </w:p>
    <w:p w:rsidR="007D1F2C" w:rsidRPr="00F91831" w:rsidRDefault="007D1F2C" w:rsidP="0040201F">
      <w:pPr>
        <w:keepNext/>
        <w:spacing w:after="0" w:line="240" w:lineRule="auto"/>
        <w:jc w:val="both"/>
        <w:rPr>
          <w:b/>
          <w:bCs/>
          <w:sz w:val="24"/>
          <w:szCs w:val="24"/>
        </w:rPr>
      </w:pPr>
    </w:p>
    <w:p w:rsidR="007D1F2C" w:rsidRPr="00F91831" w:rsidRDefault="00AC1CD6" w:rsidP="0040201F">
      <w:pPr>
        <w:pStyle w:val="ListParagraph"/>
        <w:keepNext/>
        <w:numPr>
          <w:ilvl w:val="0"/>
          <w:numId w:val="2"/>
        </w:numPr>
        <w:spacing w:after="0" w:line="240" w:lineRule="auto"/>
        <w:ind w:left="425" w:hanging="425"/>
        <w:jc w:val="both"/>
        <w:rPr>
          <w:sz w:val="24"/>
          <w:szCs w:val="24"/>
        </w:rPr>
      </w:pPr>
      <w:r w:rsidRPr="00F91831">
        <w:rPr>
          <w:sz w:val="24"/>
          <w:szCs w:val="24"/>
        </w:rPr>
        <w:t xml:space="preserve">The DNS specifies a hierarchical structure of the delegation authorities in domain naming. As read from right to left, the DNS hierarchy is divided into Top-Level Domains (TLDs), Second-Level Domains (SLDs), and so on. For example, in the ITU web address </w:t>
      </w:r>
      <w:hyperlink r:id="rId18" w:history="1">
        <w:r w:rsidRPr="00F91831">
          <w:rPr>
            <w:rStyle w:val="Hyperlink"/>
            <w:sz w:val="24"/>
            <w:szCs w:val="24"/>
          </w:rPr>
          <w:t>www.itu.int</w:t>
        </w:r>
      </w:hyperlink>
      <w:r w:rsidR="00441081" w:rsidRPr="00F91831">
        <w:rPr>
          <w:sz w:val="24"/>
          <w:szCs w:val="24"/>
        </w:rPr>
        <w:t>, the TLD is “.</w:t>
      </w:r>
      <w:proofErr w:type="spellStart"/>
      <w:r w:rsidR="00441081" w:rsidRPr="00F91831">
        <w:rPr>
          <w:sz w:val="24"/>
          <w:szCs w:val="24"/>
        </w:rPr>
        <w:t>int</w:t>
      </w:r>
      <w:proofErr w:type="spellEnd"/>
      <w:r w:rsidR="00441081" w:rsidRPr="00F91831">
        <w:rPr>
          <w:sz w:val="24"/>
          <w:szCs w:val="24"/>
        </w:rPr>
        <w:t>” and the SLD is “</w:t>
      </w:r>
      <w:proofErr w:type="spellStart"/>
      <w:r w:rsidR="00441081" w:rsidRPr="00F91831">
        <w:rPr>
          <w:sz w:val="24"/>
          <w:szCs w:val="24"/>
        </w:rPr>
        <w:t>itu</w:t>
      </w:r>
      <w:proofErr w:type="spellEnd"/>
      <w:r w:rsidRPr="00F91831">
        <w:rPr>
          <w:sz w:val="24"/>
          <w:szCs w:val="24"/>
        </w:rPr>
        <w:t>”. TLDs are generally categorized in two different groups: namely, generic Top Level Domains (</w:t>
      </w:r>
      <w:proofErr w:type="spellStart"/>
      <w:r w:rsidRPr="00F91831">
        <w:rPr>
          <w:sz w:val="24"/>
          <w:szCs w:val="24"/>
        </w:rPr>
        <w:t>gTLDs</w:t>
      </w:r>
      <w:proofErr w:type="spellEnd"/>
      <w:r w:rsidRPr="00F91831">
        <w:rPr>
          <w:sz w:val="24"/>
          <w:szCs w:val="24"/>
        </w:rPr>
        <w:t>) and country code Top Level Domains (</w:t>
      </w:r>
      <w:proofErr w:type="spellStart"/>
      <w:r w:rsidRPr="00F91831">
        <w:rPr>
          <w:sz w:val="24"/>
          <w:szCs w:val="24"/>
        </w:rPr>
        <w:t>ccTLDs</w:t>
      </w:r>
      <w:proofErr w:type="spellEnd"/>
      <w:r w:rsidRPr="00F91831">
        <w:rPr>
          <w:sz w:val="24"/>
          <w:szCs w:val="24"/>
        </w:rPr>
        <w:t>)</w:t>
      </w:r>
      <w:r w:rsidR="00441081" w:rsidRPr="00F91831">
        <w:rPr>
          <w:rStyle w:val="FootnoteReference"/>
          <w:sz w:val="24"/>
          <w:szCs w:val="24"/>
        </w:rPr>
        <w:footnoteReference w:id="151"/>
      </w:r>
      <w:r w:rsidR="00441081" w:rsidRPr="00F91831">
        <w:rPr>
          <w:sz w:val="24"/>
          <w:szCs w:val="24"/>
        </w:rPr>
        <w:t xml:space="preserve">. </w:t>
      </w:r>
    </w:p>
    <w:p w:rsidR="007D1F2C" w:rsidRDefault="007D1F2C" w:rsidP="0040201F">
      <w:pPr>
        <w:pStyle w:val="ListParagraph"/>
        <w:spacing w:after="0" w:line="240" w:lineRule="auto"/>
        <w:ind w:left="425"/>
        <w:jc w:val="both"/>
        <w:rPr>
          <w:sz w:val="24"/>
          <w:szCs w:val="24"/>
        </w:rPr>
      </w:pPr>
    </w:p>
    <w:p w:rsidR="007D1F2C" w:rsidRDefault="00AC1CD6" w:rsidP="0040201F">
      <w:pPr>
        <w:pStyle w:val="ListParagraph"/>
        <w:numPr>
          <w:ilvl w:val="0"/>
          <w:numId w:val="2"/>
        </w:numPr>
        <w:spacing w:after="0" w:line="240" w:lineRule="auto"/>
        <w:ind w:left="425" w:hanging="425"/>
        <w:jc w:val="both"/>
        <w:rPr>
          <w:sz w:val="24"/>
          <w:szCs w:val="24"/>
        </w:rPr>
      </w:pPr>
      <w:r w:rsidRPr="00AC1CD6">
        <w:rPr>
          <w:sz w:val="24"/>
          <w:szCs w:val="24"/>
        </w:rPr>
        <w:t xml:space="preserve">Originally, there was one </w:t>
      </w:r>
      <w:proofErr w:type="spellStart"/>
      <w:r w:rsidRPr="00AC1CD6">
        <w:rPr>
          <w:sz w:val="24"/>
          <w:szCs w:val="24"/>
        </w:rPr>
        <w:t>gTLD</w:t>
      </w:r>
      <w:proofErr w:type="spellEnd"/>
      <w:r w:rsidRPr="00AC1CD6">
        <w:rPr>
          <w:sz w:val="24"/>
          <w:szCs w:val="24"/>
        </w:rPr>
        <w:t xml:space="preserve"> called “.</w:t>
      </w:r>
      <w:proofErr w:type="spellStart"/>
      <w:r w:rsidRPr="00AC1CD6">
        <w:rPr>
          <w:sz w:val="24"/>
          <w:szCs w:val="24"/>
        </w:rPr>
        <w:t>arpa</w:t>
      </w:r>
      <w:proofErr w:type="spellEnd"/>
      <w:r w:rsidRPr="00AC1CD6">
        <w:rPr>
          <w:sz w:val="24"/>
          <w:szCs w:val="24"/>
        </w:rPr>
        <w:t xml:space="preserve">”. Seven more </w:t>
      </w:r>
      <w:proofErr w:type="spellStart"/>
      <w:r w:rsidRPr="00AC1CD6">
        <w:rPr>
          <w:sz w:val="24"/>
          <w:szCs w:val="24"/>
        </w:rPr>
        <w:t>gTLDs</w:t>
      </w:r>
      <w:proofErr w:type="spellEnd"/>
      <w:r w:rsidR="00B97C5D">
        <w:rPr>
          <w:sz w:val="24"/>
          <w:szCs w:val="24"/>
        </w:rPr>
        <w:t xml:space="preserve"> </w:t>
      </w:r>
      <w:r w:rsidRPr="00AC1CD6">
        <w:rPr>
          <w:sz w:val="24"/>
          <w:szCs w:val="24"/>
        </w:rPr>
        <w:t>(.com,</w:t>
      </w:r>
      <w:r w:rsidR="00B97C5D">
        <w:rPr>
          <w:sz w:val="24"/>
          <w:szCs w:val="24"/>
        </w:rPr>
        <w:t xml:space="preserve"> </w:t>
      </w:r>
      <w:r w:rsidRPr="00AC1CD6">
        <w:rPr>
          <w:sz w:val="24"/>
          <w:szCs w:val="24"/>
        </w:rPr>
        <w:t>.org, .net, .</w:t>
      </w:r>
      <w:proofErr w:type="spellStart"/>
      <w:r w:rsidRPr="00AC1CD6">
        <w:rPr>
          <w:sz w:val="24"/>
          <w:szCs w:val="24"/>
        </w:rPr>
        <w:t>gov</w:t>
      </w:r>
      <w:proofErr w:type="spellEnd"/>
      <w:r w:rsidRPr="00AC1CD6">
        <w:rPr>
          <w:sz w:val="24"/>
          <w:szCs w:val="24"/>
        </w:rPr>
        <w:t>, .</w:t>
      </w:r>
      <w:proofErr w:type="spellStart"/>
      <w:r w:rsidRPr="00AC1CD6">
        <w:rPr>
          <w:sz w:val="24"/>
          <w:szCs w:val="24"/>
        </w:rPr>
        <w:t>edu</w:t>
      </w:r>
      <w:proofErr w:type="spellEnd"/>
      <w:r w:rsidRPr="00AC1CD6">
        <w:rPr>
          <w:sz w:val="24"/>
          <w:szCs w:val="24"/>
        </w:rPr>
        <w:t xml:space="preserve">, </w:t>
      </w:r>
    </w:p>
    <w:p w:rsidR="007D1F2C" w:rsidRDefault="00AC1CD6" w:rsidP="0040201F">
      <w:pPr>
        <w:spacing w:after="0" w:line="240" w:lineRule="auto"/>
        <w:ind w:left="425"/>
        <w:jc w:val="both"/>
        <w:rPr>
          <w:sz w:val="24"/>
          <w:szCs w:val="24"/>
        </w:rPr>
      </w:pPr>
      <w:r w:rsidRPr="00AC1CD6">
        <w:rPr>
          <w:sz w:val="24"/>
          <w:szCs w:val="24"/>
        </w:rPr>
        <w:t>.mil and .</w:t>
      </w:r>
      <w:proofErr w:type="spellStart"/>
      <w:r w:rsidRPr="00AC1CD6">
        <w:rPr>
          <w:sz w:val="24"/>
          <w:szCs w:val="24"/>
        </w:rPr>
        <w:t>int</w:t>
      </w:r>
      <w:proofErr w:type="spellEnd"/>
      <w:r w:rsidRPr="00AC1CD6">
        <w:rPr>
          <w:sz w:val="24"/>
          <w:szCs w:val="24"/>
        </w:rPr>
        <w:t xml:space="preserve">) were subsequently added. Following growth in the demand for more </w:t>
      </w:r>
      <w:proofErr w:type="spellStart"/>
      <w:r w:rsidRPr="00AC1CD6">
        <w:rPr>
          <w:sz w:val="24"/>
          <w:szCs w:val="24"/>
        </w:rPr>
        <w:t>gTLDs</w:t>
      </w:r>
      <w:proofErr w:type="spellEnd"/>
      <w:r w:rsidRPr="00AC1CD6">
        <w:rPr>
          <w:sz w:val="24"/>
          <w:szCs w:val="24"/>
        </w:rPr>
        <w:t xml:space="preserve">, several </w:t>
      </w:r>
      <w:proofErr w:type="spellStart"/>
      <w:r w:rsidRPr="00AC1CD6">
        <w:rPr>
          <w:sz w:val="24"/>
          <w:szCs w:val="24"/>
        </w:rPr>
        <w:t>gTLDs</w:t>
      </w:r>
      <w:proofErr w:type="spellEnd"/>
      <w:r w:rsidRPr="00AC1CD6">
        <w:rPr>
          <w:sz w:val="24"/>
          <w:szCs w:val="24"/>
        </w:rPr>
        <w:t xml:space="preserve"> (i.e., .biz, .info, .aero, .coop, and .post) have been added to the DNS. Historically, a new </w:t>
      </w:r>
      <w:proofErr w:type="spellStart"/>
      <w:r w:rsidRPr="00AC1CD6">
        <w:rPr>
          <w:sz w:val="24"/>
          <w:szCs w:val="24"/>
        </w:rPr>
        <w:t>gTLD</w:t>
      </w:r>
      <w:proofErr w:type="spellEnd"/>
      <w:r w:rsidRPr="00AC1CD6">
        <w:rPr>
          <w:sz w:val="24"/>
          <w:szCs w:val="24"/>
        </w:rPr>
        <w:t xml:space="preserve"> was added to the DNS based on proposals solicited by ICANN during specific application periods, in 2000 and 2003</w:t>
      </w:r>
      <w:r>
        <w:rPr>
          <w:rStyle w:val="FootnoteReference"/>
          <w:sz w:val="24"/>
          <w:szCs w:val="24"/>
        </w:rPr>
        <w:footnoteReference w:id="152"/>
      </w:r>
      <w:r w:rsidRPr="00AC1CD6">
        <w:rPr>
          <w:sz w:val="24"/>
          <w:szCs w:val="24"/>
        </w:rPr>
        <w:t xml:space="preserve">. Currently, there are 22 functional </w:t>
      </w:r>
      <w:proofErr w:type="spellStart"/>
      <w:r w:rsidRPr="00AC1CD6">
        <w:rPr>
          <w:sz w:val="24"/>
          <w:szCs w:val="24"/>
        </w:rPr>
        <w:t>gTLDs</w:t>
      </w:r>
      <w:proofErr w:type="spellEnd"/>
      <w:r w:rsidR="00441081" w:rsidRPr="005D33A9">
        <w:rPr>
          <w:rStyle w:val="FootnoteReference"/>
          <w:sz w:val="24"/>
          <w:szCs w:val="24"/>
        </w:rPr>
        <w:footnoteReference w:id="153"/>
      </w:r>
      <w:r w:rsidRPr="00AC1CD6">
        <w:rPr>
          <w:sz w:val="24"/>
          <w:szCs w:val="24"/>
        </w:rPr>
        <w:t>.</w:t>
      </w:r>
    </w:p>
    <w:p w:rsidR="007D1F2C" w:rsidRDefault="007D1F2C" w:rsidP="0040201F">
      <w:pPr>
        <w:spacing w:after="0" w:line="240" w:lineRule="auto"/>
        <w:jc w:val="both"/>
        <w:rPr>
          <w:sz w:val="24"/>
          <w:szCs w:val="24"/>
        </w:rPr>
      </w:pPr>
    </w:p>
    <w:p w:rsidR="007D1F2C" w:rsidRDefault="004316DD" w:rsidP="0040201F">
      <w:pPr>
        <w:pStyle w:val="ListParagraph"/>
        <w:numPr>
          <w:ilvl w:val="0"/>
          <w:numId w:val="2"/>
        </w:numPr>
        <w:spacing w:after="0" w:line="240" w:lineRule="auto"/>
        <w:ind w:left="425" w:hanging="425"/>
        <w:jc w:val="both"/>
        <w:rPr>
          <w:sz w:val="24"/>
          <w:szCs w:val="24"/>
        </w:rPr>
      </w:pPr>
      <w:r w:rsidRPr="005D33A9">
        <w:rPr>
          <w:sz w:val="24"/>
          <w:szCs w:val="24"/>
        </w:rPr>
        <w:t>ENUM</w:t>
      </w:r>
      <w:r w:rsidR="00441081" w:rsidRPr="005D33A9">
        <w:rPr>
          <w:rStyle w:val="FootnoteReference"/>
          <w:sz w:val="24"/>
          <w:szCs w:val="24"/>
        </w:rPr>
        <w:footnoteReference w:id="154"/>
      </w:r>
      <w:r w:rsidR="00441081" w:rsidRPr="005D33A9">
        <w:rPr>
          <w:sz w:val="24"/>
          <w:szCs w:val="24"/>
        </w:rPr>
        <w:t xml:space="preserve"> defines a method for </w:t>
      </w:r>
      <w:r w:rsidR="00441081" w:rsidRPr="00F91831">
        <w:rPr>
          <w:sz w:val="24"/>
          <w:szCs w:val="24"/>
        </w:rPr>
        <w:t>entering ITU-T Recommendation E.164 country codes into the Internet DNS. As proposed by the Internet Architecture Board (“IAB”), a specific</w:t>
      </w:r>
      <w:r w:rsidR="00441081" w:rsidRPr="005D33A9">
        <w:rPr>
          <w:sz w:val="24"/>
          <w:szCs w:val="24"/>
        </w:rPr>
        <w:t xml:space="preserve"> </w:t>
      </w:r>
      <w:r w:rsidR="00AC1CD6" w:rsidRPr="00AC1CD6">
        <w:rPr>
          <w:sz w:val="24"/>
          <w:szCs w:val="24"/>
        </w:rPr>
        <w:t>zone under the .</w:t>
      </w:r>
      <w:proofErr w:type="spellStart"/>
      <w:r w:rsidR="00AC1CD6" w:rsidRPr="00AC1CD6">
        <w:rPr>
          <w:sz w:val="24"/>
          <w:szCs w:val="24"/>
        </w:rPr>
        <w:t>arpa</w:t>
      </w:r>
      <w:proofErr w:type="spellEnd"/>
      <w:r w:rsidR="00AC1CD6" w:rsidRPr="00AC1CD6">
        <w:rPr>
          <w:sz w:val="24"/>
          <w:szCs w:val="24"/>
        </w:rPr>
        <w:t xml:space="preserve"> </w:t>
      </w:r>
      <w:proofErr w:type="spellStart"/>
      <w:r w:rsidR="00AC1CD6" w:rsidRPr="00AC1CD6">
        <w:rPr>
          <w:sz w:val="24"/>
          <w:szCs w:val="24"/>
        </w:rPr>
        <w:t>gTLD</w:t>
      </w:r>
      <w:proofErr w:type="spellEnd"/>
      <w:r w:rsidR="00AC1CD6" w:rsidRPr="00AC1CD6">
        <w:rPr>
          <w:sz w:val="24"/>
          <w:szCs w:val="24"/>
        </w:rPr>
        <w:t>, namely "e164.arpa", has been allocated for use with ENUM E.164 numbers.</w:t>
      </w:r>
      <w:r w:rsidR="00441081" w:rsidRPr="005D33A9">
        <w:rPr>
          <w:rStyle w:val="FootnoteReference"/>
          <w:sz w:val="24"/>
          <w:szCs w:val="24"/>
        </w:rPr>
        <w:footnoteReference w:id="155"/>
      </w:r>
      <w:r w:rsidR="00441081" w:rsidRPr="005D33A9">
        <w:rPr>
          <w:sz w:val="24"/>
          <w:szCs w:val="24"/>
        </w:rPr>
        <w:t xml:space="preserve"> ITU-T, together with the IAB and RIPE NCC, has established a procedure for review by ITU-T of delegations of E.164 Country Codes into “e164.arpa”</w:t>
      </w:r>
      <w:r w:rsidR="00441081" w:rsidRPr="005D33A9">
        <w:rPr>
          <w:rStyle w:val="FootnoteReference"/>
          <w:sz w:val="24"/>
          <w:szCs w:val="24"/>
        </w:rPr>
        <w:footnoteReference w:id="156"/>
      </w:r>
      <w:r w:rsidR="00441081" w:rsidRPr="005D33A9">
        <w:rPr>
          <w:sz w:val="24"/>
          <w:szCs w:val="24"/>
        </w:rPr>
        <w:t>. Res. 133 (Rev. Guadalaj</w:t>
      </w:r>
      <w:r w:rsidR="00AC1CD6" w:rsidRPr="00AC1CD6">
        <w:rPr>
          <w:sz w:val="24"/>
          <w:szCs w:val="24"/>
        </w:rPr>
        <w:t>ara, 2010) states that the existing role and sovereignty of ITU Member States is recognized with respect to allocation and management of their Country Code Numbering resources, as defined  in Recommendation ITU-T E.164.</w:t>
      </w:r>
      <w:r w:rsidR="00441081" w:rsidRPr="005D33A9">
        <w:rPr>
          <w:rStyle w:val="FootnoteReference"/>
          <w:sz w:val="24"/>
          <w:szCs w:val="24"/>
        </w:rPr>
        <w:footnoteReference w:id="157"/>
      </w:r>
      <w:r w:rsidR="00441081" w:rsidRPr="005D33A9">
        <w:rPr>
          <w:sz w:val="24"/>
          <w:szCs w:val="24"/>
        </w:rPr>
        <w:t xml:space="preserve">. </w:t>
      </w:r>
    </w:p>
    <w:p w:rsidR="007D1F2C" w:rsidRDefault="007D1F2C" w:rsidP="0040201F">
      <w:pPr>
        <w:pStyle w:val="ListParagraph"/>
        <w:spacing w:line="240" w:lineRule="auto"/>
        <w:jc w:val="both"/>
        <w:rPr>
          <w:sz w:val="24"/>
          <w:szCs w:val="24"/>
        </w:rPr>
      </w:pPr>
    </w:p>
    <w:p w:rsidR="007D1F2C" w:rsidRDefault="00AC1CD6" w:rsidP="0040201F">
      <w:pPr>
        <w:pStyle w:val="ListParagraph"/>
        <w:numPr>
          <w:ilvl w:val="0"/>
          <w:numId w:val="2"/>
        </w:numPr>
        <w:spacing w:after="0" w:line="240" w:lineRule="auto"/>
        <w:jc w:val="both"/>
        <w:rPr>
          <w:rFonts w:cs="Times New Roman"/>
          <w:sz w:val="24"/>
          <w:szCs w:val="24"/>
        </w:rPr>
      </w:pPr>
      <w:r w:rsidRPr="00AC1CD6">
        <w:rPr>
          <w:rFonts w:cs="Times New Roman"/>
          <w:sz w:val="24"/>
          <w:szCs w:val="24"/>
        </w:rPr>
        <w:t xml:space="preserve">In 2005, ICANN initiated a process to develop the policies and procedures necessary to introduce an unlimited number of new </w:t>
      </w:r>
      <w:proofErr w:type="spellStart"/>
      <w:r w:rsidRPr="00AC1CD6">
        <w:rPr>
          <w:rFonts w:cs="Times New Roman"/>
          <w:sz w:val="24"/>
          <w:szCs w:val="24"/>
        </w:rPr>
        <w:t>gTLDs</w:t>
      </w:r>
      <w:proofErr w:type="spellEnd"/>
      <w:r w:rsidRPr="00AC1CD6">
        <w:rPr>
          <w:rFonts w:cs="Times New Roman"/>
          <w:sz w:val="24"/>
          <w:szCs w:val="24"/>
        </w:rPr>
        <w:t>. </w:t>
      </w:r>
      <w:r w:rsidRPr="00AC1CD6">
        <w:rPr>
          <w:sz w:val="24"/>
          <w:szCs w:val="24"/>
        </w:rPr>
        <w:t xml:space="preserve">In June 2008, ICANN announced its new </w:t>
      </w:r>
      <w:proofErr w:type="spellStart"/>
      <w:r w:rsidRPr="00AC1CD6">
        <w:rPr>
          <w:sz w:val="24"/>
          <w:szCs w:val="24"/>
        </w:rPr>
        <w:t>gTLD</w:t>
      </w:r>
      <w:proofErr w:type="spellEnd"/>
      <w:r w:rsidRPr="00AC1CD6">
        <w:rPr>
          <w:sz w:val="24"/>
          <w:szCs w:val="24"/>
        </w:rPr>
        <w:t xml:space="preserve"> expansion policy, under which any public or private-sector entity could apply to create and operate a new </w:t>
      </w:r>
      <w:proofErr w:type="spellStart"/>
      <w:r w:rsidRPr="00AC1CD6">
        <w:rPr>
          <w:sz w:val="24"/>
          <w:szCs w:val="24"/>
        </w:rPr>
        <w:t>gTLD</w:t>
      </w:r>
      <w:proofErr w:type="spellEnd"/>
      <w:r w:rsidRPr="00AC1CD6">
        <w:rPr>
          <w:sz w:val="24"/>
          <w:szCs w:val="24"/>
        </w:rPr>
        <w:t xml:space="preserve">. ICANN clarifies that applying for a new </w:t>
      </w:r>
      <w:proofErr w:type="spellStart"/>
      <w:r w:rsidRPr="00AC1CD6">
        <w:rPr>
          <w:sz w:val="24"/>
          <w:szCs w:val="24"/>
        </w:rPr>
        <w:t>gTLD</w:t>
      </w:r>
      <w:proofErr w:type="spellEnd"/>
      <w:r w:rsidRPr="00AC1CD6">
        <w:rPr>
          <w:sz w:val="24"/>
          <w:szCs w:val="24"/>
        </w:rPr>
        <w:t xml:space="preserve"> is not the same as registering a SLD on a “first-come, first-served” basis. Applicants for a new </w:t>
      </w:r>
      <w:proofErr w:type="spellStart"/>
      <w:r w:rsidRPr="00AC1CD6">
        <w:rPr>
          <w:sz w:val="24"/>
          <w:szCs w:val="24"/>
        </w:rPr>
        <w:t>gTLD</w:t>
      </w:r>
      <w:proofErr w:type="spellEnd"/>
      <w:r w:rsidRPr="00AC1CD6">
        <w:rPr>
          <w:sz w:val="24"/>
          <w:szCs w:val="24"/>
        </w:rPr>
        <w:t xml:space="preserve"> would operate a registry business for a new </w:t>
      </w:r>
      <w:proofErr w:type="spellStart"/>
      <w:r w:rsidRPr="00AC1CD6">
        <w:rPr>
          <w:sz w:val="24"/>
          <w:szCs w:val="24"/>
        </w:rPr>
        <w:t>gTLD</w:t>
      </w:r>
      <w:proofErr w:type="spellEnd"/>
      <w:r w:rsidRPr="00AC1CD6">
        <w:rPr>
          <w:sz w:val="24"/>
          <w:szCs w:val="24"/>
        </w:rPr>
        <w:t xml:space="preserve"> based on the applicant’s technical and business capability and a commitment to implement ICANN’s policies effectively. </w:t>
      </w:r>
      <w:r w:rsidRPr="00AC1CD6">
        <w:rPr>
          <w:rFonts w:cs="Times New Roman"/>
          <w:sz w:val="24"/>
          <w:szCs w:val="24"/>
        </w:rPr>
        <w:t xml:space="preserve">After </w:t>
      </w:r>
      <w:r w:rsidRPr="00AC1CD6">
        <w:rPr>
          <w:sz w:val="24"/>
          <w:szCs w:val="24"/>
        </w:rPr>
        <w:t xml:space="preserve">more than six years of preparation and consultation, </w:t>
      </w:r>
      <w:r w:rsidRPr="00AC1CD6">
        <w:rPr>
          <w:rFonts w:cs="Times New Roman"/>
          <w:sz w:val="24"/>
          <w:szCs w:val="24"/>
        </w:rPr>
        <w:t xml:space="preserve">the ICANN Board of Directors approved the rules for the new </w:t>
      </w:r>
      <w:proofErr w:type="spellStart"/>
      <w:r w:rsidRPr="00AC1CD6">
        <w:rPr>
          <w:rFonts w:cs="Times New Roman"/>
          <w:sz w:val="24"/>
          <w:szCs w:val="24"/>
        </w:rPr>
        <w:t>gTLD</w:t>
      </w:r>
      <w:proofErr w:type="spellEnd"/>
      <w:r w:rsidRPr="00AC1CD6">
        <w:rPr>
          <w:rFonts w:cs="Times New Roman"/>
          <w:sz w:val="24"/>
          <w:szCs w:val="24"/>
        </w:rPr>
        <w:t xml:space="preserve"> program in June 2011</w:t>
      </w:r>
      <w:r w:rsidR="00441081" w:rsidRPr="005D33A9">
        <w:rPr>
          <w:rStyle w:val="FootnoteReference"/>
          <w:rFonts w:cs="Times New Roman"/>
          <w:sz w:val="24"/>
          <w:szCs w:val="24"/>
        </w:rPr>
        <w:footnoteReference w:id="158"/>
      </w:r>
      <w:r w:rsidRPr="00AC1CD6">
        <w:rPr>
          <w:rFonts w:cs="Times New Roman"/>
          <w:sz w:val="24"/>
          <w:szCs w:val="24"/>
        </w:rPr>
        <w:t xml:space="preserve">, and </w:t>
      </w:r>
      <w:r w:rsidRPr="00AC1CD6">
        <w:rPr>
          <w:sz w:val="24"/>
          <w:szCs w:val="24"/>
        </w:rPr>
        <w:t xml:space="preserve">ICANN initiated the first round of the new </w:t>
      </w:r>
      <w:proofErr w:type="spellStart"/>
      <w:r w:rsidRPr="00AC1CD6">
        <w:rPr>
          <w:sz w:val="24"/>
          <w:szCs w:val="24"/>
        </w:rPr>
        <w:t>gTLDs</w:t>
      </w:r>
      <w:proofErr w:type="spellEnd"/>
      <w:r w:rsidRPr="00AC1CD6">
        <w:rPr>
          <w:sz w:val="24"/>
          <w:szCs w:val="24"/>
        </w:rPr>
        <w:t xml:space="preserve"> </w:t>
      </w:r>
      <w:r w:rsidRPr="00AC1CD6">
        <w:rPr>
          <w:sz w:val="24"/>
          <w:szCs w:val="24"/>
        </w:rPr>
        <w:lastRenderedPageBreak/>
        <w:t xml:space="preserve">application which opened on 12 January 2012 and closed on 30 May 2012. Each </w:t>
      </w:r>
      <w:proofErr w:type="spellStart"/>
      <w:r w:rsidRPr="00AC1CD6">
        <w:rPr>
          <w:sz w:val="24"/>
          <w:szCs w:val="24"/>
        </w:rPr>
        <w:t>gTLD</w:t>
      </w:r>
      <w:proofErr w:type="spellEnd"/>
      <w:r w:rsidRPr="00AC1CD6">
        <w:rPr>
          <w:sz w:val="24"/>
          <w:szCs w:val="24"/>
        </w:rPr>
        <w:t xml:space="preserve"> applied-for string requires an online application via ICANN’s online application system and an evaluation fee of US$ 185,000 p</w:t>
      </w:r>
      <w:r w:rsidRPr="00AC1CD6">
        <w:rPr>
          <w:rFonts w:cs="Times New Roman"/>
          <w:sz w:val="24"/>
          <w:szCs w:val="24"/>
        </w:rPr>
        <w:t xml:space="preserve">er </w:t>
      </w:r>
      <w:r w:rsidRPr="00AC1CD6">
        <w:rPr>
          <w:sz w:val="24"/>
          <w:szCs w:val="24"/>
        </w:rPr>
        <w:t xml:space="preserve">application to cover the cost of the evaluation </w:t>
      </w:r>
      <w:r w:rsidRPr="00AC1CD6">
        <w:rPr>
          <w:rFonts w:cs="Times New Roman"/>
          <w:sz w:val="24"/>
          <w:szCs w:val="24"/>
        </w:rPr>
        <w:t xml:space="preserve">process. </w:t>
      </w:r>
    </w:p>
    <w:p w:rsidR="007D1F2C" w:rsidRDefault="007D1F2C" w:rsidP="0040201F">
      <w:pPr>
        <w:spacing w:after="0" w:line="240" w:lineRule="auto"/>
        <w:jc w:val="both"/>
        <w:rPr>
          <w:rFonts w:cs="Times New Roman"/>
          <w:sz w:val="24"/>
          <w:szCs w:val="24"/>
        </w:rPr>
      </w:pPr>
    </w:p>
    <w:p w:rsidR="007D1F2C" w:rsidRDefault="00AC1CD6" w:rsidP="0040201F">
      <w:pPr>
        <w:pStyle w:val="ListParagraph"/>
        <w:numPr>
          <w:ilvl w:val="0"/>
          <w:numId w:val="2"/>
        </w:numPr>
        <w:spacing w:after="0" w:line="240" w:lineRule="auto"/>
        <w:jc w:val="both"/>
        <w:rPr>
          <w:sz w:val="24"/>
          <w:szCs w:val="24"/>
        </w:rPr>
      </w:pPr>
      <w:r w:rsidRPr="00AC1CD6">
        <w:rPr>
          <w:rFonts w:cs="Times New Roman"/>
          <w:sz w:val="24"/>
          <w:szCs w:val="24"/>
        </w:rPr>
        <w:t xml:space="preserve">Expansion of the new </w:t>
      </w:r>
      <w:proofErr w:type="spellStart"/>
      <w:r w:rsidRPr="00AC1CD6">
        <w:rPr>
          <w:rFonts w:cs="Times New Roman"/>
          <w:sz w:val="24"/>
          <w:szCs w:val="24"/>
        </w:rPr>
        <w:t>gTLD</w:t>
      </w:r>
      <w:proofErr w:type="spellEnd"/>
      <w:r w:rsidRPr="00AC1CD6">
        <w:rPr>
          <w:rFonts w:cs="Times New Roman"/>
          <w:sz w:val="24"/>
          <w:szCs w:val="24"/>
        </w:rPr>
        <w:t xml:space="preserve"> space is expected to provide a platform for city, geographic, and internationalized domain names, among other possible top-level domain strings, and intended to allow </w:t>
      </w:r>
      <w:r w:rsidRPr="00F91831">
        <w:rPr>
          <w:rFonts w:cs="Times New Roman"/>
          <w:sz w:val="24"/>
          <w:szCs w:val="24"/>
        </w:rPr>
        <w:t xml:space="preserve">new TLD operators to create and provide content in native languages and scripts, otherwise known as Internationalized Domain Name (IDNs), in addition to new </w:t>
      </w:r>
      <w:proofErr w:type="spellStart"/>
      <w:r w:rsidRPr="00F91831">
        <w:rPr>
          <w:rFonts w:cs="Times New Roman"/>
          <w:sz w:val="24"/>
          <w:szCs w:val="24"/>
        </w:rPr>
        <w:t>gTLDs</w:t>
      </w:r>
      <w:proofErr w:type="spellEnd"/>
      <w:r w:rsidRPr="00F91831">
        <w:rPr>
          <w:rFonts w:cs="Times New Roman"/>
          <w:sz w:val="24"/>
          <w:szCs w:val="24"/>
        </w:rPr>
        <w:t xml:space="preserve"> in </w:t>
      </w:r>
      <w:r w:rsidR="0045585F" w:rsidRPr="00F91831">
        <w:rPr>
          <w:rFonts w:cs="Times New Roman"/>
          <w:sz w:val="24"/>
          <w:szCs w:val="24"/>
        </w:rPr>
        <w:t>the American Standard Code for Information Interchange (</w:t>
      </w:r>
      <w:r w:rsidRPr="00F91831">
        <w:rPr>
          <w:rFonts w:cs="Times New Roman"/>
          <w:sz w:val="24"/>
          <w:szCs w:val="24"/>
        </w:rPr>
        <w:t>ASCII</w:t>
      </w:r>
      <w:r w:rsidR="0045585F" w:rsidRPr="00F91831">
        <w:rPr>
          <w:rFonts w:cs="Times New Roman"/>
          <w:sz w:val="24"/>
          <w:szCs w:val="24"/>
        </w:rPr>
        <w:t>)</w:t>
      </w:r>
      <w:r w:rsidRPr="00F91831">
        <w:rPr>
          <w:rFonts w:cs="Times New Roman"/>
          <w:sz w:val="24"/>
          <w:szCs w:val="24"/>
        </w:rPr>
        <w:t xml:space="preserve"> </w:t>
      </w:r>
      <w:r w:rsidRPr="00AC1CD6">
        <w:rPr>
          <w:rFonts w:cs="Times New Roman"/>
          <w:sz w:val="24"/>
          <w:szCs w:val="24"/>
        </w:rPr>
        <w:t>or Latin scripts</w:t>
      </w:r>
      <w:r>
        <w:rPr>
          <w:rStyle w:val="FootnoteReference"/>
          <w:rFonts w:cs="Times New Roman"/>
          <w:sz w:val="24"/>
          <w:szCs w:val="24"/>
        </w:rPr>
        <w:footnoteReference w:id="159"/>
      </w:r>
      <w:r w:rsidRPr="00AC1CD6">
        <w:rPr>
          <w:rFonts w:cs="Times New Roman"/>
          <w:sz w:val="24"/>
          <w:szCs w:val="24"/>
        </w:rPr>
        <w:t>. </w:t>
      </w:r>
      <w:r w:rsidRPr="00AC1CD6">
        <w:rPr>
          <w:sz w:val="24"/>
          <w:szCs w:val="24"/>
        </w:rPr>
        <w:t>Another view is that expansion of the domain name system could, for example, allow businesses to identify themselves by sector or by their community</w:t>
      </w:r>
      <w:r>
        <w:rPr>
          <w:rStyle w:val="FootnoteReference"/>
          <w:sz w:val="24"/>
          <w:szCs w:val="24"/>
        </w:rPr>
        <w:footnoteReference w:id="160"/>
      </w:r>
      <w:r w:rsidRPr="00AC1CD6">
        <w:rPr>
          <w:sz w:val="24"/>
          <w:szCs w:val="24"/>
        </w:rPr>
        <w:t xml:space="preserve">. </w:t>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2"/>
        </w:numPr>
        <w:spacing w:after="0" w:line="240" w:lineRule="auto"/>
        <w:ind w:left="426" w:hanging="426"/>
        <w:jc w:val="both"/>
        <w:rPr>
          <w:sz w:val="24"/>
          <w:szCs w:val="24"/>
        </w:rPr>
      </w:pPr>
      <w:r w:rsidRPr="00AC1CD6">
        <w:rPr>
          <w:rFonts w:cs="Times New Roman"/>
          <w:sz w:val="24"/>
          <w:szCs w:val="24"/>
        </w:rPr>
        <w:t xml:space="preserve">Concerns have been raised about the magnitude and scale of </w:t>
      </w:r>
      <w:proofErr w:type="spellStart"/>
      <w:r w:rsidRPr="00AC1CD6">
        <w:rPr>
          <w:rFonts w:cs="Times New Roman"/>
          <w:sz w:val="24"/>
          <w:szCs w:val="24"/>
        </w:rPr>
        <w:t>gTLD</w:t>
      </w:r>
      <w:proofErr w:type="spellEnd"/>
      <w:r w:rsidRPr="00AC1CD6">
        <w:rPr>
          <w:rFonts w:cs="Times New Roman"/>
          <w:sz w:val="24"/>
          <w:szCs w:val="24"/>
        </w:rPr>
        <w:t xml:space="preserve"> expansion, transparency in the cost evaluation used in the determination of registry fees</w:t>
      </w:r>
      <w:r w:rsidR="00441081" w:rsidRPr="005D33A9">
        <w:rPr>
          <w:rStyle w:val="FootnoteReference"/>
          <w:rFonts w:cs="Times New Roman"/>
          <w:sz w:val="24"/>
          <w:szCs w:val="24"/>
        </w:rPr>
        <w:footnoteReference w:id="161"/>
      </w:r>
      <w:r w:rsidR="00441081" w:rsidRPr="005D33A9">
        <w:rPr>
          <w:rFonts w:cs="Times New Roman"/>
          <w:sz w:val="24"/>
          <w:szCs w:val="24"/>
        </w:rPr>
        <w:t>, and risks</w:t>
      </w:r>
      <w:r w:rsidRPr="00AC1CD6">
        <w:rPr>
          <w:rFonts w:cs="Times New Roman"/>
          <w:sz w:val="24"/>
          <w:szCs w:val="24"/>
        </w:rPr>
        <w:t xml:space="preserve"> to public interest, business </w:t>
      </w:r>
      <w:r w:rsidRPr="00AC1CD6">
        <w:rPr>
          <w:sz w:val="24"/>
          <w:szCs w:val="24"/>
        </w:rPr>
        <w:t>a</w:t>
      </w:r>
      <w:r w:rsidRPr="00AC1CD6">
        <w:rPr>
          <w:rFonts w:cs="Times New Roman"/>
          <w:sz w:val="24"/>
          <w:szCs w:val="24"/>
        </w:rPr>
        <w:t>nd c</w:t>
      </w:r>
      <w:r w:rsidRPr="00AC1CD6">
        <w:rPr>
          <w:sz w:val="24"/>
          <w:szCs w:val="24"/>
        </w:rPr>
        <w:t>onsumer protections</w:t>
      </w:r>
      <w:r w:rsidR="00441081" w:rsidRPr="005D33A9">
        <w:rPr>
          <w:rStyle w:val="FootnoteReference"/>
          <w:sz w:val="24"/>
          <w:szCs w:val="24"/>
        </w:rPr>
        <w:footnoteReference w:id="162"/>
      </w:r>
      <w:r w:rsidR="00441081" w:rsidRPr="005D33A9">
        <w:rPr>
          <w:sz w:val="24"/>
          <w:szCs w:val="24"/>
        </w:rPr>
        <w:t>. ICANN’s own GAC has actively engaged the ICANN Board and community on a broad range of public issues assoc</w:t>
      </w:r>
      <w:r w:rsidRPr="00AC1CD6">
        <w:rPr>
          <w:sz w:val="24"/>
          <w:szCs w:val="24"/>
        </w:rPr>
        <w:t xml:space="preserve">iated with the expansion of the new </w:t>
      </w:r>
      <w:proofErr w:type="spellStart"/>
      <w:r w:rsidRPr="00AC1CD6">
        <w:rPr>
          <w:sz w:val="24"/>
          <w:szCs w:val="24"/>
        </w:rPr>
        <w:t>gTLD</w:t>
      </w:r>
      <w:proofErr w:type="spellEnd"/>
      <w:r w:rsidRPr="00AC1CD6">
        <w:rPr>
          <w:sz w:val="24"/>
          <w:szCs w:val="24"/>
        </w:rPr>
        <w:t xml:space="preserve"> space since 2007, and developed the GAC Scorecard on new </w:t>
      </w:r>
      <w:proofErr w:type="spellStart"/>
      <w:r w:rsidRPr="00AC1CD6">
        <w:rPr>
          <w:sz w:val="24"/>
          <w:szCs w:val="24"/>
        </w:rPr>
        <w:t>gTLD</w:t>
      </w:r>
      <w:proofErr w:type="spellEnd"/>
      <w:r w:rsidRPr="00AC1CD6">
        <w:rPr>
          <w:sz w:val="24"/>
          <w:szCs w:val="24"/>
        </w:rPr>
        <w:t xml:space="preserve"> outstanding issues, such as security and stability, intellectual property and consumer protection</w:t>
      </w:r>
      <w:r w:rsidR="00441081" w:rsidRPr="005D33A9">
        <w:rPr>
          <w:rStyle w:val="FootnoteReference"/>
          <w:sz w:val="24"/>
          <w:szCs w:val="24"/>
        </w:rPr>
        <w:footnoteReference w:id="163"/>
      </w:r>
      <w:r w:rsidR="00441081" w:rsidRPr="005D33A9">
        <w:rPr>
          <w:rFonts w:cs="Times New Roman"/>
          <w:sz w:val="24"/>
          <w:szCs w:val="24"/>
        </w:rPr>
        <w:t xml:space="preserve">. However, the </w:t>
      </w:r>
      <w:r w:rsidRPr="00AC1CD6">
        <w:rPr>
          <w:sz w:val="24"/>
          <w:szCs w:val="24"/>
        </w:rPr>
        <w:t xml:space="preserve">GAC also raised some concerns on the launch of the new </w:t>
      </w:r>
      <w:proofErr w:type="spellStart"/>
      <w:r w:rsidRPr="00AC1CD6">
        <w:rPr>
          <w:sz w:val="24"/>
          <w:szCs w:val="24"/>
        </w:rPr>
        <w:t>gTLD</w:t>
      </w:r>
      <w:proofErr w:type="spellEnd"/>
      <w:r w:rsidRPr="00AC1CD6">
        <w:rPr>
          <w:sz w:val="24"/>
          <w:szCs w:val="24"/>
        </w:rPr>
        <w:t xml:space="preserve"> </w:t>
      </w:r>
      <w:proofErr w:type="spellStart"/>
      <w:r w:rsidRPr="00AC1CD6">
        <w:rPr>
          <w:sz w:val="24"/>
          <w:szCs w:val="24"/>
        </w:rPr>
        <w:t>programme</w:t>
      </w:r>
      <w:proofErr w:type="spellEnd"/>
      <w:r w:rsidRPr="00AC1CD6">
        <w:rPr>
          <w:sz w:val="24"/>
          <w:szCs w:val="24"/>
        </w:rPr>
        <w:t xml:space="preserve"> by noting that "[t]he GAC appreciates the potentially beneficial opportunities provided by new </w:t>
      </w:r>
      <w:proofErr w:type="spellStart"/>
      <w:r w:rsidRPr="00AC1CD6">
        <w:rPr>
          <w:sz w:val="24"/>
          <w:szCs w:val="24"/>
        </w:rPr>
        <w:t>gTLDs</w:t>
      </w:r>
      <w:proofErr w:type="spellEnd"/>
      <w:r w:rsidRPr="00AC1CD6">
        <w:rPr>
          <w:sz w:val="24"/>
          <w:szCs w:val="24"/>
        </w:rPr>
        <w:t xml:space="preserve">. However, the GAC is concerned that several elements of its advice on important public policy issues, including issues set out in the GAC's letter to the Board on 18th June […], were not followed by the Board prior to the approval of the </w:t>
      </w:r>
      <w:proofErr w:type="spellStart"/>
      <w:r w:rsidRPr="00AC1CD6">
        <w:rPr>
          <w:sz w:val="24"/>
          <w:szCs w:val="24"/>
        </w:rPr>
        <w:t>gTLD</w:t>
      </w:r>
      <w:proofErr w:type="spellEnd"/>
      <w:r w:rsidRPr="00AC1CD6">
        <w:rPr>
          <w:sz w:val="24"/>
          <w:szCs w:val="24"/>
        </w:rPr>
        <w:t xml:space="preserve"> </w:t>
      </w:r>
      <w:proofErr w:type="spellStart"/>
      <w:r w:rsidRPr="00AC1CD6">
        <w:rPr>
          <w:sz w:val="24"/>
          <w:szCs w:val="24"/>
        </w:rPr>
        <w:t>programme</w:t>
      </w:r>
      <w:proofErr w:type="spellEnd"/>
      <w:r w:rsidRPr="00AC1CD6">
        <w:rPr>
          <w:sz w:val="24"/>
          <w:szCs w:val="24"/>
        </w:rPr>
        <w:t>"</w:t>
      </w:r>
      <w:r>
        <w:rPr>
          <w:rStyle w:val="FootnoteReference"/>
          <w:sz w:val="24"/>
          <w:szCs w:val="24"/>
        </w:rPr>
        <w:footnoteReference w:id="164"/>
      </w:r>
      <w:r w:rsidRPr="00AC1CD6">
        <w:rPr>
          <w:sz w:val="24"/>
          <w:szCs w:val="24"/>
        </w:rPr>
        <w:t xml:space="preserve">. </w:t>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2"/>
        </w:numPr>
        <w:spacing w:after="0" w:line="240" w:lineRule="auto"/>
        <w:ind w:left="426" w:hanging="426"/>
        <w:jc w:val="both"/>
        <w:rPr>
          <w:sz w:val="24"/>
          <w:szCs w:val="24"/>
        </w:rPr>
      </w:pPr>
      <w:r w:rsidRPr="00AC1CD6">
        <w:rPr>
          <w:sz w:val="24"/>
          <w:szCs w:val="24"/>
        </w:rPr>
        <w:t xml:space="preserve">According to the ICANN’s New </w:t>
      </w:r>
      <w:proofErr w:type="spellStart"/>
      <w:r w:rsidRPr="00AC1CD6">
        <w:rPr>
          <w:sz w:val="24"/>
          <w:szCs w:val="24"/>
        </w:rPr>
        <w:t>gTLDs</w:t>
      </w:r>
      <w:proofErr w:type="spellEnd"/>
      <w:r w:rsidRPr="00AC1CD6">
        <w:rPr>
          <w:sz w:val="24"/>
          <w:szCs w:val="24"/>
        </w:rPr>
        <w:t xml:space="preserve"> Applicant Guidebook, there is no upper limit on the number of applications for new </w:t>
      </w:r>
      <w:proofErr w:type="spellStart"/>
      <w:r w:rsidRPr="00AC1CD6">
        <w:rPr>
          <w:sz w:val="24"/>
          <w:szCs w:val="24"/>
        </w:rPr>
        <w:t>gTLDs</w:t>
      </w:r>
      <w:proofErr w:type="spellEnd"/>
      <w:r w:rsidRPr="00AC1CD6">
        <w:rPr>
          <w:sz w:val="24"/>
          <w:szCs w:val="24"/>
        </w:rPr>
        <w:t xml:space="preserve">; however, ICANN has committed to no more than 1,000 new </w:t>
      </w:r>
      <w:proofErr w:type="spellStart"/>
      <w:r w:rsidRPr="00AC1CD6">
        <w:rPr>
          <w:sz w:val="24"/>
          <w:szCs w:val="24"/>
        </w:rPr>
        <w:t>gTLDs</w:t>
      </w:r>
      <w:proofErr w:type="spellEnd"/>
      <w:r w:rsidRPr="00AC1CD6">
        <w:rPr>
          <w:sz w:val="24"/>
          <w:szCs w:val="24"/>
        </w:rPr>
        <w:t xml:space="preserve"> being entered into th</w:t>
      </w:r>
      <w:r w:rsidRPr="00AC1CD6">
        <w:rPr>
          <w:rFonts w:cs="Times New Roman"/>
          <w:sz w:val="24"/>
          <w:szCs w:val="24"/>
        </w:rPr>
        <w:t>e root per year in accordance with the results of root zone scaling feasibility studies</w:t>
      </w:r>
      <w:r w:rsidR="00441081" w:rsidRPr="005D33A9">
        <w:rPr>
          <w:rStyle w:val="FootnoteReference"/>
          <w:sz w:val="24"/>
          <w:szCs w:val="24"/>
        </w:rPr>
        <w:footnoteReference w:id="165"/>
      </w:r>
      <w:r>
        <w:rPr>
          <w:rFonts w:cs="Times New Roman"/>
          <w:sz w:val="24"/>
          <w:szCs w:val="24"/>
          <w:vertAlign w:val="superscript"/>
        </w:rPr>
        <w:t>,</w:t>
      </w:r>
      <w:r w:rsidR="00441081" w:rsidRPr="005D33A9">
        <w:rPr>
          <w:rStyle w:val="FootnoteReference"/>
          <w:rFonts w:cs="Times New Roman"/>
          <w:sz w:val="24"/>
          <w:szCs w:val="24"/>
        </w:rPr>
        <w:t xml:space="preserve"> </w:t>
      </w:r>
      <w:r w:rsidR="00441081" w:rsidRPr="005D33A9">
        <w:rPr>
          <w:rStyle w:val="FootnoteReference"/>
          <w:rFonts w:cs="Times New Roman"/>
          <w:sz w:val="24"/>
          <w:szCs w:val="24"/>
        </w:rPr>
        <w:footnoteReference w:id="166"/>
      </w:r>
      <w:r w:rsidRPr="00AC1CD6">
        <w:rPr>
          <w:rFonts w:cs="Times New Roman"/>
          <w:sz w:val="24"/>
          <w:szCs w:val="24"/>
          <w:vertAlign w:val="superscript"/>
        </w:rPr>
        <w:t>.</w:t>
      </w:r>
    </w:p>
    <w:p w:rsidR="007D1F2C" w:rsidRDefault="007D1F2C" w:rsidP="0040201F">
      <w:pPr>
        <w:pStyle w:val="ListParagraph"/>
        <w:spacing w:line="240" w:lineRule="auto"/>
        <w:jc w:val="both"/>
        <w:rPr>
          <w:sz w:val="24"/>
          <w:szCs w:val="24"/>
        </w:rPr>
      </w:pPr>
    </w:p>
    <w:p w:rsidR="007D1F2C" w:rsidRDefault="00441081" w:rsidP="0040201F">
      <w:pPr>
        <w:pStyle w:val="ListParagraph"/>
        <w:numPr>
          <w:ilvl w:val="0"/>
          <w:numId w:val="2"/>
        </w:numPr>
        <w:spacing w:after="0" w:line="240" w:lineRule="auto"/>
        <w:jc w:val="both"/>
        <w:rPr>
          <w:sz w:val="24"/>
          <w:szCs w:val="24"/>
        </w:rPr>
      </w:pPr>
      <w:r w:rsidRPr="005D33A9">
        <w:rPr>
          <w:rFonts w:cs="Times New Roman"/>
          <w:sz w:val="24"/>
          <w:szCs w:val="24"/>
        </w:rPr>
        <w:t xml:space="preserve">There has also been discussion regarding new </w:t>
      </w:r>
      <w:proofErr w:type="spellStart"/>
      <w:r w:rsidRPr="005D33A9">
        <w:rPr>
          <w:rFonts w:cs="Times New Roman"/>
          <w:sz w:val="24"/>
          <w:szCs w:val="24"/>
        </w:rPr>
        <w:t>gTLDs</w:t>
      </w:r>
      <w:proofErr w:type="spellEnd"/>
      <w:r w:rsidRPr="005D33A9">
        <w:rPr>
          <w:rFonts w:cs="Times New Roman"/>
          <w:sz w:val="24"/>
          <w:szCs w:val="24"/>
        </w:rPr>
        <w:t xml:space="preserve"> impact on competition in the market for </w:t>
      </w:r>
      <w:proofErr w:type="spellStart"/>
      <w:r w:rsidRPr="005D33A9">
        <w:rPr>
          <w:rFonts w:cs="Times New Roman"/>
          <w:sz w:val="24"/>
          <w:szCs w:val="24"/>
        </w:rPr>
        <w:t>gTLDs</w:t>
      </w:r>
      <w:proofErr w:type="spellEnd"/>
      <w:r w:rsidR="00AC1CD6" w:rsidRPr="00AC1CD6">
        <w:rPr>
          <w:sz w:val="24"/>
          <w:szCs w:val="24"/>
        </w:rPr>
        <w:t xml:space="preserve">. For example, one view is that there is a risk of creating a multitude of monopolies in the new </w:t>
      </w:r>
      <w:proofErr w:type="spellStart"/>
      <w:r w:rsidR="00AC1CD6" w:rsidRPr="00AC1CD6">
        <w:rPr>
          <w:sz w:val="24"/>
          <w:szCs w:val="24"/>
        </w:rPr>
        <w:t>gTLDs</w:t>
      </w:r>
      <w:proofErr w:type="spellEnd"/>
      <w:r w:rsidRPr="005D33A9">
        <w:rPr>
          <w:rStyle w:val="FootnoteReference"/>
          <w:sz w:val="24"/>
          <w:szCs w:val="24"/>
        </w:rPr>
        <w:footnoteReference w:id="167"/>
      </w:r>
      <w:r w:rsidRPr="005D33A9">
        <w:rPr>
          <w:sz w:val="24"/>
          <w:szCs w:val="24"/>
        </w:rPr>
        <w:t>, especially associated with the cross ownership issues for registries and registrars</w:t>
      </w:r>
      <w:r w:rsidRPr="005D33A9">
        <w:rPr>
          <w:rStyle w:val="FootnoteReference"/>
          <w:sz w:val="24"/>
          <w:szCs w:val="24"/>
        </w:rPr>
        <w:footnoteReference w:id="168"/>
      </w:r>
      <w:r w:rsidRPr="005D33A9">
        <w:rPr>
          <w:sz w:val="24"/>
          <w:szCs w:val="24"/>
        </w:rPr>
        <w:t xml:space="preserve">, while another view is that the new </w:t>
      </w:r>
      <w:proofErr w:type="spellStart"/>
      <w:r w:rsidRPr="005D33A9">
        <w:rPr>
          <w:sz w:val="24"/>
          <w:szCs w:val="24"/>
        </w:rPr>
        <w:t>gTLDs</w:t>
      </w:r>
      <w:proofErr w:type="spellEnd"/>
      <w:r w:rsidRPr="005D33A9">
        <w:rPr>
          <w:sz w:val="24"/>
          <w:szCs w:val="24"/>
        </w:rPr>
        <w:t xml:space="preserve"> represent a substantial step toward increasing competition in the domain name market</w:t>
      </w:r>
      <w:r w:rsidRPr="005D33A9">
        <w:rPr>
          <w:rStyle w:val="FootnoteReference"/>
          <w:sz w:val="24"/>
          <w:szCs w:val="24"/>
        </w:rPr>
        <w:footnoteReference w:id="169"/>
      </w:r>
      <w:r w:rsidRPr="005D33A9">
        <w:rPr>
          <w:sz w:val="24"/>
          <w:szCs w:val="24"/>
        </w:rPr>
        <w:t>. A further potential c</w:t>
      </w:r>
      <w:r w:rsidR="00AC1CD6" w:rsidRPr="00AC1CD6">
        <w:rPr>
          <w:sz w:val="24"/>
          <w:szCs w:val="24"/>
        </w:rPr>
        <w:t>oncern is that the current arrangement regarding the DNS might result in insufficient competition in the domain name marketplace in general</w:t>
      </w:r>
      <w:r w:rsidR="00AC1CD6">
        <w:rPr>
          <w:rStyle w:val="FootnoteReference"/>
          <w:sz w:val="24"/>
          <w:szCs w:val="24"/>
        </w:rPr>
        <w:t xml:space="preserve"> </w:t>
      </w:r>
      <w:r w:rsidRPr="005D33A9">
        <w:rPr>
          <w:rStyle w:val="FootnoteReference"/>
          <w:sz w:val="24"/>
          <w:szCs w:val="24"/>
        </w:rPr>
        <w:footnoteReference w:id="170"/>
      </w:r>
      <w:r w:rsidRPr="005D33A9">
        <w:rPr>
          <w:sz w:val="24"/>
          <w:szCs w:val="24"/>
        </w:rPr>
        <w:t xml:space="preserve">. </w:t>
      </w:r>
      <w:r w:rsidR="00AC1CD6" w:rsidRPr="00AC1CD6">
        <w:rPr>
          <w:rFonts w:cs="Times New Roman"/>
          <w:sz w:val="24"/>
          <w:szCs w:val="24"/>
        </w:rPr>
        <w:t xml:space="preserve">ICANN conducted two studies prior to the launch of the new </w:t>
      </w:r>
      <w:proofErr w:type="spellStart"/>
      <w:r w:rsidR="00AC1CD6" w:rsidRPr="00AC1CD6">
        <w:rPr>
          <w:rFonts w:cs="Times New Roman"/>
          <w:sz w:val="24"/>
          <w:szCs w:val="24"/>
        </w:rPr>
        <w:t>gTLD</w:t>
      </w:r>
      <w:proofErr w:type="spellEnd"/>
      <w:r w:rsidR="00AC1CD6" w:rsidRPr="00AC1CD6">
        <w:rPr>
          <w:rFonts w:cs="Times New Roman"/>
          <w:sz w:val="24"/>
          <w:szCs w:val="24"/>
        </w:rPr>
        <w:t xml:space="preserve"> program, which noted that metrics associated with the first round of </w:t>
      </w:r>
      <w:proofErr w:type="spellStart"/>
      <w:r w:rsidR="00AC1CD6" w:rsidRPr="00AC1CD6">
        <w:rPr>
          <w:rFonts w:cs="Times New Roman"/>
          <w:sz w:val="24"/>
          <w:szCs w:val="24"/>
        </w:rPr>
        <w:t>gTLDs</w:t>
      </w:r>
      <w:proofErr w:type="spellEnd"/>
      <w:r w:rsidR="00AC1CD6" w:rsidRPr="00AC1CD6">
        <w:rPr>
          <w:rFonts w:cs="Times New Roman"/>
          <w:sz w:val="24"/>
          <w:szCs w:val="24"/>
        </w:rPr>
        <w:t xml:space="preserve"> will yield important information regarding competition and other economic factors</w:t>
      </w:r>
      <w:r w:rsidRPr="005D33A9">
        <w:rPr>
          <w:rStyle w:val="FootnoteReference"/>
          <w:sz w:val="24"/>
          <w:szCs w:val="24"/>
        </w:rPr>
        <w:footnoteReference w:id="171"/>
      </w:r>
      <w:r w:rsidR="00AC1CD6" w:rsidRPr="00AC1CD6">
        <w:rPr>
          <w:vertAlign w:val="superscript"/>
        </w:rPr>
        <w:t>,</w:t>
      </w:r>
      <w:r w:rsidRPr="005D33A9">
        <w:rPr>
          <w:rStyle w:val="FootnoteReference"/>
          <w:sz w:val="24"/>
          <w:szCs w:val="24"/>
        </w:rPr>
        <w:footnoteReference w:id="172"/>
      </w:r>
      <w:r w:rsidRPr="005D33A9">
        <w:rPr>
          <w:sz w:val="24"/>
          <w:szCs w:val="24"/>
        </w:rPr>
        <w:t xml:space="preserve">. </w:t>
      </w:r>
    </w:p>
    <w:p w:rsidR="007D1F2C" w:rsidRDefault="007D1F2C" w:rsidP="0040201F">
      <w:pPr>
        <w:spacing w:after="0" w:line="240" w:lineRule="auto"/>
        <w:jc w:val="both"/>
        <w:rPr>
          <w:sz w:val="24"/>
          <w:szCs w:val="24"/>
        </w:rPr>
      </w:pPr>
    </w:p>
    <w:p w:rsidR="007D1F2C" w:rsidRDefault="00AC1CD6" w:rsidP="0040201F">
      <w:pPr>
        <w:pStyle w:val="ListParagraph"/>
        <w:numPr>
          <w:ilvl w:val="0"/>
          <w:numId w:val="2"/>
        </w:numPr>
        <w:spacing w:after="0" w:line="240" w:lineRule="auto"/>
        <w:jc w:val="both"/>
        <w:rPr>
          <w:sz w:val="24"/>
          <w:szCs w:val="24"/>
        </w:rPr>
      </w:pPr>
      <w:r w:rsidRPr="00AC1CD6">
        <w:rPr>
          <w:sz w:val="24"/>
          <w:szCs w:val="24"/>
        </w:rPr>
        <w:t xml:space="preserve">There are also concerns about the impact of multiple new </w:t>
      </w:r>
      <w:proofErr w:type="spellStart"/>
      <w:r w:rsidRPr="00AC1CD6">
        <w:rPr>
          <w:sz w:val="24"/>
          <w:szCs w:val="24"/>
        </w:rPr>
        <w:t>gTLDs</w:t>
      </w:r>
      <w:proofErr w:type="spellEnd"/>
      <w:r w:rsidRPr="00AC1CD6">
        <w:rPr>
          <w:sz w:val="24"/>
          <w:szCs w:val="24"/>
        </w:rPr>
        <w:t xml:space="preserve"> on trademark holders or rights holders, especially those in developing countries, who might be compelled to assume high costs of addressing the possible proliferation of cyber-squatters inhabiting an unlimited number of new </w:t>
      </w:r>
      <w:proofErr w:type="spellStart"/>
      <w:r w:rsidRPr="00AC1CD6">
        <w:rPr>
          <w:sz w:val="24"/>
          <w:szCs w:val="24"/>
        </w:rPr>
        <w:t>gTLDs</w:t>
      </w:r>
      <w:proofErr w:type="spellEnd"/>
      <w:r w:rsidR="00441081" w:rsidRPr="005D33A9">
        <w:rPr>
          <w:rStyle w:val="FootnoteReference"/>
          <w:sz w:val="24"/>
          <w:szCs w:val="24"/>
        </w:rPr>
        <w:footnoteReference w:id="173"/>
      </w:r>
      <w:r w:rsidR="00441081" w:rsidRPr="005D33A9">
        <w:rPr>
          <w:sz w:val="24"/>
          <w:szCs w:val="24"/>
        </w:rPr>
        <w:t xml:space="preserve">. For example, since the domain name is generally used in the URL for the website for a company or organization, there are more possibilities that trademark abusers could use new </w:t>
      </w:r>
      <w:proofErr w:type="spellStart"/>
      <w:r w:rsidR="00441081" w:rsidRPr="005D33A9">
        <w:rPr>
          <w:sz w:val="24"/>
          <w:szCs w:val="24"/>
        </w:rPr>
        <w:t>gTLDs</w:t>
      </w:r>
      <w:proofErr w:type="spellEnd"/>
      <w:r w:rsidR="00441081" w:rsidRPr="005D33A9">
        <w:rPr>
          <w:sz w:val="24"/>
          <w:szCs w:val="24"/>
        </w:rPr>
        <w:t xml:space="preserve"> with tr</w:t>
      </w:r>
      <w:r w:rsidRPr="00AC1CD6">
        <w:rPr>
          <w:sz w:val="24"/>
          <w:szCs w:val="24"/>
        </w:rPr>
        <w:t>ademark protected names or look-alike names that may lead users/consumers to spoofed websites (“phishing”) or to rival company websites (“free riders”).</w:t>
      </w:r>
      <w:r w:rsidR="00BF25FE">
        <w:rPr>
          <w:sz w:val="24"/>
          <w:szCs w:val="24"/>
        </w:rPr>
        <w:t xml:space="preserve"> </w:t>
      </w:r>
      <w:r w:rsidRPr="00AC1CD6">
        <w:rPr>
          <w:sz w:val="24"/>
          <w:szCs w:val="24"/>
        </w:rPr>
        <w:t xml:space="preserve">It may thus be necessary for “www.A.com” registrant to register the same domain name in all other </w:t>
      </w:r>
      <w:proofErr w:type="spellStart"/>
      <w:r w:rsidRPr="00AC1CD6">
        <w:rPr>
          <w:sz w:val="24"/>
          <w:szCs w:val="24"/>
        </w:rPr>
        <w:t>gTLDs</w:t>
      </w:r>
      <w:proofErr w:type="spellEnd"/>
      <w:r w:rsidRPr="00AC1CD6">
        <w:rPr>
          <w:sz w:val="24"/>
          <w:szCs w:val="24"/>
        </w:rPr>
        <w:t>, such as “A.info”, “A.biz”, “A.mobi”, and “A</w:t>
      </w:r>
      <w:proofErr w:type="gramStart"/>
      <w:r w:rsidRPr="00AC1CD6">
        <w:rPr>
          <w:sz w:val="24"/>
          <w:szCs w:val="24"/>
        </w:rPr>
        <w:t>.(</w:t>
      </w:r>
      <w:proofErr w:type="gramEnd"/>
      <w:r w:rsidRPr="00AC1CD6">
        <w:rPr>
          <w:sz w:val="24"/>
          <w:szCs w:val="24"/>
        </w:rPr>
        <w:t xml:space="preserve">all other new </w:t>
      </w:r>
      <w:proofErr w:type="spellStart"/>
      <w:r w:rsidRPr="00AC1CD6">
        <w:rPr>
          <w:sz w:val="24"/>
          <w:szCs w:val="24"/>
        </w:rPr>
        <w:t>gTLDs</w:t>
      </w:r>
      <w:proofErr w:type="spellEnd"/>
      <w:r w:rsidRPr="00AC1CD6">
        <w:rPr>
          <w:sz w:val="24"/>
          <w:szCs w:val="24"/>
        </w:rPr>
        <w:t>)” to protect the trademarked name of “A”</w:t>
      </w:r>
      <w:r w:rsidRPr="00AC1CD6">
        <w:rPr>
          <w:rFonts w:cs="Times New Roman"/>
          <w:sz w:val="24"/>
          <w:szCs w:val="24"/>
        </w:rPr>
        <w:t xml:space="preserve">. With the proposed simultaneous roll-out of multilingual (IDN) </w:t>
      </w:r>
      <w:proofErr w:type="spellStart"/>
      <w:r w:rsidRPr="00AC1CD6">
        <w:rPr>
          <w:rFonts w:cs="Times New Roman"/>
          <w:sz w:val="24"/>
          <w:szCs w:val="24"/>
        </w:rPr>
        <w:t>gTLDs</w:t>
      </w:r>
      <w:proofErr w:type="spellEnd"/>
      <w:r w:rsidRPr="00AC1CD6">
        <w:rPr>
          <w:rFonts w:cs="Times New Roman"/>
          <w:sz w:val="24"/>
          <w:szCs w:val="24"/>
        </w:rPr>
        <w:t>, on</w:t>
      </w:r>
      <w:r w:rsidRPr="00AC1CD6">
        <w:rPr>
          <w:sz w:val="24"/>
          <w:szCs w:val="24"/>
        </w:rPr>
        <w:t>e</w:t>
      </w:r>
      <w:r w:rsidRPr="00AC1CD6">
        <w:rPr>
          <w:rFonts w:cs="Times New Roman"/>
          <w:sz w:val="24"/>
          <w:szCs w:val="24"/>
        </w:rPr>
        <w:t xml:space="preserve"> view is that applicants may find themselves having to pay several multiples of the application fees for multiple do</w:t>
      </w:r>
      <w:r w:rsidRPr="00AC1CD6">
        <w:rPr>
          <w:sz w:val="24"/>
          <w:szCs w:val="24"/>
        </w:rPr>
        <w:t>m</w:t>
      </w:r>
      <w:r w:rsidRPr="00AC1CD6">
        <w:rPr>
          <w:rFonts w:cs="Times New Roman"/>
          <w:sz w:val="24"/>
          <w:szCs w:val="24"/>
          <w:vertAlign w:val="superscript"/>
        </w:rPr>
        <w:t>a</w:t>
      </w:r>
      <w:r w:rsidRPr="00AC1CD6">
        <w:rPr>
          <w:rFonts w:cs="Times New Roman"/>
          <w:sz w:val="24"/>
          <w:szCs w:val="24"/>
        </w:rPr>
        <w:t xml:space="preserve">in names </w:t>
      </w:r>
      <w:r w:rsidRPr="00AC1CD6">
        <w:rPr>
          <w:rFonts w:cstheme="minorHAnsi"/>
          <w:sz w:val="24"/>
          <w:szCs w:val="24"/>
        </w:rPr>
        <w:t>in d</w:t>
      </w:r>
      <w:r w:rsidRPr="00AC1CD6">
        <w:rPr>
          <w:sz w:val="24"/>
          <w:szCs w:val="24"/>
        </w:rPr>
        <w:t>i</w:t>
      </w:r>
      <w:r w:rsidRPr="00AC1CD6">
        <w:rPr>
          <w:rFonts w:cs="Times New Roman"/>
          <w:sz w:val="24"/>
          <w:szCs w:val="24"/>
        </w:rPr>
        <w:t>ffer</w:t>
      </w:r>
      <w:r w:rsidRPr="00AC1CD6">
        <w:rPr>
          <w:sz w:val="24"/>
          <w:szCs w:val="24"/>
        </w:rPr>
        <w:t>ent languages, which might result in a significant financial burden, especially for applicants from developing countries</w:t>
      </w:r>
      <w:r w:rsidR="00441081" w:rsidRPr="005D33A9">
        <w:rPr>
          <w:rStyle w:val="FootnoteReference"/>
          <w:sz w:val="24"/>
          <w:szCs w:val="24"/>
        </w:rPr>
        <w:footnoteReference w:id="174"/>
      </w:r>
      <w:r w:rsidR="00441081" w:rsidRPr="005D33A9">
        <w:rPr>
          <w:sz w:val="24"/>
          <w:szCs w:val="24"/>
        </w:rPr>
        <w:t xml:space="preserve">. </w:t>
      </w:r>
    </w:p>
    <w:p w:rsidR="007D1F2C" w:rsidRDefault="007D1F2C" w:rsidP="0040201F">
      <w:pPr>
        <w:pStyle w:val="ListParagraph"/>
        <w:spacing w:after="0" w:line="240" w:lineRule="auto"/>
        <w:ind w:left="360"/>
        <w:jc w:val="both"/>
        <w:rPr>
          <w:sz w:val="24"/>
          <w:szCs w:val="24"/>
        </w:rPr>
      </w:pPr>
    </w:p>
    <w:p w:rsidR="007D1F2C" w:rsidRDefault="00AC1CD6" w:rsidP="0040201F">
      <w:pPr>
        <w:pStyle w:val="ListParagraph"/>
        <w:numPr>
          <w:ilvl w:val="0"/>
          <w:numId w:val="2"/>
        </w:numPr>
        <w:spacing w:after="0" w:line="240" w:lineRule="auto"/>
        <w:jc w:val="both"/>
        <w:rPr>
          <w:sz w:val="24"/>
          <w:szCs w:val="24"/>
        </w:rPr>
      </w:pPr>
      <w:r w:rsidRPr="00AC1CD6">
        <w:rPr>
          <w:sz w:val="24"/>
          <w:szCs w:val="24"/>
        </w:rPr>
        <w:t xml:space="preserve">ICANN’s </w:t>
      </w:r>
      <w:r w:rsidRPr="00AC1CD6">
        <w:rPr>
          <w:rFonts w:cs="Times New Roman"/>
          <w:sz w:val="24"/>
          <w:szCs w:val="24"/>
        </w:rPr>
        <w:t xml:space="preserve">Applicant Guidebook </w:t>
      </w:r>
      <w:r w:rsidRPr="00F91831">
        <w:rPr>
          <w:rFonts w:cs="Times New Roman"/>
          <w:sz w:val="24"/>
          <w:szCs w:val="24"/>
        </w:rPr>
        <w:t>contains new rights protections mechanisms to address some of these concerns</w:t>
      </w:r>
      <w:r w:rsidR="00441081" w:rsidRPr="00F91831">
        <w:rPr>
          <w:rStyle w:val="FootnoteReference"/>
          <w:rFonts w:cs="Times New Roman"/>
          <w:sz w:val="24"/>
          <w:szCs w:val="24"/>
        </w:rPr>
        <w:footnoteReference w:id="175"/>
      </w:r>
      <w:r w:rsidRPr="00F91831">
        <w:rPr>
          <w:rFonts w:cstheme="minorHAnsi"/>
          <w:sz w:val="24"/>
          <w:szCs w:val="24"/>
          <w:vertAlign w:val="superscript"/>
        </w:rPr>
        <w:t>,</w:t>
      </w:r>
      <w:r w:rsidR="00441081" w:rsidRPr="00F91831">
        <w:rPr>
          <w:rStyle w:val="FootnoteReference"/>
          <w:rFonts w:cstheme="minorHAnsi"/>
          <w:sz w:val="24"/>
          <w:szCs w:val="24"/>
        </w:rPr>
        <w:footnoteReference w:id="176"/>
      </w:r>
      <w:proofErr w:type="gramStart"/>
      <w:r w:rsidR="00441081" w:rsidRPr="00F91831">
        <w:rPr>
          <w:rFonts w:cs="Times New Roman"/>
          <w:sz w:val="24"/>
          <w:szCs w:val="24"/>
        </w:rPr>
        <w:t>,</w:t>
      </w:r>
      <w:proofErr w:type="gramEnd"/>
      <w:r w:rsidR="00441081" w:rsidRPr="00F91831">
        <w:rPr>
          <w:rFonts w:cs="Times New Roman"/>
          <w:sz w:val="24"/>
          <w:szCs w:val="24"/>
        </w:rPr>
        <w:t xml:space="preserve"> </w:t>
      </w:r>
      <w:r w:rsidR="00441081" w:rsidRPr="00F91831">
        <w:rPr>
          <w:sz w:val="24"/>
          <w:szCs w:val="24"/>
        </w:rPr>
        <w:t>such as a trademark clearing house and a uniform rapid suspension system to resolve disputes as they arise. However, some contend that various policy challenges persist</w:t>
      </w:r>
      <w:r w:rsidR="00441081" w:rsidRPr="00F91831">
        <w:rPr>
          <w:rStyle w:val="FootnoteReference"/>
          <w:sz w:val="24"/>
          <w:szCs w:val="24"/>
        </w:rPr>
        <w:footnoteReference w:id="177"/>
      </w:r>
      <w:r w:rsidR="00441081" w:rsidRPr="00F91831">
        <w:rPr>
          <w:sz w:val="24"/>
          <w:szCs w:val="24"/>
        </w:rPr>
        <w:t>. The protection against the possible misleading use of the nam</w:t>
      </w:r>
      <w:r w:rsidRPr="00F91831">
        <w:rPr>
          <w:sz w:val="24"/>
          <w:szCs w:val="24"/>
        </w:rPr>
        <w:t xml:space="preserve">es and acronyms of inter-governmental organizations (IGOs) has been cited as one example, with ongoing discussions about how to respond to this. In its Toronto Communiqué, the GAC advised the ICANN Board that, in the public interest, the implementation of the protection of IGO names and acronyms under the new </w:t>
      </w:r>
      <w:proofErr w:type="spellStart"/>
      <w:r w:rsidRPr="00F91831">
        <w:rPr>
          <w:sz w:val="24"/>
          <w:szCs w:val="24"/>
        </w:rPr>
        <w:t>gTLDs</w:t>
      </w:r>
      <w:proofErr w:type="spellEnd"/>
      <w:r w:rsidRPr="00F91831">
        <w:rPr>
          <w:sz w:val="24"/>
          <w:szCs w:val="24"/>
        </w:rPr>
        <w:t xml:space="preserve"> must be accomplished</w:t>
      </w:r>
      <w:r w:rsidRPr="00AC1CD6">
        <w:rPr>
          <w:sz w:val="24"/>
          <w:szCs w:val="24"/>
        </w:rPr>
        <w:t xml:space="preserve"> prior to the delegation of any new </w:t>
      </w:r>
      <w:proofErr w:type="spellStart"/>
      <w:r w:rsidRPr="00AC1CD6">
        <w:rPr>
          <w:sz w:val="24"/>
          <w:szCs w:val="24"/>
        </w:rPr>
        <w:t>gTLDs</w:t>
      </w:r>
      <w:proofErr w:type="spellEnd"/>
      <w:r w:rsidRPr="00AC1CD6">
        <w:rPr>
          <w:sz w:val="24"/>
          <w:szCs w:val="24"/>
        </w:rPr>
        <w:t xml:space="preserve">, and is developing a list of the </w:t>
      </w:r>
      <w:r w:rsidRPr="0045585F">
        <w:rPr>
          <w:sz w:val="24"/>
          <w:szCs w:val="24"/>
        </w:rPr>
        <w:t>IGO</w:t>
      </w:r>
      <w:r w:rsidRPr="00AC1CD6">
        <w:rPr>
          <w:sz w:val="24"/>
          <w:szCs w:val="24"/>
        </w:rPr>
        <w:t xml:space="preserve"> names for protection in collaboration with its IGO members</w:t>
      </w:r>
      <w:r w:rsidR="00441081" w:rsidRPr="005D33A9">
        <w:rPr>
          <w:rStyle w:val="FootnoteReference"/>
          <w:sz w:val="24"/>
          <w:szCs w:val="24"/>
        </w:rPr>
        <w:footnoteReference w:id="178"/>
      </w:r>
      <w:r w:rsidRPr="00AC1CD6">
        <w:rPr>
          <w:sz w:val="24"/>
          <w:szCs w:val="24"/>
        </w:rPr>
        <w:t xml:space="preserve">. Within ICANN, it has been acknowledged that the rights of governments or public authorities in relation to the rights of the sovereign state or territory which they represent cannot be limited or made conditional by any procedures that ICANN introduces for new </w:t>
      </w:r>
      <w:proofErr w:type="spellStart"/>
      <w:r w:rsidRPr="00AC1CD6">
        <w:rPr>
          <w:sz w:val="24"/>
          <w:szCs w:val="24"/>
        </w:rPr>
        <w:t>gTLDs</w:t>
      </w:r>
      <w:proofErr w:type="spellEnd"/>
      <w:r w:rsidRPr="00AC1CD6">
        <w:rPr>
          <w:sz w:val="24"/>
          <w:szCs w:val="24"/>
        </w:rPr>
        <w:t>, and as such, ICANN should avoid country, territory or place names, and country, territory or regional language or people descriptions, unless in agreement with the relevant governments or public authorities</w:t>
      </w:r>
      <w:r w:rsidR="00441081" w:rsidRPr="005D33A9">
        <w:rPr>
          <w:rStyle w:val="FootnoteReference"/>
          <w:sz w:val="24"/>
          <w:szCs w:val="24"/>
        </w:rPr>
        <w:footnoteReference w:id="179"/>
      </w:r>
      <w:r w:rsidR="00441081" w:rsidRPr="005D33A9">
        <w:rPr>
          <w:sz w:val="24"/>
          <w:szCs w:val="24"/>
        </w:rPr>
        <w:t>.</w:t>
      </w:r>
    </w:p>
    <w:p w:rsidR="007D1F2C" w:rsidRDefault="007D1F2C" w:rsidP="0040201F">
      <w:pPr>
        <w:spacing w:after="0" w:line="240" w:lineRule="auto"/>
        <w:jc w:val="both"/>
        <w:rPr>
          <w:sz w:val="24"/>
          <w:szCs w:val="24"/>
        </w:rPr>
      </w:pPr>
    </w:p>
    <w:p w:rsidR="007D1F2C" w:rsidRDefault="00AC1CD6" w:rsidP="0040201F">
      <w:pPr>
        <w:pStyle w:val="ListParagraph"/>
        <w:numPr>
          <w:ilvl w:val="0"/>
          <w:numId w:val="2"/>
        </w:numPr>
        <w:spacing w:after="0" w:line="240" w:lineRule="auto"/>
        <w:jc w:val="both"/>
        <w:rPr>
          <w:sz w:val="24"/>
          <w:szCs w:val="24"/>
        </w:rPr>
      </w:pPr>
      <w:r w:rsidRPr="00AC1CD6">
        <w:rPr>
          <w:sz w:val="24"/>
          <w:szCs w:val="24"/>
        </w:rPr>
        <w:t xml:space="preserve">Acknowledging concerns relating to competition, consumer protection, security, and trademarks, following the first round of the new </w:t>
      </w:r>
      <w:proofErr w:type="spellStart"/>
      <w:r w:rsidRPr="00AC1CD6">
        <w:rPr>
          <w:sz w:val="24"/>
          <w:szCs w:val="24"/>
        </w:rPr>
        <w:t>gTLD</w:t>
      </w:r>
      <w:proofErr w:type="spellEnd"/>
      <w:r w:rsidRPr="00AC1CD6">
        <w:rPr>
          <w:sz w:val="24"/>
          <w:szCs w:val="24"/>
        </w:rPr>
        <w:t xml:space="preserve"> applications, ICANN has committed to organize a review that will examine the extent to which the introduction or expansion of </w:t>
      </w:r>
      <w:proofErr w:type="spellStart"/>
      <w:r w:rsidRPr="00AC1CD6">
        <w:rPr>
          <w:sz w:val="24"/>
          <w:szCs w:val="24"/>
        </w:rPr>
        <w:t>gTLDs</w:t>
      </w:r>
      <w:proofErr w:type="spellEnd"/>
      <w:r w:rsidRPr="00AC1CD6">
        <w:rPr>
          <w:sz w:val="24"/>
          <w:szCs w:val="24"/>
        </w:rPr>
        <w:t xml:space="preserve"> has promoted competition, consumer trust and consumer choice, as well as the effect of (a) the application and evaluation process, and (b) safeguards put in place to mitigate issues involved in the introduction or expansion</w:t>
      </w:r>
      <w:r w:rsidR="00441081" w:rsidRPr="005D33A9">
        <w:rPr>
          <w:rStyle w:val="FootnoteReference"/>
          <w:sz w:val="24"/>
          <w:szCs w:val="24"/>
        </w:rPr>
        <w:footnoteReference w:id="180"/>
      </w:r>
      <w:r w:rsidR="00441081" w:rsidRPr="005D33A9">
        <w:rPr>
          <w:sz w:val="24"/>
          <w:szCs w:val="24"/>
        </w:rPr>
        <w:t>. ICANN plans to organize a further review of its execution of the above commitments two years after the first review, which will be performed by volunteer community members an</w:t>
      </w:r>
      <w:r w:rsidRPr="00AC1CD6">
        <w:rPr>
          <w:sz w:val="24"/>
          <w:szCs w:val="24"/>
        </w:rPr>
        <w:t>d the review team, whose composition will be agreed jointly by the GAC Chair and the CEO of ICANN</w:t>
      </w:r>
      <w:r w:rsidR="00441081" w:rsidRPr="005D33A9">
        <w:rPr>
          <w:rStyle w:val="FootnoteReference"/>
          <w:sz w:val="24"/>
          <w:szCs w:val="24"/>
        </w:rPr>
        <w:footnoteReference w:id="181"/>
      </w:r>
      <w:r w:rsidR="00441081" w:rsidRPr="005D33A9">
        <w:rPr>
          <w:sz w:val="24"/>
          <w:szCs w:val="24"/>
        </w:rPr>
        <w:t xml:space="preserve">. These reviews could provide the international multi-stakeholder community, including governments, with an opportunity to comment on and make improvements to the new </w:t>
      </w:r>
      <w:proofErr w:type="spellStart"/>
      <w:r w:rsidR="00441081" w:rsidRPr="005D33A9">
        <w:rPr>
          <w:sz w:val="24"/>
          <w:szCs w:val="24"/>
        </w:rPr>
        <w:t>gTLD</w:t>
      </w:r>
      <w:proofErr w:type="spellEnd"/>
      <w:r w:rsidR="00441081" w:rsidRPr="005D33A9">
        <w:rPr>
          <w:sz w:val="24"/>
          <w:szCs w:val="24"/>
        </w:rPr>
        <w:t xml:space="preserve"> program</w:t>
      </w:r>
      <w:r w:rsidR="00441081" w:rsidRPr="005D33A9">
        <w:rPr>
          <w:rStyle w:val="FootnoteReference"/>
          <w:sz w:val="24"/>
          <w:szCs w:val="24"/>
        </w:rPr>
        <w:footnoteReference w:id="182"/>
      </w:r>
      <w:proofErr w:type="gramStart"/>
      <w:r w:rsidRPr="00AC1CD6">
        <w:rPr>
          <w:vertAlign w:val="superscript"/>
        </w:rPr>
        <w:t>,</w:t>
      </w:r>
      <w:r w:rsidR="00441081" w:rsidRPr="005D33A9">
        <w:rPr>
          <w:rStyle w:val="FootnoteReference"/>
          <w:rFonts w:cstheme="minorHAnsi"/>
          <w:sz w:val="24"/>
          <w:szCs w:val="24"/>
        </w:rPr>
        <w:footnoteReference w:id="183"/>
      </w:r>
      <w:r w:rsidR="00441081" w:rsidRPr="005D33A9">
        <w:rPr>
          <w:sz w:val="24"/>
          <w:szCs w:val="24"/>
        </w:rPr>
        <w:t>.</w:t>
      </w:r>
      <w:proofErr w:type="gramEnd"/>
    </w:p>
    <w:p w:rsidR="007D1F2C" w:rsidRDefault="007D1F2C" w:rsidP="0040201F">
      <w:pPr>
        <w:spacing w:after="0" w:line="240" w:lineRule="auto"/>
        <w:jc w:val="both"/>
        <w:rPr>
          <w:b/>
          <w:bCs/>
          <w:sz w:val="24"/>
          <w:szCs w:val="24"/>
        </w:rPr>
      </w:pPr>
    </w:p>
    <w:p w:rsidR="007D1F2C" w:rsidRDefault="00AC1CD6" w:rsidP="0040201F">
      <w:pPr>
        <w:spacing w:after="0" w:line="240" w:lineRule="auto"/>
        <w:jc w:val="both"/>
        <w:rPr>
          <w:b/>
          <w:bCs/>
          <w:sz w:val="24"/>
          <w:szCs w:val="24"/>
        </w:rPr>
      </w:pPr>
      <w:r w:rsidRPr="00AC1CD6">
        <w:rPr>
          <w:b/>
          <w:bCs/>
          <w:sz w:val="24"/>
          <w:szCs w:val="24"/>
        </w:rPr>
        <w:t xml:space="preserve">2.3.4.2 </w:t>
      </w:r>
      <w:r w:rsidR="00B97C5D">
        <w:rPr>
          <w:b/>
          <w:bCs/>
          <w:sz w:val="24"/>
          <w:szCs w:val="24"/>
        </w:rPr>
        <w:t xml:space="preserve">  </w:t>
      </w:r>
      <w:proofErr w:type="gramStart"/>
      <w:r w:rsidRPr="00AC1CD6">
        <w:rPr>
          <w:b/>
          <w:bCs/>
          <w:sz w:val="24"/>
          <w:szCs w:val="24"/>
        </w:rPr>
        <w:t>country</w:t>
      </w:r>
      <w:proofErr w:type="gramEnd"/>
      <w:r w:rsidRPr="00AC1CD6">
        <w:rPr>
          <w:b/>
          <w:bCs/>
          <w:sz w:val="24"/>
          <w:szCs w:val="24"/>
        </w:rPr>
        <w:t xml:space="preserve"> code Top-Level Domains (</w:t>
      </w:r>
      <w:proofErr w:type="spellStart"/>
      <w:r w:rsidRPr="00AC1CD6">
        <w:rPr>
          <w:b/>
          <w:bCs/>
          <w:sz w:val="24"/>
          <w:szCs w:val="24"/>
        </w:rPr>
        <w:t>ccTLDs</w:t>
      </w:r>
      <w:proofErr w:type="spellEnd"/>
      <w:r w:rsidRPr="00AC1CD6">
        <w:rPr>
          <w:b/>
          <w:bCs/>
          <w:sz w:val="24"/>
          <w:szCs w:val="24"/>
        </w:rPr>
        <w:t>) under the DNS</w:t>
      </w:r>
    </w:p>
    <w:p w:rsidR="007D1F2C" w:rsidRDefault="007D1F2C" w:rsidP="0040201F">
      <w:pPr>
        <w:spacing w:after="0" w:line="240" w:lineRule="auto"/>
        <w:jc w:val="both"/>
        <w:rPr>
          <w:b/>
          <w:bCs/>
          <w:sz w:val="24"/>
          <w:szCs w:val="24"/>
        </w:rPr>
      </w:pPr>
    </w:p>
    <w:p w:rsidR="007D1F2C" w:rsidRDefault="00AC1CD6" w:rsidP="0040201F">
      <w:pPr>
        <w:pStyle w:val="ListParagraph"/>
        <w:numPr>
          <w:ilvl w:val="0"/>
          <w:numId w:val="3"/>
        </w:numPr>
        <w:spacing w:after="0" w:line="240" w:lineRule="auto"/>
        <w:ind w:left="425" w:hanging="425"/>
        <w:jc w:val="both"/>
        <w:rPr>
          <w:sz w:val="24"/>
          <w:szCs w:val="24"/>
        </w:rPr>
      </w:pPr>
      <w:r w:rsidRPr="00AC1CD6">
        <w:rPr>
          <w:sz w:val="24"/>
          <w:szCs w:val="24"/>
        </w:rPr>
        <w:t>A ccTLD is generally used or reserved for a country, territory or area of geographical interest. Its subdivisions are identified in ISO 3166-1 standard</w:t>
      </w:r>
      <w:r w:rsidR="00441081" w:rsidRPr="005D33A9">
        <w:rPr>
          <w:rStyle w:val="FootnoteReference"/>
          <w:sz w:val="24"/>
          <w:szCs w:val="24"/>
        </w:rPr>
        <w:footnoteReference w:id="184"/>
      </w:r>
      <w:r w:rsidR="00441081" w:rsidRPr="005D33A9">
        <w:rPr>
          <w:sz w:val="24"/>
          <w:szCs w:val="24"/>
        </w:rPr>
        <w:t xml:space="preserve"> and represented by two </w:t>
      </w:r>
      <w:r w:rsidR="00441081" w:rsidRPr="005D33A9">
        <w:rPr>
          <w:sz w:val="24"/>
          <w:szCs w:val="24"/>
        </w:rPr>
        <w:lastRenderedPageBreak/>
        <w:t>U</w:t>
      </w:r>
      <w:r w:rsidRPr="00AC1CD6">
        <w:rPr>
          <w:sz w:val="24"/>
          <w:szCs w:val="24"/>
        </w:rPr>
        <w:t xml:space="preserve">S-ASCII characters. The two letters chosen for each ccTLD are taken directly from the ISO 3166-1 list or the list of reserved Alpha-2 code elements defined by the ISO 3166 Maintenance Agency. </w:t>
      </w:r>
    </w:p>
    <w:p w:rsidR="007D1F2C" w:rsidRDefault="007D1F2C" w:rsidP="0040201F">
      <w:pPr>
        <w:pStyle w:val="ListParagraph"/>
        <w:spacing w:after="0" w:line="240" w:lineRule="auto"/>
        <w:ind w:left="425"/>
        <w:jc w:val="both"/>
        <w:rPr>
          <w:sz w:val="24"/>
          <w:szCs w:val="24"/>
        </w:rPr>
      </w:pPr>
    </w:p>
    <w:p w:rsidR="007D1F2C" w:rsidRDefault="00AC1CD6" w:rsidP="0040201F">
      <w:pPr>
        <w:pStyle w:val="ListParagraph"/>
        <w:numPr>
          <w:ilvl w:val="0"/>
          <w:numId w:val="3"/>
        </w:numPr>
        <w:spacing w:after="0" w:line="240" w:lineRule="auto"/>
        <w:ind w:left="426" w:hanging="426"/>
        <w:jc w:val="both"/>
        <w:rPr>
          <w:sz w:val="24"/>
          <w:szCs w:val="24"/>
        </w:rPr>
      </w:pPr>
      <w:r w:rsidRPr="00AC1CD6">
        <w:rPr>
          <w:sz w:val="24"/>
          <w:szCs w:val="24"/>
        </w:rPr>
        <w:t xml:space="preserve">IANA is responsible for the delegation or re-delegation of an appropriate trustee for each ccTLD, but it has no responsibility over the entries on the ISO 3166-1 list.  From the list of </w:t>
      </w:r>
      <w:proofErr w:type="spellStart"/>
      <w:r w:rsidRPr="00AC1CD6">
        <w:rPr>
          <w:sz w:val="24"/>
          <w:szCs w:val="24"/>
        </w:rPr>
        <w:t>ccTLDs</w:t>
      </w:r>
      <w:proofErr w:type="spellEnd"/>
      <w:r w:rsidRPr="00AC1CD6">
        <w:rPr>
          <w:sz w:val="24"/>
          <w:szCs w:val="24"/>
        </w:rPr>
        <w:t xml:space="preserve">, the authority over each ccTLD is delegated to a trustee responsible for the policies and operation of the domain. </w:t>
      </w:r>
    </w:p>
    <w:p w:rsidR="00D918E6" w:rsidRPr="00D918E6" w:rsidRDefault="00D918E6" w:rsidP="0040201F">
      <w:pPr>
        <w:spacing w:after="0" w:line="240" w:lineRule="auto"/>
        <w:jc w:val="both"/>
        <w:rPr>
          <w:sz w:val="24"/>
          <w:szCs w:val="24"/>
          <w:lang w:val="en-CA"/>
        </w:rPr>
      </w:pPr>
    </w:p>
    <w:p w:rsidR="007D1F2C" w:rsidRDefault="00AC1CD6" w:rsidP="0040201F">
      <w:pPr>
        <w:pStyle w:val="ListParagraph"/>
        <w:numPr>
          <w:ilvl w:val="0"/>
          <w:numId w:val="3"/>
        </w:numPr>
        <w:spacing w:after="0" w:line="240" w:lineRule="auto"/>
        <w:ind w:left="426" w:hanging="426"/>
        <w:jc w:val="both"/>
        <w:rPr>
          <w:rFonts w:eastAsia="Times New Roman" w:cs="Times New Roman"/>
          <w:i/>
          <w:iCs/>
          <w:sz w:val="24"/>
          <w:szCs w:val="24"/>
        </w:rPr>
      </w:pPr>
      <w:r w:rsidRPr="00AC1CD6">
        <w:rPr>
          <w:rFonts w:eastAsia="Times New Roman" w:cs="Times New Roman"/>
          <w:i/>
          <w:iCs/>
          <w:sz w:val="24"/>
          <w:szCs w:val="24"/>
        </w:rPr>
        <w:t xml:space="preserve">“The delegation or </w:t>
      </w:r>
      <w:proofErr w:type="spellStart"/>
      <w:r w:rsidRPr="00AC1CD6">
        <w:rPr>
          <w:rFonts w:eastAsia="Times New Roman" w:cs="Times New Roman"/>
          <w:i/>
          <w:iCs/>
          <w:sz w:val="24"/>
          <w:szCs w:val="24"/>
        </w:rPr>
        <w:t>redelegation</w:t>
      </w:r>
      <w:proofErr w:type="spellEnd"/>
      <w:r w:rsidRPr="00AC1CD6">
        <w:rPr>
          <w:rFonts w:eastAsia="Times New Roman" w:cs="Times New Roman"/>
          <w:i/>
          <w:iCs/>
          <w:sz w:val="24"/>
          <w:szCs w:val="24"/>
        </w:rPr>
        <w:t xml:space="preserve"> of a ccTLD, while conceptually simple, can become complex because many different organizations and individuals play a part in the process. For example:</w:t>
      </w:r>
    </w:p>
    <w:p w:rsidR="007D1F2C" w:rsidRDefault="00AC1CD6" w:rsidP="0040201F">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proposed new operator (applicant)</w:t>
      </w:r>
      <w:r w:rsidRPr="00AC1CD6">
        <w:rPr>
          <w:rFonts w:eastAsia="Times New Roman" w:cs="Times New Roman"/>
          <w:i/>
          <w:iCs/>
          <w:sz w:val="24"/>
          <w:szCs w:val="24"/>
        </w:rPr>
        <w:t xml:space="preserve"> typically initiates the process and provides the needed information in a standard format.</w:t>
      </w:r>
    </w:p>
    <w:p w:rsidR="007D1F2C" w:rsidRDefault="00AC1CD6" w:rsidP="0040201F">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existing operator</w:t>
      </w:r>
      <w:r w:rsidRPr="00AC1CD6">
        <w:rPr>
          <w:rFonts w:eastAsia="Times New Roman" w:cs="Times New Roman"/>
          <w:i/>
          <w:iCs/>
          <w:sz w:val="24"/>
          <w:szCs w:val="24"/>
        </w:rPr>
        <w:t xml:space="preserve"> is contacted to confirm the change is appropriate and should be implemented, in the event of a </w:t>
      </w:r>
      <w:proofErr w:type="spellStart"/>
      <w:r w:rsidRPr="00AC1CD6">
        <w:rPr>
          <w:rFonts w:eastAsia="Times New Roman" w:cs="Times New Roman"/>
          <w:i/>
          <w:iCs/>
          <w:sz w:val="24"/>
          <w:szCs w:val="24"/>
        </w:rPr>
        <w:t>redelegation</w:t>
      </w:r>
      <w:proofErr w:type="spellEnd"/>
      <w:r w:rsidRPr="00AC1CD6">
        <w:rPr>
          <w:rFonts w:eastAsia="Times New Roman" w:cs="Times New Roman"/>
          <w:i/>
          <w:iCs/>
          <w:sz w:val="24"/>
          <w:szCs w:val="24"/>
        </w:rPr>
        <w:t xml:space="preserve"> request.</w:t>
      </w:r>
    </w:p>
    <w:p w:rsidR="007D1F2C" w:rsidRDefault="00AC1CD6" w:rsidP="0040201F">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sponsoring organization</w:t>
      </w:r>
      <w:r w:rsidRPr="00AC1CD6">
        <w:rPr>
          <w:rFonts w:eastAsia="Times New Roman" w:cs="Times New Roman"/>
          <w:i/>
          <w:iCs/>
          <w:sz w:val="24"/>
          <w:szCs w:val="24"/>
        </w:rPr>
        <w:t xml:space="preserve">, in many cases the government associated with the ccTLD, is asked to verify that the </w:t>
      </w:r>
      <w:proofErr w:type="spellStart"/>
      <w:r w:rsidRPr="00AC1CD6">
        <w:rPr>
          <w:rFonts w:eastAsia="Times New Roman" w:cs="Times New Roman"/>
          <w:i/>
          <w:iCs/>
          <w:sz w:val="24"/>
          <w:szCs w:val="24"/>
        </w:rPr>
        <w:t>redelegation</w:t>
      </w:r>
      <w:proofErr w:type="spellEnd"/>
      <w:r w:rsidRPr="00AC1CD6">
        <w:rPr>
          <w:rFonts w:eastAsia="Times New Roman" w:cs="Times New Roman"/>
          <w:i/>
          <w:iCs/>
          <w:sz w:val="24"/>
          <w:szCs w:val="24"/>
        </w:rPr>
        <w:t xml:space="preserve"> is supported.</w:t>
      </w:r>
    </w:p>
    <w:p w:rsidR="007D1F2C" w:rsidRDefault="00AC1CD6" w:rsidP="0040201F">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Those parties served by the ccTLD</w:t>
      </w:r>
      <w:r w:rsidRPr="00AC1CD6">
        <w:rPr>
          <w:rFonts w:eastAsia="Times New Roman" w:cs="Times New Roman"/>
          <w:i/>
          <w:iCs/>
          <w:sz w:val="24"/>
          <w:szCs w:val="24"/>
        </w:rPr>
        <w:t xml:space="preserve"> are asked to show that they support the request and that it meets the interests and needs of the local Internet community.</w:t>
      </w:r>
    </w:p>
    <w:p w:rsidR="007D1F2C" w:rsidRDefault="00AC1CD6" w:rsidP="0040201F">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IANA Root Management Staff</w:t>
      </w:r>
      <w:r w:rsidRPr="00AC1CD6">
        <w:rPr>
          <w:rFonts w:eastAsia="Times New Roman" w:cs="Times New Roman"/>
          <w:i/>
          <w:iCs/>
          <w:sz w:val="24"/>
          <w:szCs w:val="24"/>
        </w:rPr>
        <w:t xml:space="preserve"> act as the coordinator and analyst for the request. This work includes investigating the details of the request, preparing a recommendation for the ICANN Board, and implementing the request if it is approved.</w:t>
      </w:r>
    </w:p>
    <w:p w:rsidR="007D1F2C" w:rsidRDefault="00AC1CD6" w:rsidP="0040201F">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ICANN Board of Directors</w:t>
      </w:r>
      <w:r w:rsidRPr="00AC1CD6">
        <w:rPr>
          <w:rFonts w:eastAsia="Times New Roman" w:cs="Times New Roman"/>
          <w:i/>
          <w:iCs/>
          <w:sz w:val="24"/>
          <w:szCs w:val="24"/>
        </w:rPr>
        <w:t xml:space="preserve"> considers the recommendation prepared by IANA staff and then votes on whether the request should move forward.</w:t>
      </w:r>
    </w:p>
    <w:p w:rsidR="007D1F2C" w:rsidRDefault="00AC1CD6" w:rsidP="0040201F">
      <w:pPr>
        <w:numPr>
          <w:ilvl w:val="0"/>
          <w:numId w:val="26"/>
        </w:numPr>
        <w:spacing w:before="100" w:beforeAutospacing="1" w:after="100" w:afterAutospacing="1" w:line="240" w:lineRule="auto"/>
        <w:jc w:val="both"/>
        <w:rPr>
          <w:rFonts w:eastAsia="Times New Roman" w:cs="Times New Roman"/>
          <w:i/>
          <w:iCs/>
          <w:sz w:val="24"/>
          <w:szCs w:val="24"/>
        </w:rPr>
      </w:pPr>
      <w:r w:rsidRPr="00AC1CD6">
        <w:rPr>
          <w:rFonts w:eastAsia="Times New Roman" w:cs="Times New Roman"/>
          <w:b/>
          <w:bCs/>
          <w:i/>
          <w:iCs/>
          <w:sz w:val="24"/>
          <w:szCs w:val="24"/>
        </w:rPr>
        <w:t>The US Department of Commerce</w:t>
      </w:r>
      <w:r w:rsidRPr="00AC1CD6">
        <w:rPr>
          <w:rFonts w:eastAsia="Times New Roman" w:cs="Times New Roman"/>
          <w:i/>
          <w:iCs/>
          <w:sz w:val="24"/>
          <w:szCs w:val="24"/>
        </w:rPr>
        <w:t xml:space="preserve"> evaluates a report on the request prepared by IANA staff.”</w:t>
      </w:r>
      <w:r w:rsidR="00C40B69" w:rsidRPr="005D33A9">
        <w:rPr>
          <w:rStyle w:val="FootnoteReference"/>
          <w:rFonts w:eastAsia="Times New Roman" w:cs="Times New Roman"/>
          <w:i/>
          <w:iCs/>
          <w:sz w:val="24"/>
          <w:szCs w:val="24"/>
        </w:rPr>
        <w:footnoteReference w:id="185"/>
      </w:r>
    </w:p>
    <w:p w:rsidR="00633409" w:rsidRDefault="00E570BE" w:rsidP="0040201F">
      <w:pPr>
        <w:pStyle w:val="ListParagraph"/>
        <w:numPr>
          <w:ilvl w:val="0"/>
          <w:numId w:val="3"/>
        </w:numPr>
        <w:spacing w:after="0" w:line="240" w:lineRule="auto"/>
        <w:ind w:left="426" w:hanging="426"/>
        <w:jc w:val="both"/>
        <w:rPr>
          <w:sz w:val="24"/>
          <w:szCs w:val="24"/>
        </w:rPr>
      </w:pPr>
      <w:r>
        <w:rPr>
          <w:sz w:val="24"/>
          <w:szCs w:val="24"/>
        </w:rPr>
        <w:t xml:space="preserve">As stated in the </w:t>
      </w:r>
      <w:r w:rsidR="00633409" w:rsidRPr="006216D7">
        <w:rPr>
          <w:sz w:val="24"/>
          <w:szCs w:val="24"/>
        </w:rPr>
        <w:t>GAC Principles and Guidelines for the Delegation and Administration of country code Top-Level Domains</w:t>
      </w:r>
      <w:r>
        <w:rPr>
          <w:sz w:val="24"/>
          <w:szCs w:val="24"/>
        </w:rPr>
        <w:t>,</w:t>
      </w:r>
      <w:r w:rsidR="00633409">
        <w:rPr>
          <w:sz w:val="24"/>
          <w:szCs w:val="24"/>
        </w:rPr>
        <w:t xml:space="preserve"> </w:t>
      </w:r>
      <w:r w:rsidR="00633409" w:rsidRPr="006216D7">
        <w:rPr>
          <w:sz w:val="24"/>
          <w:szCs w:val="24"/>
        </w:rPr>
        <w:t>ccTLD policy should be set locally, unless it can be shown that the issue has global impact and needs to be resolved in an international framework. Most of the ccTLD policy issues are local in nature and should therefore be addressed by the local stakeholder groups according to national law</w:t>
      </w:r>
      <w:r w:rsidR="00633409">
        <w:rPr>
          <w:rStyle w:val="FootnoteReference"/>
          <w:sz w:val="24"/>
          <w:szCs w:val="24"/>
        </w:rPr>
        <w:footnoteReference w:id="186"/>
      </w:r>
      <w:r w:rsidR="00633409" w:rsidRPr="006216D7">
        <w:rPr>
          <w:sz w:val="24"/>
          <w:szCs w:val="24"/>
        </w:rPr>
        <w:t xml:space="preserve">. </w:t>
      </w:r>
    </w:p>
    <w:p w:rsidR="00633409" w:rsidRPr="00633409" w:rsidRDefault="00633409" w:rsidP="0040201F">
      <w:pPr>
        <w:pStyle w:val="ListParagraph"/>
        <w:spacing w:after="0" w:line="240" w:lineRule="auto"/>
        <w:ind w:left="426"/>
        <w:jc w:val="both"/>
        <w:rPr>
          <w:sz w:val="24"/>
          <w:szCs w:val="24"/>
          <w:lang w:val="en-CA"/>
        </w:rPr>
      </w:pPr>
    </w:p>
    <w:p w:rsidR="00633409" w:rsidRPr="00633409" w:rsidRDefault="00633409" w:rsidP="0040201F">
      <w:pPr>
        <w:pStyle w:val="ListParagraph"/>
        <w:numPr>
          <w:ilvl w:val="0"/>
          <w:numId w:val="3"/>
        </w:numPr>
        <w:spacing w:after="0" w:line="240" w:lineRule="auto"/>
        <w:ind w:left="426" w:hanging="426"/>
        <w:jc w:val="both"/>
        <w:rPr>
          <w:sz w:val="24"/>
          <w:szCs w:val="24"/>
          <w:lang w:val="en-CA"/>
        </w:rPr>
      </w:pPr>
      <w:r w:rsidRPr="00AC1CD6">
        <w:rPr>
          <w:sz w:val="24"/>
          <w:szCs w:val="24"/>
        </w:rPr>
        <w:t xml:space="preserve">Since </w:t>
      </w:r>
      <w:proofErr w:type="spellStart"/>
      <w:r w:rsidRPr="00AC1CD6">
        <w:rPr>
          <w:sz w:val="24"/>
          <w:szCs w:val="24"/>
        </w:rPr>
        <w:t>ccTLDs</w:t>
      </w:r>
      <w:proofErr w:type="spellEnd"/>
      <w:r w:rsidRPr="00AC1CD6">
        <w:rPr>
          <w:sz w:val="24"/>
          <w:szCs w:val="24"/>
        </w:rPr>
        <w:t xml:space="preserve"> are based on a “territory” set, debates over ccTLD often focus on the relationship between a TLD string and a “territory” (per the ISO 3166-1 list). More specifically, questions could arise as to whether a TLD string exactly matches with the </w:t>
      </w:r>
      <w:r w:rsidRPr="00AC1CD6">
        <w:rPr>
          <w:sz w:val="24"/>
          <w:szCs w:val="24"/>
        </w:rPr>
        <w:lastRenderedPageBreak/>
        <w:t xml:space="preserve">territory in the ISO 3166-1 list, whether the ccTLD easily represents the name of the territory, how many </w:t>
      </w:r>
      <w:proofErr w:type="spellStart"/>
      <w:r w:rsidRPr="00AC1CD6">
        <w:rPr>
          <w:sz w:val="24"/>
          <w:szCs w:val="24"/>
        </w:rPr>
        <w:t>ccTLDs</w:t>
      </w:r>
      <w:proofErr w:type="spellEnd"/>
      <w:r w:rsidRPr="00AC1CD6">
        <w:rPr>
          <w:sz w:val="24"/>
          <w:szCs w:val="24"/>
        </w:rPr>
        <w:t xml:space="preserve"> are possible for one listed territory, and so on</w:t>
      </w:r>
      <w:r w:rsidRPr="005D33A9">
        <w:rPr>
          <w:rStyle w:val="FootnoteReference"/>
          <w:sz w:val="24"/>
          <w:szCs w:val="24"/>
        </w:rPr>
        <w:footnoteReference w:id="187"/>
      </w:r>
      <w:r w:rsidRPr="005D33A9">
        <w:rPr>
          <w:sz w:val="24"/>
          <w:szCs w:val="24"/>
        </w:rPr>
        <w:t>. For example, from the beginning the United Kingdom of Great Britain and Northern Ireland used the exc</w:t>
      </w:r>
      <w:r w:rsidRPr="00AC1CD6">
        <w:rPr>
          <w:sz w:val="24"/>
          <w:szCs w:val="24"/>
        </w:rPr>
        <w:t>eptionally reserved code “UK” from the ISO 3166-1 decoding table for its ccTLD, instead of the primary code “GB.”  The UK government still holds the delegation for .</w:t>
      </w:r>
      <w:proofErr w:type="spellStart"/>
      <w:r w:rsidRPr="00AC1CD6">
        <w:rPr>
          <w:sz w:val="24"/>
          <w:szCs w:val="24"/>
        </w:rPr>
        <w:t>gb</w:t>
      </w:r>
      <w:proofErr w:type="spellEnd"/>
      <w:r w:rsidRPr="00AC1CD6">
        <w:rPr>
          <w:sz w:val="24"/>
          <w:szCs w:val="24"/>
        </w:rPr>
        <w:t>, which cannot be allocated to any other country. Furthermore</w:t>
      </w:r>
      <w:r>
        <w:rPr>
          <w:sz w:val="24"/>
          <w:szCs w:val="24"/>
        </w:rPr>
        <w:t xml:space="preserve"> </w:t>
      </w:r>
      <w:r w:rsidRPr="00AC1CD6">
        <w:rPr>
          <w:sz w:val="24"/>
          <w:szCs w:val="24"/>
        </w:rPr>
        <w:t xml:space="preserve">“.ax” for </w:t>
      </w:r>
      <w:proofErr w:type="spellStart"/>
      <w:r w:rsidRPr="00AC1CD6">
        <w:rPr>
          <w:i/>
          <w:iCs/>
          <w:sz w:val="24"/>
          <w:szCs w:val="24"/>
        </w:rPr>
        <w:t>Åland</w:t>
      </w:r>
      <w:proofErr w:type="spellEnd"/>
      <w:r w:rsidRPr="00AC1CD6">
        <w:rPr>
          <w:i/>
          <w:iCs/>
          <w:sz w:val="24"/>
          <w:szCs w:val="24"/>
        </w:rPr>
        <w:t xml:space="preserve"> Islands</w:t>
      </w:r>
      <w:r w:rsidRPr="00AC1CD6">
        <w:rPr>
          <w:sz w:val="24"/>
          <w:szCs w:val="24"/>
        </w:rPr>
        <w:t xml:space="preserve"> has been reserved on request of Finland and “.</w:t>
      </w:r>
      <w:proofErr w:type="spellStart"/>
      <w:r w:rsidRPr="00AC1CD6">
        <w:rPr>
          <w:sz w:val="24"/>
          <w:szCs w:val="24"/>
        </w:rPr>
        <w:t>fx</w:t>
      </w:r>
      <w:proofErr w:type="spellEnd"/>
      <w:r w:rsidRPr="00AC1CD6">
        <w:rPr>
          <w:sz w:val="24"/>
          <w:szCs w:val="24"/>
        </w:rPr>
        <w:t>” for France, Metropolitan has been reserved on request of France</w:t>
      </w:r>
      <w:r w:rsidRPr="005D33A9">
        <w:rPr>
          <w:rStyle w:val="FootnoteReference"/>
          <w:sz w:val="24"/>
          <w:szCs w:val="24"/>
        </w:rPr>
        <w:footnoteReference w:id="188"/>
      </w:r>
      <w:r w:rsidRPr="005D33A9">
        <w:rPr>
          <w:sz w:val="24"/>
          <w:szCs w:val="24"/>
        </w:rPr>
        <w:t>.</w:t>
      </w:r>
    </w:p>
    <w:p w:rsidR="00633409" w:rsidRPr="00D918E6" w:rsidRDefault="00633409" w:rsidP="0040201F">
      <w:pPr>
        <w:pStyle w:val="ListParagraph"/>
        <w:spacing w:after="0" w:line="240" w:lineRule="auto"/>
        <w:ind w:left="426"/>
        <w:jc w:val="both"/>
        <w:rPr>
          <w:sz w:val="24"/>
          <w:szCs w:val="24"/>
          <w:lang w:val="en-CA"/>
        </w:rPr>
      </w:pPr>
    </w:p>
    <w:p w:rsidR="007D1F2C" w:rsidRDefault="00AC1CD6" w:rsidP="0040201F">
      <w:pPr>
        <w:pStyle w:val="ListParagraph"/>
        <w:numPr>
          <w:ilvl w:val="0"/>
          <w:numId w:val="3"/>
        </w:numPr>
        <w:spacing w:after="0" w:line="240" w:lineRule="auto"/>
        <w:ind w:left="426" w:hanging="426"/>
        <w:jc w:val="both"/>
        <w:rPr>
          <w:sz w:val="24"/>
          <w:szCs w:val="24"/>
        </w:rPr>
      </w:pPr>
      <w:r w:rsidRPr="00AC1CD6">
        <w:rPr>
          <w:sz w:val="24"/>
          <w:szCs w:val="24"/>
        </w:rPr>
        <w:t>The socio-economic potential of a ccTLD has become more widely acknowledged. Meanwhile, a steady flow of ccTLD re-delegation requests has been observed</w:t>
      </w:r>
      <w:r w:rsidR="00441081" w:rsidRPr="005D33A9">
        <w:rPr>
          <w:rStyle w:val="FootnoteReference"/>
          <w:sz w:val="24"/>
          <w:szCs w:val="24"/>
        </w:rPr>
        <w:footnoteReference w:id="189"/>
      </w:r>
      <w:r w:rsidR="00441081" w:rsidRPr="005D33A9">
        <w:rPr>
          <w:sz w:val="24"/>
          <w:szCs w:val="24"/>
        </w:rPr>
        <w:t xml:space="preserve">. Some note that some issues have arisen with regard to the national authority to delegate and administer the </w:t>
      </w:r>
      <w:proofErr w:type="spellStart"/>
      <w:r w:rsidR="00441081" w:rsidRPr="005D33A9">
        <w:rPr>
          <w:sz w:val="24"/>
          <w:szCs w:val="24"/>
        </w:rPr>
        <w:t>ccTLDs</w:t>
      </w:r>
      <w:proofErr w:type="spellEnd"/>
      <w:r w:rsidR="004316DD" w:rsidRPr="005D33A9">
        <w:rPr>
          <w:rStyle w:val="FootnoteReference"/>
          <w:sz w:val="24"/>
          <w:szCs w:val="24"/>
        </w:rPr>
        <w:footnoteReference w:id="190"/>
      </w:r>
      <w:r w:rsidRPr="00AC1CD6">
        <w:rPr>
          <w:sz w:val="24"/>
          <w:szCs w:val="24"/>
        </w:rPr>
        <w:t xml:space="preserve">. In fact, some governments have sought assistance from the United Nations system to reclaim their own </w:t>
      </w:r>
      <w:proofErr w:type="spellStart"/>
      <w:r w:rsidRPr="00AC1CD6">
        <w:rPr>
          <w:sz w:val="24"/>
          <w:szCs w:val="24"/>
        </w:rPr>
        <w:t>ccTLDs</w:t>
      </w:r>
      <w:proofErr w:type="spellEnd"/>
      <w:r w:rsidRPr="00AC1CD6">
        <w:rPr>
          <w:sz w:val="24"/>
          <w:szCs w:val="24"/>
        </w:rPr>
        <w:t xml:space="preserve"> or tried to use national legislation to reclaim </w:t>
      </w:r>
      <w:proofErr w:type="spellStart"/>
      <w:r w:rsidRPr="00AC1CD6">
        <w:rPr>
          <w:sz w:val="24"/>
          <w:szCs w:val="24"/>
        </w:rPr>
        <w:t>ccTLDs</w:t>
      </w:r>
      <w:proofErr w:type="spellEnd"/>
      <w:r w:rsidRPr="00AC1CD6">
        <w:rPr>
          <w:sz w:val="24"/>
          <w:szCs w:val="24"/>
        </w:rPr>
        <w:t xml:space="preserve">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US-based company. The application for re-delegation of .so TLD was put forward by ITU, and the .so TLD was re-delegated to the Ministry of Posts and Telecommunications of the Transitional Federal Government of Somalia in 2009</w:t>
      </w:r>
      <w:r w:rsidR="004316DD" w:rsidRPr="005D33A9">
        <w:rPr>
          <w:rStyle w:val="FootnoteReference"/>
          <w:sz w:val="24"/>
          <w:szCs w:val="24"/>
        </w:rPr>
        <w:footnoteReference w:id="191"/>
      </w:r>
      <w:r w:rsidRPr="00AC1CD6">
        <w:rPr>
          <w:sz w:val="24"/>
          <w:szCs w:val="24"/>
        </w:rPr>
        <w:t xml:space="preserve">. </w:t>
      </w:r>
    </w:p>
    <w:p w:rsidR="006216D7" w:rsidRDefault="006216D7" w:rsidP="0040201F">
      <w:pPr>
        <w:pStyle w:val="ListParagraph"/>
        <w:spacing w:after="0" w:line="240" w:lineRule="auto"/>
        <w:ind w:left="426"/>
        <w:jc w:val="both"/>
        <w:rPr>
          <w:sz w:val="24"/>
          <w:szCs w:val="24"/>
        </w:rPr>
      </w:pPr>
    </w:p>
    <w:p w:rsidR="007D1F2C" w:rsidRDefault="00AC1CD6" w:rsidP="0040201F">
      <w:pPr>
        <w:pStyle w:val="ListParagraph"/>
        <w:numPr>
          <w:ilvl w:val="0"/>
          <w:numId w:val="16"/>
        </w:numPr>
        <w:spacing w:after="0" w:line="240" w:lineRule="auto"/>
        <w:ind w:left="426" w:hanging="426"/>
        <w:jc w:val="both"/>
        <w:rPr>
          <w:sz w:val="24"/>
          <w:szCs w:val="24"/>
        </w:rPr>
      </w:pPr>
      <w:r w:rsidRPr="00AC1CD6">
        <w:rPr>
          <w:rFonts w:cs="Times New Roman"/>
          <w:sz w:val="24"/>
          <w:szCs w:val="24"/>
        </w:rPr>
        <w:t xml:space="preserve">As articulated in the </w:t>
      </w:r>
      <w:r w:rsidRPr="00AC1CD6">
        <w:rPr>
          <w:rFonts w:cs="Times New Roman"/>
          <w:i/>
          <w:iCs/>
          <w:sz w:val="24"/>
          <w:szCs w:val="24"/>
        </w:rPr>
        <w:t>Tunis Agenda</w:t>
      </w:r>
      <w:r w:rsidRPr="00AC1CD6">
        <w:rPr>
          <w:rFonts w:cs="Times New Roman"/>
          <w:sz w:val="24"/>
          <w:szCs w:val="24"/>
        </w:rPr>
        <w:t xml:space="preserve">, </w:t>
      </w:r>
      <w:r w:rsidRPr="00AC1CD6">
        <w:rPr>
          <w:sz w:val="24"/>
          <w:szCs w:val="24"/>
        </w:rPr>
        <w:t>Member States represent the interests of the population of the country or territory for which a ccTLD has been delegated</w:t>
      </w:r>
      <w:r w:rsidR="00441081" w:rsidRPr="005D33A9">
        <w:rPr>
          <w:rStyle w:val="FootnoteReference"/>
          <w:sz w:val="24"/>
          <w:szCs w:val="24"/>
        </w:rPr>
        <w:footnoteReference w:id="192"/>
      </w:r>
      <w:r w:rsidR="00441081" w:rsidRPr="005D33A9">
        <w:rPr>
          <w:sz w:val="24"/>
          <w:szCs w:val="24"/>
        </w:rPr>
        <w:t xml:space="preserve">. Para 63 of the </w:t>
      </w:r>
      <w:r w:rsidR="00441081" w:rsidRPr="005D33A9">
        <w:rPr>
          <w:i/>
          <w:iCs/>
          <w:sz w:val="24"/>
          <w:szCs w:val="24"/>
        </w:rPr>
        <w:t>Tunis Agenda</w:t>
      </w:r>
      <w:r w:rsidRPr="00AC1CD6">
        <w:rPr>
          <w:sz w:val="24"/>
          <w:szCs w:val="24"/>
        </w:rPr>
        <w:t xml:space="preserve"> states that countries should not be involved in decisions regarding another country’s ccTLD and that “their legitimate interests, as expressed and defined by each country, in diverse ways, regarding decisions affecting their </w:t>
      </w:r>
      <w:proofErr w:type="spellStart"/>
      <w:r w:rsidRPr="00AC1CD6">
        <w:rPr>
          <w:sz w:val="24"/>
          <w:szCs w:val="24"/>
        </w:rPr>
        <w:t>ccTLDs</w:t>
      </w:r>
      <w:proofErr w:type="spellEnd"/>
      <w:r w:rsidRPr="00AC1CD6">
        <w:rPr>
          <w:sz w:val="24"/>
          <w:szCs w:val="24"/>
        </w:rPr>
        <w:t xml:space="preserve">, need to be respected, upheld and addressed via a flexible and improved framework and mechanisms”. </w:t>
      </w:r>
    </w:p>
    <w:p w:rsidR="006216D7" w:rsidRDefault="006216D7" w:rsidP="0040201F">
      <w:pPr>
        <w:pStyle w:val="ListParagraph"/>
        <w:spacing w:after="0" w:line="240" w:lineRule="auto"/>
        <w:ind w:left="426"/>
        <w:jc w:val="both"/>
        <w:rPr>
          <w:sz w:val="24"/>
          <w:szCs w:val="24"/>
        </w:rPr>
      </w:pPr>
    </w:p>
    <w:p w:rsidR="006216D7" w:rsidRDefault="006216D7" w:rsidP="0040201F">
      <w:pPr>
        <w:pStyle w:val="ListParagraph"/>
        <w:numPr>
          <w:ilvl w:val="0"/>
          <w:numId w:val="16"/>
        </w:numPr>
        <w:spacing w:after="0" w:line="240" w:lineRule="auto"/>
        <w:ind w:left="426" w:hanging="426"/>
        <w:jc w:val="both"/>
        <w:rPr>
          <w:sz w:val="24"/>
          <w:szCs w:val="24"/>
        </w:rPr>
      </w:pPr>
      <w:r w:rsidRPr="00AC1CD6">
        <w:rPr>
          <w:i/>
          <w:iCs/>
          <w:sz w:val="24"/>
          <w:szCs w:val="24"/>
        </w:rPr>
        <w:t xml:space="preserve">Action line C6 “Enabling Environment” </w:t>
      </w:r>
      <w:r w:rsidRPr="00F91831">
        <w:rPr>
          <w:sz w:val="24"/>
          <w:szCs w:val="24"/>
        </w:rPr>
        <w:t xml:space="preserve">§13 (c) (ii) </w:t>
      </w:r>
      <w:r w:rsidRPr="00AC1CD6">
        <w:rPr>
          <w:sz w:val="24"/>
          <w:szCs w:val="24"/>
        </w:rPr>
        <w:t xml:space="preserve">of the </w:t>
      </w:r>
      <w:r w:rsidRPr="00AC1CD6">
        <w:rPr>
          <w:i/>
          <w:iCs/>
          <w:sz w:val="24"/>
          <w:szCs w:val="24"/>
        </w:rPr>
        <w:t>WSIS</w:t>
      </w:r>
      <w:r w:rsidRPr="00AC1CD6">
        <w:rPr>
          <w:sz w:val="24"/>
          <w:szCs w:val="24"/>
        </w:rPr>
        <w:t xml:space="preserve"> </w:t>
      </w:r>
      <w:r w:rsidRPr="00AC1CD6">
        <w:rPr>
          <w:i/>
          <w:iCs/>
          <w:sz w:val="24"/>
          <w:szCs w:val="24"/>
        </w:rPr>
        <w:t>Plan of Action (2003)</w:t>
      </w:r>
      <w:r>
        <w:rPr>
          <w:i/>
          <w:iCs/>
          <w:sz w:val="24"/>
          <w:szCs w:val="24"/>
        </w:rPr>
        <w:t xml:space="preserve"> </w:t>
      </w:r>
      <w:r w:rsidRPr="00AC1CD6">
        <w:rPr>
          <w:sz w:val="24"/>
          <w:szCs w:val="24"/>
        </w:rPr>
        <w:t>invites “Governments to manage or supervise, as appropriate, their respective country code top-level domain name”. Any such involvement should be based on appropriate national laws and policies. It is recommended that governments work with their local stakeholders in deciding on how to work with the ccTLD Registry</w:t>
      </w:r>
      <w:r>
        <w:rPr>
          <w:rStyle w:val="FootnoteReference"/>
          <w:sz w:val="24"/>
          <w:szCs w:val="24"/>
        </w:rPr>
        <w:footnoteReference w:id="193"/>
      </w:r>
      <w:r w:rsidRPr="00AC1CD6">
        <w:rPr>
          <w:sz w:val="24"/>
          <w:szCs w:val="24"/>
        </w:rPr>
        <w:t xml:space="preserve">. </w:t>
      </w:r>
    </w:p>
    <w:p w:rsidR="006216D7" w:rsidRDefault="006216D7" w:rsidP="0040201F">
      <w:pPr>
        <w:spacing w:after="0" w:line="240" w:lineRule="auto"/>
        <w:jc w:val="both"/>
        <w:rPr>
          <w:sz w:val="24"/>
          <w:szCs w:val="24"/>
        </w:rPr>
      </w:pPr>
    </w:p>
    <w:p w:rsidR="006216D7" w:rsidRDefault="00AC1CD6" w:rsidP="0040201F">
      <w:pPr>
        <w:pStyle w:val="ListParagraph"/>
        <w:numPr>
          <w:ilvl w:val="0"/>
          <w:numId w:val="16"/>
        </w:numPr>
        <w:spacing w:after="0" w:line="240" w:lineRule="auto"/>
        <w:ind w:left="426" w:hanging="426"/>
        <w:jc w:val="both"/>
        <w:rPr>
          <w:sz w:val="24"/>
          <w:szCs w:val="24"/>
        </w:rPr>
      </w:pPr>
      <w:r w:rsidRPr="00AC1CD6">
        <w:rPr>
          <w:sz w:val="24"/>
          <w:szCs w:val="24"/>
        </w:rPr>
        <w:t xml:space="preserve">Within ICANN, the GAC and ICANN’s Country Code Names Supporting </w:t>
      </w:r>
      <w:proofErr w:type="spellStart"/>
      <w:r w:rsidRPr="00AC1CD6">
        <w:rPr>
          <w:sz w:val="24"/>
          <w:szCs w:val="24"/>
        </w:rPr>
        <w:t>Organisation</w:t>
      </w:r>
      <w:proofErr w:type="spellEnd"/>
      <w:r w:rsidRPr="00AC1CD6">
        <w:rPr>
          <w:sz w:val="24"/>
          <w:szCs w:val="24"/>
        </w:rPr>
        <w:t xml:space="preserve"> (</w:t>
      </w:r>
      <w:proofErr w:type="spellStart"/>
      <w:r w:rsidRPr="00AC1CD6">
        <w:rPr>
          <w:sz w:val="24"/>
          <w:szCs w:val="24"/>
        </w:rPr>
        <w:t>ccNSO</w:t>
      </w:r>
      <w:proofErr w:type="spellEnd"/>
      <w:r w:rsidRPr="00AC1CD6">
        <w:rPr>
          <w:sz w:val="24"/>
          <w:szCs w:val="24"/>
        </w:rPr>
        <w:t xml:space="preserve">) coordinate and collaborate on policy matters of mutual interest and jointly developed the </w:t>
      </w:r>
      <w:r w:rsidRPr="00AC1CD6">
        <w:rPr>
          <w:sz w:val="24"/>
          <w:szCs w:val="24"/>
        </w:rPr>
        <w:lastRenderedPageBreak/>
        <w:t xml:space="preserve">ICANN Fast Track Procedures for the Introduction of IDN </w:t>
      </w:r>
      <w:proofErr w:type="spellStart"/>
      <w:r w:rsidRPr="00AC1CD6">
        <w:rPr>
          <w:sz w:val="24"/>
          <w:szCs w:val="24"/>
        </w:rPr>
        <w:t>ccTLDs</w:t>
      </w:r>
      <w:proofErr w:type="spellEnd"/>
      <w:r w:rsidRPr="00AC1CD6">
        <w:rPr>
          <w:sz w:val="24"/>
          <w:szCs w:val="24"/>
        </w:rPr>
        <w:t xml:space="preserve">. Current joint work includes the Framework of Interpretation Working Group on Delegation and </w:t>
      </w:r>
      <w:proofErr w:type="spellStart"/>
      <w:r w:rsidRPr="00AC1CD6">
        <w:rPr>
          <w:sz w:val="24"/>
          <w:szCs w:val="24"/>
        </w:rPr>
        <w:t>Redelegation</w:t>
      </w:r>
      <w:proofErr w:type="spellEnd"/>
      <w:r w:rsidRPr="00AC1CD6">
        <w:rPr>
          <w:sz w:val="24"/>
          <w:szCs w:val="24"/>
        </w:rPr>
        <w:t xml:space="preserve"> and the development of the overall ccTLD IDN </w:t>
      </w:r>
      <w:proofErr w:type="gramStart"/>
      <w:r w:rsidRPr="00AC1CD6">
        <w:rPr>
          <w:sz w:val="24"/>
          <w:szCs w:val="24"/>
        </w:rPr>
        <w:t xml:space="preserve">Policy </w:t>
      </w:r>
      <w:proofErr w:type="gramEnd"/>
      <w:r w:rsidR="00441081" w:rsidRPr="005D33A9">
        <w:rPr>
          <w:rStyle w:val="FootnoteReference"/>
          <w:sz w:val="24"/>
          <w:szCs w:val="24"/>
        </w:rPr>
        <w:footnoteReference w:id="194"/>
      </w:r>
      <w:r w:rsidR="00CA4DEA" w:rsidRPr="005D33A9">
        <w:rPr>
          <w:sz w:val="24"/>
          <w:szCs w:val="24"/>
        </w:rPr>
        <w:t>.</w:t>
      </w:r>
    </w:p>
    <w:p w:rsidR="006216D7" w:rsidRPr="00133377" w:rsidRDefault="006216D7" w:rsidP="0040201F">
      <w:pPr>
        <w:spacing w:line="240" w:lineRule="auto"/>
        <w:rPr>
          <w:sz w:val="24"/>
          <w:szCs w:val="24"/>
        </w:rPr>
      </w:pPr>
    </w:p>
    <w:p w:rsidR="007D1F2C" w:rsidRDefault="00AC1CD6" w:rsidP="0040201F">
      <w:pPr>
        <w:spacing w:after="0" w:line="240" w:lineRule="auto"/>
        <w:jc w:val="both"/>
        <w:rPr>
          <w:b/>
          <w:bCs/>
          <w:sz w:val="24"/>
          <w:szCs w:val="24"/>
        </w:rPr>
      </w:pPr>
      <w:proofErr w:type="gramStart"/>
      <w:r w:rsidRPr="00AC1CD6">
        <w:rPr>
          <w:b/>
          <w:bCs/>
          <w:sz w:val="24"/>
          <w:szCs w:val="24"/>
        </w:rPr>
        <w:t>2.3.4.3  Security</w:t>
      </w:r>
      <w:proofErr w:type="gramEnd"/>
      <w:r w:rsidRPr="00AC1CD6">
        <w:rPr>
          <w:b/>
          <w:bCs/>
          <w:sz w:val="24"/>
          <w:szCs w:val="24"/>
        </w:rPr>
        <w:t xml:space="preserve"> of the DNS</w:t>
      </w:r>
    </w:p>
    <w:p w:rsidR="007D1F2C" w:rsidRDefault="007D1F2C" w:rsidP="0040201F">
      <w:pPr>
        <w:spacing w:after="0" w:line="240" w:lineRule="auto"/>
        <w:jc w:val="both"/>
        <w:rPr>
          <w:b/>
          <w:bCs/>
          <w:sz w:val="24"/>
          <w:szCs w:val="24"/>
        </w:rPr>
      </w:pPr>
    </w:p>
    <w:p w:rsidR="007D1F2C" w:rsidRDefault="00AC1CD6" w:rsidP="0040201F">
      <w:pPr>
        <w:pStyle w:val="ListParagraph"/>
        <w:numPr>
          <w:ilvl w:val="0"/>
          <w:numId w:val="8"/>
        </w:numPr>
        <w:spacing w:after="0" w:line="240" w:lineRule="auto"/>
        <w:ind w:left="426" w:hanging="426"/>
        <w:jc w:val="both"/>
        <w:rPr>
          <w:sz w:val="24"/>
          <w:szCs w:val="24"/>
        </w:rPr>
      </w:pPr>
      <w:r w:rsidRPr="00AC1CD6">
        <w:rPr>
          <w:sz w:val="24"/>
          <w:szCs w:val="24"/>
        </w:rPr>
        <w:t>The DNS, the Internet's addressing system, was not originally designed with security in mind.  As a result, there are security flaws that make it vulnerable to threats such as, for example, man-in-the-middle attacks (a malicious third party could intercept a query, send a 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w:t>
      </w:r>
      <w:r>
        <w:rPr>
          <w:rStyle w:val="FootnoteReference"/>
          <w:sz w:val="24"/>
          <w:szCs w:val="24"/>
        </w:rPr>
        <w:footnoteReference w:id="195"/>
      </w:r>
      <w:r w:rsidR="006E18CA" w:rsidRPr="005D33A9">
        <w:rPr>
          <w:sz w:val="24"/>
          <w:szCs w:val="24"/>
        </w:rPr>
        <w:t>. Such a</w:t>
      </w:r>
      <w:r w:rsidRPr="00AC1CD6">
        <w:rPr>
          <w:sz w:val="24"/>
          <w:szCs w:val="24"/>
        </w:rPr>
        <w:t>ttacks threaten users’ ‘trust’ of the Internet.</w:t>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8"/>
        </w:numPr>
        <w:spacing w:after="0" w:line="240" w:lineRule="auto"/>
        <w:ind w:left="426" w:hanging="426"/>
        <w:jc w:val="both"/>
        <w:rPr>
          <w:sz w:val="24"/>
          <w:szCs w:val="24"/>
        </w:rPr>
      </w:pPr>
      <w:r w:rsidRPr="00AC1CD6">
        <w:rPr>
          <w:sz w:val="24"/>
          <w:szCs w:val="24"/>
        </w:rPr>
        <w:t>True end-to-end security is needed in order to increase the trust in the networks and the Internet services. Improved Identity management could play a significant role in maintaining a robust, secure and resilient network infrastructure. This would require, among other things</w:t>
      </w:r>
      <w:r w:rsidR="00E77BE8" w:rsidRPr="00AC1CD6">
        <w:rPr>
          <w:sz w:val="24"/>
          <w:szCs w:val="24"/>
        </w:rPr>
        <w:t>, open</w:t>
      </w:r>
      <w:r w:rsidRPr="00AC1CD6">
        <w:rPr>
          <w:sz w:val="24"/>
          <w:szCs w:val="24"/>
        </w:rPr>
        <w:t xml:space="preserve"> standards and trust mechanisms in order to preserve and enhance the level of trust in cyberspace</w:t>
      </w:r>
      <w:r w:rsidR="006E18CA" w:rsidRPr="005D33A9">
        <w:rPr>
          <w:rStyle w:val="FootnoteReference"/>
          <w:sz w:val="24"/>
          <w:szCs w:val="24"/>
        </w:rPr>
        <w:footnoteReference w:id="196"/>
      </w:r>
      <w:r w:rsidR="006E18CA" w:rsidRPr="005D33A9">
        <w:rPr>
          <w:sz w:val="24"/>
          <w:szCs w:val="24"/>
        </w:rPr>
        <w:t xml:space="preserve">. </w:t>
      </w:r>
    </w:p>
    <w:p w:rsidR="007D1F2C" w:rsidRDefault="007D1F2C" w:rsidP="0040201F">
      <w:pPr>
        <w:pStyle w:val="ListParagraph"/>
        <w:spacing w:line="240" w:lineRule="auto"/>
        <w:jc w:val="both"/>
        <w:rPr>
          <w:sz w:val="24"/>
          <w:szCs w:val="24"/>
        </w:rPr>
      </w:pPr>
    </w:p>
    <w:p w:rsidR="007D1F2C" w:rsidRDefault="00AC1CD6" w:rsidP="0040201F">
      <w:pPr>
        <w:pStyle w:val="ListParagraph"/>
        <w:numPr>
          <w:ilvl w:val="0"/>
          <w:numId w:val="8"/>
        </w:numPr>
        <w:spacing w:after="0" w:line="240" w:lineRule="auto"/>
        <w:ind w:left="426" w:hanging="426"/>
        <w:jc w:val="both"/>
        <w:rPr>
          <w:sz w:val="24"/>
          <w:szCs w:val="24"/>
        </w:rPr>
      </w:pPr>
      <w:r w:rsidRPr="00AC1CD6">
        <w:rPr>
          <w:sz w:val="24"/>
          <w:szCs w:val="24"/>
        </w:rPr>
        <w:t>A set of Security Extensions to the DNS, known as DNSSEC, have been developed</w:t>
      </w:r>
      <w:r w:rsidR="006E18CA" w:rsidRPr="005D33A9">
        <w:rPr>
          <w:rStyle w:val="FootnoteReference"/>
          <w:sz w:val="24"/>
          <w:szCs w:val="24"/>
        </w:rPr>
        <w:footnoteReference w:id="197"/>
      </w:r>
      <w:r w:rsidR="006E18CA" w:rsidRPr="005D33A9">
        <w:rPr>
          <w:sz w:val="24"/>
          <w:szCs w:val="24"/>
        </w:rPr>
        <w:t xml:space="preserve"> to provide origin authentication and validation of integrity of DNS data to DNS clients – a mechanism that provides an added layer of assurance that a responding entity</w:t>
      </w:r>
      <w:r w:rsidRPr="00AC1CD6">
        <w:rPr>
          <w:sz w:val="24"/>
          <w:szCs w:val="24"/>
        </w:rPr>
        <w:t xml:space="preserve"> (name server) really is what it purports to be.</w:t>
      </w:r>
    </w:p>
    <w:p w:rsidR="007D1F2C" w:rsidRDefault="007D1F2C" w:rsidP="0040201F">
      <w:pPr>
        <w:pStyle w:val="ListParagraph"/>
        <w:spacing w:line="240" w:lineRule="auto"/>
        <w:jc w:val="both"/>
        <w:rPr>
          <w:sz w:val="24"/>
          <w:szCs w:val="24"/>
        </w:rPr>
      </w:pPr>
    </w:p>
    <w:p w:rsidR="007D1F2C" w:rsidRDefault="00AC1CD6" w:rsidP="0040201F">
      <w:pPr>
        <w:pStyle w:val="ListParagraph"/>
        <w:numPr>
          <w:ilvl w:val="0"/>
          <w:numId w:val="8"/>
        </w:numPr>
        <w:spacing w:after="0" w:line="240" w:lineRule="auto"/>
        <w:ind w:left="426" w:hanging="426"/>
        <w:jc w:val="both"/>
        <w:rPr>
          <w:sz w:val="24"/>
          <w:szCs w:val="24"/>
        </w:rPr>
      </w:pPr>
      <w:r w:rsidRPr="00AC1CD6">
        <w:rPr>
          <w:sz w:val="24"/>
          <w:szCs w:val="24"/>
          <w:lang w:val="en-GB"/>
        </w:rPr>
        <w:t xml:space="preserve">DNSSEC facilitates the provision of cryptographic signatures which allow relying parties to verify that DNS responses are authentic. </w:t>
      </w:r>
      <w:r w:rsidRPr="00AC1CD6">
        <w:rPr>
          <w:sz w:val="24"/>
          <w:szCs w:val="24"/>
        </w:rPr>
        <w:t xml:space="preserve">The resolution process ensures the “origin authentication of DNS data” by establishing an unbroken “chain of trust”. The key characteristic of this chain of trust is that each parent zone vouches for its child. </w:t>
      </w:r>
    </w:p>
    <w:p w:rsidR="007D1F2C" w:rsidRDefault="007D1F2C" w:rsidP="0040201F">
      <w:pPr>
        <w:spacing w:after="0" w:line="240" w:lineRule="auto"/>
        <w:jc w:val="both"/>
        <w:rPr>
          <w:sz w:val="24"/>
          <w:szCs w:val="24"/>
        </w:rPr>
      </w:pPr>
    </w:p>
    <w:p w:rsidR="007D1F2C" w:rsidRDefault="00AC1CD6" w:rsidP="0040201F">
      <w:pPr>
        <w:pStyle w:val="ListParagraph"/>
        <w:numPr>
          <w:ilvl w:val="0"/>
          <w:numId w:val="8"/>
        </w:numPr>
        <w:spacing w:after="0" w:line="240" w:lineRule="auto"/>
        <w:ind w:left="426" w:hanging="426"/>
        <w:jc w:val="both"/>
        <w:rPr>
          <w:sz w:val="24"/>
          <w:szCs w:val="24"/>
        </w:rPr>
      </w:pPr>
      <w:r w:rsidRPr="00AC1CD6">
        <w:rPr>
          <w:sz w:val="24"/>
          <w:szCs w:val="24"/>
        </w:rPr>
        <w:t xml:space="preserve">For the “chain of trust” in DNSSEC to work, it needs a single origin of trust (at the root) i.e., </w:t>
      </w:r>
      <w:proofErr w:type="gramStart"/>
      <w:r w:rsidRPr="00AC1CD6">
        <w:rPr>
          <w:sz w:val="24"/>
          <w:szCs w:val="24"/>
        </w:rPr>
        <w:t>a trust anchor</w:t>
      </w:r>
      <w:proofErr w:type="gramEnd"/>
      <w:r w:rsidRPr="00AC1CD6">
        <w:rPr>
          <w:sz w:val="24"/>
          <w:szCs w:val="24"/>
        </w:rPr>
        <w:t xml:space="preserve"> that the users can have faith in and from where the trust chain can be built. </w:t>
      </w:r>
      <w:r w:rsidRPr="00AC1CD6">
        <w:rPr>
          <w:rFonts w:cs="Times New Roman"/>
          <w:sz w:val="24"/>
          <w:szCs w:val="24"/>
        </w:rPr>
        <w:t xml:space="preserve">This requires the creation, use, and </w:t>
      </w:r>
      <w:r w:rsidRPr="00F91831">
        <w:rPr>
          <w:rFonts w:cs="Times New Roman"/>
          <w:sz w:val="24"/>
          <w:szCs w:val="24"/>
        </w:rPr>
        <w:t>management of cryptographic keys.</w:t>
      </w:r>
      <w:r w:rsidRPr="00F91831">
        <w:rPr>
          <w:sz w:val="24"/>
          <w:szCs w:val="24"/>
        </w:rPr>
        <w:t xml:space="preserve"> The U.S. Department of Commerce has </w:t>
      </w:r>
      <w:r w:rsidRPr="00F91831">
        <w:rPr>
          <w:rFonts w:cs="Times New Roman"/>
          <w:sz w:val="24"/>
          <w:szCs w:val="24"/>
        </w:rPr>
        <w:t xml:space="preserve">identified that </w:t>
      </w:r>
      <w:r w:rsidRPr="00F91831">
        <w:rPr>
          <w:rFonts w:cs="Times New Roman"/>
          <w:sz w:val="24"/>
          <w:szCs w:val="24"/>
          <w:lang w:val="en-GB"/>
        </w:rPr>
        <w:t xml:space="preserve">the maintenance of the root cryptographic keys be split between the current root zone management partners, which are the IANA functions operator (ICANN) and the Root Zone Maintainer (VeriSign). </w:t>
      </w:r>
      <w:r w:rsidRPr="00F91831">
        <w:rPr>
          <w:rFonts w:cs="Times New Roman"/>
          <w:sz w:val="24"/>
          <w:szCs w:val="24"/>
        </w:rPr>
        <w:t>Namely, ICANN is responsible for the management of the Key Signing Key (KSK) and VeriSign is responsible for the Zone Signing Key (ZSK).  The KSK is the mainstay key that is required to periodically sign the ZSK that then signs the root zone. ICANN is also responsible</w:t>
      </w:r>
      <w:r w:rsidRPr="00AC1CD6">
        <w:rPr>
          <w:rFonts w:cs="Times New Roman"/>
          <w:sz w:val="24"/>
          <w:szCs w:val="24"/>
        </w:rPr>
        <w:t xml:space="preserve"> for the publication of the trust anchor</w:t>
      </w:r>
      <w:r>
        <w:rPr>
          <w:rStyle w:val="FootnoteReference"/>
          <w:sz w:val="24"/>
          <w:szCs w:val="24"/>
        </w:rPr>
        <w:footnoteReference w:id="198"/>
      </w:r>
      <w:r w:rsidR="006E18CA" w:rsidRPr="005D33A9">
        <w:rPr>
          <w:sz w:val="24"/>
          <w:szCs w:val="24"/>
        </w:rPr>
        <w:t>.</w:t>
      </w:r>
    </w:p>
    <w:p w:rsidR="007D1F2C" w:rsidRDefault="007D1F2C" w:rsidP="0040201F">
      <w:pPr>
        <w:spacing w:after="0" w:line="240" w:lineRule="auto"/>
        <w:jc w:val="both"/>
        <w:rPr>
          <w:sz w:val="24"/>
          <w:szCs w:val="24"/>
        </w:rPr>
      </w:pPr>
    </w:p>
    <w:p w:rsidR="007D1F2C" w:rsidRDefault="00AC1CD6" w:rsidP="0040201F">
      <w:pPr>
        <w:pStyle w:val="ListParagraph"/>
        <w:numPr>
          <w:ilvl w:val="0"/>
          <w:numId w:val="8"/>
        </w:numPr>
        <w:spacing w:after="0" w:line="240" w:lineRule="auto"/>
        <w:ind w:left="426" w:hanging="426"/>
        <w:jc w:val="both"/>
        <w:rPr>
          <w:sz w:val="24"/>
          <w:szCs w:val="24"/>
        </w:rPr>
      </w:pPr>
      <w:r w:rsidRPr="00AC1CD6">
        <w:rPr>
          <w:sz w:val="24"/>
          <w:szCs w:val="24"/>
          <w:lang w:val="en-GB"/>
        </w:rPr>
        <w:lastRenderedPageBreak/>
        <w:t>While some are concerned about this arrangement supporting this critical function</w:t>
      </w:r>
      <w:r w:rsidR="006E18CA" w:rsidRPr="005D33A9">
        <w:rPr>
          <w:rStyle w:val="FootnoteReference"/>
          <w:sz w:val="24"/>
          <w:szCs w:val="24"/>
        </w:rPr>
        <w:footnoteReference w:id="199"/>
      </w:r>
      <w:r w:rsidR="006E18CA" w:rsidRPr="005D33A9">
        <w:rPr>
          <w:sz w:val="24"/>
          <w:szCs w:val="24"/>
          <w:vertAlign w:val="superscript"/>
          <w:lang w:val="en-GB"/>
        </w:rPr>
        <w:t>,</w:t>
      </w:r>
      <w:r w:rsidR="006E18CA" w:rsidRPr="005D33A9">
        <w:rPr>
          <w:rStyle w:val="FootnoteReference"/>
          <w:sz w:val="24"/>
          <w:szCs w:val="24"/>
          <w:lang w:val="en-GB"/>
        </w:rPr>
        <w:footnoteReference w:id="200"/>
      </w:r>
      <w:r w:rsidR="006E18CA" w:rsidRPr="005D33A9">
        <w:rPr>
          <w:sz w:val="24"/>
          <w:szCs w:val="24"/>
          <w:vertAlign w:val="superscript"/>
          <w:lang w:val="en-GB"/>
        </w:rPr>
        <w:t>,</w:t>
      </w:r>
      <w:r w:rsidR="006E18CA" w:rsidRPr="005D33A9">
        <w:rPr>
          <w:rStyle w:val="FootnoteReference"/>
          <w:sz w:val="24"/>
          <w:szCs w:val="24"/>
          <w:lang w:val="en-GB"/>
        </w:rPr>
        <w:footnoteReference w:id="201"/>
      </w:r>
      <w:r w:rsidR="006E18CA" w:rsidRPr="005D33A9">
        <w:rPr>
          <w:sz w:val="24"/>
          <w:szCs w:val="24"/>
        </w:rPr>
        <w:t xml:space="preserve">, some others have expressed confidence in the arrangement and processes in place stating that the US National </w:t>
      </w:r>
      <w:r w:rsidR="006E18CA" w:rsidRPr="00F91831">
        <w:rPr>
          <w:sz w:val="24"/>
          <w:szCs w:val="24"/>
        </w:rPr>
        <w:t>Telecommunications Industry Association (</w:t>
      </w:r>
      <w:r w:rsidR="006E18CA" w:rsidRPr="00F91831">
        <w:rPr>
          <w:sz w:val="24"/>
          <w:szCs w:val="24"/>
          <w:lang w:val="en-GB"/>
        </w:rPr>
        <w:t>NTIA), ICANN and VeriSign have liaised with the naming and security communities to make the processes “transparent, independently audited and effective”</w:t>
      </w:r>
      <w:r w:rsidRPr="00F91831">
        <w:rPr>
          <w:rStyle w:val="FootnoteReference"/>
          <w:sz w:val="24"/>
          <w:szCs w:val="24"/>
          <w:lang w:val="en-GB"/>
        </w:rPr>
        <w:footnoteReference w:id="202"/>
      </w:r>
      <w:r w:rsidR="006E18CA" w:rsidRPr="00F91831">
        <w:rPr>
          <w:sz w:val="24"/>
          <w:szCs w:val="24"/>
          <w:lang w:val="en-GB"/>
        </w:rPr>
        <w:t xml:space="preserve">. Those with this view note that </w:t>
      </w:r>
      <w:r w:rsidRPr="00F91831">
        <w:rPr>
          <w:rFonts w:cs="Times New Roman"/>
          <w:sz w:val="24"/>
          <w:szCs w:val="24"/>
        </w:rPr>
        <w:t>ICANN relies on direct global stakeholder involvement in KSK management, utilizing twenty one “Trusted Community Representatives” (TCRs). The TCRs are experts from 17 geographically dispersed countries who play a key role in the root key generation,</w:t>
      </w:r>
      <w:r w:rsidRPr="00AC1CD6">
        <w:rPr>
          <w:rFonts w:cs="Times New Roman"/>
          <w:sz w:val="24"/>
          <w:szCs w:val="24"/>
        </w:rPr>
        <w:t xml:space="preserve"> back-up, and signing process to ensure neutrality, transparency, and security</w:t>
      </w:r>
      <w:r>
        <w:rPr>
          <w:rStyle w:val="FootnoteReference"/>
          <w:rFonts w:cs="Times New Roman"/>
          <w:sz w:val="24"/>
          <w:szCs w:val="24"/>
        </w:rPr>
        <w:footnoteReference w:id="203"/>
      </w:r>
      <w:r w:rsidR="006E18CA" w:rsidRPr="005D33A9">
        <w:rPr>
          <w:rFonts w:cs="Times New Roman"/>
          <w:sz w:val="24"/>
          <w:szCs w:val="24"/>
        </w:rPr>
        <w:t>.</w:t>
      </w:r>
    </w:p>
    <w:p w:rsidR="007D1F2C" w:rsidRDefault="007D1F2C" w:rsidP="0040201F">
      <w:pPr>
        <w:spacing w:after="0" w:line="240" w:lineRule="auto"/>
        <w:jc w:val="both"/>
        <w:rPr>
          <w:sz w:val="24"/>
          <w:szCs w:val="24"/>
        </w:rPr>
      </w:pPr>
    </w:p>
    <w:p w:rsidR="007D1F2C" w:rsidRDefault="00AC1CD6" w:rsidP="0040201F">
      <w:pPr>
        <w:pStyle w:val="ListParagraph"/>
        <w:spacing w:after="0" w:line="240" w:lineRule="auto"/>
        <w:ind w:hanging="720"/>
        <w:jc w:val="both"/>
        <w:rPr>
          <w:rFonts w:cstheme="majorBidi"/>
          <w:b/>
          <w:bCs/>
          <w:sz w:val="24"/>
          <w:szCs w:val="24"/>
        </w:rPr>
      </w:pPr>
      <w:r w:rsidRPr="00AC1CD6">
        <w:rPr>
          <w:rFonts w:cstheme="majorBidi"/>
          <w:b/>
          <w:bCs/>
          <w:sz w:val="24"/>
          <w:szCs w:val="24"/>
        </w:rPr>
        <w:t>2.3.5. Role of administrations of Member States in the management of internationalized (multilingual) domain names</w:t>
      </w:r>
      <w:r w:rsidR="00441081" w:rsidRPr="005D33A9">
        <w:rPr>
          <w:rStyle w:val="FootnoteReference"/>
          <w:rFonts w:cstheme="majorBidi"/>
          <w:sz w:val="24"/>
          <w:szCs w:val="24"/>
        </w:rPr>
        <w:footnoteReference w:id="204"/>
      </w:r>
    </w:p>
    <w:p w:rsidR="007D1F2C" w:rsidRDefault="007D1F2C" w:rsidP="0040201F">
      <w:pPr>
        <w:pStyle w:val="ListParagraph"/>
        <w:spacing w:after="0" w:line="240" w:lineRule="auto"/>
        <w:ind w:left="426" w:hanging="426"/>
        <w:jc w:val="both"/>
        <w:rPr>
          <w:b/>
          <w:bCs/>
          <w:sz w:val="24"/>
          <w:szCs w:val="24"/>
        </w:rPr>
      </w:pPr>
    </w:p>
    <w:p w:rsidR="007D1F2C" w:rsidRDefault="00AC1CD6" w:rsidP="0040201F">
      <w:pPr>
        <w:pStyle w:val="ListParagraph"/>
        <w:numPr>
          <w:ilvl w:val="0"/>
          <w:numId w:val="21"/>
        </w:numPr>
        <w:spacing w:after="0" w:line="240" w:lineRule="auto"/>
        <w:ind w:left="426" w:hanging="426"/>
        <w:jc w:val="both"/>
        <w:rPr>
          <w:sz w:val="24"/>
          <w:szCs w:val="24"/>
        </w:rPr>
      </w:pPr>
      <w:r w:rsidRPr="00AC1CD6">
        <w:rPr>
          <w:sz w:val="24"/>
          <w:szCs w:val="24"/>
        </w:rPr>
        <w:t xml:space="preserve">Resolution 133 (Rev. Guadalajara, 2010) recognized the following with respect to the management of internationalized (multilingual) domain names: </w:t>
      </w:r>
    </w:p>
    <w:p w:rsidR="007D1F2C" w:rsidRDefault="007D1F2C" w:rsidP="0040201F">
      <w:pPr>
        <w:pStyle w:val="ListParagraph"/>
        <w:spacing w:after="0" w:line="240" w:lineRule="auto"/>
        <w:ind w:left="993" w:hanging="426"/>
        <w:jc w:val="both"/>
        <w:rPr>
          <w:sz w:val="24"/>
          <w:szCs w:val="24"/>
        </w:rPr>
      </w:pP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 xml:space="preserve">The </w:t>
      </w:r>
      <w:r w:rsidRPr="00AC1CD6">
        <w:rPr>
          <w:i/>
          <w:iCs/>
          <w:sz w:val="24"/>
          <w:szCs w:val="24"/>
        </w:rPr>
        <w:t>Tunis Agenda for the Information Society</w:t>
      </w:r>
      <w:r w:rsidRPr="00AC1CD6">
        <w:rPr>
          <w:sz w:val="24"/>
          <w:szCs w:val="24"/>
        </w:rPr>
        <w:t xml:space="preserve"> adopted by the WSIS made a commitment to advance the process for the introduction of multilingualism in a number of areas, including domain names, e-mail, Internet addresses and keyword look-up. </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There is a need to promote regional root servers (see section 2.3.5.2) and the use of internationalized domain names in order to overcome linguistic barriers to Internet access</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 xml:space="preserve">Recalling the outcomes of WSIS, there should be a commitment to working earnestly towards </w:t>
      </w:r>
      <w:proofErr w:type="spellStart"/>
      <w:r w:rsidRPr="00AC1CD6">
        <w:rPr>
          <w:sz w:val="24"/>
          <w:szCs w:val="24"/>
        </w:rPr>
        <w:t>multilingualization</w:t>
      </w:r>
      <w:proofErr w:type="spellEnd"/>
      <w:r w:rsidRPr="00AC1CD6">
        <w:rPr>
          <w:sz w:val="24"/>
          <w:szCs w:val="24"/>
        </w:rPr>
        <w:t xml:space="preserve"> of the Internet, as part of a multilateral, transparent and democratic process, involving governments and all stakeholders, in their respective roles.</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The current domain name system does not fully reflect the diverse and growing language needs of all users.</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Internationalized Internet domain names, and more generally ICTs and the Internet, must be widely accessible to all citizens without regard to gender, race, religion, country of residence or language.</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Internet domain names should not privilege any country or region of the world to the detriment of others, and should take into account the global diversity of languages.</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lastRenderedPageBreak/>
        <w:t>Recalling the results of WSIS and the needs of linguistic groups, there is an urgent need to:</w:t>
      </w:r>
    </w:p>
    <w:p w:rsidR="007D1F2C" w:rsidRDefault="00AC1CD6" w:rsidP="0040201F">
      <w:pPr>
        <w:pStyle w:val="ListParagraph"/>
        <w:numPr>
          <w:ilvl w:val="3"/>
          <w:numId w:val="42"/>
        </w:numPr>
        <w:spacing w:after="0" w:line="240" w:lineRule="auto"/>
        <w:ind w:left="1560" w:hanging="426"/>
        <w:jc w:val="both"/>
        <w:rPr>
          <w:sz w:val="24"/>
          <w:szCs w:val="24"/>
        </w:rPr>
      </w:pPr>
      <w:proofErr w:type="gramStart"/>
      <w:r w:rsidRPr="00AC1CD6">
        <w:rPr>
          <w:sz w:val="24"/>
          <w:szCs w:val="24"/>
        </w:rPr>
        <w:t>advance</w:t>
      </w:r>
      <w:proofErr w:type="gramEnd"/>
      <w:r w:rsidRPr="00AC1CD6">
        <w:rPr>
          <w:sz w:val="24"/>
          <w:szCs w:val="24"/>
        </w:rPr>
        <w:t xml:space="preserve"> the process for the introduction of multilingualism in a number of areas, including domain names, e-mail addresses and keyword look-up.</w:t>
      </w:r>
    </w:p>
    <w:p w:rsidR="007D1F2C" w:rsidRDefault="00AC1CD6" w:rsidP="0040201F">
      <w:pPr>
        <w:pStyle w:val="ListParagraph"/>
        <w:numPr>
          <w:ilvl w:val="3"/>
          <w:numId w:val="42"/>
        </w:numPr>
        <w:spacing w:after="0" w:line="240" w:lineRule="auto"/>
        <w:ind w:left="1560" w:hanging="426"/>
        <w:jc w:val="both"/>
        <w:rPr>
          <w:sz w:val="24"/>
          <w:szCs w:val="24"/>
        </w:rPr>
      </w:pPr>
      <w:proofErr w:type="gramStart"/>
      <w:r w:rsidRPr="00AC1CD6">
        <w:rPr>
          <w:sz w:val="24"/>
          <w:szCs w:val="24"/>
        </w:rPr>
        <w:t>implement</w:t>
      </w:r>
      <w:proofErr w:type="gramEnd"/>
      <w:r w:rsidRPr="00AC1CD6">
        <w:rPr>
          <w:sz w:val="24"/>
          <w:szCs w:val="24"/>
        </w:rPr>
        <w:t xml:space="preserve"> </w:t>
      </w:r>
      <w:proofErr w:type="spellStart"/>
      <w:r w:rsidRPr="00AC1CD6">
        <w:rPr>
          <w:sz w:val="24"/>
          <w:szCs w:val="24"/>
        </w:rPr>
        <w:t>programmes</w:t>
      </w:r>
      <w:proofErr w:type="spellEnd"/>
      <w:r w:rsidRPr="00AC1CD6">
        <w:rPr>
          <w:sz w:val="24"/>
          <w:szCs w:val="24"/>
        </w:rPr>
        <w:t xml:space="preserve"> that allow for the presence of multilingual domain names and content on the Internet and the use of various software models in order to fight against the linguistic digital divide and to ensure that everyone can participate in the emerging new society.</w:t>
      </w:r>
    </w:p>
    <w:p w:rsidR="007D1F2C" w:rsidRDefault="00AC1CD6" w:rsidP="0040201F">
      <w:pPr>
        <w:pStyle w:val="ListParagraph"/>
        <w:numPr>
          <w:ilvl w:val="3"/>
          <w:numId w:val="42"/>
        </w:numPr>
        <w:spacing w:after="0" w:line="240" w:lineRule="auto"/>
        <w:ind w:left="1560" w:hanging="426"/>
        <w:jc w:val="both"/>
        <w:rPr>
          <w:sz w:val="24"/>
          <w:szCs w:val="24"/>
        </w:rPr>
      </w:pPr>
      <w:proofErr w:type="gramStart"/>
      <w:r w:rsidRPr="00AC1CD6">
        <w:rPr>
          <w:sz w:val="24"/>
          <w:szCs w:val="24"/>
        </w:rPr>
        <w:t>strengthen</w:t>
      </w:r>
      <w:proofErr w:type="gramEnd"/>
      <w:r w:rsidRPr="00AC1CD6">
        <w:rPr>
          <w:sz w:val="24"/>
          <w:szCs w:val="24"/>
        </w:rPr>
        <w:t xml:space="preserve"> cooperation between relevant bodies for the further development of technical standards and to foster their global deployment.</w:t>
      </w:r>
    </w:p>
    <w:p w:rsidR="007D1F2C" w:rsidRPr="00F91831"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 xml:space="preserve">There are a number of challenges with regard to intellectual property and the deployment of internationalized </w:t>
      </w:r>
      <w:r w:rsidRPr="00F91831">
        <w:rPr>
          <w:sz w:val="24"/>
          <w:szCs w:val="24"/>
        </w:rPr>
        <w:t>domain names, and adequate solutions should be explored.</w:t>
      </w:r>
    </w:p>
    <w:p w:rsidR="007D1F2C" w:rsidRDefault="00AC1CD6" w:rsidP="0040201F">
      <w:pPr>
        <w:pStyle w:val="ListParagraph"/>
        <w:numPr>
          <w:ilvl w:val="1"/>
          <w:numId w:val="21"/>
        </w:numPr>
        <w:spacing w:after="0" w:line="240" w:lineRule="auto"/>
        <w:ind w:left="993" w:hanging="426"/>
        <w:jc w:val="both"/>
        <w:rPr>
          <w:sz w:val="24"/>
          <w:szCs w:val="24"/>
        </w:rPr>
      </w:pPr>
      <w:r w:rsidRPr="00F91831">
        <w:rPr>
          <w:sz w:val="24"/>
          <w:szCs w:val="24"/>
        </w:rPr>
        <w:t>The roles played by the World Intellectual Property Organization (WIPO) (with regard to dispute resolution for domain names), and by</w:t>
      </w:r>
      <w:r w:rsidRPr="00AC1CD6">
        <w:rPr>
          <w:sz w:val="24"/>
          <w:szCs w:val="24"/>
        </w:rPr>
        <w:t xml:space="preserve">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7D1F2C" w:rsidRDefault="00AC1CD6" w:rsidP="0040201F">
      <w:pPr>
        <w:pStyle w:val="ListParagraph"/>
        <w:numPr>
          <w:ilvl w:val="1"/>
          <w:numId w:val="21"/>
        </w:numPr>
        <w:spacing w:after="0" w:line="240" w:lineRule="auto"/>
        <w:ind w:left="993" w:hanging="426"/>
        <w:jc w:val="both"/>
        <w:rPr>
          <w:sz w:val="24"/>
          <w:szCs w:val="24"/>
        </w:rPr>
      </w:pPr>
      <w:r w:rsidRPr="00AC1CD6">
        <w:rPr>
          <w:sz w:val="24"/>
          <w:szCs w:val="24"/>
        </w:rPr>
        <w:t>It is paramount to maintain global interoperability as domain names expand to include non-Latin character sets.</w:t>
      </w:r>
    </w:p>
    <w:p w:rsidR="007D1F2C" w:rsidRDefault="007D1F2C" w:rsidP="0040201F">
      <w:pPr>
        <w:pStyle w:val="ListParagraph"/>
        <w:spacing w:after="0" w:line="240" w:lineRule="auto"/>
        <w:ind w:left="1134"/>
        <w:jc w:val="both"/>
        <w:rPr>
          <w:sz w:val="24"/>
          <w:szCs w:val="24"/>
        </w:rPr>
      </w:pPr>
    </w:p>
    <w:p w:rsidR="007D1F2C" w:rsidRDefault="00AC1CD6" w:rsidP="0040201F">
      <w:pPr>
        <w:pStyle w:val="ListParagraph"/>
        <w:numPr>
          <w:ilvl w:val="0"/>
          <w:numId w:val="21"/>
        </w:numPr>
        <w:spacing w:after="0" w:line="240" w:lineRule="auto"/>
        <w:ind w:left="426" w:hanging="426"/>
        <w:jc w:val="both"/>
        <w:rPr>
          <w:sz w:val="24"/>
          <w:szCs w:val="24"/>
        </w:rPr>
      </w:pPr>
      <w:r w:rsidRPr="00AC1CD6">
        <w:rPr>
          <w:sz w:val="24"/>
          <w:szCs w:val="24"/>
        </w:rPr>
        <w:t xml:space="preserve">While the need for and importance of a multilingual Internet is universally accepted, there is some divergence on the current status of the urgency of the need to advance the process towards multilingualism and to implement </w:t>
      </w:r>
      <w:proofErr w:type="spellStart"/>
      <w:r w:rsidRPr="00AC1CD6">
        <w:rPr>
          <w:sz w:val="24"/>
          <w:szCs w:val="24"/>
        </w:rPr>
        <w:t>programmes</w:t>
      </w:r>
      <w:proofErr w:type="spellEnd"/>
      <w:r w:rsidRPr="00AC1CD6">
        <w:rPr>
          <w:sz w:val="24"/>
          <w:szCs w:val="24"/>
        </w:rPr>
        <w:t xml:space="preserve"> in this regard. One view is that the introduction of Internationalized Domain Names (IDNs) under DNS (see section 2.3.5.1) has progressed considerably under the current process established by ICANN and therefore, the previously acknowledged urgency of need is being met by the current process</w:t>
      </w:r>
      <w:r w:rsidR="00441081" w:rsidRPr="005D33A9">
        <w:rPr>
          <w:rStyle w:val="FootnoteReference"/>
          <w:sz w:val="24"/>
          <w:szCs w:val="24"/>
        </w:rPr>
        <w:footnoteReference w:id="205"/>
      </w:r>
      <w:r w:rsidRPr="00AC1CD6">
        <w:rPr>
          <w:sz w:val="24"/>
          <w:szCs w:val="24"/>
        </w:rPr>
        <w:t>. Another view is that although IDNs are possible, more work remains to be done with respect to keyword look-up. Those holding this view also point out that the current IDN implementation is “effectively a patch on an ASCII-based system and that the DNS will properly reflect multilingualism when support is native to the system”</w:t>
      </w:r>
      <w:r>
        <w:rPr>
          <w:rStyle w:val="FootnoteReference"/>
          <w:sz w:val="24"/>
          <w:szCs w:val="24"/>
        </w:rPr>
        <w:footnoteReference w:id="206"/>
      </w:r>
      <w:r w:rsidRPr="00AC1CD6">
        <w:rPr>
          <w:sz w:val="24"/>
          <w:szCs w:val="24"/>
        </w:rPr>
        <w:t>.</w:t>
      </w:r>
      <w:r w:rsidRPr="00AC1CD6">
        <w:rPr>
          <w:b/>
          <w:bCs/>
          <w:color w:val="FF0000"/>
          <w:sz w:val="24"/>
          <w:szCs w:val="24"/>
        </w:rPr>
        <w:t xml:space="preserve"> </w:t>
      </w:r>
      <w:r w:rsidRPr="00AC1CD6">
        <w:rPr>
          <w:sz w:val="24"/>
          <w:szCs w:val="24"/>
        </w:rPr>
        <w:t xml:space="preserve">The IDN implementation </w:t>
      </w:r>
      <w:r w:rsidRPr="00F91831">
        <w:rPr>
          <w:sz w:val="24"/>
          <w:szCs w:val="24"/>
        </w:rPr>
        <w:t>embodied by RFCs 5890, 5891</w:t>
      </w:r>
      <w:r w:rsidRPr="00AC1CD6">
        <w:rPr>
          <w:sz w:val="24"/>
          <w:szCs w:val="24"/>
        </w:rPr>
        <w:t xml:space="preserve">, 5892, 5893, 5894 and Informational RFCs 3743, 4185, 4690 that build on the Unicode (ISO/IEC 10646) series of standards is in essence a </w:t>
      </w:r>
      <w:proofErr w:type="gramStart"/>
      <w:r w:rsidRPr="00AC1CD6">
        <w:rPr>
          <w:sz w:val="24"/>
          <w:szCs w:val="24"/>
        </w:rPr>
        <w:t xml:space="preserve">patch </w:t>
      </w:r>
      <w:proofErr w:type="gramEnd"/>
      <w:r w:rsidR="00441081" w:rsidRPr="005D33A9">
        <w:rPr>
          <w:rStyle w:val="FootnoteReference"/>
          <w:sz w:val="24"/>
          <w:szCs w:val="24"/>
        </w:rPr>
        <w:footnoteReference w:id="207"/>
      </w:r>
      <w:r w:rsidR="00441081" w:rsidRPr="005D33A9">
        <w:rPr>
          <w:sz w:val="24"/>
          <w:szCs w:val="24"/>
        </w:rPr>
        <w:t xml:space="preserve">. However, others contend that this is not a patch on the ASCII domain name system (just as IPv6 and DNSSEC are not patches), and that </w:t>
      </w:r>
      <w:r w:rsidR="00610D1F">
        <w:rPr>
          <w:sz w:val="24"/>
          <w:szCs w:val="24"/>
        </w:rPr>
        <w:t xml:space="preserve">it </w:t>
      </w:r>
      <w:r w:rsidR="00441081" w:rsidRPr="005D33A9">
        <w:rPr>
          <w:sz w:val="24"/>
          <w:szCs w:val="24"/>
        </w:rPr>
        <w:t>is not possible to have 'native' support for IDNs without confusing name servers, resolvers a</w:t>
      </w:r>
      <w:r w:rsidRPr="00AC1CD6">
        <w:rPr>
          <w:sz w:val="24"/>
          <w:szCs w:val="24"/>
        </w:rPr>
        <w:t xml:space="preserve">nd clients, and that any script can be supported and can be encoded to fit in an ASCII domain name, as there are no real </w:t>
      </w:r>
      <w:proofErr w:type="gramStart"/>
      <w:r w:rsidRPr="00AC1CD6">
        <w:rPr>
          <w:sz w:val="24"/>
          <w:szCs w:val="24"/>
        </w:rPr>
        <w:t xml:space="preserve">restrictions </w:t>
      </w:r>
      <w:proofErr w:type="gramEnd"/>
      <w:r>
        <w:rPr>
          <w:rStyle w:val="FootnoteReference"/>
          <w:sz w:val="24"/>
          <w:szCs w:val="24"/>
        </w:rPr>
        <w:footnoteReference w:id="208"/>
      </w:r>
      <w:r w:rsidRPr="00AC1CD6">
        <w:rPr>
          <w:sz w:val="24"/>
          <w:szCs w:val="24"/>
        </w:rPr>
        <w:t>.</w:t>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21"/>
        </w:numPr>
        <w:spacing w:after="0" w:line="240" w:lineRule="auto"/>
        <w:ind w:left="426" w:hanging="426"/>
        <w:jc w:val="both"/>
        <w:rPr>
          <w:sz w:val="24"/>
          <w:szCs w:val="24"/>
        </w:rPr>
      </w:pPr>
      <w:r w:rsidRPr="00AC1CD6">
        <w:rPr>
          <w:sz w:val="24"/>
          <w:szCs w:val="24"/>
        </w:rPr>
        <w:lastRenderedPageBreak/>
        <w:t xml:space="preserve">Current efforts are focused on developing standards, technologies, and practices that enable the Internet to support interoperable IDNs without breaking or interrupting root servers and their mirrors, other DNS resolvers, and application-level services </w:t>
      </w:r>
      <w:r w:rsidR="00441081" w:rsidRPr="005D33A9">
        <w:rPr>
          <w:rStyle w:val="FootnoteReference"/>
          <w:rFonts w:cstheme="minorHAnsi"/>
          <w:sz w:val="24"/>
          <w:szCs w:val="24"/>
        </w:rPr>
        <w:footnoteReference w:id="209"/>
      </w:r>
      <w:r w:rsidR="00441081" w:rsidRPr="005D33A9">
        <w:rPr>
          <w:sz w:val="24"/>
          <w:szCs w:val="24"/>
        </w:rPr>
        <w:t>.</w:t>
      </w:r>
    </w:p>
    <w:p w:rsidR="007D1F2C" w:rsidRDefault="007D1F2C" w:rsidP="0040201F">
      <w:pPr>
        <w:spacing w:after="0" w:line="240" w:lineRule="auto"/>
        <w:jc w:val="both"/>
        <w:rPr>
          <w:sz w:val="24"/>
          <w:szCs w:val="24"/>
        </w:rPr>
      </w:pPr>
    </w:p>
    <w:p w:rsidR="007D1F2C" w:rsidRDefault="00AC1CD6" w:rsidP="0040201F">
      <w:pPr>
        <w:pStyle w:val="ListParagraph"/>
        <w:numPr>
          <w:ilvl w:val="3"/>
          <w:numId w:val="20"/>
        </w:numPr>
        <w:spacing w:after="0" w:line="240" w:lineRule="auto"/>
        <w:jc w:val="both"/>
        <w:rPr>
          <w:b/>
          <w:bCs/>
          <w:sz w:val="24"/>
          <w:szCs w:val="24"/>
        </w:rPr>
      </w:pPr>
      <w:r w:rsidRPr="00AC1CD6">
        <w:rPr>
          <w:b/>
          <w:bCs/>
          <w:sz w:val="24"/>
          <w:szCs w:val="24"/>
        </w:rPr>
        <w:t xml:space="preserve">    Internationalized Domain Names (IDNs) under the DNS</w:t>
      </w:r>
    </w:p>
    <w:p w:rsidR="007D1F2C" w:rsidRDefault="007D1F2C" w:rsidP="0040201F">
      <w:pPr>
        <w:pStyle w:val="ListParagraph"/>
        <w:spacing w:after="0" w:line="240" w:lineRule="auto"/>
        <w:jc w:val="both"/>
        <w:rPr>
          <w:b/>
          <w:bCs/>
          <w:sz w:val="24"/>
          <w:szCs w:val="24"/>
        </w:rPr>
      </w:pPr>
    </w:p>
    <w:p w:rsidR="007D1F2C" w:rsidRDefault="00AC1CD6" w:rsidP="0040201F">
      <w:pPr>
        <w:pStyle w:val="ListParagraph"/>
        <w:numPr>
          <w:ilvl w:val="0"/>
          <w:numId w:val="19"/>
        </w:numPr>
        <w:spacing w:after="0" w:line="240" w:lineRule="auto"/>
        <w:ind w:left="426" w:hanging="426"/>
        <w:jc w:val="both"/>
        <w:rPr>
          <w:sz w:val="24"/>
          <w:szCs w:val="24"/>
        </w:rPr>
      </w:pPr>
      <w:r w:rsidRPr="00AC1CD6">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19"/>
        </w:numPr>
        <w:spacing w:after="0" w:line="240" w:lineRule="auto"/>
        <w:ind w:left="426" w:hanging="426"/>
        <w:jc w:val="both"/>
        <w:rPr>
          <w:sz w:val="24"/>
          <w:szCs w:val="24"/>
        </w:rPr>
      </w:pPr>
      <w:r w:rsidRPr="00AC1CD6">
        <w:rPr>
          <w:sz w:val="24"/>
          <w:szCs w:val="24"/>
        </w:rPr>
        <w:t xml:space="preserve">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w:t>
      </w:r>
      <w:proofErr w:type="spellStart"/>
      <w:r w:rsidRPr="00AC1CD6">
        <w:rPr>
          <w:sz w:val="24"/>
          <w:szCs w:val="24"/>
        </w:rPr>
        <w:t>ccTLDs</w:t>
      </w:r>
      <w:proofErr w:type="spellEnd"/>
      <w:r w:rsidRPr="00AC1CD6">
        <w:rPr>
          <w:sz w:val="24"/>
          <w:szCs w:val="24"/>
        </w:rPr>
        <w:t xml:space="preserve"> representing their respective country or territory names in scripts other than US-ASCII characters.  </w:t>
      </w:r>
    </w:p>
    <w:p w:rsidR="007D1F2C" w:rsidRDefault="007D1F2C" w:rsidP="0040201F">
      <w:pPr>
        <w:pStyle w:val="ListParagraph"/>
        <w:spacing w:after="0" w:line="240" w:lineRule="auto"/>
        <w:ind w:left="426"/>
        <w:jc w:val="both"/>
        <w:rPr>
          <w:sz w:val="24"/>
          <w:szCs w:val="24"/>
        </w:rPr>
      </w:pPr>
    </w:p>
    <w:p w:rsidR="007D1F2C" w:rsidRDefault="00AB38A9" w:rsidP="0040201F">
      <w:pPr>
        <w:pStyle w:val="ListParagraph"/>
        <w:numPr>
          <w:ilvl w:val="0"/>
          <w:numId w:val="19"/>
        </w:numPr>
        <w:spacing w:after="0" w:line="240" w:lineRule="auto"/>
        <w:ind w:left="426" w:hanging="426"/>
        <w:jc w:val="both"/>
        <w:rPr>
          <w:sz w:val="24"/>
          <w:szCs w:val="24"/>
        </w:rPr>
      </w:pPr>
      <w:r>
        <w:rPr>
          <w:sz w:val="24"/>
          <w:szCs w:val="24"/>
        </w:rPr>
        <w:t xml:space="preserve">The </w:t>
      </w:r>
      <w:r w:rsidR="00AC1CD6" w:rsidRPr="00AC1CD6">
        <w:rPr>
          <w:sz w:val="24"/>
          <w:szCs w:val="24"/>
        </w:rPr>
        <w:t xml:space="preserve">Implementation of IDN in the new </w:t>
      </w:r>
      <w:proofErr w:type="spellStart"/>
      <w:r w:rsidR="00AC1CD6" w:rsidRPr="00AC1CD6">
        <w:rPr>
          <w:sz w:val="24"/>
          <w:szCs w:val="24"/>
        </w:rPr>
        <w:t>gTLDs</w:t>
      </w:r>
      <w:proofErr w:type="spellEnd"/>
      <w:r w:rsidR="00AC1CD6" w:rsidRPr="00AC1CD6">
        <w:rPr>
          <w:sz w:val="24"/>
          <w:szCs w:val="24"/>
        </w:rPr>
        <w:t xml:space="preserve"> </w:t>
      </w:r>
      <w:proofErr w:type="spellStart"/>
      <w:r w:rsidR="00AC1CD6" w:rsidRPr="00AC1CD6">
        <w:rPr>
          <w:sz w:val="24"/>
          <w:szCs w:val="24"/>
        </w:rPr>
        <w:t>programme</w:t>
      </w:r>
      <w:proofErr w:type="spellEnd"/>
      <w:r w:rsidR="00AC1CD6" w:rsidRPr="00AC1CD6">
        <w:rPr>
          <w:sz w:val="24"/>
          <w:szCs w:val="24"/>
        </w:rPr>
        <w:t xml:space="preserve"> and the implementation of IDN </w:t>
      </w:r>
      <w:proofErr w:type="spellStart"/>
      <w:r w:rsidR="00AC1CD6" w:rsidRPr="00AC1CD6">
        <w:rPr>
          <w:sz w:val="24"/>
          <w:szCs w:val="24"/>
        </w:rPr>
        <w:t>ccTLDs</w:t>
      </w:r>
      <w:proofErr w:type="spellEnd"/>
      <w:r w:rsidR="00AC1CD6" w:rsidRPr="00AC1CD6">
        <w:rPr>
          <w:sz w:val="24"/>
          <w:szCs w:val="24"/>
        </w:rPr>
        <w:t xml:space="preserve"> raise some complex issues – for example, defining policies for scripts that the registries can accept, agreement on the type and number of characters in the strings etc. </w:t>
      </w:r>
      <w:r w:rsidR="00441081" w:rsidRPr="005D33A9">
        <w:rPr>
          <w:rStyle w:val="FootnoteReference"/>
          <w:sz w:val="24"/>
          <w:szCs w:val="24"/>
        </w:rPr>
        <w:footnoteReference w:id="210"/>
      </w:r>
    </w:p>
    <w:p w:rsidR="007D1F2C" w:rsidRDefault="007D1F2C" w:rsidP="0040201F">
      <w:pPr>
        <w:pStyle w:val="ListParagraph"/>
        <w:spacing w:after="0" w:line="240" w:lineRule="auto"/>
        <w:ind w:left="426"/>
        <w:jc w:val="both"/>
        <w:rPr>
          <w:sz w:val="24"/>
          <w:szCs w:val="24"/>
        </w:rPr>
      </w:pPr>
    </w:p>
    <w:p w:rsidR="007D1F2C" w:rsidRDefault="00AC1CD6" w:rsidP="0040201F">
      <w:pPr>
        <w:pStyle w:val="ListParagraph"/>
        <w:numPr>
          <w:ilvl w:val="0"/>
          <w:numId w:val="19"/>
        </w:numPr>
        <w:spacing w:after="0" w:line="240" w:lineRule="auto"/>
        <w:ind w:left="426" w:hanging="426"/>
        <w:jc w:val="both"/>
        <w:rPr>
          <w:sz w:val="24"/>
          <w:szCs w:val="24"/>
        </w:rPr>
      </w:pPr>
      <w:r w:rsidRPr="00AC1CD6">
        <w:rPr>
          <w:sz w:val="24"/>
          <w:szCs w:val="24"/>
        </w:rPr>
        <w:t xml:space="preserve">By June 2012, a total of 30 countries/territories requests have successfully passed through the String Evaluation. Of these, 21 countries/territories (represented by 31 IDN </w:t>
      </w:r>
      <w:proofErr w:type="spellStart"/>
      <w:r w:rsidRPr="00AC1CD6">
        <w:rPr>
          <w:sz w:val="24"/>
          <w:szCs w:val="24"/>
        </w:rPr>
        <w:t>ccTLDs</w:t>
      </w:r>
      <w:proofErr w:type="spellEnd"/>
      <w:r w:rsidRPr="00AC1CD6">
        <w:rPr>
          <w:sz w:val="24"/>
          <w:szCs w:val="24"/>
        </w:rPr>
        <w:t>) are delegated in the DNS root zone; with the remainder either readying to apply, or actively applying for, delegation of the string</w:t>
      </w:r>
      <w:r w:rsidR="00441081" w:rsidRPr="005D33A9">
        <w:rPr>
          <w:rStyle w:val="FootnoteReference"/>
          <w:sz w:val="24"/>
          <w:szCs w:val="24"/>
        </w:rPr>
        <w:footnoteReference w:id="211"/>
      </w:r>
      <w:r w:rsidR="00441081" w:rsidRPr="005D33A9">
        <w:rPr>
          <w:sz w:val="24"/>
          <w:szCs w:val="24"/>
        </w:rPr>
        <w:t>.</w:t>
      </w:r>
    </w:p>
    <w:p w:rsidR="007D1F2C" w:rsidRDefault="007D1F2C" w:rsidP="0040201F">
      <w:pPr>
        <w:spacing w:after="0" w:line="240" w:lineRule="auto"/>
        <w:jc w:val="both"/>
        <w:rPr>
          <w:sz w:val="24"/>
          <w:szCs w:val="24"/>
        </w:rPr>
      </w:pPr>
    </w:p>
    <w:p w:rsidR="007D1F2C" w:rsidRDefault="00083405" w:rsidP="0040201F">
      <w:pPr>
        <w:spacing w:after="0" w:line="240" w:lineRule="auto"/>
        <w:jc w:val="both"/>
        <w:rPr>
          <w:b/>
          <w:bCs/>
          <w:sz w:val="24"/>
          <w:szCs w:val="24"/>
        </w:rPr>
      </w:pPr>
      <w:r w:rsidRPr="005D33A9">
        <w:rPr>
          <w:b/>
          <w:bCs/>
          <w:sz w:val="24"/>
          <w:szCs w:val="24"/>
        </w:rPr>
        <w:t>2.3.5.2    Regional Root Servers</w:t>
      </w:r>
    </w:p>
    <w:p w:rsidR="007D1F2C" w:rsidRDefault="007D1F2C" w:rsidP="0040201F">
      <w:pPr>
        <w:spacing w:after="0" w:line="240" w:lineRule="auto"/>
        <w:jc w:val="both"/>
        <w:rPr>
          <w:b/>
          <w:bCs/>
          <w:sz w:val="24"/>
          <w:szCs w:val="24"/>
        </w:rPr>
      </w:pPr>
    </w:p>
    <w:p w:rsidR="007D1F2C" w:rsidRDefault="00AC1CD6" w:rsidP="0040201F">
      <w:pPr>
        <w:pStyle w:val="ListParagraph"/>
        <w:numPr>
          <w:ilvl w:val="0"/>
          <w:numId w:val="17"/>
        </w:numPr>
        <w:spacing w:after="0" w:line="240" w:lineRule="auto"/>
        <w:ind w:left="426" w:hanging="426"/>
        <w:jc w:val="both"/>
        <w:rPr>
          <w:sz w:val="24"/>
          <w:szCs w:val="24"/>
          <w:lang w:val="en-GB"/>
        </w:rPr>
      </w:pPr>
      <w:r w:rsidRPr="00AC1CD6">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w:t>
      </w:r>
      <w:proofErr w:type="spellStart"/>
      <w:r w:rsidRPr="00AC1CD6">
        <w:rPr>
          <w:sz w:val="24"/>
          <w:szCs w:val="24"/>
        </w:rPr>
        <w:t>int</w:t>
      </w:r>
      <w:proofErr w:type="spellEnd"/>
      <w:r w:rsidRPr="00AC1CD6">
        <w:rPr>
          <w:sz w:val="24"/>
          <w:szCs w:val="24"/>
        </w:rPr>
        <w: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00083405" w:rsidRPr="005D33A9">
        <w:rPr>
          <w:rStyle w:val="FootnoteReference"/>
          <w:sz w:val="24"/>
          <w:szCs w:val="24"/>
          <w:lang w:val="en-GB"/>
        </w:rPr>
        <w:footnoteReference w:id="212"/>
      </w:r>
      <w:r w:rsidR="00083405" w:rsidRPr="005D33A9">
        <w:rPr>
          <w:sz w:val="24"/>
          <w:szCs w:val="24"/>
        </w:rPr>
        <w:t>.</w:t>
      </w:r>
    </w:p>
    <w:p w:rsidR="007D1F2C" w:rsidRDefault="007D1F2C" w:rsidP="0040201F">
      <w:pPr>
        <w:pStyle w:val="ListParagraph"/>
        <w:spacing w:after="0" w:line="240" w:lineRule="auto"/>
        <w:ind w:left="426"/>
        <w:jc w:val="both"/>
        <w:rPr>
          <w:sz w:val="24"/>
          <w:szCs w:val="24"/>
          <w:lang w:val="en-GB"/>
        </w:rPr>
      </w:pPr>
    </w:p>
    <w:p w:rsidR="007D1F2C" w:rsidRDefault="00AC1CD6" w:rsidP="0040201F">
      <w:pPr>
        <w:keepNext/>
        <w:spacing w:after="0" w:line="240" w:lineRule="auto"/>
        <w:jc w:val="center"/>
        <w:rPr>
          <w:b/>
          <w:bCs/>
          <w:sz w:val="24"/>
          <w:szCs w:val="24"/>
        </w:rPr>
      </w:pPr>
      <w:r w:rsidRPr="00AC1CD6">
        <w:rPr>
          <w:b/>
          <w:bCs/>
          <w:sz w:val="24"/>
          <w:szCs w:val="24"/>
        </w:rPr>
        <w:lastRenderedPageBreak/>
        <w:t>Table 2: Operators and Root Servers</w:t>
      </w:r>
    </w:p>
    <w:tbl>
      <w:tblPr>
        <w:tblStyle w:val="TableGrid"/>
        <w:tblW w:w="0" w:type="auto"/>
        <w:jc w:val="center"/>
        <w:tblInd w:w="247" w:type="dxa"/>
        <w:tblLook w:val="04A0" w:firstRow="1" w:lastRow="0" w:firstColumn="1" w:lastColumn="0" w:noHBand="0" w:noVBand="1"/>
      </w:tblPr>
      <w:tblGrid>
        <w:gridCol w:w="990"/>
        <w:gridCol w:w="3278"/>
        <w:gridCol w:w="2410"/>
        <w:gridCol w:w="2410"/>
      </w:tblGrid>
      <w:tr w:rsidR="00083405" w:rsidRPr="005D33A9" w:rsidTr="004C4554">
        <w:trPr>
          <w:jc w:val="center"/>
        </w:trPr>
        <w:tc>
          <w:tcPr>
            <w:tcW w:w="990" w:type="dxa"/>
            <w:shd w:val="clear" w:color="auto" w:fill="D9D9D9" w:themeFill="background1" w:themeFillShade="D9"/>
          </w:tcPr>
          <w:p w:rsidR="007D1F2C" w:rsidRDefault="00AC1CD6" w:rsidP="0040201F">
            <w:pPr>
              <w:pStyle w:val="Heading3"/>
              <w:spacing w:before="0"/>
              <w:jc w:val="both"/>
              <w:outlineLvl w:val="2"/>
              <w:rPr>
                <w:rFonts w:asciiTheme="minorHAnsi" w:hAnsiTheme="minorHAnsi"/>
                <w:color w:val="auto"/>
                <w:sz w:val="20"/>
                <w:szCs w:val="20"/>
              </w:rPr>
            </w:pPr>
            <w:r w:rsidRPr="00AC1CD6">
              <w:rPr>
                <w:rFonts w:asciiTheme="minorHAnsi" w:hAnsiTheme="minorHAnsi"/>
                <w:color w:val="auto"/>
                <w:sz w:val="20"/>
                <w:szCs w:val="20"/>
              </w:rPr>
              <w:t>Server</w:t>
            </w:r>
          </w:p>
        </w:tc>
        <w:tc>
          <w:tcPr>
            <w:tcW w:w="3278" w:type="dxa"/>
            <w:shd w:val="clear" w:color="auto" w:fill="D9D9D9" w:themeFill="background1" w:themeFillShade="D9"/>
          </w:tcPr>
          <w:p w:rsidR="007D1F2C" w:rsidRDefault="00AC1CD6" w:rsidP="0040201F">
            <w:pPr>
              <w:pStyle w:val="Heading3"/>
              <w:spacing w:before="0"/>
              <w:jc w:val="both"/>
              <w:outlineLvl w:val="2"/>
              <w:rPr>
                <w:rFonts w:asciiTheme="minorHAnsi" w:hAnsiTheme="minorHAnsi"/>
                <w:color w:val="auto"/>
                <w:sz w:val="20"/>
                <w:szCs w:val="20"/>
              </w:rPr>
            </w:pPr>
            <w:r w:rsidRPr="00AC1CD6">
              <w:rPr>
                <w:rFonts w:asciiTheme="minorHAnsi" w:hAnsiTheme="minorHAnsi"/>
                <w:color w:val="auto"/>
                <w:sz w:val="20"/>
                <w:szCs w:val="20"/>
              </w:rPr>
              <w:t>Operator</w:t>
            </w:r>
          </w:p>
        </w:tc>
        <w:tc>
          <w:tcPr>
            <w:tcW w:w="2410" w:type="dxa"/>
            <w:shd w:val="clear" w:color="auto" w:fill="D9D9D9" w:themeFill="background1" w:themeFillShade="D9"/>
          </w:tcPr>
          <w:p w:rsidR="007D1F2C" w:rsidRDefault="00AC1CD6" w:rsidP="0040201F">
            <w:pPr>
              <w:pStyle w:val="Heading3"/>
              <w:spacing w:before="0"/>
              <w:jc w:val="both"/>
              <w:outlineLvl w:val="2"/>
              <w:rPr>
                <w:rFonts w:asciiTheme="minorHAnsi" w:hAnsiTheme="minorHAnsi"/>
                <w:color w:val="auto"/>
                <w:sz w:val="20"/>
                <w:szCs w:val="20"/>
              </w:rPr>
            </w:pPr>
            <w:r w:rsidRPr="00AC1CD6">
              <w:rPr>
                <w:rFonts w:asciiTheme="minorHAnsi" w:hAnsiTheme="minorHAnsi"/>
                <w:color w:val="auto"/>
                <w:sz w:val="20"/>
                <w:szCs w:val="20"/>
              </w:rPr>
              <w:t>Locations</w:t>
            </w:r>
          </w:p>
        </w:tc>
        <w:tc>
          <w:tcPr>
            <w:tcW w:w="2410" w:type="dxa"/>
            <w:shd w:val="clear" w:color="auto" w:fill="D9D9D9" w:themeFill="background1" w:themeFillShade="D9"/>
          </w:tcPr>
          <w:p w:rsidR="007D1F2C" w:rsidRDefault="00AC1CD6" w:rsidP="0040201F">
            <w:pPr>
              <w:pStyle w:val="Heading3"/>
              <w:spacing w:before="0"/>
              <w:jc w:val="both"/>
              <w:outlineLvl w:val="2"/>
              <w:rPr>
                <w:rFonts w:asciiTheme="minorHAnsi" w:hAnsiTheme="minorHAnsi"/>
                <w:color w:val="auto"/>
                <w:sz w:val="20"/>
                <w:szCs w:val="20"/>
              </w:rPr>
            </w:pPr>
            <w:r w:rsidRPr="00AC1CD6">
              <w:rPr>
                <w:rFonts w:asciiTheme="minorHAnsi" w:hAnsiTheme="minorHAnsi"/>
                <w:color w:val="auto"/>
                <w:sz w:val="20"/>
                <w:szCs w:val="20"/>
              </w:rPr>
              <w:t>Number of Instances</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A</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VeriSign, Inc.</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B</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Information Sciences Institute</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lang w:val="es-ES_tradnl"/>
              </w:rPr>
            </w:pPr>
            <w:r w:rsidRPr="00AC1CD6">
              <w:rPr>
                <w:rFonts w:asciiTheme="minorHAnsi" w:hAnsiTheme="minorHAnsi"/>
                <w:b w:val="0"/>
                <w:bCs w:val="0"/>
                <w:color w:val="auto"/>
                <w:sz w:val="18"/>
                <w:szCs w:val="18"/>
                <w:lang w:val="es-ES_tradnl"/>
              </w:rPr>
              <w:t>Marina Del Rey, California, US</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lang w:val="es-ES_tradnl"/>
              </w:rPr>
            </w:pPr>
            <w:r w:rsidRPr="00AC1CD6">
              <w:rPr>
                <w:rFonts w:asciiTheme="minorHAnsi" w:hAnsiTheme="minorHAnsi"/>
                <w:b w:val="0"/>
                <w:bCs w:val="0"/>
                <w:color w:val="auto"/>
                <w:sz w:val="18"/>
                <w:szCs w:val="18"/>
                <w:lang w:val="es-ES_tradnl"/>
              </w:rPr>
              <w:t>1</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C</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Cogent Communications</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D</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University of Maryland</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College Park, Maryland, US</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E</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NASA Ames Research Center</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12</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F</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Internet Systems Consortium, Inc.</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49</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G</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U.S</w:t>
            </w:r>
            <w:proofErr w:type="gramStart"/>
            <w:r w:rsidRPr="00AC1CD6">
              <w:rPr>
                <w:rFonts w:asciiTheme="minorHAnsi" w:hAnsiTheme="minorHAnsi"/>
                <w:b w:val="0"/>
                <w:bCs w:val="0"/>
                <w:color w:val="auto"/>
                <w:sz w:val="18"/>
                <w:szCs w:val="18"/>
              </w:rPr>
              <w:t>.[</w:t>
            </w:r>
            <w:proofErr w:type="gramEnd"/>
            <w:r w:rsidRPr="00AC1CD6">
              <w:rPr>
                <w:rFonts w:asciiTheme="minorHAnsi" w:hAnsiTheme="minorHAnsi"/>
                <w:b w:val="0"/>
                <w:bCs w:val="0"/>
                <w:color w:val="auto"/>
                <w:sz w:val="18"/>
                <w:szCs w:val="18"/>
              </w:rPr>
              <w:t>A.] DOD Network Information Center</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H</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U.S</w:t>
            </w:r>
            <w:proofErr w:type="gramStart"/>
            <w:r w:rsidRPr="00AC1CD6">
              <w:rPr>
                <w:rFonts w:asciiTheme="minorHAnsi" w:hAnsiTheme="minorHAnsi"/>
                <w:b w:val="0"/>
                <w:bCs w:val="0"/>
                <w:color w:val="auto"/>
                <w:sz w:val="18"/>
                <w:szCs w:val="18"/>
              </w:rPr>
              <w:t>.[</w:t>
            </w:r>
            <w:proofErr w:type="gramEnd"/>
            <w:r w:rsidRPr="00AC1CD6">
              <w:rPr>
                <w:rFonts w:asciiTheme="minorHAnsi" w:hAnsiTheme="minorHAnsi"/>
                <w:b w:val="0"/>
                <w:bCs w:val="0"/>
                <w:color w:val="auto"/>
                <w:sz w:val="18"/>
                <w:szCs w:val="18"/>
              </w:rPr>
              <w:t>A.] Army Research Lab</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r w:rsidRPr="00AC1CD6">
              <w:rPr>
                <w:rFonts w:asciiTheme="minorHAnsi" w:hAnsiTheme="minorHAnsi"/>
                <w:b w:val="0"/>
                <w:bCs w:val="0"/>
                <w:color w:val="auto"/>
                <w:sz w:val="18"/>
                <w:szCs w:val="18"/>
              </w:rPr>
              <w:t xml:space="preserve"> within the US</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2</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proofErr w:type="spellStart"/>
            <w:r w:rsidRPr="00AC1CD6">
              <w:rPr>
                <w:rFonts w:asciiTheme="minorHAnsi" w:hAnsiTheme="minorHAnsi"/>
                <w:b w:val="0"/>
                <w:bCs w:val="0"/>
                <w:color w:val="auto"/>
                <w:sz w:val="18"/>
                <w:szCs w:val="18"/>
              </w:rPr>
              <w:t>Netnod</w:t>
            </w:r>
            <w:proofErr w:type="spellEnd"/>
            <w:r w:rsidRPr="00AC1CD6">
              <w:rPr>
                <w:rFonts w:asciiTheme="minorHAnsi" w:hAnsiTheme="minorHAnsi"/>
                <w:b w:val="0"/>
                <w:bCs w:val="0"/>
                <w:color w:val="auto"/>
                <w:sz w:val="18"/>
                <w:szCs w:val="18"/>
              </w:rPr>
              <w:t xml:space="preserve"> (formerly </w:t>
            </w:r>
            <w:proofErr w:type="spellStart"/>
            <w:r w:rsidRPr="00AC1CD6">
              <w:rPr>
                <w:rFonts w:asciiTheme="minorHAnsi" w:hAnsiTheme="minorHAnsi"/>
                <w:b w:val="0"/>
                <w:bCs w:val="0"/>
                <w:color w:val="auto"/>
                <w:sz w:val="18"/>
                <w:szCs w:val="18"/>
              </w:rPr>
              <w:t>Autonomica</w:t>
            </w:r>
            <w:proofErr w:type="spellEnd"/>
            <w:r w:rsidRPr="00AC1CD6">
              <w:rPr>
                <w:rFonts w:asciiTheme="minorHAnsi" w:hAnsiTheme="minorHAnsi"/>
                <w:b w:val="0"/>
                <w:bCs w:val="0"/>
                <w:color w:val="auto"/>
                <w:sz w:val="18"/>
                <w:szCs w:val="18"/>
              </w:rPr>
              <w:t>)</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43</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J</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VeriSign, Inc.</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70</w:t>
            </w:r>
          </w:p>
        </w:tc>
      </w:tr>
      <w:tr w:rsidR="00083405" w:rsidRPr="005D33A9" w:rsidTr="004C4554">
        <w:trPr>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K</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RIPE NCC</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18</w:t>
            </w:r>
          </w:p>
        </w:tc>
      </w:tr>
      <w:tr w:rsidR="00083405" w:rsidRPr="005D33A9" w:rsidTr="004C4554">
        <w:trPr>
          <w:trHeight w:val="62"/>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L</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ICANN</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121</w:t>
            </w:r>
          </w:p>
        </w:tc>
      </w:tr>
      <w:tr w:rsidR="00083405" w:rsidRPr="005D33A9" w:rsidTr="004C4554">
        <w:trPr>
          <w:trHeight w:val="62"/>
          <w:jc w:val="center"/>
        </w:trPr>
        <w:tc>
          <w:tcPr>
            <w:tcW w:w="99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M</w:t>
            </w:r>
          </w:p>
        </w:tc>
        <w:tc>
          <w:tcPr>
            <w:tcW w:w="3278"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WIDE Project</w:t>
            </w:r>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 xml:space="preserve">Distributed using </w:t>
            </w:r>
            <w:proofErr w:type="spellStart"/>
            <w:r w:rsidRPr="00AC1CD6">
              <w:rPr>
                <w:rFonts w:asciiTheme="minorHAnsi" w:hAnsiTheme="minorHAnsi"/>
                <w:b w:val="0"/>
                <w:bCs w:val="0"/>
                <w:color w:val="auto"/>
                <w:sz w:val="18"/>
                <w:szCs w:val="18"/>
              </w:rPr>
              <w:t>anycast</w:t>
            </w:r>
            <w:proofErr w:type="spellEnd"/>
          </w:p>
        </w:tc>
        <w:tc>
          <w:tcPr>
            <w:tcW w:w="2410" w:type="dxa"/>
          </w:tcPr>
          <w:p w:rsidR="007D1F2C" w:rsidRDefault="00AC1CD6" w:rsidP="0040201F">
            <w:pPr>
              <w:pStyle w:val="Heading3"/>
              <w:spacing w:before="0"/>
              <w:jc w:val="center"/>
              <w:outlineLvl w:val="2"/>
              <w:rPr>
                <w:rFonts w:asciiTheme="minorHAnsi" w:hAnsiTheme="minorHAnsi"/>
                <w:b w:val="0"/>
                <w:bCs w:val="0"/>
                <w:color w:val="auto"/>
                <w:sz w:val="18"/>
                <w:szCs w:val="18"/>
              </w:rPr>
            </w:pPr>
            <w:r w:rsidRPr="00AC1CD6">
              <w:rPr>
                <w:rFonts w:asciiTheme="minorHAnsi" w:hAnsiTheme="minorHAnsi"/>
                <w:b w:val="0"/>
                <w:bCs w:val="0"/>
                <w:color w:val="auto"/>
                <w:sz w:val="18"/>
                <w:szCs w:val="18"/>
              </w:rPr>
              <w:t>6</w:t>
            </w:r>
          </w:p>
        </w:tc>
      </w:tr>
    </w:tbl>
    <w:p w:rsidR="007D1F2C" w:rsidRDefault="007D1F2C" w:rsidP="0040201F">
      <w:pPr>
        <w:keepNext/>
        <w:spacing w:after="0" w:line="240" w:lineRule="auto"/>
        <w:jc w:val="both"/>
      </w:pPr>
    </w:p>
    <w:p w:rsidR="007D1F2C" w:rsidRDefault="00AC1CD6" w:rsidP="0040201F">
      <w:pPr>
        <w:pStyle w:val="ListParagraph"/>
        <w:keepNext/>
        <w:numPr>
          <w:ilvl w:val="0"/>
          <w:numId w:val="17"/>
        </w:numPr>
        <w:spacing w:after="0" w:line="240" w:lineRule="auto"/>
        <w:ind w:left="426" w:hanging="426"/>
        <w:jc w:val="both"/>
        <w:rPr>
          <w:sz w:val="24"/>
          <w:szCs w:val="24"/>
        </w:rPr>
      </w:pPr>
      <w:r w:rsidRPr="00AC1CD6">
        <w:rPr>
          <w:sz w:val="24"/>
          <w:szCs w:val="24"/>
        </w:rPr>
        <w:t xml:space="preserve">The 12 operators manage the system used to publish the root zone that is administered through the IANA functions process and cryptographically-signed and distributed by VeriSign as the Root Zone Maintainer. </w:t>
      </w:r>
    </w:p>
    <w:p w:rsidR="007D1F2C" w:rsidRDefault="007D1F2C" w:rsidP="0040201F">
      <w:pPr>
        <w:pStyle w:val="ListParagraph"/>
        <w:keepNext/>
        <w:spacing w:after="0" w:line="240" w:lineRule="auto"/>
        <w:ind w:left="426"/>
        <w:jc w:val="both"/>
        <w:rPr>
          <w:sz w:val="24"/>
          <w:szCs w:val="24"/>
        </w:rPr>
      </w:pPr>
    </w:p>
    <w:p w:rsidR="007D1F2C" w:rsidRDefault="00AC1CD6" w:rsidP="0040201F">
      <w:pPr>
        <w:pStyle w:val="ListParagraph"/>
        <w:keepNext/>
        <w:numPr>
          <w:ilvl w:val="0"/>
          <w:numId w:val="17"/>
        </w:numPr>
        <w:spacing w:after="0" w:line="240" w:lineRule="auto"/>
        <w:ind w:left="426" w:hanging="426"/>
        <w:jc w:val="both"/>
        <w:rPr>
          <w:sz w:val="24"/>
          <w:szCs w:val="24"/>
        </w:rPr>
      </w:pPr>
      <w:r w:rsidRPr="00AC1CD6">
        <w:rPr>
          <w:sz w:val="24"/>
          <w:szCs w:val="24"/>
        </w:rPr>
        <w:t>In the geographical sense, only three root server operators have administrative headquarters outside the U.S.A. (the Netherlands, Sweden and Japan); however, the majority of root server operators have deployed mirror copies of existing root servers throughout the world, such that there are now 341 instances of root servers and mirrors. For instance, while ICANN has headquarters in California in the U.S.A., service for L ROOT-SERVERS.NET is provided using mirror copies (instances) located in 112 locations in 49 countries.</w:t>
      </w:r>
    </w:p>
    <w:p w:rsidR="007D1F2C" w:rsidRDefault="007D1F2C" w:rsidP="0040201F">
      <w:pPr>
        <w:pStyle w:val="ListParagraph"/>
        <w:keepNext/>
        <w:spacing w:after="0" w:line="240" w:lineRule="auto"/>
        <w:ind w:left="426"/>
        <w:jc w:val="both"/>
        <w:rPr>
          <w:sz w:val="24"/>
          <w:szCs w:val="24"/>
        </w:rPr>
      </w:pPr>
    </w:p>
    <w:p w:rsidR="007D1F2C" w:rsidRDefault="00AC1CD6" w:rsidP="0040201F">
      <w:pPr>
        <w:pStyle w:val="ListParagraph"/>
        <w:keepNext/>
        <w:spacing w:after="0" w:line="240" w:lineRule="auto"/>
        <w:ind w:left="426" w:hanging="426"/>
        <w:jc w:val="both"/>
        <w:rPr>
          <w:sz w:val="24"/>
          <w:szCs w:val="24"/>
        </w:rPr>
      </w:pPr>
      <w:r w:rsidRPr="00AC1CD6">
        <w:rPr>
          <w:sz w:val="24"/>
          <w:szCs w:val="24"/>
        </w:rPr>
        <w:t xml:space="preserve">d) </w:t>
      </w:r>
      <w:r w:rsidRPr="00AC1CD6">
        <w:rPr>
          <w:sz w:val="24"/>
          <w:szCs w:val="24"/>
        </w:rPr>
        <w:tab/>
        <w:t>One view is that there is an uneven geographical distribution of the DNS root servers (and mirrors)</w:t>
      </w:r>
      <w:r w:rsidR="004316DD" w:rsidRPr="005D33A9">
        <w:rPr>
          <w:rStyle w:val="FootnoteReference"/>
          <w:sz w:val="24"/>
          <w:szCs w:val="24"/>
        </w:rPr>
        <w:t xml:space="preserve"> </w:t>
      </w:r>
      <w:r w:rsidR="00083405" w:rsidRPr="005D33A9">
        <w:rPr>
          <w:rStyle w:val="FootnoteReference"/>
          <w:sz w:val="24"/>
          <w:szCs w:val="24"/>
        </w:rPr>
        <w:footnoteReference w:id="213"/>
      </w:r>
      <w:r w:rsidR="00083405" w:rsidRPr="005D33A9">
        <w:rPr>
          <w:sz w:val="24"/>
          <w:szCs w:val="24"/>
        </w:rPr>
        <w:t xml:space="preserve">. Figure 3 highlights the disparity between the geographical distribution of root servers and the global distribution of Internet users, while Figure 4 shows their location and how that need is being met. In Res. 133 (Rev. Guadalajara, 2010), </w:t>
      </w:r>
      <w:r w:rsidR="008C0597">
        <w:rPr>
          <w:sz w:val="24"/>
          <w:szCs w:val="24"/>
        </w:rPr>
        <w:t xml:space="preserve">the </w:t>
      </w:r>
      <w:r w:rsidR="00083405" w:rsidRPr="005D33A9">
        <w:rPr>
          <w:sz w:val="24"/>
          <w:szCs w:val="24"/>
        </w:rPr>
        <w:t>ITU membership has highlighted the need to promote regional root servers. However, another view is that the ratio of the “number of users per root server” is not necessarily meaningful. Due to the nature of networking and concepts</w:t>
      </w:r>
      <w:r w:rsidRPr="00AC1CD6">
        <w:rPr>
          <w:sz w:val="24"/>
          <w:szCs w:val="24"/>
        </w:rPr>
        <w:t xml:space="preserve"> of peering, routing and DNS server selection, it is simply not possible to guarantee that, for example, Internet users in Australia will necessarily use root-servers physically located in </w:t>
      </w:r>
      <w:proofErr w:type="gramStart"/>
      <w:r w:rsidRPr="00AC1CD6">
        <w:rPr>
          <w:sz w:val="24"/>
          <w:szCs w:val="24"/>
        </w:rPr>
        <w:t xml:space="preserve">Australia </w:t>
      </w:r>
      <w:proofErr w:type="gramEnd"/>
      <w:r>
        <w:rPr>
          <w:rStyle w:val="FootnoteReference"/>
          <w:sz w:val="24"/>
          <w:szCs w:val="24"/>
        </w:rPr>
        <w:footnoteReference w:id="214"/>
      </w:r>
      <w:r w:rsidR="00083405" w:rsidRPr="005D33A9">
        <w:rPr>
          <w:sz w:val="24"/>
          <w:szCs w:val="24"/>
        </w:rPr>
        <w:t>. The root-servers provide the top of the delegation chain, which is cached for on average around two days. A user will use their ISP's caching server, which should be close (in terms of network topology), while pre-emptive caching al</w:t>
      </w:r>
      <w:r w:rsidRPr="00AC1CD6">
        <w:rPr>
          <w:sz w:val="24"/>
          <w:szCs w:val="24"/>
        </w:rPr>
        <w:t>so helps reduce the likelihood of long latencies. The set of root servers continues to grow all the time</w:t>
      </w:r>
      <w:r>
        <w:rPr>
          <w:rStyle w:val="FootnoteReference"/>
          <w:sz w:val="24"/>
          <w:szCs w:val="24"/>
        </w:rPr>
        <w:footnoteReference w:id="215"/>
      </w:r>
      <w:r w:rsidR="00083405" w:rsidRPr="005D33A9">
        <w:rPr>
          <w:sz w:val="24"/>
          <w:szCs w:val="24"/>
        </w:rPr>
        <w:t xml:space="preserve">. </w:t>
      </w:r>
    </w:p>
    <w:p w:rsidR="007D1F2C" w:rsidRDefault="007D1F2C" w:rsidP="0040201F">
      <w:pPr>
        <w:pStyle w:val="ListParagraph"/>
        <w:keepNext/>
        <w:spacing w:after="0" w:line="240" w:lineRule="auto"/>
        <w:ind w:left="426" w:hanging="426"/>
        <w:jc w:val="both"/>
        <w:rPr>
          <w:sz w:val="24"/>
          <w:szCs w:val="24"/>
        </w:rPr>
      </w:pPr>
    </w:p>
    <w:p w:rsidR="007D1F2C" w:rsidRDefault="00AC1CD6" w:rsidP="0040201F">
      <w:pPr>
        <w:pStyle w:val="ListParagraph"/>
        <w:keepNext/>
        <w:spacing w:after="0" w:line="240" w:lineRule="auto"/>
        <w:ind w:left="426" w:hanging="426"/>
        <w:jc w:val="both"/>
        <w:rPr>
          <w:sz w:val="24"/>
          <w:szCs w:val="24"/>
        </w:rPr>
      </w:pPr>
      <w:r w:rsidRPr="00AC1CD6">
        <w:rPr>
          <w:sz w:val="24"/>
          <w:szCs w:val="24"/>
        </w:rPr>
        <w:t xml:space="preserve">e) </w:t>
      </w:r>
      <w:r w:rsidRPr="00AC1CD6">
        <w:rPr>
          <w:sz w:val="24"/>
          <w:szCs w:val="24"/>
        </w:rPr>
        <w:tab/>
        <w:t xml:space="preserve">Those holding this view note that that the existing system has demonstrated it is capable of facilitating wider distribution of root servers, and that it is not necessary to modify the </w:t>
      </w:r>
      <w:r w:rsidRPr="00AC1CD6">
        <w:rPr>
          <w:sz w:val="24"/>
          <w:szCs w:val="24"/>
        </w:rPr>
        <w:lastRenderedPageBreak/>
        <w:t xml:space="preserve">administrative structure of the root server system by reassigning responsibility for existing root servers or adding new ones in order to achieve this goal </w:t>
      </w:r>
      <w:r w:rsidR="00083405" w:rsidRPr="005D33A9">
        <w:rPr>
          <w:rStyle w:val="FootnoteReference"/>
          <w:sz w:val="24"/>
          <w:szCs w:val="24"/>
        </w:rPr>
        <w:footnoteReference w:id="216"/>
      </w:r>
      <w:r w:rsidR="00083405" w:rsidRPr="005D33A9">
        <w:rPr>
          <w:sz w:val="24"/>
          <w:szCs w:val="24"/>
        </w:rPr>
        <w:t>.</w:t>
      </w:r>
    </w:p>
    <w:p w:rsidR="007D1F2C" w:rsidRDefault="007D1F2C" w:rsidP="0040201F">
      <w:pPr>
        <w:pStyle w:val="ListParagraph"/>
        <w:spacing w:after="0" w:line="240" w:lineRule="auto"/>
        <w:ind w:left="284" w:hanging="284"/>
        <w:jc w:val="both"/>
        <w:rPr>
          <w:sz w:val="24"/>
          <w:szCs w:val="24"/>
        </w:rPr>
      </w:pPr>
    </w:p>
    <w:p w:rsidR="007D1F2C" w:rsidRDefault="00AC1CD6" w:rsidP="0040201F">
      <w:pPr>
        <w:spacing w:after="0" w:line="240" w:lineRule="auto"/>
        <w:jc w:val="center"/>
        <w:rPr>
          <w:b/>
          <w:bCs/>
          <w:sz w:val="24"/>
          <w:szCs w:val="24"/>
        </w:rPr>
      </w:pPr>
      <w:r w:rsidRPr="00AC1CD6">
        <w:rPr>
          <w:b/>
          <w:bCs/>
          <w:sz w:val="24"/>
          <w:szCs w:val="24"/>
        </w:rPr>
        <w:t>Figure 3: Geographical distribution of DNS root server sites and Internet users, 2011</w:t>
      </w:r>
      <w:r>
        <w:rPr>
          <w:rStyle w:val="FootnoteReference"/>
          <w:sz w:val="24"/>
          <w:szCs w:val="24"/>
        </w:rPr>
        <w:footnoteReference w:id="217"/>
      </w:r>
    </w:p>
    <w:p w:rsidR="007D1F2C" w:rsidRDefault="00AC1CD6" w:rsidP="0040201F">
      <w:pPr>
        <w:spacing w:after="0" w:line="240" w:lineRule="auto"/>
        <w:ind w:firstLine="709"/>
        <w:jc w:val="both"/>
        <w:rPr>
          <w:sz w:val="20"/>
          <w:szCs w:val="20"/>
        </w:rPr>
      </w:pPr>
      <w:r w:rsidRPr="00AC1CD6">
        <w:rPr>
          <w:sz w:val="20"/>
          <w:szCs w:val="20"/>
        </w:rPr>
        <w:t>Geographical distribution of DNS root server sites (left chart) and Internet users (right chart).</w:t>
      </w:r>
    </w:p>
    <w:p w:rsidR="007D1F2C" w:rsidRDefault="007D1F2C" w:rsidP="0040201F">
      <w:pPr>
        <w:spacing w:after="0" w:line="240" w:lineRule="auto"/>
        <w:jc w:val="both"/>
        <w:rPr>
          <w:sz w:val="20"/>
          <w:szCs w:val="20"/>
        </w:rPr>
      </w:pPr>
    </w:p>
    <w:p w:rsidR="007D1F2C" w:rsidRDefault="00F55769" w:rsidP="0040201F">
      <w:pPr>
        <w:spacing w:after="0" w:line="240" w:lineRule="auto"/>
        <w:ind w:left="709" w:hanging="709"/>
        <w:jc w:val="center"/>
        <w:rPr>
          <w:sz w:val="24"/>
          <w:szCs w:val="24"/>
        </w:rPr>
      </w:pPr>
      <w:r>
        <w:rPr>
          <w:noProof/>
          <w:sz w:val="24"/>
          <w:szCs w:val="24"/>
        </w:rPr>
        <w:drawing>
          <wp:inline distT="0" distB="0" distL="0" distR="0" wp14:anchorId="63EE96D4" wp14:editId="531D2F10">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874150" cy="1962097"/>
                    </a:xfrm>
                    <a:prstGeom prst="rect">
                      <a:avLst/>
                    </a:prstGeom>
                    <a:noFill/>
                    <a:ln w="9525">
                      <a:noFill/>
                      <a:miter lim="800000"/>
                      <a:headEnd/>
                      <a:tailEnd/>
                    </a:ln>
                  </pic:spPr>
                </pic:pic>
              </a:graphicData>
            </a:graphic>
          </wp:inline>
        </w:drawing>
      </w:r>
    </w:p>
    <w:p w:rsidR="007D1F2C" w:rsidRDefault="007D1F2C" w:rsidP="0040201F">
      <w:pPr>
        <w:spacing w:after="0" w:line="240" w:lineRule="auto"/>
        <w:ind w:left="709" w:hanging="709"/>
        <w:jc w:val="both"/>
        <w:rPr>
          <w:sz w:val="24"/>
          <w:szCs w:val="24"/>
        </w:rPr>
      </w:pPr>
    </w:p>
    <w:p w:rsidR="007D1F2C" w:rsidRDefault="007D1F2C" w:rsidP="0040201F">
      <w:pPr>
        <w:spacing w:after="0" w:line="240" w:lineRule="auto"/>
        <w:ind w:firstLine="709"/>
        <w:rPr>
          <w:b/>
          <w:bCs/>
          <w:sz w:val="24"/>
          <w:szCs w:val="24"/>
        </w:rPr>
      </w:pPr>
    </w:p>
    <w:p w:rsidR="007D1F2C" w:rsidRDefault="007D1F2C" w:rsidP="0040201F">
      <w:pPr>
        <w:spacing w:after="0" w:line="240" w:lineRule="auto"/>
        <w:ind w:firstLine="709"/>
        <w:rPr>
          <w:b/>
          <w:bCs/>
          <w:sz w:val="24"/>
          <w:szCs w:val="24"/>
        </w:rPr>
      </w:pPr>
    </w:p>
    <w:p w:rsidR="007D1F2C" w:rsidRDefault="00AC1CD6" w:rsidP="0040201F">
      <w:pPr>
        <w:spacing w:after="0" w:line="240" w:lineRule="auto"/>
        <w:ind w:firstLine="709"/>
        <w:jc w:val="center"/>
        <w:rPr>
          <w:b/>
          <w:bCs/>
          <w:sz w:val="24"/>
          <w:szCs w:val="24"/>
        </w:rPr>
      </w:pPr>
      <w:r w:rsidRPr="00AC1CD6">
        <w:rPr>
          <w:b/>
          <w:bCs/>
          <w:sz w:val="24"/>
          <w:szCs w:val="24"/>
        </w:rPr>
        <w:t>Figure 4: Geographical distribution of DNS root servers and mirrors</w:t>
      </w:r>
      <w:r w:rsidR="004316DD" w:rsidRPr="005D33A9">
        <w:rPr>
          <w:rStyle w:val="FootnoteReference"/>
          <w:b/>
          <w:bCs/>
          <w:sz w:val="24"/>
          <w:szCs w:val="24"/>
        </w:rPr>
        <w:footnoteReference w:id="218"/>
      </w:r>
    </w:p>
    <w:p w:rsidR="007D1F2C" w:rsidRDefault="007D1F2C" w:rsidP="0040201F">
      <w:pPr>
        <w:spacing w:after="0" w:line="240" w:lineRule="auto"/>
        <w:ind w:firstLine="709"/>
        <w:jc w:val="center"/>
        <w:rPr>
          <w:b/>
          <w:bCs/>
          <w:sz w:val="24"/>
          <w:szCs w:val="24"/>
        </w:rPr>
      </w:pPr>
    </w:p>
    <w:p w:rsidR="007D1F2C" w:rsidRDefault="00F55769" w:rsidP="0040201F">
      <w:pPr>
        <w:tabs>
          <w:tab w:val="left" w:pos="9356"/>
        </w:tabs>
        <w:spacing w:after="0" w:line="240" w:lineRule="auto"/>
        <w:ind w:left="709"/>
        <w:jc w:val="center"/>
        <w:rPr>
          <w:b/>
          <w:bCs/>
          <w:sz w:val="24"/>
          <w:szCs w:val="24"/>
        </w:rPr>
      </w:pPr>
      <w:r>
        <w:rPr>
          <w:b/>
          <w:bCs/>
          <w:noProof/>
          <w:sz w:val="24"/>
          <w:szCs w:val="24"/>
        </w:rPr>
        <w:drawing>
          <wp:inline distT="0" distB="0" distL="0" distR="0" wp14:anchorId="21A34FCE" wp14:editId="11396742">
            <wp:extent cx="4857750" cy="29270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67422" cy="2932876"/>
                    </a:xfrm>
                    <a:prstGeom prst="rect">
                      <a:avLst/>
                    </a:prstGeom>
                  </pic:spPr>
                </pic:pic>
              </a:graphicData>
            </a:graphic>
          </wp:inline>
        </w:drawing>
      </w:r>
    </w:p>
    <w:p w:rsidR="007D1F2C" w:rsidRDefault="007D1F2C" w:rsidP="0040201F">
      <w:pPr>
        <w:spacing w:after="0" w:line="240" w:lineRule="auto"/>
        <w:jc w:val="both"/>
        <w:rPr>
          <w:b/>
          <w:bCs/>
          <w:sz w:val="24"/>
          <w:szCs w:val="24"/>
        </w:rPr>
      </w:pPr>
    </w:p>
    <w:p w:rsidR="007D1F2C" w:rsidRDefault="007D1F2C" w:rsidP="0040201F">
      <w:pPr>
        <w:spacing w:after="0" w:line="240" w:lineRule="auto"/>
        <w:jc w:val="both"/>
        <w:rPr>
          <w:b/>
          <w:bCs/>
          <w:sz w:val="24"/>
          <w:szCs w:val="24"/>
        </w:rPr>
      </w:pPr>
    </w:p>
    <w:p w:rsidR="007D1F2C" w:rsidRDefault="00AC1CD6" w:rsidP="0040201F">
      <w:pPr>
        <w:spacing w:after="0" w:line="240" w:lineRule="auto"/>
        <w:jc w:val="both"/>
        <w:rPr>
          <w:sz w:val="24"/>
          <w:szCs w:val="24"/>
        </w:rPr>
      </w:pPr>
      <w:r w:rsidRPr="00AC1CD6">
        <w:rPr>
          <w:b/>
          <w:bCs/>
          <w:sz w:val="24"/>
          <w:szCs w:val="24"/>
        </w:rPr>
        <w:t>2.3.6</w:t>
      </w:r>
      <w:r w:rsidRPr="00AC1CD6">
        <w:rPr>
          <w:b/>
          <w:bCs/>
          <w:sz w:val="24"/>
          <w:szCs w:val="24"/>
        </w:rPr>
        <w:tab/>
        <w:t xml:space="preserve"> </w:t>
      </w:r>
      <w:r w:rsidRPr="00AC1CD6">
        <w:rPr>
          <w:sz w:val="24"/>
          <w:szCs w:val="24"/>
        </w:rPr>
        <w:t>Governments play a role in ICANN’s structure through the Governmental Advisory Committee (GAC), which provides advice to ICANN on issues of public policy, especially where there may be an interaction between ICANN’s activities or policies and national laws or international agreements</w:t>
      </w:r>
      <w:r w:rsidR="004316DD" w:rsidRPr="005D33A9">
        <w:rPr>
          <w:rStyle w:val="FootnoteReference"/>
          <w:sz w:val="24"/>
          <w:szCs w:val="24"/>
        </w:rPr>
        <w:footnoteReference w:id="219"/>
      </w:r>
      <w:r w:rsidRPr="00AC1CD6">
        <w:rPr>
          <w:sz w:val="24"/>
          <w:szCs w:val="24"/>
        </w:rPr>
        <w:t>.</w:t>
      </w:r>
    </w:p>
    <w:p w:rsidR="007D1F2C" w:rsidRDefault="007D1F2C" w:rsidP="0040201F">
      <w:pPr>
        <w:spacing w:after="0" w:line="240" w:lineRule="auto"/>
        <w:jc w:val="both"/>
        <w:rPr>
          <w:sz w:val="24"/>
          <w:szCs w:val="24"/>
          <w:lang w:val="en-GB"/>
        </w:rPr>
      </w:pPr>
    </w:p>
    <w:p w:rsidR="007D1F2C" w:rsidRDefault="00AC1CD6" w:rsidP="0040201F">
      <w:pPr>
        <w:pStyle w:val="ListParagraph"/>
        <w:numPr>
          <w:ilvl w:val="3"/>
          <w:numId w:val="7"/>
        </w:numPr>
        <w:tabs>
          <w:tab w:val="left" w:pos="426"/>
        </w:tabs>
        <w:spacing w:after="0" w:line="240" w:lineRule="auto"/>
        <w:ind w:left="426" w:hanging="426"/>
        <w:jc w:val="both"/>
        <w:rPr>
          <w:sz w:val="24"/>
          <w:szCs w:val="24"/>
          <w:lang w:val="en-GB"/>
        </w:rPr>
      </w:pPr>
      <w:r w:rsidRPr="00AC1CD6">
        <w:rPr>
          <w:sz w:val="24"/>
          <w:szCs w:val="24"/>
          <w:lang w:val="en-GB"/>
        </w:rPr>
        <w:lastRenderedPageBreak/>
        <w:t>According to ICANN Bylaws, the advice of the GAC on public policy matters shall be duly taken into account, both in the formulation and adoption of policies by the ICANN Board. In the event that the ICANN Board determines to take an action that is not consistent with the GAC advice, it shall so inform the GAC and state the reasons why it decided not to follow that advice</w:t>
      </w:r>
      <w:r w:rsidR="008C5C77" w:rsidRPr="005D33A9">
        <w:rPr>
          <w:rStyle w:val="FootnoteReference"/>
          <w:sz w:val="24"/>
          <w:szCs w:val="24"/>
          <w:lang w:val="en-GB"/>
        </w:rPr>
        <w:footnoteReference w:id="220"/>
      </w:r>
      <w:r w:rsidR="004278AC">
        <w:rPr>
          <w:sz w:val="24"/>
          <w:szCs w:val="24"/>
          <w:lang w:val="en-GB"/>
        </w:rPr>
        <w:t xml:space="preserve">. </w:t>
      </w:r>
      <w:r w:rsidRPr="00AC1CD6">
        <w:rPr>
          <w:sz w:val="24"/>
          <w:szCs w:val="24"/>
          <w:lang w:val="en-GB"/>
        </w:rPr>
        <w:t>The GAC Chair serves as a non-voting liaison on ICANN’s Board</w:t>
      </w:r>
      <w:r w:rsidR="008C5C77" w:rsidRPr="005D33A9">
        <w:rPr>
          <w:rStyle w:val="FootnoteReference"/>
          <w:sz w:val="24"/>
          <w:szCs w:val="24"/>
        </w:rPr>
        <w:footnoteReference w:id="221"/>
      </w:r>
      <w:r w:rsidRPr="00AC1CD6">
        <w:rPr>
          <w:sz w:val="24"/>
          <w:szCs w:val="24"/>
        </w:rPr>
        <w:t>.</w:t>
      </w:r>
    </w:p>
    <w:p w:rsidR="007D1F2C" w:rsidRDefault="007D1F2C" w:rsidP="0040201F">
      <w:pPr>
        <w:pStyle w:val="ListParagraph"/>
        <w:tabs>
          <w:tab w:val="left" w:pos="426"/>
        </w:tabs>
        <w:spacing w:after="0" w:line="240" w:lineRule="auto"/>
        <w:ind w:left="426" w:hanging="426"/>
        <w:jc w:val="both"/>
        <w:rPr>
          <w:sz w:val="24"/>
          <w:szCs w:val="24"/>
          <w:lang w:val="en-GB"/>
        </w:rPr>
      </w:pPr>
    </w:p>
    <w:p w:rsidR="007D1F2C" w:rsidRDefault="00AC1CD6" w:rsidP="0040201F">
      <w:pPr>
        <w:pStyle w:val="ListParagraph"/>
        <w:numPr>
          <w:ilvl w:val="3"/>
          <w:numId w:val="7"/>
        </w:numPr>
        <w:tabs>
          <w:tab w:val="left" w:pos="426"/>
        </w:tabs>
        <w:spacing w:after="0" w:line="240" w:lineRule="auto"/>
        <w:ind w:left="426" w:hanging="426"/>
        <w:jc w:val="both"/>
        <w:rPr>
          <w:sz w:val="24"/>
          <w:szCs w:val="24"/>
          <w:lang w:val="en-GB"/>
        </w:rPr>
      </w:pPr>
      <w:r w:rsidRPr="00AC1CD6">
        <w:rPr>
          <w:sz w:val="24"/>
          <w:szCs w:val="24"/>
          <w:lang w:val="en-GB"/>
        </w:rPr>
        <w:t xml:space="preserve">Membership of the GAC is open to all national governments and distinct economies as recognised by international </w:t>
      </w:r>
      <w:proofErr w:type="spellStart"/>
      <w:r w:rsidRPr="00AC1CD6">
        <w:rPr>
          <w:sz w:val="24"/>
          <w:szCs w:val="24"/>
          <w:lang w:val="en-GB"/>
        </w:rPr>
        <w:t>fora</w:t>
      </w:r>
      <w:proofErr w:type="spellEnd"/>
      <w:r w:rsidRPr="00AC1CD6">
        <w:rPr>
          <w:sz w:val="24"/>
          <w:szCs w:val="24"/>
          <w:lang w:val="en-GB"/>
        </w:rPr>
        <w:t>. Multinational governmental organizations and treaty organizations may join the GAC as observers</w:t>
      </w:r>
      <w:r w:rsidR="008C5C77" w:rsidRPr="005D33A9">
        <w:rPr>
          <w:rStyle w:val="FootnoteReference"/>
          <w:sz w:val="24"/>
          <w:szCs w:val="24"/>
          <w:lang w:val="en-GB"/>
        </w:rPr>
        <w:footnoteReference w:id="222"/>
      </w:r>
      <w:r w:rsidRPr="00AC1CD6">
        <w:rPr>
          <w:sz w:val="24"/>
          <w:szCs w:val="24"/>
          <w:lang w:val="en-GB"/>
        </w:rPr>
        <w:t xml:space="preserve">. Currently, the GAC </w:t>
      </w:r>
      <w:r w:rsidRPr="00AC1CD6">
        <w:rPr>
          <w:sz w:val="24"/>
          <w:szCs w:val="24"/>
        </w:rPr>
        <w:t>is composed of 114 Country Members and 27 Observers</w:t>
      </w:r>
      <w:r w:rsidR="008C5C77" w:rsidRPr="005D33A9">
        <w:rPr>
          <w:rStyle w:val="FootnoteReference"/>
          <w:sz w:val="24"/>
          <w:szCs w:val="24"/>
        </w:rPr>
        <w:footnoteReference w:id="223"/>
      </w:r>
      <w:r w:rsidRPr="00AC1CD6">
        <w:rPr>
          <w:sz w:val="24"/>
          <w:szCs w:val="24"/>
          <w:lang w:val="en-GB"/>
        </w:rPr>
        <w:t xml:space="preserve">. </w:t>
      </w:r>
    </w:p>
    <w:p w:rsidR="007D1F2C" w:rsidRDefault="007D1F2C" w:rsidP="0040201F">
      <w:pPr>
        <w:pStyle w:val="ListParagraph"/>
        <w:tabs>
          <w:tab w:val="left" w:pos="426"/>
        </w:tabs>
        <w:spacing w:after="0" w:line="240" w:lineRule="auto"/>
        <w:ind w:left="426" w:hanging="426"/>
        <w:jc w:val="both"/>
        <w:rPr>
          <w:sz w:val="24"/>
          <w:szCs w:val="24"/>
          <w:lang w:val="en-GB"/>
        </w:rPr>
      </w:pPr>
    </w:p>
    <w:p w:rsidR="007D1F2C" w:rsidRDefault="00AC1CD6" w:rsidP="0040201F">
      <w:pPr>
        <w:pStyle w:val="ListParagraph"/>
        <w:numPr>
          <w:ilvl w:val="0"/>
          <w:numId w:val="43"/>
        </w:numPr>
        <w:tabs>
          <w:tab w:val="left" w:pos="426"/>
        </w:tabs>
        <w:spacing w:after="0" w:line="240" w:lineRule="auto"/>
        <w:ind w:left="426" w:hanging="426"/>
        <w:jc w:val="both"/>
        <w:rPr>
          <w:sz w:val="24"/>
          <w:szCs w:val="24"/>
          <w:lang w:val="en-GB"/>
        </w:rPr>
      </w:pPr>
      <w:r w:rsidRPr="00AC1CD6">
        <w:rPr>
          <w:sz w:val="24"/>
          <w:szCs w:val="24"/>
          <w:lang w:val="en-GB"/>
        </w:rPr>
        <w:t xml:space="preserve">One view is that the GAC is limited by its role as an advisory body only. In addition, some have noted that further integrating the GAC into </w:t>
      </w:r>
      <w:proofErr w:type="spellStart"/>
      <w:r w:rsidRPr="00AC1CD6">
        <w:rPr>
          <w:sz w:val="24"/>
          <w:szCs w:val="24"/>
          <w:lang w:val="en-GB"/>
        </w:rPr>
        <w:t>multistakeholder</w:t>
      </w:r>
      <w:proofErr w:type="spellEnd"/>
      <w:r w:rsidRPr="00AC1CD6">
        <w:rPr>
          <w:sz w:val="24"/>
          <w:szCs w:val="24"/>
          <w:lang w:val="en-GB"/>
        </w:rPr>
        <w:t xml:space="preserve"> policy development has several obstacles, including misunderstandings about the GAC as an organization of nation state representatives</w:t>
      </w:r>
      <w:r w:rsidR="008C5C77" w:rsidRPr="005D33A9">
        <w:rPr>
          <w:rStyle w:val="FootnoteReference"/>
          <w:sz w:val="24"/>
          <w:szCs w:val="24"/>
          <w:lang w:val="en-GB"/>
        </w:rPr>
        <w:footnoteReference w:id="224"/>
      </w:r>
      <w:r w:rsidRPr="00AC1CD6">
        <w:rPr>
          <w:sz w:val="24"/>
          <w:szCs w:val="24"/>
          <w:lang w:val="en-GB"/>
        </w:rPr>
        <w:t>. Another view is that broadening the exchanges between the GAC, the ICANN Board and other members of the ICANN community could overcome these misunderstandings</w:t>
      </w:r>
      <w:r w:rsidR="008C5C77" w:rsidRPr="005D33A9">
        <w:rPr>
          <w:rStyle w:val="FootnoteReference"/>
          <w:sz w:val="24"/>
          <w:szCs w:val="24"/>
        </w:rPr>
        <w:footnoteReference w:id="225"/>
      </w:r>
      <w:r w:rsidRPr="00AC1CD6">
        <w:rPr>
          <w:sz w:val="24"/>
          <w:szCs w:val="24"/>
        </w:rPr>
        <w:t>.</w:t>
      </w:r>
    </w:p>
    <w:p w:rsidR="007D1F2C" w:rsidRDefault="007D1F2C" w:rsidP="0040201F">
      <w:pPr>
        <w:pStyle w:val="ListParagraph"/>
        <w:tabs>
          <w:tab w:val="left" w:pos="426"/>
        </w:tabs>
        <w:spacing w:after="0" w:line="240" w:lineRule="auto"/>
        <w:ind w:left="426" w:hanging="426"/>
        <w:jc w:val="both"/>
        <w:rPr>
          <w:sz w:val="24"/>
          <w:szCs w:val="24"/>
          <w:lang w:val="en-GB"/>
        </w:rPr>
      </w:pPr>
    </w:p>
    <w:p w:rsidR="007D1F2C" w:rsidRPr="00F91831" w:rsidRDefault="00AC1CD6" w:rsidP="0040201F">
      <w:pPr>
        <w:pStyle w:val="ListParagraph"/>
        <w:numPr>
          <w:ilvl w:val="0"/>
          <w:numId w:val="43"/>
        </w:numPr>
        <w:tabs>
          <w:tab w:val="left" w:pos="426"/>
        </w:tabs>
        <w:spacing w:after="0" w:line="240" w:lineRule="auto"/>
        <w:ind w:left="426" w:hanging="426"/>
        <w:jc w:val="both"/>
        <w:rPr>
          <w:sz w:val="24"/>
          <w:szCs w:val="24"/>
          <w:lang w:val="en-GB"/>
        </w:rPr>
      </w:pPr>
      <w:r w:rsidRPr="00AC1CD6">
        <w:rPr>
          <w:sz w:val="24"/>
          <w:szCs w:val="24"/>
        </w:rPr>
        <w:t>There are some occasions where the ICANN Board has not requested GAC’s opinions or rejected GAC’s advice, despite public policy implications relating to the issues under discussion</w:t>
      </w:r>
      <w:r w:rsidR="008C5C77" w:rsidRPr="005D33A9">
        <w:rPr>
          <w:rStyle w:val="FootnoteReference"/>
          <w:sz w:val="24"/>
          <w:szCs w:val="24"/>
        </w:rPr>
        <w:footnoteReference w:id="226"/>
      </w:r>
      <w:r w:rsidRPr="00AC1CD6">
        <w:rPr>
          <w:sz w:val="24"/>
          <w:szCs w:val="24"/>
        </w:rPr>
        <w:t xml:space="preserve"> . There have been joint efforts between the ICANN Board and GAC </w:t>
      </w:r>
      <w:r w:rsidRPr="00AC1CD6">
        <w:rPr>
          <w:sz w:val="24"/>
          <w:szCs w:val="24"/>
          <w:lang w:val="en-GB"/>
        </w:rPr>
        <w:t xml:space="preserve">to address the concern of integrating the GAC </w:t>
      </w:r>
      <w:r w:rsidRPr="00F91831">
        <w:rPr>
          <w:sz w:val="24"/>
          <w:szCs w:val="24"/>
          <w:lang w:val="en-GB"/>
        </w:rPr>
        <w:t>more effectively into ICANN’s</w:t>
      </w:r>
      <w:r w:rsidRPr="00F91831">
        <w:rPr>
          <w:sz w:val="24"/>
          <w:szCs w:val="24"/>
        </w:rPr>
        <w:t xml:space="preserve"> structure</w:t>
      </w:r>
      <w:r w:rsidR="008C5C77" w:rsidRPr="00F91831">
        <w:rPr>
          <w:rStyle w:val="FootnoteReference"/>
          <w:sz w:val="24"/>
          <w:szCs w:val="24"/>
        </w:rPr>
        <w:footnoteReference w:id="227"/>
      </w:r>
      <w:r w:rsidRPr="00F91831">
        <w:rPr>
          <w:rFonts w:cs="Times New Roman"/>
          <w:sz w:val="24"/>
          <w:szCs w:val="24"/>
        </w:rPr>
        <w:t>, which were further advanced by the Accountability and Transparency Review Team (ATRT)</w:t>
      </w:r>
      <w:r w:rsidR="008C5C77" w:rsidRPr="00F91831">
        <w:rPr>
          <w:rStyle w:val="FootnoteReference"/>
          <w:rFonts w:cs="Times New Roman"/>
          <w:sz w:val="24"/>
          <w:szCs w:val="24"/>
        </w:rPr>
        <w:footnoteReference w:id="228"/>
      </w:r>
      <w:r w:rsidRPr="00F91831">
        <w:rPr>
          <w:rFonts w:cs="Times New Roman"/>
          <w:sz w:val="24"/>
          <w:szCs w:val="24"/>
          <w:vertAlign w:val="superscript"/>
        </w:rPr>
        <w:t>,</w:t>
      </w:r>
      <w:r w:rsidR="008C5C77" w:rsidRPr="00F91831">
        <w:rPr>
          <w:rStyle w:val="FootnoteReference"/>
          <w:rFonts w:cs="Times New Roman"/>
          <w:sz w:val="24"/>
          <w:szCs w:val="24"/>
        </w:rPr>
        <w:footnoteReference w:id="229"/>
      </w:r>
      <w:r w:rsidRPr="00F91831">
        <w:rPr>
          <w:rFonts w:cs="Times New Roman"/>
          <w:sz w:val="24"/>
          <w:szCs w:val="24"/>
          <w:vertAlign w:val="superscript"/>
        </w:rPr>
        <w:t>,</w:t>
      </w:r>
      <w:r w:rsidR="008C5C77" w:rsidRPr="00F91831">
        <w:rPr>
          <w:rStyle w:val="FootnoteReference"/>
          <w:rFonts w:cs="Times New Roman"/>
          <w:sz w:val="24"/>
          <w:szCs w:val="24"/>
        </w:rPr>
        <w:footnoteReference w:id="230"/>
      </w:r>
      <w:r w:rsidRPr="00F91831">
        <w:rPr>
          <w:sz w:val="24"/>
          <w:szCs w:val="24"/>
        </w:rPr>
        <w:t xml:space="preserve">. </w:t>
      </w:r>
      <w:r w:rsidRPr="00F91831">
        <w:rPr>
          <w:sz w:val="24"/>
          <w:szCs w:val="24"/>
          <w:lang w:val="en-GB"/>
        </w:rPr>
        <w:t>The report issued by the Joint Working Group (JWG) of the ICANN Board and the GAC in 2011 contains several recommendations. The recommendation from the JWG and the ATRT are currently being advanced by a joint Board-GAC Recommendation Implementation (BGRI) Working Group</w:t>
      </w:r>
      <w:r w:rsidR="008C5C77" w:rsidRPr="00F91831">
        <w:rPr>
          <w:rStyle w:val="FootnoteReference"/>
          <w:sz w:val="24"/>
          <w:szCs w:val="24"/>
          <w:lang w:val="en-GB"/>
        </w:rPr>
        <w:footnoteReference w:id="231"/>
      </w:r>
      <w:r w:rsidR="00CA4DEA" w:rsidRPr="00F91831">
        <w:rPr>
          <w:sz w:val="24"/>
          <w:szCs w:val="24"/>
          <w:lang w:val="en-GB"/>
        </w:rPr>
        <w:t>.</w:t>
      </w:r>
      <w:r w:rsidRPr="00F91831">
        <w:rPr>
          <w:sz w:val="24"/>
          <w:szCs w:val="24"/>
          <w:lang w:val="en-GB"/>
        </w:rPr>
        <w:t xml:space="preserve"> </w:t>
      </w:r>
      <w:r w:rsidRPr="00F91831">
        <w:rPr>
          <w:sz w:val="24"/>
          <w:szCs w:val="24"/>
        </w:rPr>
        <w:t xml:space="preserve"> </w:t>
      </w:r>
    </w:p>
    <w:p w:rsidR="007D1F2C" w:rsidRDefault="007D1F2C" w:rsidP="0040201F">
      <w:pPr>
        <w:tabs>
          <w:tab w:val="left" w:pos="426"/>
        </w:tabs>
        <w:spacing w:after="0" w:line="240" w:lineRule="auto"/>
        <w:ind w:left="426" w:hanging="426"/>
        <w:jc w:val="both"/>
        <w:rPr>
          <w:sz w:val="24"/>
          <w:szCs w:val="24"/>
        </w:rPr>
      </w:pPr>
    </w:p>
    <w:p w:rsidR="007D1F2C" w:rsidRDefault="007D1F2C" w:rsidP="0040201F">
      <w:pPr>
        <w:tabs>
          <w:tab w:val="left" w:pos="426"/>
        </w:tabs>
        <w:spacing w:after="0" w:line="240" w:lineRule="auto"/>
        <w:ind w:left="426" w:hanging="426"/>
        <w:jc w:val="both"/>
        <w:rPr>
          <w:sz w:val="24"/>
          <w:szCs w:val="24"/>
        </w:rPr>
      </w:pPr>
    </w:p>
    <w:p w:rsidR="007D1F2C" w:rsidRDefault="00603ED3" w:rsidP="0040201F">
      <w:pPr>
        <w:spacing w:after="0" w:line="240" w:lineRule="auto"/>
        <w:jc w:val="both"/>
        <w:rPr>
          <w:rFonts w:cstheme="majorBidi"/>
          <w:b/>
          <w:bCs/>
          <w:sz w:val="24"/>
          <w:szCs w:val="24"/>
        </w:rPr>
      </w:pPr>
      <w:r w:rsidRPr="005D33A9">
        <w:rPr>
          <w:b/>
          <w:bCs/>
          <w:sz w:val="24"/>
          <w:szCs w:val="24"/>
        </w:rPr>
        <w:t>3.</w:t>
      </w:r>
      <w:r w:rsidRPr="005D33A9">
        <w:rPr>
          <w:b/>
          <w:bCs/>
          <w:sz w:val="24"/>
          <w:szCs w:val="24"/>
        </w:rPr>
        <w:tab/>
      </w:r>
      <w:r w:rsidR="00AC1CD6" w:rsidRPr="00AC1CD6">
        <w:rPr>
          <w:rFonts w:cstheme="majorBidi"/>
          <w:b/>
          <w:bCs/>
          <w:sz w:val="24"/>
          <w:szCs w:val="24"/>
        </w:rPr>
        <w:t>Conclusion</w:t>
      </w:r>
    </w:p>
    <w:p w:rsidR="007D1F2C" w:rsidRDefault="007D1F2C" w:rsidP="0040201F">
      <w:pPr>
        <w:spacing w:after="0" w:line="240" w:lineRule="auto"/>
        <w:jc w:val="both"/>
        <w:rPr>
          <w:sz w:val="24"/>
          <w:szCs w:val="24"/>
        </w:rPr>
      </w:pPr>
    </w:p>
    <w:p w:rsidR="007D1F2C" w:rsidRDefault="00AC1CD6" w:rsidP="0040201F">
      <w:pPr>
        <w:spacing w:after="0" w:line="240" w:lineRule="auto"/>
        <w:jc w:val="both"/>
        <w:rPr>
          <w:sz w:val="24"/>
          <w:szCs w:val="24"/>
        </w:rPr>
      </w:pPr>
      <w:r w:rsidRPr="00AC1CD6">
        <w:rPr>
          <w:sz w:val="24"/>
          <w:szCs w:val="24"/>
        </w:rPr>
        <w:t xml:space="preserve">This Report of the </w:t>
      </w:r>
      <w:r w:rsidR="00994E57">
        <w:rPr>
          <w:sz w:val="24"/>
          <w:szCs w:val="24"/>
        </w:rPr>
        <w:t xml:space="preserve">ITU </w:t>
      </w:r>
      <w:r w:rsidRPr="00AC1CD6">
        <w:rPr>
          <w:sz w:val="24"/>
          <w:szCs w:val="24"/>
        </w:rPr>
        <w:t xml:space="preserve">Secretary-General to </w:t>
      </w:r>
      <w:r w:rsidR="00E6075E">
        <w:rPr>
          <w:sz w:val="24"/>
          <w:szCs w:val="24"/>
        </w:rPr>
        <w:t>WTPF-13</w:t>
      </w:r>
      <w:r w:rsidRPr="00AC1CD6">
        <w:rPr>
          <w:sz w:val="24"/>
          <w:szCs w:val="24"/>
        </w:rPr>
        <w:t xml:space="preserve"> aims to provide a basis for discussion at the Policy Forum, serving </w:t>
      </w:r>
      <w:r w:rsidR="00036201">
        <w:rPr>
          <w:sz w:val="24"/>
          <w:szCs w:val="24"/>
        </w:rPr>
        <w:t xml:space="preserve">as </w:t>
      </w:r>
      <w:r w:rsidRPr="00AC1CD6">
        <w:rPr>
          <w:sz w:val="24"/>
          <w:szCs w:val="24"/>
        </w:rPr>
        <w:t xml:space="preserve">the input working document of the Forum focusing on key issues on which it would be desirable to reach conclusions. </w:t>
      </w:r>
    </w:p>
    <w:p w:rsidR="007D1F2C" w:rsidRDefault="00AC1CD6" w:rsidP="0040201F">
      <w:pPr>
        <w:spacing w:line="240" w:lineRule="auto"/>
        <w:jc w:val="both"/>
        <w:rPr>
          <w:b/>
          <w:bCs/>
          <w:sz w:val="24"/>
          <w:szCs w:val="24"/>
        </w:rPr>
      </w:pPr>
      <w:r w:rsidRPr="00AC1CD6">
        <w:rPr>
          <w:b/>
          <w:bCs/>
          <w:sz w:val="24"/>
          <w:szCs w:val="24"/>
        </w:rPr>
        <w:br w:type="page"/>
      </w:r>
    </w:p>
    <w:p w:rsidR="00F91FB2" w:rsidRPr="005D33A9" w:rsidRDefault="00AC1CD6" w:rsidP="0040201F">
      <w:pPr>
        <w:spacing w:line="240" w:lineRule="auto"/>
        <w:jc w:val="center"/>
        <w:rPr>
          <w:rFonts w:cstheme="minorHAnsi"/>
          <w:b/>
          <w:bCs/>
        </w:rPr>
      </w:pPr>
      <w:r w:rsidRPr="00AC1CD6">
        <w:rPr>
          <w:rFonts w:cstheme="minorHAnsi"/>
          <w:b/>
          <w:bCs/>
        </w:rPr>
        <w:lastRenderedPageBreak/>
        <w:t>Annex A: List of Acronyms</w:t>
      </w:r>
    </w:p>
    <w:p w:rsidR="00F265B1" w:rsidRPr="005D33A9" w:rsidRDefault="00AC1CD6" w:rsidP="0040201F">
      <w:pPr>
        <w:spacing w:after="0" w:line="240" w:lineRule="auto"/>
        <w:rPr>
          <w:rFonts w:cstheme="minorHAnsi"/>
          <w:sz w:val="16"/>
          <w:szCs w:val="16"/>
        </w:rPr>
      </w:pPr>
      <w:r w:rsidRPr="00AC1CD6">
        <w:rPr>
          <w:rFonts w:cstheme="minorHAnsi"/>
          <w:sz w:val="16"/>
          <w:szCs w:val="16"/>
        </w:rPr>
        <w:t>AP-CERT</w:t>
      </w:r>
      <w:r w:rsidRPr="00AC1CD6">
        <w:rPr>
          <w:rFonts w:cstheme="minorHAnsi"/>
          <w:sz w:val="16"/>
          <w:szCs w:val="16"/>
        </w:rPr>
        <w:tab/>
      </w:r>
      <w:r w:rsidRPr="00AC1CD6">
        <w:rPr>
          <w:rFonts w:cstheme="minorHAnsi"/>
          <w:sz w:val="16"/>
          <w:szCs w:val="16"/>
        </w:rPr>
        <w:tab/>
        <w:t xml:space="preserve">Asia-Pacific Computer Emergency Response Team </w:t>
      </w:r>
    </w:p>
    <w:p w:rsidR="00F265B1" w:rsidRPr="005D33A9" w:rsidRDefault="00AC1CD6" w:rsidP="0040201F">
      <w:pPr>
        <w:spacing w:after="0" w:line="240" w:lineRule="auto"/>
        <w:rPr>
          <w:rFonts w:cstheme="minorHAnsi"/>
          <w:sz w:val="16"/>
          <w:szCs w:val="16"/>
        </w:rPr>
      </w:pPr>
      <w:r w:rsidRPr="00AC1CD6">
        <w:rPr>
          <w:rFonts w:cstheme="minorHAnsi"/>
          <w:sz w:val="16"/>
          <w:szCs w:val="16"/>
        </w:rPr>
        <w:t>APEC</w:t>
      </w:r>
      <w:r w:rsidRPr="00AC1CD6">
        <w:rPr>
          <w:rFonts w:cstheme="minorHAnsi"/>
          <w:sz w:val="16"/>
          <w:szCs w:val="16"/>
        </w:rPr>
        <w:tab/>
      </w:r>
      <w:r w:rsidRPr="00AC1CD6">
        <w:rPr>
          <w:rFonts w:cstheme="minorHAnsi"/>
          <w:sz w:val="16"/>
          <w:szCs w:val="16"/>
        </w:rPr>
        <w:tab/>
        <w:t>Asia-Pacific Economic Cooperation Forum</w:t>
      </w:r>
    </w:p>
    <w:p w:rsidR="00603ED3" w:rsidRDefault="00AC1CD6" w:rsidP="0040201F">
      <w:pPr>
        <w:spacing w:after="0" w:line="240" w:lineRule="auto"/>
        <w:rPr>
          <w:rFonts w:cstheme="minorHAnsi"/>
          <w:sz w:val="16"/>
          <w:szCs w:val="16"/>
        </w:rPr>
      </w:pPr>
      <w:r w:rsidRPr="00AC1CD6">
        <w:rPr>
          <w:rFonts w:cstheme="minorHAnsi"/>
          <w:sz w:val="16"/>
          <w:szCs w:val="16"/>
        </w:rPr>
        <w:t>APNIC</w:t>
      </w:r>
      <w:r w:rsidRPr="00AC1CD6">
        <w:rPr>
          <w:rFonts w:cstheme="minorHAnsi"/>
          <w:sz w:val="16"/>
          <w:szCs w:val="16"/>
        </w:rPr>
        <w:tab/>
      </w:r>
      <w:r w:rsidRPr="00AC1CD6">
        <w:rPr>
          <w:rFonts w:cstheme="minorHAnsi"/>
          <w:sz w:val="16"/>
          <w:szCs w:val="16"/>
        </w:rPr>
        <w:tab/>
      </w:r>
      <w:proofErr w:type="gramStart"/>
      <w:r w:rsidRPr="00AC1CD6">
        <w:rPr>
          <w:rFonts w:cstheme="minorHAnsi"/>
          <w:sz w:val="16"/>
          <w:szCs w:val="16"/>
        </w:rPr>
        <w:t>The</w:t>
      </w:r>
      <w:proofErr w:type="gramEnd"/>
      <w:r w:rsidRPr="00AC1CD6">
        <w:rPr>
          <w:rFonts w:cstheme="minorHAnsi"/>
          <w:sz w:val="16"/>
          <w:szCs w:val="16"/>
        </w:rPr>
        <w:t xml:space="preserve"> Asia Pacific Network Information Centre</w:t>
      </w:r>
    </w:p>
    <w:p w:rsidR="005254D8" w:rsidRPr="005D33A9" w:rsidRDefault="005254D8" w:rsidP="0040201F">
      <w:pPr>
        <w:spacing w:after="0" w:line="240" w:lineRule="auto"/>
        <w:rPr>
          <w:rFonts w:cstheme="minorHAnsi"/>
          <w:sz w:val="16"/>
          <w:szCs w:val="16"/>
        </w:rPr>
      </w:pPr>
      <w:r w:rsidRPr="005254D8">
        <w:rPr>
          <w:rFonts w:cstheme="minorHAnsi"/>
          <w:sz w:val="16"/>
          <w:szCs w:val="16"/>
        </w:rPr>
        <w:t>APWG</w:t>
      </w:r>
      <w:r w:rsidRPr="005254D8">
        <w:rPr>
          <w:rFonts w:cstheme="minorHAnsi"/>
          <w:sz w:val="16"/>
          <w:szCs w:val="16"/>
        </w:rPr>
        <w:tab/>
      </w:r>
      <w:r w:rsidRPr="005254D8">
        <w:rPr>
          <w:rFonts w:cstheme="minorHAnsi"/>
          <w:sz w:val="16"/>
          <w:szCs w:val="16"/>
        </w:rPr>
        <w:tab/>
        <w:t>Anti-Phishing Working Group</w:t>
      </w:r>
    </w:p>
    <w:p w:rsidR="00F265B1" w:rsidRPr="005D33A9" w:rsidRDefault="00AC1CD6" w:rsidP="0040201F">
      <w:pPr>
        <w:spacing w:after="0" w:line="240" w:lineRule="auto"/>
        <w:rPr>
          <w:rFonts w:cstheme="minorHAnsi"/>
          <w:sz w:val="16"/>
          <w:szCs w:val="16"/>
        </w:rPr>
      </w:pPr>
      <w:r w:rsidRPr="00AC1CD6">
        <w:rPr>
          <w:rFonts w:cstheme="minorHAnsi"/>
          <w:sz w:val="16"/>
          <w:szCs w:val="16"/>
        </w:rPr>
        <w:t>ARIN</w:t>
      </w:r>
      <w:r w:rsidRPr="00AC1CD6">
        <w:rPr>
          <w:rFonts w:cstheme="minorHAnsi"/>
          <w:sz w:val="16"/>
          <w:szCs w:val="16"/>
        </w:rPr>
        <w:tab/>
      </w:r>
      <w:r w:rsidRPr="00AC1CD6">
        <w:rPr>
          <w:rFonts w:cstheme="minorHAnsi"/>
          <w:sz w:val="16"/>
          <w:szCs w:val="16"/>
        </w:rPr>
        <w:tab/>
      </w:r>
      <w:proofErr w:type="gramStart"/>
      <w:r w:rsidRPr="00AC1CD6">
        <w:rPr>
          <w:rFonts w:cstheme="minorHAnsi"/>
          <w:sz w:val="16"/>
          <w:szCs w:val="16"/>
        </w:rPr>
        <w:t>The</w:t>
      </w:r>
      <w:proofErr w:type="gramEnd"/>
      <w:r w:rsidRPr="00AC1CD6">
        <w:rPr>
          <w:rFonts w:cstheme="minorHAnsi"/>
          <w:sz w:val="16"/>
          <w:szCs w:val="16"/>
        </w:rPr>
        <w:t xml:space="preserve"> American Registry for Internet Numbers </w:t>
      </w:r>
    </w:p>
    <w:p w:rsidR="00F265B1" w:rsidRPr="005D33A9" w:rsidRDefault="00AC1CD6" w:rsidP="0040201F">
      <w:pPr>
        <w:spacing w:after="0" w:line="240" w:lineRule="auto"/>
        <w:rPr>
          <w:rFonts w:cstheme="minorHAnsi"/>
          <w:sz w:val="16"/>
          <w:szCs w:val="16"/>
        </w:rPr>
      </w:pPr>
      <w:r w:rsidRPr="00AC1CD6">
        <w:rPr>
          <w:rFonts w:cstheme="minorHAnsi"/>
          <w:sz w:val="16"/>
          <w:szCs w:val="16"/>
        </w:rPr>
        <w:t xml:space="preserve">ARPANET </w:t>
      </w:r>
      <w:r w:rsidRPr="00AC1CD6">
        <w:rPr>
          <w:rFonts w:cstheme="minorHAnsi"/>
          <w:sz w:val="16"/>
          <w:szCs w:val="16"/>
        </w:rPr>
        <w:tab/>
      </w:r>
      <w:r w:rsidRPr="00AC1CD6">
        <w:rPr>
          <w:rFonts w:cstheme="minorHAnsi"/>
          <w:sz w:val="16"/>
          <w:szCs w:val="16"/>
        </w:rPr>
        <w:tab/>
      </w:r>
      <w:proofErr w:type="gramStart"/>
      <w:r w:rsidRPr="00AC1CD6">
        <w:rPr>
          <w:rFonts w:cstheme="minorHAnsi"/>
          <w:sz w:val="16"/>
          <w:szCs w:val="16"/>
        </w:rPr>
        <w:t>The</w:t>
      </w:r>
      <w:proofErr w:type="gramEnd"/>
      <w:r w:rsidRPr="00AC1CD6">
        <w:rPr>
          <w:rFonts w:cstheme="minorHAnsi"/>
          <w:sz w:val="16"/>
          <w:szCs w:val="16"/>
        </w:rPr>
        <w:t xml:space="preserve"> Advanced Research Projects Agency Network </w:t>
      </w:r>
    </w:p>
    <w:p w:rsidR="00B01341" w:rsidRDefault="00AC1CD6" w:rsidP="0040201F">
      <w:pPr>
        <w:spacing w:after="0" w:line="240" w:lineRule="auto"/>
        <w:rPr>
          <w:rFonts w:cstheme="minorHAnsi"/>
          <w:sz w:val="16"/>
          <w:szCs w:val="16"/>
        </w:rPr>
      </w:pPr>
      <w:r w:rsidRPr="00AC1CD6">
        <w:rPr>
          <w:rFonts w:cstheme="minorHAnsi"/>
          <w:sz w:val="16"/>
          <w:szCs w:val="16"/>
        </w:rPr>
        <w:t>AS</w:t>
      </w:r>
      <w:r w:rsidRPr="00AC1CD6">
        <w:rPr>
          <w:rFonts w:cstheme="minorHAnsi"/>
          <w:sz w:val="16"/>
          <w:szCs w:val="16"/>
        </w:rPr>
        <w:tab/>
      </w:r>
      <w:r w:rsidRPr="00AC1CD6">
        <w:rPr>
          <w:rFonts w:cstheme="minorHAnsi"/>
          <w:sz w:val="16"/>
          <w:szCs w:val="16"/>
        </w:rPr>
        <w:tab/>
        <w:t>Autonomous System</w:t>
      </w:r>
    </w:p>
    <w:p w:rsidR="005254D8" w:rsidRPr="005254D8" w:rsidRDefault="005254D8" w:rsidP="0040201F">
      <w:pPr>
        <w:spacing w:after="0" w:line="240" w:lineRule="auto"/>
        <w:rPr>
          <w:rFonts w:ascii="Calibri" w:eastAsia="SimSun" w:hAnsi="Calibri" w:cs="Calibri"/>
          <w:sz w:val="16"/>
          <w:szCs w:val="16"/>
        </w:rPr>
      </w:pPr>
      <w:r w:rsidRPr="00F91831">
        <w:rPr>
          <w:rFonts w:ascii="Calibri" w:eastAsia="SimSun" w:hAnsi="Calibri" w:cs="Calibri"/>
          <w:sz w:val="16"/>
          <w:szCs w:val="16"/>
        </w:rPr>
        <w:t>ASCII</w:t>
      </w:r>
      <w:r w:rsidRPr="00F91831">
        <w:rPr>
          <w:rFonts w:ascii="Calibri" w:eastAsia="SimSun" w:hAnsi="Calibri" w:cs="Calibri"/>
          <w:sz w:val="16"/>
          <w:szCs w:val="16"/>
        </w:rPr>
        <w:tab/>
      </w:r>
      <w:r w:rsidRPr="00F91831">
        <w:rPr>
          <w:rFonts w:ascii="Calibri" w:eastAsia="SimSun" w:hAnsi="Calibri" w:cs="Calibri"/>
          <w:sz w:val="16"/>
          <w:szCs w:val="16"/>
        </w:rPr>
        <w:tab/>
        <w:t>American Standard Code for Information Interchange</w:t>
      </w:r>
    </w:p>
    <w:p w:rsidR="005254D8" w:rsidRPr="005254D8" w:rsidRDefault="005254D8" w:rsidP="0040201F">
      <w:pPr>
        <w:spacing w:after="0" w:line="240" w:lineRule="auto"/>
        <w:rPr>
          <w:rFonts w:ascii="Calibri" w:eastAsia="SimSun" w:hAnsi="Calibri" w:cs="Calibri"/>
          <w:sz w:val="16"/>
          <w:szCs w:val="16"/>
        </w:rPr>
      </w:pPr>
      <w:r w:rsidRPr="00F91831">
        <w:rPr>
          <w:rFonts w:ascii="Calibri" w:eastAsia="SimSun" w:hAnsi="Calibri" w:cs="Calibri"/>
          <w:sz w:val="16"/>
          <w:szCs w:val="16"/>
        </w:rPr>
        <w:t>ATRT</w:t>
      </w:r>
      <w:r w:rsidRPr="00F91831">
        <w:rPr>
          <w:rFonts w:ascii="Calibri" w:eastAsia="SimSun" w:hAnsi="Calibri" w:cs="Calibri"/>
          <w:sz w:val="16"/>
          <w:szCs w:val="16"/>
        </w:rPr>
        <w:tab/>
      </w:r>
      <w:r w:rsidRPr="00F91831">
        <w:rPr>
          <w:rFonts w:ascii="Calibri" w:eastAsia="SimSun" w:hAnsi="Calibri" w:cs="Calibri"/>
          <w:sz w:val="16"/>
          <w:szCs w:val="16"/>
        </w:rPr>
        <w:tab/>
        <w:t>Accountability and Transparency Review Team</w:t>
      </w:r>
    </w:p>
    <w:p w:rsidR="005254D8" w:rsidRPr="005254D8" w:rsidRDefault="005254D8" w:rsidP="0040201F">
      <w:pPr>
        <w:spacing w:after="0" w:line="240" w:lineRule="auto"/>
        <w:rPr>
          <w:rFonts w:ascii="Calibri" w:eastAsia="SimSun" w:hAnsi="Calibri" w:cs="Calibri"/>
          <w:sz w:val="16"/>
          <w:szCs w:val="16"/>
        </w:rPr>
      </w:pPr>
      <w:r w:rsidRPr="00F91831">
        <w:rPr>
          <w:rFonts w:ascii="Calibri" w:eastAsia="SimSun" w:hAnsi="Calibri" w:cs="Calibri"/>
          <w:sz w:val="16"/>
          <w:szCs w:val="16"/>
        </w:rPr>
        <w:t>BGRI</w:t>
      </w:r>
      <w:r w:rsidRPr="00F91831">
        <w:rPr>
          <w:rFonts w:ascii="Calibri" w:eastAsia="SimSun" w:hAnsi="Calibri" w:cs="Calibri"/>
          <w:sz w:val="16"/>
          <w:szCs w:val="16"/>
        </w:rPr>
        <w:tab/>
      </w:r>
      <w:r w:rsidRPr="00F91831">
        <w:rPr>
          <w:rFonts w:ascii="Calibri" w:eastAsia="SimSun" w:hAnsi="Calibri" w:cs="Calibri"/>
          <w:sz w:val="16"/>
          <w:szCs w:val="16"/>
        </w:rPr>
        <w:tab/>
        <w:t>Board-GAC Recommendation Implementation Working Group</w:t>
      </w:r>
    </w:p>
    <w:p w:rsidR="005254D8" w:rsidRPr="005D33A9" w:rsidRDefault="005254D8" w:rsidP="0040201F">
      <w:pPr>
        <w:spacing w:after="0" w:line="240" w:lineRule="auto"/>
        <w:rPr>
          <w:rFonts w:cstheme="minorHAnsi"/>
          <w:sz w:val="16"/>
          <w:szCs w:val="16"/>
        </w:rPr>
      </w:pPr>
      <w:proofErr w:type="spellStart"/>
      <w:proofErr w:type="gramStart"/>
      <w:r w:rsidRPr="00F91831">
        <w:rPr>
          <w:rFonts w:ascii="Calibri" w:eastAsia="SimSun" w:hAnsi="Calibri" w:cs="Calibri"/>
          <w:sz w:val="16"/>
          <w:szCs w:val="16"/>
        </w:rPr>
        <w:t>ccNSO</w:t>
      </w:r>
      <w:proofErr w:type="spellEnd"/>
      <w:proofErr w:type="gramEnd"/>
      <w:r w:rsidRPr="00F91831">
        <w:rPr>
          <w:rFonts w:ascii="Calibri" w:eastAsia="SimSun" w:hAnsi="Calibri" w:cs="Calibri"/>
          <w:sz w:val="16"/>
          <w:szCs w:val="16"/>
        </w:rPr>
        <w:t xml:space="preserve"> </w:t>
      </w:r>
      <w:r w:rsidRPr="00F91831">
        <w:rPr>
          <w:rFonts w:ascii="Calibri" w:eastAsia="SimSun" w:hAnsi="Calibri" w:cs="Calibri"/>
          <w:sz w:val="16"/>
          <w:szCs w:val="16"/>
        </w:rPr>
        <w:tab/>
      </w:r>
      <w:r w:rsidRPr="00F91831">
        <w:rPr>
          <w:rFonts w:ascii="Calibri" w:eastAsia="SimSun" w:hAnsi="Calibri" w:cs="Calibri"/>
          <w:sz w:val="16"/>
          <w:szCs w:val="16"/>
        </w:rPr>
        <w:tab/>
        <w:t xml:space="preserve"> Country Code Names Supporting </w:t>
      </w:r>
      <w:proofErr w:type="spellStart"/>
      <w:r w:rsidRPr="00F91831">
        <w:rPr>
          <w:rFonts w:ascii="Calibri" w:eastAsia="SimSun" w:hAnsi="Calibri" w:cs="Calibri"/>
          <w:sz w:val="16"/>
          <w:szCs w:val="16"/>
        </w:rPr>
        <w:t>Organisation</w:t>
      </w:r>
      <w:proofErr w:type="spellEnd"/>
    </w:p>
    <w:p w:rsidR="00682362" w:rsidRPr="005D33A9" w:rsidRDefault="00AC1CD6" w:rsidP="0040201F">
      <w:pPr>
        <w:spacing w:after="0" w:line="240" w:lineRule="auto"/>
        <w:rPr>
          <w:rFonts w:cstheme="minorHAnsi"/>
          <w:sz w:val="16"/>
          <w:szCs w:val="16"/>
        </w:rPr>
      </w:pPr>
      <w:proofErr w:type="gramStart"/>
      <w:r w:rsidRPr="00AC1CD6">
        <w:rPr>
          <w:rFonts w:cstheme="minorHAnsi"/>
          <w:sz w:val="16"/>
          <w:szCs w:val="16"/>
        </w:rPr>
        <w:t>ccTLD</w:t>
      </w:r>
      <w:proofErr w:type="gramEnd"/>
      <w:r w:rsidRPr="00AC1CD6">
        <w:rPr>
          <w:rFonts w:cstheme="minorHAnsi"/>
          <w:sz w:val="16"/>
          <w:szCs w:val="16"/>
        </w:rPr>
        <w:tab/>
      </w:r>
      <w:r w:rsidRPr="00AC1CD6">
        <w:rPr>
          <w:rFonts w:cstheme="minorHAnsi"/>
          <w:sz w:val="16"/>
          <w:szCs w:val="16"/>
        </w:rPr>
        <w:tab/>
        <w:t>country code Top-Level Domain</w:t>
      </w:r>
    </w:p>
    <w:p w:rsidR="00B367F1" w:rsidRPr="005D33A9" w:rsidRDefault="00AC1CD6" w:rsidP="0040201F">
      <w:pPr>
        <w:spacing w:after="0" w:line="240" w:lineRule="auto"/>
        <w:rPr>
          <w:rFonts w:cstheme="minorHAnsi"/>
          <w:sz w:val="16"/>
          <w:szCs w:val="16"/>
        </w:rPr>
      </w:pPr>
      <w:r w:rsidRPr="00AC1CD6">
        <w:rPr>
          <w:rFonts w:cstheme="minorHAnsi"/>
          <w:sz w:val="16"/>
          <w:szCs w:val="16"/>
        </w:rPr>
        <w:t>CWG</w:t>
      </w:r>
      <w:r w:rsidRPr="00AC1CD6">
        <w:rPr>
          <w:rFonts w:cstheme="minorHAnsi"/>
          <w:sz w:val="16"/>
          <w:szCs w:val="16"/>
        </w:rPr>
        <w:tab/>
      </w:r>
      <w:r w:rsidRPr="00AC1CD6">
        <w:rPr>
          <w:rFonts w:cstheme="minorHAnsi"/>
          <w:sz w:val="16"/>
          <w:szCs w:val="16"/>
        </w:rPr>
        <w:tab/>
        <w:t>ITU Council Working Group</w:t>
      </w:r>
    </w:p>
    <w:p w:rsidR="00F77CB1" w:rsidRDefault="00AC1CD6" w:rsidP="0040201F">
      <w:pPr>
        <w:spacing w:after="0" w:line="240" w:lineRule="auto"/>
        <w:rPr>
          <w:rFonts w:cstheme="minorHAnsi"/>
          <w:sz w:val="16"/>
          <w:szCs w:val="16"/>
        </w:rPr>
      </w:pPr>
      <w:r w:rsidRPr="00AC1CD6">
        <w:rPr>
          <w:rFonts w:cstheme="minorHAnsi"/>
          <w:sz w:val="16"/>
          <w:szCs w:val="16"/>
        </w:rPr>
        <w:t xml:space="preserve">CWG-Internet </w:t>
      </w:r>
      <w:r w:rsidRPr="00AC1CD6">
        <w:rPr>
          <w:rFonts w:cstheme="minorHAnsi"/>
          <w:sz w:val="16"/>
          <w:szCs w:val="16"/>
        </w:rPr>
        <w:tab/>
        <w:t>The Council Working Group on International Internet-Related Public Policy Issues</w:t>
      </w:r>
    </w:p>
    <w:p w:rsidR="00264F20" w:rsidRDefault="00264F20" w:rsidP="0040201F">
      <w:pPr>
        <w:spacing w:after="0" w:line="240" w:lineRule="auto"/>
        <w:rPr>
          <w:rFonts w:cstheme="minorHAnsi"/>
          <w:sz w:val="16"/>
          <w:szCs w:val="16"/>
        </w:rPr>
      </w:pPr>
      <w:r w:rsidRPr="00264F20">
        <w:rPr>
          <w:rFonts w:cstheme="minorHAnsi"/>
          <w:sz w:val="16"/>
          <w:szCs w:val="16"/>
        </w:rPr>
        <w:t>DHCP</w:t>
      </w:r>
      <w:r w:rsidRPr="00264F20">
        <w:rPr>
          <w:rFonts w:cstheme="minorHAnsi"/>
          <w:sz w:val="16"/>
          <w:szCs w:val="16"/>
        </w:rPr>
        <w:tab/>
      </w:r>
      <w:r w:rsidRPr="00264F20">
        <w:rPr>
          <w:rFonts w:cstheme="minorHAnsi"/>
          <w:sz w:val="16"/>
          <w:szCs w:val="16"/>
        </w:rPr>
        <w:tab/>
        <w:t>Dynamic Host Configuration Protocol</w:t>
      </w:r>
    </w:p>
    <w:p w:rsidR="00264F20" w:rsidRPr="005D33A9" w:rsidRDefault="00264F20" w:rsidP="0040201F">
      <w:pPr>
        <w:spacing w:after="0" w:line="240" w:lineRule="auto"/>
        <w:rPr>
          <w:rFonts w:cstheme="minorHAnsi"/>
          <w:sz w:val="16"/>
          <w:szCs w:val="16"/>
        </w:rPr>
      </w:pPr>
      <w:r w:rsidRPr="00F91831">
        <w:rPr>
          <w:rFonts w:ascii="Calibri" w:eastAsia="SimSun" w:hAnsi="Calibri" w:cs="Calibri"/>
          <w:sz w:val="16"/>
          <w:szCs w:val="16"/>
        </w:rPr>
        <w:t>DOA</w:t>
      </w:r>
      <w:r w:rsidRPr="00F91831">
        <w:rPr>
          <w:rFonts w:ascii="Calibri" w:eastAsia="SimSun" w:hAnsi="Calibri" w:cs="Calibri"/>
          <w:sz w:val="16"/>
          <w:szCs w:val="16"/>
        </w:rPr>
        <w:tab/>
      </w:r>
      <w:r w:rsidRPr="00F91831">
        <w:rPr>
          <w:rFonts w:ascii="Calibri" w:eastAsia="SimSun" w:hAnsi="Calibri" w:cs="Calibri"/>
          <w:sz w:val="16"/>
          <w:szCs w:val="16"/>
        </w:rPr>
        <w:tab/>
        <w:t>Digital Object Architecture</w:t>
      </w:r>
    </w:p>
    <w:p w:rsidR="00203491" w:rsidRPr="005D33A9" w:rsidRDefault="00AC1CD6" w:rsidP="0040201F">
      <w:pPr>
        <w:spacing w:after="0" w:line="240" w:lineRule="auto"/>
        <w:rPr>
          <w:rFonts w:cstheme="minorHAnsi"/>
          <w:sz w:val="16"/>
          <w:szCs w:val="16"/>
        </w:rPr>
      </w:pPr>
      <w:proofErr w:type="spellStart"/>
      <w:proofErr w:type="gramStart"/>
      <w:r w:rsidRPr="00AC1CD6">
        <w:rPr>
          <w:rFonts w:cstheme="minorHAnsi"/>
          <w:sz w:val="16"/>
          <w:szCs w:val="16"/>
        </w:rPr>
        <w:t>DoD</w:t>
      </w:r>
      <w:proofErr w:type="spellEnd"/>
      <w:proofErr w:type="gramEnd"/>
      <w:r w:rsidRPr="00AC1CD6">
        <w:rPr>
          <w:rFonts w:cstheme="minorHAnsi"/>
          <w:sz w:val="16"/>
          <w:szCs w:val="16"/>
        </w:rPr>
        <w:tab/>
      </w:r>
      <w:r w:rsidRPr="00AC1CD6">
        <w:rPr>
          <w:rFonts w:cstheme="minorHAnsi"/>
          <w:sz w:val="16"/>
          <w:szCs w:val="16"/>
        </w:rPr>
        <w:tab/>
        <w:t>U.S. Department of Defense</w:t>
      </w:r>
    </w:p>
    <w:p w:rsidR="00682362" w:rsidRPr="005D33A9" w:rsidRDefault="00AC1CD6" w:rsidP="0040201F">
      <w:pPr>
        <w:spacing w:after="0" w:line="240" w:lineRule="auto"/>
        <w:rPr>
          <w:rFonts w:cstheme="minorHAnsi"/>
          <w:sz w:val="16"/>
          <w:szCs w:val="16"/>
        </w:rPr>
      </w:pPr>
      <w:r w:rsidRPr="00AC1CD6">
        <w:rPr>
          <w:rFonts w:cstheme="minorHAnsi"/>
          <w:sz w:val="16"/>
          <w:szCs w:val="16"/>
        </w:rPr>
        <w:t>DNS</w:t>
      </w:r>
      <w:r w:rsidRPr="00AC1CD6">
        <w:rPr>
          <w:rFonts w:cstheme="minorHAnsi"/>
          <w:sz w:val="16"/>
          <w:szCs w:val="16"/>
        </w:rPr>
        <w:tab/>
      </w:r>
      <w:r w:rsidRPr="00AC1CD6">
        <w:rPr>
          <w:rFonts w:cstheme="minorHAnsi"/>
          <w:sz w:val="16"/>
          <w:szCs w:val="16"/>
        </w:rPr>
        <w:tab/>
        <w:t>Domain Name System</w:t>
      </w:r>
    </w:p>
    <w:p w:rsidR="00682362" w:rsidRPr="005D33A9" w:rsidRDefault="00AC1CD6" w:rsidP="0040201F">
      <w:pPr>
        <w:spacing w:after="0" w:line="240" w:lineRule="auto"/>
        <w:rPr>
          <w:rFonts w:cstheme="minorHAnsi"/>
          <w:sz w:val="16"/>
          <w:szCs w:val="16"/>
        </w:rPr>
      </w:pPr>
      <w:r w:rsidRPr="00AC1CD6">
        <w:rPr>
          <w:rFonts w:cstheme="minorHAnsi"/>
          <w:sz w:val="16"/>
          <w:szCs w:val="16"/>
          <w:lang w:val="en-GB"/>
        </w:rPr>
        <w:t>DNSSEC</w:t>
      </w:r>
      <w:r w:rsidRPr="00AC1CD6">
        <w:rPr>
          <w:rFonts w:cstheme="minorHAnsi"/>
          <w:sz w:val="16"/>
          <w:szCs w:val="16"/>
          <w:lang w:val="en-GB"/>
        </w:rPr>
        <w:tab/>
      </w:r>
      <w:r w:rsidRPr="00AC1CD6">
        <w:rPr>
          <w:rFonts w:cstheme="minorHAnsi"/>
          <w:sz w:val="16"/>
          <w:szCs w:val="16"/>
          <w:lang w:val="en-GB"/>
        </w:rPr>
        <w:tab/>
      </w:r>
      <w:r w:rsidRPr="00AC1CD6">
        <w:rPr>
          <w:rFonts w:cstheme="minorHAnsi"/>
          <w:sz w:val="16"/>
          <w:szCs w:val="16"/>
        </w:rPr>
        <w:t>Domain Name System Security Extensions</w:t>
      </w:r>
    </w:p>
    <w:p w:rsidR="00331AD1" w:rsidRPr="005D33A9" w:rsidRDefault="00AC1CD6" w:rsidP="0040201F">
      <w:pPr>
        <w:spacing w:after="0" w:line="240" w:lineRule="auto"/>
        <w:rPr>
          <w:rFonts w:cstheme="minorHAnsi"/>
          <w:sz w:val="16"/>
          <w:szCs w:val="16"/>
        </w:rPr>
      </w:pPr>
      <w:r w:rsidRPr="00AC1CD6">
        <w:rPr>
          <w:rFonts w:cstheme="minorHAnsi"/>
          <w:sz w:val="16"/>
          <w:szCs w:val="16"/>
        </w:rPr>
        <w:t>FIND</w:t>
      </w:r>
      <w:r w:rsidRPr="00AC1CD6">
        <w:rPr>
          <w:rFonts w:cstheme="minorHAnsi"/>
          <w:sz w:val="16"/>
          <w:szCs w:val="16"/>
        </w:rPr>
        <w:tab/>
      </w:r>
      <w:r w:rsidRPr="00AC1CD6">
        <w:rPr>
          <w:rFonts w:cstheme="minorHAnsi"/>
          <w:sz w:val="16"/>
          <w:szCs w:val="16"/>
        </w:rPr>
        <w:tab/>
        <w:t xml:space="preserve">Future Internet Design </w:t>
      </w:r>
    </w:p>
    <w:p w:rsidR="00331AD1" w:rsidRPr="005D33A9" w:rsidRDefault="00AC1CD6" w:rsidP="0040201F">
      <w:pPr>
        <w:spacing w:after="0" w:line="240" w:lineRule="auto"/>
        <w:rPr>
          <w:rFonts w:cstheme="minorHAnsi"/>
          <w:sz w:val="16"/>
          <w:szCs w:val="16"/>
        </w:rPr>
      </w:pPr>
      <w:r w:rsidRPr="00AC1CD6">
        <w:rPr>
          <w:rFonts w:cstheme="minorHAnsi"/>
          <w:sz w:val="16"/>
          <w:szCs w:val="16"/>
        </w:rPr>
        <w:t>FIRE</w:t>
      </w:r>
      <w:r w:rsidRPr="00AC1CD6">
        <w:rPr>
          <w:rFonts w:cstheme="minorHAnsi"/>
          <w:sz w:val="16"/>
          <w:szCs w:val="16"/>
        </w:rPr>
        <w:tab/>
      </w:r>
      <w:r w:rsidRPr="00AC1CD6">
        <w:rPr>
          <w:rFonts w:cstheme="minorHAnsi"/>
          <w:sz w:val="16"/>
          <w:szCs w:val="16"/>
        </w:rPr>
        <w:tab/>
        <w:t>European Union’s Future Internet Research &amp; Experimentation</w:t>
      </w:r>
    </w:p>
    <w:p w:rsidR="0098614E" w:rsidRPr="005D33A9" w:rsidRDefault="00AC1CD6" w:rsidP="0040201F">
      <w:pPr>
        <w:spacing w:after="0" w:line="240" w:lineRule="auto"/>
        <w:rPr>
          <w:rFonts w:cstheme="minorHAnsi"/>
          <w:sz w:val="16"/>
          <w:szCs w:val="16"/>
        </w:rPr>
      </w:pPr>
      <w:r w:rsidRPr="00AC1CD6">
        <w:rPr>
          <w:rFonts w:cstheme="minorHAnsi"/>
          <w:sz w:val="16"/>
          <w:szCs w:val="16"/>
        </w:rPr>
        <w:t>FIRST</w:t>
      </w:r>
      <w:r w:rsidRPr="00AC1CD6">
        <w:rPr>
          <w:rFonts w:cstheme="minorHAnsi"/>
          <w:sz w:val="16"/>
          <w:szCs w:val="16"/>
        </w:rPr>
        <w:tab/>
      </w:r>
      <w:r w:rsidRPr="00AC1CD6">
        <w:rPr>
          <w:rFonts w:cstheme="minorHAnsi"/>
          <w:sz w:val="16"/>
          <w:szCs w:val="16"/>
        </w:rPr>
        <w:tab/>
        <w:t>Forum for Incident Response and Security Teams</w:t>
      </w:r>
    </w:p>
    <w:p w:rsidR="00682362" w:rsidRPr="005D33A9" w:rsidRDefault="00AC1CD6" w:rsidP="0040201F">
      <w:pPr>
        <w:spacing w:after="0" w:line="240" w:lineRule="auto"/>
        <w:rPr>
          <w:rFonts w:cstheme="minorHAnsi"/>
          <w:sz w:val="16"/>
          <w:szCs w:val="16"/>
        </w:rPr>
      </w:pPr>
      <w:r w:rsidRPr="00AC1CD6">
        <w:rPr>
          <w:rFonts w:cstheme="minorHAnsi"/>
          <w:sz w:val="16"/>
          <w:szCs w:val="16"/>
        </w:rPr>
        <w:t>GAC</w:t>
      </w:r>
      <w:r w:rsidRPr="00AC1CD6">
        <w:rPr>
          <w:rFonts w:cstheme="minorHAnsi"/>
          <w:sz w:val="16"/>
          <w:szCs w:val="16"/>
        </w:rPr>
        <w:tab/>
      </w:r>
      <w:r w:rsidRPr="00AC1CD6">
        <w:rPr>
          <w:rFonts w:cstheme="minorHAnsi"/>
          <w:sz w:val="16"/>
          <w:szCs w:val="16"/>
        </w:rPr>
        <w:tab/>
        <w:t>Governmental Advisory Committee</w:t>
      </w:r>
    </w:p>
    <w:p w:rsidR="00850AD9" w:rsidRPr="005D33A9" w:rsidRDefault="00AC1CD6" w:rsidP="0040201F">
      <w:pPr>
        <w:spacing w:after="0" w:line="240" w:lineRule="auto"/>
        <w:rPr>
          <w:rFonts w:cstheme="minorHAnsi"/>
          <w:sz w:val="16"/>
          <w:szCs w:val="16"/>
        </w:rPr>
      </w:pPr>
      <w:r w:rsidRPr="00AC1CD6">
        <w:rPr>
          <w:rFonts w:cstheme="minorHAnsi"/>
          <w:sz w:val="16"/>
          <w:szCs w:val="16"/>
        </w:rPr>
        <w:t>GDP</w:t>
      </w:r>
      <w:r w:rsidRPr="00AC1CD6">
        <w:rPr>
          <w:rFonts w:cstheme="minorHAnsi"/>
          <w:sz w:val="16"/>
          <w:szCs w:val="16"/>
        </w:rPr>
        <w:tab/>
      </w:r>
      <w:r w:rsidRPr="00AC1CD6">
        <w:rPr>
          <w:rFonts w:cstheme="minorHAnsi"/>
          <w:sz w:val="16"/>
          <w:szCs w:val="16"/>
        </w:rPr>
        <w:tab/>
        <w:t>Gross Domestic Product</w:t>
      </w:r>
    </w:p>
    <w:p w:rsidR="00331AD1" w:rsidRPr="005D33A9" w:rsidRDefault="00AC1CD6" w:rsidP="0040201F">
      <w:pPr>
        <w:spacing w:after="0" w:line="240" w:lineRule="auto"/>
        <w:rPr>
          <w:rFonts w:cstheme="minorHAnsi"/>
          <w:sz w:val="16"/>
          <w:szCs w:val="16"/>
        </w:rPr>
      </w:pPr>
      <w:r w:rsidRPr="00AC1CD6">
        <w:rPr>
          <w:rFonts w:cstheme="minorHAnsi"/>
          <w:sz w:val="16"/>
          <w:szCs w:val="16"/>
        </w:rPr>
        <w:t>GENI</w:t>
      </w:r>
      <w:r w:rsidRPr="00AC1CD6">
        <w:rPr>
          <w:rFonts w:cstheme="minorHAnsi"/>
          <w:sz w:val="16"/>
          <w:szCs w:val="16"/>
        </w:rPr>
        <w:tab/>
      </w:r>
      <w:r w:rsidRPr="00AC1CD6">
        <w:rPr>
          <w:rFonts w:cstheme="minorHAnsi"/>
          <w:sz w:val="16"/>
          <w:szCs w:val="16"/>
        </w:rPr>
        <w:tab/>
        <w:t>Global Environment for Network Innovations</w:t>
      </w:r>
    </w:p>
    <w:p w:rsidR="00F265B1" w:rsidRPr="005D33A9" w:rsidRDefault="00AC1CD6" w:rsidP="0040201F">
      <w:pPr>
        <w:spacing w:after="0" w:line="240" w:lineRule="auto"/>
        <w:rPr>
          <w:rFonts w:cstheme="minorHAnsi"/>
          <w:sz w:val="16"/>
          <w:szCs w:val="16"/>
        </w:rPr>
      </w:pPr>
      <w:r w:rsidRPr="00AC1CD6">
        <w:rPr>
          <w:rFonts w:cstheme="minorHAnsi"/>
          <w:sz w:val="16"/>
          <w:szCs w:val="16"/>
        </w:rPr>
        <w:t>GGE</w:t>
      </w:r>
      <w:r w:rsidRPr="00AC1CD6">
        <w:rPr>
          <w:rFonts w:cstheme="minorHAnsi"/>
          <w:sz w:val="16"/>
          <w:szCs w:val="16"/>
        </w:rPr>
        <w:tab/>
      </w:r>
      <w:r w:rsidRPr="00AC1CD6">
        <w:rPr>
          <w:rFonts w:cstheme="minorHAnsi"/>
          <w:sz w:val="16"/>
          <w:szCs w:val="16"/>
        </w:rPr>
        <w:tab/>
        <w:t>Government Group of Experts of the UN General Assembly</w:t>
      </w:r>
    </w:p>
    <w:p w:rsidR="00682362" w:rsidRDefault="00AC1CD6" w:rsidP="0040201F">
      <w:pPr>
        <w:spacing w:after="0" w:line="240" w:lineRule="auto"/>
        <w:rPr>
          <w:rFonts w:cstheme="minorHAnsi"/>
          <w:sz w:val="16"/>
          <w:szCs w:val="16"/>
        </w:rPr>
      </w:pPr>
      <w:proofErr w:type="spellStart"/>
      <w:proofErr w:type="gramStart"/>
      <w:r w:rsidRPr="00AC1CD6">
        <w:rPr>
          <w:rFonts w:cstheme="minorHAnsi"/>
          <w:sz w:val="16"/>
          <w:szCs w:val="16"/>
        </w:rPr>
        <w:t>gTLD</w:t>
      </w:r>
      <w:proofErr w:type="spellEnd"/>
      <w:proofErr w:type="gramEnd"/>
      <w:r w:rsidRPr="00AC1CD6">
        <w:rPr>
          <w:rFonts w:cstheme="minorHAnsi"/>
          <w:sz w:val="16"/>
          <w:szCs w:val="16"/>
        </w:rPr>
        <w:tab/>
      </w:r>
      <w:r w:rsidRPr="00AC1CD6">
        <w:rPr>
          <w:rFonts w:cstheme="minorHAnsi"/>
          <w:sz w:val="16"/>
          <w:szCs w:val="16"/>
        </w:rPr>
        <w:tab/>
        <w:t>generic Top-Level Domain</w:t>
      </w:r>
    </w:p>
    <w:p w:rsidR="00264F20" w:rsidRPr="005D33A9" w:rsidRDefault="00264F20" w:rsidP="0040201F">
      <w:pPr>
        <w:spacing w:after="0" w:line="240" w:lineRule="auto"/>
        <w:rPr>
          <w:rFonts w:cstheme="minorHAnsi"/>
          <w:sz w:val="16"/>
          <w:szCs w:val="16"/>
        </w:rPr>
      </w:pPr>
      <w:r w:rsidRPr="00264F20">
        <w:rPr>
          <w:rFonts w:cstheme="minorHAnsi"/>
          <w:sz w:val="16"/>
          <w:szCs w:val="16"/>
        </w:rPr>
        <w:t>IAB</w:t>
      </w:r>
      <w:r w:rsidRPr="00264F20">
        <w:rPr>
          <w:rFonts w:cstheme="minorHAnsi"/>
          <w:sz w:val="16"/>
          <w:szCs w:val="16"/>
        </w:rPr>
        <w:tab/>
      </w:r>
      <w:r w:rsidRPr="00264F20">
        <w:rPr>
          <w:rFonts w:cstheme="minorHAnsi"/>
          <w:sz w:val="16"/>
          <w:szCs w:val="16"/>
        </w:rPr>
        <w:tab/>
        <w:t>Internet Architecture Board</w:t>
      </w:r>
    </w:p>
    <w:p w:rsidR="00264F20" w:rsidRPr="005D33A9" w:rsidRDefault="00AC1CD6" w:rsidP="0040201F">
      <w:pPr>
        <w:spacing w:after="0" w:line="240" w:lineRule="auto"/>
        <w:rPr>
          <w:rFonts w:cstheme="minorHAnsi"/>
          <w:sz w:val="16"/>
          <w:szCs w:val="16"/>
        </w:rPr>
      </w:pPr>
      <w:r w:rsidRPr="00AC1CD6">
        <w:rPr>
          <w:rFonts w:cstheme="minorHAnsi"/>
          <w:sz w:val="16"/>
          <w:szCs w:val="16"/>
        </w:rPr>
        <w:t>IANA</w:t>
      </w:r>
      <w:r w:rsidRPr="00AC1CD6">
        <w:rPr>
          <w:rFonts w:cstheme="minorHAnsi"/>
          <w:sz w:val="16"/>
          <w:szCs w:val="16"/>
        </w:rPr>
        <w:tab/>
      </w:r>
      <w:r w:rsidRPr="00AC1CD6">
        <w:rPr>
          <w:rFonts w:cstheme="minorHAnsi"/>
          <w:sz w:val="16"/>
          <w:szCs w:val="16"/>
        </w:rPr>
        <w:tab/>
        <w:t>Internet Assigned Numbers Authority</w:t>
      </w:r>
    </w:p>
    <w:p w:rsidR="00682362" w:rsidRPr="005D33A9" w:rsidRDefault="00AC1CD6" w:rsidP="0040201F">
      <w:pPr>
        <w:spacing w:after="0" w:line="240" w:lineRule="auto"/>
        <w:rPr>
          <w:rFonts w:cstheme="minorHAnsi"/>
          <w:sz w:val="16"/>
          <w:szCs w:val="16"/>
        </w:rPr>
      </w:pPr>
      <w:r w:rsidRPr="00AC1CD6">
        <w:rPr>
          <w:rFonts w:cstheme="minorHAnsi"/>
          <w:sz w:val="16"/>
          <w:szCs w:val="16"/>
        </w:rPr>
        <w:t>ICANN</w:t>
      </w:r>
      <w:r w:rsidRPr="00AC1CD6">
        <w:rPr>
          <w:rFonts w:cstheme="minorHAnsi"/>
          <w:sz w:val="16"/>
          <w:szCs w:val="16"/>
        </w:rPr>
        <w:tab/>
      </w:r>
      <w:r w:rsidRPr="00AC1CD6">
        <w:rPr>
          <w:rFonts w:cstheme="minorHAnsi"/>
          <w:sz w:val="16"/>
          <w:szCs w:val="16"/>
        </w:rPr>
        <w:tab/>
        <w:t>Internet Corporation for Assigned Names and Numbers</w:t>
      </w:r>
    </w:p>
    <w:p w:rsidR="00850AD9" w:rsidRPr="005D33A9" w:rsidRDefault="00AC1CD6" w:rsidP="0040201F">
      <w:pPr>
        <w:spacing w:after="0" w:line="240" w:lineRule="auto"/>
        <w:rPr>
          <w:rFonts w:cstheme="minorHAnsi"/>
          <w:sz w:val="16"/>
          <w:szCs w:val="16"/>
          <w:lang w:val="fr-CH"/>
        </w:rPr>
      </w:pPr>
      <w:r w:rsidRPr="00AC1CD6">
        <w:rPr>
          <w:rFonts w:cstheme="minorHAnsi"/>
          <w:sz w:val="16"/>
          <w:szCs w:val="16"/>
          <w:lang w:val="fr-CH"/>
        </w:rPr>
        <w:t>ICT</w:t>
      </w:r>
      <w:r w:rsidRPr="00AC1CD6">
        <w:rPr>
          <w:rFonts w:cstheme="minorHAnsi"/>
          <w:sz w:val="16"/>
          <w:szCs w:val="16"/>
          <w:lang w:val="fr-CH"/>
        </w:rPr>
        <w:tab/>
      </w:r>
      <w:r w:rsidRPr="00AC1CD6">
        <w:rPr>
          <w:rFonts w:cstheme="minorHAnsi"/>
          <w:sz w:val="16"/>
          <w:szCs w:val="16"/>
          <w:lang w:val="fr-CH"/>
        </w:rPr>
        <w:tab/>
        <w:t>Information &amp; Communication Technology</w:t>
      </w:r>
    </w:p>
    <w:p w:rsidR="00850AD9" w:rsidRPr="005D33A9" w:rsidRDefault="00AC1CD6" w:rsidP="0040201F">
      <w:pPr>
        <w:spacing w:after="0" w:line="240" w:lineRule="auto"/>
        <w:rPr>
          <w:rFonts w:cstheme="minorHAnsi"/>
          <w:sz w:val="16"/>
          <w:szCs w:val="16"/>
          <w:lang w:val="fr-CH"/>
        </w:rPr>
      </w:pPr>
      <w:r w:rsidRPr="00AC1CD6">
        <w:rPr>
          <w:rFonts w:cstheme="minorHAnsi"/>
          <w:sz w:val="16"/>
          <w:szCs w:val="16"/>
          <w:lang w:val="fr-CH"/>
        </w:rPr>
        <w:t>ICTs</w:t>
      </w:r>
      <w:r w:rsidRPr="00AC1CD6">
        <w:rPr>
          <w:rFonts w:cstheme="minorHAnsi"/>
          <w:sz w:val="16"/>
          <w:szCs w:val="16"/>
          <w:lang w:val="fr-CH"/>
        </w:rPr>
        <w:tab/>
      </w:r>
      <w:r w:rsidRPr="00AC1CD6">
        <w:rPr>
          <w:rFonts w:cstheme="minorHAnsi"/>
          <w:sz w:val="16"/>
          <w:szCs w:val="16"/>
          <w:lang w:val="fr-CH"/>
        </w:rPr>
        <w:tab/>
        <w:t>Information &amp; Communication Technologies</w:t>
      </w:r>
    </w:p>
    <w:p w:rsidR="00682362" w:rsidRPr="005D33A9" w:rsidRDefault="00AC1CD6" w:rsidP="0040201F">
      <w:pPr>
        <w:spacing w:after="0" w:line="240" w:lineRule="auto"/>
        <w:rPr>
          <w:rFonts w:cstheme="minorHAnsi"/>
          <w:sz w:val="16"/>
          <w:szCs w:val="16"/>
        </w:rPr>
      </w:pPr>
      <w:r w:rsidRPr="00AC1CD6">
        <w:rPr>
          <w:rFonts w:cstheme="minorHAnsi"/>
          <w:sz w:val="16"/>
          <w:szCs w:val="16"/>
        </w:rPr>
        <w:t>IDN</w:t>
      </w:r>
      <w:r w:rsidRPr="00AC1CD6">
        <w:rPr>
          <w:rFonts w:cstheme="minorHAnsi"/>
          <w:sz w:val="16"/>
          <w:szCs w:val="16"/>
        </w:rPr>
        <w:tab/>
      </w:r>
      <w:r w:rsidRPr="00AC1CD6">
        <w:rPr>
          <w:rFonts w:cstheme="minorHAnsi"/>
          <w:sz w:val="16"/>
          <w:szCs w:val="16"/>
        </w:rPr>
        <w:tab/>
        <w:t>Internationalized Domain Name</w:t>
      </w:r>
    </w:p>
    <w:p w:rsidR="00955D8E" w:rsidRPr="005D33A9" w:rsidRDefault="00AC1CD6" w:rsidP="0040201F">
      <w:pPr>
        <w:spacing w:after="0" w:line="240" w:lineRule="auto"/>
        <w:rPr>
          <w:rFonts w:cstheme="minorHAnsi"/>
          <w:sz w:val="16"/>
          <w:szCs w:val="16"/>
        </w:rPr>
      </w:pPr>
      <w:r w:rsidRPr="00AC1CD6">
        <w:rPr>
          <w:rFonts w:cstheme="minorHAnsi"/>
          <w:sz w:val="16"/>
          <w:szCs w:val="16"/>
        </w:rPr>
        <w:t>IEG</w:t>
      </w:r>
      <w:r w:rsidRPr="00AC1CD6">
        <w:rPr>
          <w:rFonts w:cstheme="minorHAnsi"/>
          <w:sz w:val="16"/>
          <w:szCs w:val="16"/>
        </w:rPr>
        <w:tab/>
      </w:r>
      <w:r w:rsidRPr="00AC1CD6">
        <w:rPr>
          <w:rFonts w:cstheme="minorHAnsi"/>
          <w:sz w:val="16"/>
          <w:szCs w:val="16"/>
        </w:rPr>
        <w:tab/>
        <w:t>Informal Experts Group</w:t>
      </w:r>
    </w:p>
    <w:p w:rsidR="00F77CB1" w:rsidRPr="005D33A9" w:rsidRDefault="00AC1CD6" w:rsidP="0040201F">
      <w:pPr>
        <w:spacing w:after="0" w:line="240" w:lineRule="auto"/>
        <w:rPr>
          <w:rFonts w:cstheme="minorHAnsi"/>
          <w:sz w:val="16"/>
          <w:szCs w:val="16"/>
        </w:rPr>
      </w:pPr>
      <w:r w:rsidRPr="00AC1CD6">
        <w:rPr>
          <w:rFonts w:cstheme="minorHAnsi"/>
          <w:sz w:val="16"/>
          <w:szCs w:val="16"/>
        </w:rPr>
        <w:t>IETF</w:t>
      </w:r>
      <w:r w:rsidRPr="00AC1CD6">
        <w:rPr>
          <w:rFonts w:cstheme="minorHAnsi"/>
          <w:sz w:val="16"/>
          <w:szCs w:val="16"/>
        </w:rPr>
        <w:tab/>
      </w:r>
      <w:r w:rsidRPr="00AC1CD6">
        <w:rPr>
          <w:rFonts w:cstheme="minorHAnsi"/>
          <w:sz w:val="16"/>
          <w:szCs w:val="16"/>
        </w:rPr>
        <w:tab/>
        <w:t>Internet Engineering Task Force</w:t>
      </w:r>
    </w:p>
    <w:p w:rsidR="00955D8E" w:rsidRPr="005D33A9" w:rsidRDefault="00AC1CD6" w:rsidP="0040201F">
      <w:pPr>
        <w:spacing w:after="0" w:line="240" w:lineRule="auto"/>
        <w:rPr>
          <w:rFonts w:cstheme="minorHAnsi"/>
          <w:sz w:val="16"/>
          <w:szCs w:val="16"/>
        </w:rPr>
      </w:pPr>
      <w:r w:rsidRPr="00AC1CD6">
        <w:rPr>
          <w:rFonts w:cstheme="minorHAnsi"/>
          <w:sz w:val="16"/>
          <w:szCs w:val="16"/>
        </w:rPr>
        <w:t>IGF</w:t>
      </w:r>
      <w:r w:rsidRPr="00AC1CD6">
        <w:rPr>
          <w:rFonts w:cstheme="minorHAnsi"/>
          <w:sz w:val="16"/>
          <w:szCs w:val="16"/>
        </w:rPr>
        <w:tab/>
      </w:r>
      <w:r w:rsidRPr="00AC1CD6">
        <w:rPr>
          <w:rFonts w:cstheme="minorHAnsi"/>
          <w:sz w:val="16"/>
          <w:szCs w:val="16"/>
        </w:rPr>
        <w:tab/>
        <w:t>Internet Governance Forum</w:t>
      </w:r>
    </w:p>
    <w:p w:rsidR="00F77CB1" w:rsidRPr="005D33A9" w:rsidRDefault="00AC1CD6" w:rsidP="0040201F">
      <w:pPr>
        <w:spacing w:after="0" w:line="240" w:lineRule="auto"/>
        <w:rPr>
          <w:rFonts w:cstheme="minorHAnsi"/>
          <w:sz w:val="16"/>
          <w:szCs w:val="16"/>
        </w:rPr>
      </w:pPr>
      <w:r w:rsidRPr="00AC1CD6">
        <w:rPr>
          <w:rFonts w:cstheme="minorHAnsi"/>
          <w:sz w:val="16"/>
          <w:szCs w:val="16"/>
        </w:rPr>
        <w:t>IGOs</w:t>
      </w:r>
      <w:r w:rsidRPr="00AC1CD6">
        <w:rPr>
          <w:rFonts w:cstheme="minorHAnsi"/>
          <w:sz w:val="16"/>
          <w:szCs w:val="16"/>
        </w:rPr>
        <w:tab/>
      </w:r>
      <w:r w:rsidRPr="00AC1CD6">
        <w:rPr>
          <w:rFonts w:cstheme="minorHAnsi"/>
          <w:sz w:val="16"/>
          <w:szCs w:val="16"/>
        </w:rPr>
        <w:tab/>
        <w:t>Inter-governmental Organizations</w:t>
      </w:r>
    </w:p>
    <w:p w:rsidR="006A27AD" w:rsidRPr="005D33A9" w:rsidRDefault="00AC1CD6" w:rsidP="0040201F">
      <w:pPr>
        <w:spacing w:after="0" w:line="240" w:lineRule="auto"/>
        <w:rPr>
          <w:rFonts w:cstheme="minorHAnsi"/>
          <w:sz w:val="16"/>
          <w:szCs w:val="16"/>
        </w:rPr>
      </w:pPr>
      <w:r w:rsidRPr="00AC1CD6">
        <w:rPr>
          <w:rFonts w:cstheme="minorHAnsi"/>
          <w:sz w:val="16"/>
          <w:szCs w:val="16"/>
        </w:rPr>
        <w:t>IIC</w:t>
      </w:r>
      <w:r w:rsidRPr="00AC1CD6">
        <w:rPr>
          <w:rFonts w:cstheme="minorHAnsi"/>
          <w:sz w:val="16"/>
          <w:szCs w:val="16"/>
        </w:rPr>
        <w:tab/>
      </w:r>
      <w:r w:rsidRPr="00AC1CD6">
        <w:rPr>
          <w:rFonts w:cstheme="minorHAnsi"/>
          <w:sz w:val="16"/>
          <w:szCs w:val="16"/>
        </w:rPr>
        <w:tab/>
        <w:t>International Internet Connectivity</w:t>
      </w:r>
    </w:p>
    <w:p w:rsidR="00B46A42" w:rsidRPr="005D33A9" w:rsidRDefault="00AC1CD6" w:rsidP="0040201F">
      <w:pPr>
        <w:spacing w:after="0" w:line="240" w:lineRule="auto"/>
        <w:rPr>
          <w:rFonts w:cstheme="minorHAnsi"/>
          <w:sz w:val="16"/>
          <w:szCs w:val="16"/>
        </w:rPr>
      </w:pPr>
      <w:r w:rsidRPr="00AC1CD6">
        <w:rPr>
          <w:rFonts w:cstheme="minorHAnsi"/>
          <w:sz w:val="16"/>
          <w:szCs w:val="16"/>
        </w:rPr>
        <w:t>INR</w:t>
      </w:r>
      <w:r w:rsidRPr="00AC1CD6">
        <w:rPr>
          <w:rFonts w:cstheme="minorHAnsi"/>
          <w:sz w:val="16"/>
          <w:szCs w:val="16"/>
        </w:rPr>
        <w:tab/>
      </w:r>
      <w:r w:rsidRPr="00AC1CD6">
        <w:rPr>
          <w:rFonts w:cstheme="minorHAnsi"/>
          <w:sz w:val="16"/>
          <w:szCs w:val="16"/>
        </w:rPr>
        <w:tab/>
        <w:t>Internet Numbering Resources</w:t>
      </w:r>
    </w:p>
    <w:p w:rsidR="00682362" w:rsidRPr="005D33A9" w:rsidRDefault="00AC1CD6" w:rsidP="0040201F">
      <w:pPr>
        <w:spacing w:after="0" w:line="240" w:lineRule="auto"/>
        <w:rPr>
          <w:rFonts w:cstheme="minorHAnsi"/>
          <w:sz w:val="16"/>
          <w:szCs w:val="16"/>
        </w:rPr>
      </w:pPr>
      <w:r w:rsidRPr="00AC1CD6">
        <w:rPr>
          <w:rFonts w:cstheme="minorHAnsi"/>
          <w:sz w:val="16"/>
          <w:szCs w:val="16"/>
        </w:rPr>
        <w:t>IP</w:t>
      </w:r>
      <w:r w:rsidRPr="00AC1CD6">
        <w:rPr>
          <w:rFonts w:cstheme="minorHAnsi"/>
          <w:sz w:val="16"/>
          <w:szCs w:val="16"/>
        </w:rPr>
        <w:tab/>
      </w:r>
      <w:r w:rsidRPr="00AC1CD6">
        <w:rPr>
          <w:rFonts w:cstheme="minorHAnsi"/>
          <w:sz w:val="16"/>
          <w:szCs w:val="16"/>
        </w:rPr>
        <w:tab/>
        <w:t>Internet Protocol</w:t>
      </w:r>
    </w:p>
    <w:p w:rsidR="00F77CB1" w:rsidRPr="00264F8F" w:rsidRDefault="00AC1CD6" w:rsidP="0040201F">
      <w:pPr>
        <w:spacing w:after="0" w:line="240" w:lineRule="auto"/>
        <w:rPr>
          <w:rFonts w:cstheme="minorHAnsi"/>
          <w:sz w:val="16"/>
          <w:szCs w:val="16"/>
          <w:lang w:val="fr-CH"/>
        </w:rPr>
      </w:pPr>
      <w:r w:rsidRPr="00264F8F">
        <w:rPr>
          <w:rFonts w:cstheme="minorHAnsi"/>
          <w:sz w:val="16"/>
          <w:szCs w:val="16"/>
          <w:lang w:val="fr-CH"/>
        </w:rPr>
        <w:t>IPv4</w:t>
      </w:r>
      <w:r w:rsidRPr="00264F8F">
        <w:rPr>
          <w:rFonts w:cstheme="minorHAnsi"/>
          <w:sz w:val="16"/>
          <w:szCs w:val="16"/>
          <w:lang w:val="fr-CH"/>
        </w:rPr>
        <w:tab/>
      </w:r>
      <w:r w:rsidRPr="00264F8F">
        <w:rPr>
          <w:rFonts w:cstheme="minorHAnsi"/>
          <w:sz w:val="16"/>
          <w:szCs w:val="16"/>
          <w:lang w:val="fr-CH"/>
        </w:rPr>
        <w:tab/>
        <w:t>Internet Protocol version 4</w:t>
      </w:r>
    </w:p>
    <w:p w:rsidR="00F77CB1" w:rsidRPr="00D04F38" w:rsidRDefault="00AC1CD6" w:rsidP="0040201F">
      <w:pPr>
        <w:spacing w:after="0" w:line="240" w:lineRule="auto"/>
        <w:rPr>
          <w:rFonts w:cstheme="minorHAnsi"/>
          <w:sz w:val="16"/>
          <w:szCs w:val="16"/>
          <w:lang w:val="fr-CH"/>
        </w:rPr>
      </w:pPr>
      <w:r w:rsidRPr="00264F8F">
        <w:rPr>
          <w:rFonts w:cstheme="minorHAnsi"/>
          <w:sz w:val="16"/>
          <w:szCs w:val="16"/>
          <w:lang w:val="fr-CH"/>
        </w:rPr>
        <w:t>IPv6</w:t>
      </w:r>
      <w:r w:rsidRPr="00264F8F">
        <w:rPr>
          <w:rFonts w:cstheme="minorHAnsi"/>
          <w:sz w:val="16"/>
          <w:szCs w:val="16"/>
          <w:lang w:val="fr-CH"/>
        </w:rPr>
        <w:tab/>
      </w:r>
      <w:r w:rsidRPr="00264F8F">
        <w:rPr>
          <w:rFonts w:cstheme="minorHAnsi"/>
          <w:sz w:val="16"/>
          <w:szCs w:val="16"/>
          <w:lang w:val="fr-CH"/>
        </w:rPr>
        <w:tab/>
        <w:t>Internet Protocol version 6</w:t>
      </w:r>
    </w:p>
    <w:p w:rsidR="00F77CB1" w:rsidRPr="00F91831" w:rsidRDefault="00AC1CD6" w:rsidP="0040201F">
      <w:pPr>
        <w:spacing w:after="0" w:line="240" w:lineRule="auto"/>
        <w:rPr>
          <w:rFonts w:cstheme="minorHAnsi"/>
          <w:sz w:val="16"/>
          <w:szCs w:val="16"/>
          <w:lang w:val="fr-CH"/>
        </w:rPr>
      </w:pPr>
      <w:r w:rsidRPr="00F91831">
        <w:rPr>
          <w:rFonts w:cstheme="minorHAnsi"/>
          <w:sz w:val="16"/>
          <w:szCs w:val="16"/>
          <w:lang w:val="fr-CH"/>
        </w:rPr>
        <w:t>IPTV</w:t>
      </w:r>
      <w:r w:rsidRPr="00F91831">
        <w:rPr>
          <w:rFonts w:cstheme="minorHAnsi"/>
          <w:sz w:val="16"/>
          <w:szCs w:val="16"/>
          <w:lang w:val="fr-CH"/>
        </w:rPr>
        <w:tab/>
      </w:r>
      <w:r w:rsidRPr="00F91831">
        <w:rPr>
          <w:rFonts w:cstheme="minorHAnsi"/>
          <w:sz w:val="16"/>
          <w:szCs w:val="16"/>
          <w:lang w:val="fr-CH"/>
        </w:rPr>
        <w:tab/>
        <w:t>Internet Protocol Television</w:t>
      </w:r>
    </w:p>
    <w:p w:rsidR="006A27AD" w:rsidRPr="00F91831" w:rsidRDefault="00AC1CD6" w:rsidP="0040201F">
      <w:pPr>
        <w:spacing w:after="0" w:line="240" w:lineRule="auto"/>
        <w:rPr>
          <w:rFonts w:cstheme="minorHAnsi"/>
          <w:sz w:val="16"/>
          <w:szCs w:val="16"/>
          <w:lang w:val="fr-CH"/>
        </w:rPr>
      </w:pPr>
      <w:r w:rsidRPr="00F91831">
        <w:rPr>
          <w:rFonts w:cstheme="minorHAnsi"/>
          <w:sz w:val="16"/>
          <w:szCs w:val="16"/>
          <w:lang w:val="fr-CH"/>
        </w:rPr>
        <w:t>ISOC</w:t>
      </w:r>
      <w:r w:rsidRPr="00F91831">
        <w:rPr>
          <w:rFonts w:cstheme="minorHAnsi"/>
          <w:sz w:val="16"/>
          <w:szCs w:val="16"/>
          <w:lang w:val="fr-CH"/>
        </w:rPr>
        <w:tab/>
      </w:r>
      <w:r w:rsidRPr="00F91831">
        <w:rPr>
          <w:rFonts w:cstheme="minorHAnsi"/>
          <w:sz w:val="16"/>
          <w:szCs w:val="16"/>
          <w:lang w:val="fr-CH"/>
        </w:rPr>
        <w:tab/>
        <w:t>Internet Society</w:t>
      </w:r>
    </w:p>
    <w:p w:rsidR="006A27AD" w:rsidRPr="00F91831" w:rsidRDefault="00AC1CD6" w:rsidP="0040201F">
      <w:pPr>
        <w:spacing w:after="0" w:line="240" w:lineRule="auto"/>
        <w:rPr>
          <w:rFonts w:cstheme="minorHAnsi"/>
          <w:sz w:val="16"/>
          <w:szCs w:val="16"/>
          <w:lang w:val="fr-CH"/>
        </w:rPr>
      </w:pPr>
      <w:r w:rsidRPr="00F91831">
        <w:rPr>
          <w:rFonts w:cstheme="minorHAnsi"/>
          <w:sz w:val="16"/>
          <w:szCs w:val="16"/>
          <w:lang w:val="fr-CH"/>
        </w:rPr>
        <w:t>ISPs</w:t>
      </w:r>
      <w:r w:rsidRPr="00F91831">
        <w:rPr>
          <w:rFonts w:cstheme="minorHAnsi"/>
          <w:sz w:val="16"/>
          <w:szCs w:val="16"/>
          <w:lang w:val="fr-CH"/>
        </w:rPr>
        <w:tab/>
      </w:r>
      <w:r w:rsidRPr="00F91831">
        <w:rPr>
          <w:rFonts w:cstheme="minorHAnsi"/>
          <w:sz w:val="16"/>
          <w:szCs w:val="16"/>
          <w:lang w:val="fr-CH"/>
        </w:rPr>
        <w:tab/>
        <w:t>Internet Service Providers</w:t>
      </w:r>
      <w:r w:rsidRPr="00F91831">
        <w:rPr>
          <w:rFonts w:cstheme="minorHAnsi"/>
          <w:sz w:val="16"/>
          <w:szCs w:val="16"/>
          <w:lang w:val="fr-CH"/>
        </w:rPr>
        <w:br/>
        <w:t>ITU</w:t>
      </w:r>
      <w:r w:rsidRPr="00F91831">
        <w:rPr>
          <w:rFonts w:cstheme="minorHAnsi"/>
          <w:sz w:val="16"/>
          <w:szCs w:val="16"/>
          <w:lang w:val="fr-CH"/>
        </w:rPr>
        <w:tab/>
      </w:r>
      <w:r w:rsidRPr="00F91831">
        <w:rPr>
          <w:rFonts w:cstheme="minorHAnsi"/>
          <w:sz w:val="16"/>
          <w:szCs w:val="16"/>
          <w:lang w:val="fr-CH"/>
        </w:rPr>
        <w:tab/>
        <w:t>International Telecommunication Union</w:t>
      </w:r>
    </w:p>
    <w:p w:rsidR="00331AD1" w:rsidRPr="005D33A9" w:rsidRDefault="00AC1CD6" w:rsidP="0040201F">
      <w:pPr>
        <w:spacing w:after="0" w:line="240" w:lineRule="auto"/>
        <w:rPr>
          <w:rFonts w:cstheme="minorHAnsi"/>
          <w:sz w:val="16"/>
          <w:szCs w:val="16"/>
          <w:lang w:val="fr-CH"/>
        </w:rPr>
      </w:pPr>
      <w:r w:rsidRPr="00AC1CD6">
        <w:rPr>
          <w:rFonts w:cstheme="minorHAnsi"/>
          <w:sz w:val="16"/>
          <w:szCs w:val="16"/>
          <w:lang w:val="fr-CH"/>
        </w:rPr>
        <w:t>ITU-T</w:t>
      </w:r>
      <w:r w:rsidRPr="00AC1CD6">
        <w:rPr>
          <w:rFonts w:cstheme="minorHAnsi"/>
          <w:sz w:val="16"/>
          <w:szCs w:val="16"/>
          <w:lang w:val="fr-CH"/>
        </w:rPr>
        <w:tab/>
      </w:r>
      <w:r w:rsidRPr="00AC1CD6">
        <w:rPr>
          <w:rFonts w:cstheme="minorHAnsi"/>
          <w:sz w:val="16"/>
          <w:szCs w:val="16"/>
          <w:lang w:val="fr-CH"/>
        </w:rPr>
        <w:tab/>
        <w:t>ITU Telecommunication Standardization Sector</w:t>
      </w:r>
    </w:p>
    <w:p w:rsidR="006A626D" w:rsidRPr="00F91831" w:rsidRDefault="00AC1CD6" w:rsidP="0040201F">
      <w:pPr>
        <w:spacing w:after="0" w:line="240" w:lineRule="auto"/>
        <w:rPr>
          <w:rFonts w:cstheme="minorHAnsi"/>
          <w:sz w:val="16"/>
          <w:szCs w:val="16"/>
        </w:rPr>
      </w:pPr>
      <w:r w:rsidRPr="00F91831">
        <w:rPr>
          <w:rFonts w:cstheme="minorHAnsi"/>
          <w:sz w:val="16"/>
          <w:szCs w:val="16"/>
        </w:rPr>
        <w:t>IXPs</w:t>
      </w:r>
      <w:r w:rsidRPr="00F91831">
        <w:rPr>
          <w:rFonts w:cstheme="minorHAnsi"/>
          <w:sz w:val="16"/>
          <w:szCs w:val="16"/>
        </w:rPr>
        <w:tab/>
      </w:r>
      <w:r w:rsidRPr="00F91831">
        <w:rPr>
          <w:rFonts w:cstheme="minorHAnsi"/>
          <w:sz w:val="16"/>
          <w:szCs w:val="16"/>
        </w:rPr>
        <w:tab/>
        <w:t>Internet Exchange Points</w:t>
      </w:r>
    </w:p>
    <w:p w:rsidR="006A626D" w:rsidRPr="00F91831" w:rsidRDefault="00AC1CD6" w:rsidP="0040201F">
      <w:pPr>
        <w:spacing w:after="0" w:line="240" w:lineRule="auto"/>
        <w:rPr>
          <w:rFonts w:cstheme="minorHAnsi"/>
          <w:sz w:val="16"/>
          <w:szCs w:val="16"/>
        </w:rPr>
      </w:pPr>
      <w:r w:rsidRPr="00F91831">
        <w:rPr>
          <w:rFonts w:cstheme="minorHAnsi"/>
          <w:sz w:val="16"/>
          <w:szCs w:val="16"/>
        </w:rPr>
        <w:t>JWG</w:t>
      </w:r>
      <w:r w:rsidRPr="00F91831">
        <w:rPr>
          <w:rFonts w:cstheme="minorHAnsi"/>
          <w:sz w:val="16"/>
          <w:szCs w:val="16"/>
        </w:rPr>
        <w:tab/>
      </w:r>
      <w:r w:rsidRPr="00F91831">
        <w:rPr>
          <w:rFonts w:cstheme="minorHAnsi"/>
          <w:sz w:val="16"/>
          <w:szCs w:val="16"/>
        </w:rPr>
        <w:tab/>
        <w:t>ICANN’s Joint Working Group</w:t>
      </w:r>
    </w:p>
    <w:p w:rsidR="00505EDE" w:rsidRPr="00F91831" w:rsidRDefault="00AC1CD6" w:rsidP="0040201F">
      <w:pPr>
        <w:spacing w:after="0" w:line="240" w:lineRule="auto"/>
        <w:rPr>
          <w:rFonts w:cstheme="minorHAnsi"/>
          <w:sz w:val="16"/>
          <w:szCs w:val="16"/>
        </w:rPr>
      </w:pPr>
      <w:r w:rsidRPr="00F91831">
        <w:rPr>
          <w:rFonts w:cstheme="minorHAnsi"/>
          <w:sz w:val="16"/>
          <w:szCs w:val="16"/>
        </w:rPr>
        <w:t>KSK</w:t>
      </w:r>
      <w:r w:rsidRPr="00F91831">
        <w:rPr>
          <w:rFonts w:cstheme="minorHAnsi"/>
          <w:sz w:val="16"/>
          <w:szCs w:val="16"/>
        </w:rPr>
        <w:tab/>
      </w:r>
      <w:r w:rsidRPr="00F91831">
        <w:rPr>
          <w:rFonts w:cstheme="minorHAnsi"/>
          <w:sz w:val="16"/>
          <w:szCs w:val="16"/>
        </w:rPr>
        <w:tab/>
        <w:t>Key Signing Key</w:t>
      </w:r>
    </w:p>
    <w:p w:rsidR="00682362" w:rsidRPr="00F91831" w:rsidRDefault="00AC1CD6" w:rsidP="0040201F">
      <w:pPr>
        <w:spacing w:after="0" w:line="240" w:lineRule="auto"/>
        <w:rPr>
          <w:rFonts w:cstheme="minorHAnsi"/>
          <w:sz w:val="16"/>
          <w:szCs w:val="16"/>
        </w:rPr>
      </w:pPr>
      <w:r w:rsidRPr="00F91831">
        <w:rPr>
          <w:rFonts w:cstheme="minorHAnsi"/>
          <w:sz w:val="16"/>
          <w:szCs w:val="16"/>
        </w:rPr>
        <w:t>LDCs</w:t>
      </w:r>
      <w:r w:rsidRPr="00F91831">
        <w:rPr>
          <w:rFonts w:cstheme="minorHAnsi"/>
          <w:sz w:val="16"/>
          <w:szCs w:val="16"/>
        </w:rPr>
        <w:tab/>
      </w:r>
      <w:r w:rsidRPr="00F91831">
        <w:rPr>
          <w:rFonts w:cstheme="minorHAnsi"/>
          <w:sz w:val="16"/>
          <w:szCs w:val="16"/>
        </w:rPr>
        <w:tab/>
        <w:t>Least Developed Countries</w:t>
      </w:r>
    </w:p>
    <w:p w:rsidR="00264F20" w:rsidRPr="00F91831" w:rsidRDefault="00264F20" w:rsidP="0040201F">
      <w:pPr>
        <w:spacing w:after="0" w:line="240" w:lineRule="auto"/>
        <w:rPr>
          <w:rFonts w:cstheme="minorHAnsi"/>
          <w:sz w:val="16"/>
          <w:szCs w:val="16"/>
        </w:rPr>
      </w:pPr>
      <w:r w:rsidRPr="00F91831">
        <w:rPr>
          <w:rFonts w:ascii="Calibri" w:eastAsia="SimSun" w:hAnsi="Calibri" w:cs="Calibri"/>
          <w:sz w:val="16"/>
          <w:szCs w:val="16"/>
        </w:rPr>
        <w:t>LIR</w:t>
      </w:r>
      <w:r w:rsidRPr="00F91831">
        <w:rPr>
          <w:rFonts w:ascii="Calibri" w:eastAsia="SimSun" w:hAnsi="Calibri" w:cs="Calibri"/>
          <w:sz w:val="16"/>
          <w:szCs w:val="16"/>
        </w:rPr>
        <w:tab/>
      </w:r>
      <w:r w:rsidRPr="00F91831">
        <w:rPr>
          <w:rFonts w:ascii="Calibri" w:eastAsia="SimSun" w:hAnsi="Calibri" w:cs="Calibri"/>
          <w:sz w:val="16"/>
          <w:szCs w:val="16"/>
        </w:rPr>
        <w:tab/>
        <w:t>Local Internet Registry</w:t>
      </w:r>
    </w:p>
    <w:p w:rsidR="00F265B1" w:rsidRPr="00F91831" w:rsidRDefault="00AC1CD6" w:rsidP="0040201F">
      <w:pPr>
        <w:spacing w:after="0" w:line="240" w:lineRule="auto"/>
        <w:rPr>
          <w:rFonts w:cstheme="minorHAnsi"/>
          <w:sz w:val="16"/>
          <w:szCs w:val="16"/>
        </w:rPr>
      </w:pPr>
      <w:r w:rsidRPr="00F91831">
        <w:rPr>
          <w:rFonts w:cstheme="minorHAnsi"/>
          <w:sz w:val="16"/>
          <w:szCs w:val="16"/>
        </w:rPr>
        <w:t>MAAWG</w:t>
      </w:r>
      <w:r w:rsidRPr="00F91831">
        <w:rPr>
          <w:rFonts w:cstheme="minorHAnsi"/>
          <w:sz w:val="16"/>
          <w:szCs w:val="16"/>
        </w:rPr>
        <w:tab/>
      </w:r>
      <w:r w:rsidRPr="00F91831">
        <w:rPr>
          <w:rFonts w:cstheme="minorHAnsi"/>
          <w:sz w:val="16"/>
          <w:szCs w:val="16"/>
        </w:rPr>
        <w:tab/>
        <w:t>Messaging Anti-Abuse Working Group</w:t>
      </w:r>
    </w:p>
    <w:p w:rsidR="00682362" w:rsidRPr="00F91831" w:rsidRDefault="00AC1CD6" w:rsidP="0040201F">
      <w:pPr>
        <w:spacing w:after="0" w:line="240" w:lineRule="auto"/>
        <w:rPr>
          <w:rFonts w:cstheme="minorHAnsi"/>
          <w:sz w:val="16"/>
          <w:szCs w:val="16"/>
        </w:rPr>
      </w:pPr>
      <w:r w:rsidRPr="00F91831">
        <w:rPr>
          <w:rFonts w:cstheme="minorHAnsi"/>
          <w:sz w:val="16"/>
          <w:szCs w:val="16"/>
        </w:rPr>
        <w:t>NASA</w:t>
      </w:r>
      <w:r w:rsidRPr="00F91831">
        <w:rPr>
          <w:rFonts w:cstheme="minorHAnsi"/>
          <w:sz w:val="16"/>
          <w:szCs w:val="16"/>
        </w:rPr>
        <w:tab/>
      </w:r>
      <w:r w:rsidRPr="00F91831">
        <w:rPr>
          <w:rFonts w:cstheme="minorHAnsi"/>
          <w:sz w:val="16"/>
          <w:szCs w:val="16"/>
        </w:rPr>
        <w:tab/>
        <w:t>U.S. National Aeronautics and Space Administration</w:t>
      </w:r>
    </w:p>
    <w:p w:rsidR="00331AD1" w:rsidRPr="00F91831" w:rsidRDefault="00AC1CD6" w:rsidP="0040201F">
      <w:pPr>
        <w:spacing w:after="0" w:line="240" w:lineRule="auto"/>
        <w:rPr>
          <w:rFonts w:cstheme="minorHAnsi"/>
          <w:sz w:val="16"/>
          <w:szCs w:val="16"/>
        </w:rPr>
      </w:pPr>
      <w:r w:rsidRPr="00F91831">
        <w:rPr>
          <w:rFonts w:cstheme="minorHAnsi"/>
          <w:sz w:val="16"/>
          <w:szCs w:val="16"/>
        </w:rPr>
        <w:t>NGN</w:t>
      </w:r>
      <w:r w:rsidRPr="00F91831">
        <w:rPr>
          <w:rFonts w:cstheme="minorHAnsi"/>
          <w:sz w:val="16"/>
          <w:szCs w:val="16"/>
        </w:rPr>
        <w:tab/>
      </w:r>
      <w:r w:rsidRPr="00F91831">
        <w:rPr>
          <w:rFonts w:cstheme="minorHAnsi"/>
          <w:sz w:val="16"/>
          <w:szCs w:val="16"/>
        </w:rPr>
        <w:tab/>
        <w:t>Next-Generation Network</w:t>
      </w:r>
    </w:p>
    <w:p w:rsidR="00331AD1" w:rsidRPr="00F91831" w:rsidRDefault="00AC1CD6" w:rsidP="0040201F">
      <w:pPr>
        <w:spacing w:after="0" w:line="240" w:lineRule="auto"/>
        <w:rPr>
          <w:rFonts w:cstheme="minorHAnsi"/>
          <w:sz w:val="16"/>
          <w:szCs w:val="16"/>
        </w:rPr>
      </w:pPr>
      <w:r w:rsidRPr="00F91831">
        <w:rPr>
          <w:rFonts w:cstheme="minorHAnsi"/>
          <w:sz w:val="16"/>
          <w:szCs w:val="16"/>
        </w:rPr>
        <w:t>NICT</w:t>
      </w:r>
      <w:r w:rsidRPr="00F91831">
        <w:rPr>
          <w:rFonts w:cstheme="minorHAnsi"/>
          <w:sz w:val="16"/>
          <w:szCs w:val="16"/>
        </w:rPr>
        <w:tab/>
      </w:r>
      <w:r w:rsidRPr="00F91831">
        <w:rPr>
          <w:rFonts w:cstheme="minorHAnsi"/>
          <w:sz w:val="16"/>
          <w:szCs w:val="16"/>
        </w:rPr>
        <w:tab/>
        <w:t>Japan’s National Institute of ICT</w:t>
      </w:r>
    </w:p>
    <w:p w:rsidR="00331AD1" w:rsidRPr="00F91831" w:rsidRDefault="00AC1CD6" w:rsidP="0040201F">
      <w:pPr>
        <w:spacing w:after="0" w:line="240" w:lineRule="auto"/>
        <w:rPr>
          <w:rFonts w:cstheme="minorHAnsi"/>
          <w:sz w:val="16"/>
          <w:szCs w:val="16"/>
        </w:rPr>
      </w:pPr>
      <w:r w:rsidRPr="00F91831">
        <w:rPr>
          <w:rFonts w:cstheme="minorHAnsi"/>
          <w:sz w:val="16"/>
          <w:szCs w:val="16"/>
        </w:rPr>
        <w:t>NSF</w:t>
      </w:r>
      <w:r w:rsidRPr="00F91831">
        <w:rPr>
          <w:rFonts w:cstheme="minorHAnsi"/>
          <w:sz w:val="16"/>
          <w:szCs w:val="16"/>
        </w:rPr>
        <w:tab/>
      </w:r>
      <w:r w:rsidRPr="00F91831">
        <w:rPr>
          <w:rFonts w:cstheme="minorHAnsi"/>
          <w:sz w:val="16"/>
          <w:szCs w:val="16"/>
        </w:rPr>
        <w:tab/>
        <w:t>U.S. National Science Foundation</w:t>
      </w:r>
    </w:p>
    <w:p w:rsidR="00331AD1" w:rsidRPr="00F91831" w:rsidRDefault="00AC1CD6" w:rsidP="0040201F">
      <w:pPr>
        <w:spacing w:after="0" w:line="240" w:lineRule="auto"/>
        <w:rPr>
          <w:rFonts w:cstheme="minorHAnsi"/>
          <w:sz w:val="16"/>
          <w:szCs w:val="16"/>
        </w:rPr>
      </w:pPr>
      <w:r w:rsidRPr="00F91831">
        <w:rPr>
          <w:rFonts w:cstheme="minorHAnsi"/>
          <w:sz w:val="16"/>
          <w:szCs w:val="16"/>
        </w:rPr>
        <w:t>NTIA</w:t>
      </w:r>
      <w:r w:rsidRPr="00F91831">
        <w:rPr>
          <w:rFonts w:cstheme="minorHAnsi"/>
          <w:sz w:val="16"/>
          <w:szCs w:val="16"/>
        </w:rPr>
        <w:tab/>
      </w:r>
      <w:r w:rsidRPr="00F91831">
        <w:rPr>
          <w:rFonts w:cstheme="minorHAnsi"/>
          <w:sz w:val="16"/>
          <w:szCs w:val="16"/>
        </w:rPr>
        <w:tab/>
        <w:t>U.S. National Telecommunication Industry Association</w:t>
      </w:r>
    </w:p>
    <w:p w:rsidR="00331AD1" w:rsidRPr="00F91831" w:rsidRDefault="00460F4A" w:rsidP="0040201F">
      <w:pPr>
        <w:spacing w:after="0" w:line="240" w:lineRule="auto"/>
        <w:rPr>
          <w:rFonts w:cstheme="minorHAnsi"/>
          <w:sz w:val="16"/>
          <w:szCs w:val="16"/>
        </w:rPr>
      </w:pPr>
      <w:r w:rsidRPr="00F91831">
        <w:rPr>
          <w:rFonts w:cstheme="minorHAnsi"/>
          <w:sz w:val="16"/>
          <w:szCs w:val="16"/>
        </w:rPr>
        <w:t>NWGN</w:t>
      </w:r>
      <w:r w:rsidRPr="00F91831">
        <w:rPr>
          <w:rFonts w:cstheme="minorHAnsi"/>
          <w:sz w:val="16"/>
          <w:szCs w:val="16"/>
        </w:rPr>
        <w:tab/>
      </w:r>
      <w:r w:rsidRPr="00F91831">
        <w:rPr>
          <w:rFonts w:cstheme="minorHAnsi"/>
          <w:sz w:val="16"/>
          <w:szCs w:val="16"/>
        </w:rPr>
        <w:tab/>
        <w:t xml:space="preserve">Japan’s </w:t>
      </w:r>
      <w:proofErr w:type="spellStart"/>
      <w:r w:rsidRPr="00F91831">
        <w:rPr>
          <w:rFonts w:cstheme="minorHAnsi"/>
          <w:sz w:val="16"/>
          <w:szCs w:val="16"/>
        </w:rPr>
        <w:t>Ne</w:t>
      </w:r>
      <w:r w:rsidR="00773BC1" w:rsidRPr="00F91831">
        <w:rPr>
          <w:rFonts w:cstheme="minorHAnsi"/>
          <w:sz w:val="16"/>
          <w:szCs w:val="16"/>
        </w:rPr>
        <w:t>W</w:t>
      </w:r>
      <w:proofErr w:type="spellEnd"/>
      <w:r w:rsidR="00AC1CD6" w:rsidRPr="00F91831">
        <w:rPr>
          <w:rFonts w:cstheme="minorHAnsi"/>
          <w:sz w:val="16"/>
          <w:szCs w:val="16"/>
        </w:rPr>
        <w:t xml:space="preserve"> Generation Network (NWGN) </w:t>
      </w:r>
    </w:p>
    <w:p w:rsidR="00264F20" w:rsidRPr="00F91831" w:rsidRDefault="00264F20" w:rsidP="0040201F">
      <w:pPr>
        <w:spacing w:after="0" w:line="240" w:lineRule="auto"/>
        <w:rPr>
          <w:rFonts w:cstheme="minorHAnsi"/>
          <w:sz w:val="16"/>
          <w:szCs w:val="16"/>
        </w:rPr>
      </w:pPr>
      <w:r w:rsidRPr="00F91831">
        <w:rPr>
          <w:rFonts w:ascii="Calibri" w:eastAsia="SimSun" w:hAnsi="Calibri" w:cs="Calibri"/>
          <w:sz w:val="16"/>
          <w:szCs w:val="16"/>
        </w:rPr>
        <w:t>OASIS</w:t>
      </w:r>
      <w:r w:rsidRPr="00F91831">
        <w:rPr>
          <w:rFonts w:ascii="Calibri" w:eastAsia="SimSun" w:hAnsi="Calibri" w:cs="Calibri"/>
          <w:sz w:val="16"/>
          <w:szCs w:val="16"/>
        </w:rPr>
        <w:tab/>
      </w:r>
      <w:r w:rsidRPr="00F91831">
        <w:rPr>
          <w:rFonts w:ascii="Calibri" w:eastAsia="SimSun" w:hAnsi="Calibri" w:cs="Calibri"/>
          <w:sz w:val="16"/>
          <w:szCs w:val="16"/>
        </w:rPr>
        <w:tab/>
        <w:t>Organization for the Advancement of Structured Information Standards</w:t>
      </w:r>
    </w:p>
    <w:p w:rsidR="00850AD9" w:rsidRPr="00F91831" w:rsidRDefault="00AC1CD6" w:rsidP="0040201F">
      <w:pPr>
        <w:spacing w:after="0" w:line="240" w:lineRule="auto"/>
        <w:rPr>
          <w:rFonts w:cstheme="minorHAnsi"/>
          <w:sz w:val="16"/>
          <w:szCs w:val="16"/>
        </w:rPr>
      </w:pPr>
      <w:r w:rsidRPr="00F91831">
        <w:rPr>
          <w:rFonts w:cstheme="minorHAnsi"/>
          <w:sz w:val="16"/>
          <w:szCs w:val="16"/>
        </w:rPr>
        <w:t>OECD</w:t>
      </w:r>
      <w:r w:rsidRPr="00F91831">
        <w:rPr>
          <w:rFonts w:cstheme="minorHAnsi"/>
          <w:sz w:val="16"/>
          <w:szCs w:val="16"/>
        </w:rPr>
        <w:tab/>
      </w:r>
      <w:r w:rsidRPr="00F91831">
        <w:rPr>
          <w:rFonts w:cstheme="minorHAnsi"/>
          <w:sz w:val="16"/>
          <w:szCs w:val="16"/>
        </w:rPr>
        <w:tab/>
      </w:r>
      <w:proofErr w:type="spellStart"/>
      <w:r w:rsidRPr="00F91831">
        <w:rPr>
          <w:rFonts w:cstheme="minorHAnsi"/>
          <w:sz w:val="16"/>
          <w:szCs w:val="16"/>
        </w:rPr>
        <w:t>Organisation</w:t>
      </w:r>
      <w:proofErr w:type="spellEnd"/>
      <w:r w:rsidRPr="00F91831">
        <w:rPr>
          <w:rFonts w:cstheme="minorHAnsi"/>
          <w:sz w:val="16"/>
          <w:szCs w:val="16"/>
        </w:rPr>
        <w:t xml:space="preserve"> for Economic Cooperation and Development</w:t>
      </w:r>
    </w:p>
    <w:p w:rsidR="006A27AD" w:rsidRPr="00F91831" w:rsidRDefault="00AC1CD6" w:rsidP="0040201F">
      <w:pPr>
        <w:spacing w:after="0" w:line="240" w:lineRule="auto"/>
        <w:rPr>
          <w:rFonts w:cstheme="minorHAnsi"/>
          <w:sz w:val="16"/>
          <w:szCs w:val="16"/>
        </w:rPr>
      </w:pPr>
      <w:r w:rsidRPr="00F91831">
        <w:rPr>
          <w:rFonts w:cstheme="minorHAnsi"/>
          <w:sz w:val="16"/>
          <w:szCs w:val="16"/>
        </w:rPr>
        <w:t>OTT</w:t>
      </w:r>
      <w:r w:rsidRPr="00F91831">
        <w:rPr>
          <w:rFonts w:cstheme="minorHAnsi"/>
          <w:sz w:val="16"/>
          <w:szCs w:val="16"/>
        </w:rPr>
        <w:tab/>
      </w:r>
      <w:r w:rsidRPr="00F91831">
        <w:rPr>
          <w:rFonts w:cstheme="minorHAnsi"/>
          <w:sz w:val="16"/>
          <w:szCs w:val="16"/>
        </w:rPr>
        <w:tab/>
      </w:r>
      <w:proofErr w:type="gramStart"/>
      <w:r w:rsidRPr="00F91831">
        <w:rPr>
          <w:rFonts w:cstheme="minorHAnsi"/>
          <w:sz w:val="16"/>
          <w:szCs w:val="16"/>
        </w:rPr>
        <w:t>Over</w:t>
      </w:r>
      <w:proofErr w:type="gramEnd"/>
      <w:r w:rsidRPr="00F91831">
        <w:rPr>
          <w:rFonts w:cstheme="minorHAnsi"/>
          <w:sz w:val="16"/>
          <w:szCs w:val="16"/>
        </w:rPr>
        <w:t xml:space="preserve"> The Top</w:t>
      </w:r>
    </w:p>
    <w:p w:rsidR="006A27AD" w:rsidRPr="00F91831" w:rsidRDefault="00AC1CD6" w:rsidP="0040201F">
      <w:pPr>
        <w:spacing w:after="0" w:line="240" w:lineRule="auto"/>
        <w:rPr>
          <w:rFonts w:cstheme="minorHAnsi"/>
          <w:sz w:val="16"/>
          <w:szCs w:val="16"/>
        </w:rPr>
      </w:pPr>
      <w:proofErr w:type="spellStart"/>
      <w:r w:rsidRPr="00F91831">
        <w:rPr>
          <w:rFonts w:cstheme="minorHAnsi"/>
          <w:sz w:val="16"/>
          <w:szCs w:val="16"/>
        </w:rPr>
        <w:t>QoS</w:t>
      </w:r>
      <w:proofErr w:type="spellEnd"/>
      <w:r w:rsidRPr="00F91831">
        <w:rPr>
          <w:rFonts w:cstheme="minorHAnsi"/>
          <w:sz w:val="16"/>
          <w:szCs w:val="16"/>
        </w:rPr>
        <w:tab/>
      </w:r>
      <w:r w:rsidRPr="00F91831">
        <w:rPr>
          <w:rFonts w:cstheme="minorHAnsi"/>
          <w:sz w:val="16"/>
          <w:szCs w:val="16"/>
        </w:rPr>
        <w:tab/>
        <w:t>Quality of Service</w:t>
      </w:r>
    </w:p>
    <w:p w:rsidR="00560A4F" w:rsidRDefault="00104687" w:rsidP="0040201F">
      <w:pPr>
        <w:spacing w:after="0" w:line="240" w:lineRule="auto"/>
        <w:rPr>
          <w:rFonts w:cstheme="minorHAnsi"/>
          <w:sz w:val="16"/>
          <w:szCs w:val="16"/>
          <w:lang w:val="fr-CH"/>
        </w:rPr>
      </w:pPr>
      <w:r w:rsidRPr="00F91831">
        <w:rPr>
          <w:rFonts w:cstheme="minorHAnsi"/>
          <w:sz w:val="16"/>
          <w:szCs w:val="16"/>
          <w:lang w:val="fr-CH"/>
        </w:rPr>
        <w:t>RIPE-NCC</w:t>
      </w:r>
      <w:r w:rsidRPr="00F91831" w:rsidDel="00104687">
        <w:rPr>
          <w:rFonts w:cstheme="minorHAnsi"/>
          <w:sz w:val="16"/>
          <w:szCs w:val="16"/>
          <w:lang w:val="fr-CH"/>
        </w:rPr>
        <w:t xml:space="preserve"> </w:t>
      </w:r>
      <w:r w:rsidRPr="00F91831">
        <w:rPr>
          <w:rFonts w:cstheme="minorHAnsi"/>
          <w:sz w:val="16"/>
          <w:szCs w:val="16"/>
          <w:lang w:val="fr-CH"/>
        </w:rPr>
        <w:tab/>
      </w:r>
      <w:r w:rsidRPr="00F91831">
        <w:rPr>
          <w:rFonts w:cstheme="minorHAnsi"/>
          <w:sz w:val="16"/>
          <w:szCs w:val="16"/>
          <w:lang w:val="fr-CH"/>
        </w:rPr>
        <w:tab/>
        <w:t xml:space="preserve">Réseaux IP Européens Network Coordination Centre </w:t>
      </w:r>
    </w:p>
    <w:p w:rsidR="00850AD9" w:rsidRPr="00F91831" w:rsidRDefault="00AC1CD6" w:rsidP="0040201F">
      <w:pPr>
        <w:spacing w:after="0" w:line="240" w:lineRule="auto"/>
        <w:rPr>
          <w:rFonts w:cstheme="minorHAnsi"/>
          <w:sz w:val="16"/>
          <w:szCs w:val="16"/>
        </w:rPr>
      </w:pPr>
      <w:r w:rsidRPr="00F91831">
        <w:rPr>
          <w:rFonts w:cstheme="minorHAnsi"/>
          <w:sz w:val="16"/>
          <w:szCs w:val="16"/>
        </w:rPr>
        <w:t>RIR</w:t>
      </w:r>
      <w:r w:rsidRPr="00F91831">
        <w:rPr>
          <w:rFonts w:cstheme="minorHAnsi"/>
          <w:sz w:val="16"/>
          <w:szCs w:val="16"/>
        </w:rPr>
        <w:tab/>
      </w:r>
      <w:r w:rsidRPr="00F91831">
        <w:rPr>
          <w:rFonts w:cstheme="minorHAnsi"/>
          <w:sz w:val="16"/>
          <w:szCs w:val="16"/>
        </w:rPr>
        <w:tab/>
        <w:t>Regional Internet Registry</w:t>
      </w:r>
    </w:p>
    <w:p w:rsidR="00F77CB1" w:rsidRPr="00F91831" w:rsidRDefault="00AC1CD6" w:rsidP="0040201F">
      <w:pPr>
        <w:spacing w:after="0" w:line="240" w:lineRule="auto"/>
        <w:rPr>
          <w:rFonts w:cstheme="minorHAnsi"/>
          <w:sz w:val="16"/>
          <w:szCs w:val="16"/>
        </w:rPr>
      </w:pPr>
      <w:r w:rsidRPr="00F91831">
        <w:rPr>
          <w:rFonts w:cstheme="minorHAnsi"/>
          <w:sz w:val="16"/>
          <w:szCs w:val="16"/>
        </w:rPr>
        <w:t>RPKI</w:t>
      </w:r>
      <w:r w:rsidRPr="00F91831">
        <w:rPr>
          <w:rFonts w:cstheme="minorHAnsi"/>
          <w:sz w:val="16"/>
          <w:szCs w:val="16"/>
        </w:rPr>
        <w:tab/>
      </w:r>
      <w:r w:rsidRPr="00F91831">
        <w:rPr>
          <w:rFonts w:cstheme="minorHAnsi"/>
          <w:sz w:val="16"/>
          <w:szCs w:val="16"/>
        </w:rPr>
        <w:tab/>
        <w:t>Resource Public Key Infrastructure</w:t>
      </w:r>
    </w:p>
    <w:p w:rsidR="00331AD1" w:rsidRPr="00F91831" w:rsidRDefault="00AC1CD6" w:rsidP="0040201F">
      <w:pPr>
        <w:spacing w:after="0" w:line="240" w:lineRule="auto"/>
        <w:rPr>
          <w:rFonts w:cstheme="minorHAnsi"/>
          <w:sz w:val="16"/>
          <w:szCs w:val="16"/>
        </w:rPr>
      </w:pPr>
      <w:r w:rsidRPr="00F91831">
        <w:rPr>
          <w:rFonts w:cstheme="minorHAnsi"/>
          <w:sz w:val="16"/>
          <w:szCs w:val="16"/>
        </w:rPr>
        <w:t>SLD</w:t>
      </w:r>
      <w:r w:rsidRPr="00F91831">
        <w:rPr>
          <w:rFonts w:cstheme="minorHAnsi"/>
          <w:sz w:val="16"/>
          <w:szCs w:val="16"/>
        </w:rPr>
        <w:tab/>
      </w:r>
      <w:r w:rsidRPr="00F91831">
        <w:rPr>
          <w:rFonts w:cstheme="minorHAnsi"/>
          <w:sz w:val="16"/>
          <w:szCs w:val="16"/>
        </w:rPr>
        <w:tab/>
        <w:t>Second-Level Domains</w:t>
      </w:r>
    </w:p>
    <w:p w:rsidR="00C17AD6" w:rsidRPr="00F91831" w:rsidRDefault="00AC1CD6" w:rsidP="0040201F">
      <w:pPr>
        <w:spacing w:after="0" w:line="240" w:lineRule="auto"/>
        <w:rPr>
          <w:rFonts w:cstheme="minorHAnsi"/>
          <w:sz w:val="16"/>
          <w:szCs w:val="16"/>
        </w:rPr>
      </w:pPr>
      <w:r w:rsidRPr="00F91831">
        <w:rPr>
          <w:rFonts w:cstheme="minorHAnsi"/>
          <w:sz w:val="16"/>
          <w:szCs w:val="16"/>
        </w:rPr>
        <w:t>SME</w:t>
      </w:r>
      <w:r w:rsidRPr="00F91831">
        <w:rPr>
          <w:rFonts w:cstheme="minorHAnsi"/>
          <w:sz w:val="16"/>
          <w:szCs w:val="16"/>
        </w:rPr>
        <w:tab/>
      </w:r>
      <w:r w:rsidRPr="00F91831">
        <w:rPr>
          <w:rFonts w:cstheme="minorHAnsi"/>
          <w:sz w:val="16"/>
          <w:szCs w:val="16"/>
        </w:rPr>
        <w:tab/>
        <w:t>Small- and Medium-sized Enterprise</w:t>
      </w:r>
    </w:p>
    <w:p w:rsidR="00F77CB1" w:rsidRPr="00F91831" w:rsidRDefault="00AC1CD6" w:rsidP="0040201F">
      <w:pPr>
        <w:spacing w:after="0" w:line="240" w:lineRule="auto"/>
        <w:rPr>
          <w:rFonts w:cstheme="minorHAnsi"/>
          <w:sz w:val="16"/>
          <w:szCs w:val="16"/>
        </w:rPr>
      </w:pPr>
      <w:r w:rsidRPr="00F91831">
        <w:rPr>
          <w:rFonts w:cstheme="minorHAnsi"/>
          <w:sz w:val="16"/>
          <w:szCs w:val="16"/>
        </w:rPr>
        <w:t xml:space="preserve">TCP/IP </w:t>
      </w:r>
      <w:r w:rsidRPr="00F91831">
        <w:rPr>
          <w:rFonts w:cstheme="minorHAnsi"/>
          <w:sz w:val="16"/>
          <w:szCs w:val="16"/>
        </w:rPr>
        <w:tab/>
      </w:r>
      <w:r w:rsidRPr="00F91831">
        <w:rPr>
          <w:rFonts w:cstheme="minorHAnsi"/>
          <w:sz w:val="16"/>
          <w:szCs w:val="16"/>
        </w:rPr>
        <w:tab/>
        <w:t>Transmission Control Protocol/Internet Protocol</w:t>
      </w:r>
    </w:p>
    <w:p w:rsidR="00264F20" w:rsidRPr="00F91831" w:rsidRDefault="00264F20" w:rsidP="0040201F">
      <w:pPr>
        <w:spacing w:after="0" w:line="240" w:lineRule="auto"/>
        <w:rPr>
          <w:rFonts w:ascii="Calibri" w:eastAsia="SimSun" w:hAnsi="Calibri" w:cs="Calibri"/>
          <w:sz w:val="16"/>
          <w:szCs w:val="16"/>
        </w:rPr>
      </w:pPr>
      <w:r w:rsidRPr="00F91831">
        <w:rPr>
          <w:rFonts w:ascii="Calibri" w:eastAsia="SimSun" w:hAnsi="Calibri" w:cs="Calibri"/>
          <w:sz w:val="16"/>
          <w:szCs w:val="16"/>
        </w:rPr>
        <w:t>TCR</w:t>
      </w:r>
      <w:r w:rsidRPr="00F91831">
        <w:rPr>
          <w:rFonts w:ascii="Calibri" w:eastAsia="SimSun" w:hAnsi="Calibri" w:cs="Calibri"/>
          <w:sz w:val="16"/>
          <w:szCs w:val="16"/>
        </w:rPr>
        <w:tab/>
      </w:r>
      <w:r w:rsidRPr="00F91831">
        <w:rPr>
          <w:rFonts w:ascii="Calibri" w:eastAsia="SimSun" w:hAnsi="Calibri" w:cs="Calibri"/>
          <w:sz w:val="16"/>
          <w:szCs w:val="16"/>
        </w:rPr>
        <w:tab/>
        <w:t>Trusted Community Representative</w:t>
      </w:r>
    </w:p>
    <w:p w:rsidR="00682362" w:rsidRPr="00F91831" w:rsidRDefault="00AC1CD6" w:rsidP="0040201F">
      <w:pPr>
        <w:spacing w:after="0" w:line="240" w:lineRule="auto"/>
        <w:rPr>
          <w:rFonts w:cstheme="minorHAnsi"/>
          <w:sz w:val="16"/>
          <w:szCs w:val="16"/>
        </w:rPr>
      </w:pPr>
      <w:r w:rsidRPr="00F91831">
        <w:rPr>
          <w:rFonts w:cstheme="minorHAnsi"/>
          <w:sz w:val="16"/>
          <w:szCs w:val="16"/>
        </w:rPr>
        <w:lastRenderedPageBreak/>
        <w:t>TLD</w:t>
      </w:r>
      <w:r w:rsidRPr="00F91831">
        <w:rPr>
          <w:rFonts w:cstheme="minorHAnsi"/>
          <w:sz w:val="16"/>
          <w:szCs w:val="16"/>
        </w:rPr>
        <w:tab/>
      </w:r>
      <w:r w:rsidRPr="00F91831">
        <w:rPr>
          <w:rFonts w:cstheme="minorHAnsi"/>
          <w:sz w:val="16"/>
          <w:szCs w:val="16"/>
        </w:rPr>
        <w:tab/>
        <w:t>Top-Level Domain</w:t>
      </w:r>
    </w:p>
    <w:p w:rsidR="00264F20" w:rsidRPr="00F91831" w:rsidRDefault="00264F20" w:rsidP="0040201F">
      <w:pPr>
        <w:spacing w:after="0" w:line="240" w:lineRule="auto"/>
        <w:rPr>
          <w:rFonts w:cstheme="minorHAnsi"/>
          <w:sz w:val="16"/>
          <w:szCs w:val="16"/>
        </w:rPr>
      </w:pPr>
      <w:r w:rsidRPr="00F91831">
        <w:rPr>
          <w:rFonts w:ascii="Calibri" w:eastAsia="SimSun" w:hAnsi="Calibri" w:cs="Calibri"/>
          <w:sz w:val="16"/>
          <w:szCs w:val="16"/>
        </w:rPr>
        <w:t xml:space="preserve">TSB </w:t>
      </w:r>
      <w:r w:rsidRPr="00F91831">
        <w:rPr>
          <w:rFonts w:ascii="Calibri" w:eastAsia="SimSun" w:hAnsi="Calibri" w:cs="Calibri"/>
          <w:sz w:val="16"/>
          <w:szCs w:val="16"/>
        </w:rPr>
        <w:tab/>
      </w:r>
      <w:r w:rsidRPr="00F91831">
        <w:rPr>
          <w:rFonts w:ascii="Calibri" w:eastAsia="SimSun" w:hAnsi="Calibri" w:cs="Calibri"/>
          <w:sz w:val="16"/>
          <w:szCs w:val="16"/>
        </w:rPr>
        <w:tab/>
        <w:t>Telecommunication Standardization Bureau</w:t>
      </w:r>
    </w:p>
    <w:p w:rsidR="00F77CB1" w:rsidRPr="00F91831" w:rsidRDefault="00AC1CD6" w:rsidP="0040201F">
      <w:pPr>
        <w:spacing w:after="0" w:line="240" w:lineRule="auto"/>
        <w:rPr>
          <w:rFonts w:cstheme="minorHAnsi"/>
          <w:sz w:val="16"/>
          <w:szCs w:val="16"/>
        </w:rPr>
      </w:pPr>
      <w:r w:rsidRPr="00F91831">
        <w:rPr>
          <w:rFonts w:cstheme="minorHAnsi"/>
          <w:sz w:val="16"/>
          <w:szCs w:val="16"/>
        </w:rPr>
        <w:t>UNESCO</w:t>
      </w:r>
      <w:r w:rsidRPr="00F91831">
        <w:rPr>
          <w:rFonts w:cstheme="minorHAnsi"/>
          <w:sz w:val="16"/>
          <w:szCs w:val="16"/>
        </w:rPr>
        <w:tab/>
      </w:r>
      <w:r w:rsidRPr="00F91831">
        <w:rPr>
          <w:rFonts w:cstheme="minorHAnsi"/>
          <w:sz w:val="16"/>
          <w:szCs w:val="16"/>
        </w:rPr>
        <w:tab/>
        <w:t>United Nations Educational, Scientific and Cultural Organization</w:t>
      </w:r>
    </w:p>
    <w:p w:rsidR="00264F20" w:rsidRPr="00F91831" w:rsidRDefault="00AC1CD6" w:rsidP="0040201F">
      <w:pPr>
        <w:spacing w:after="0" w:line="240" w:lineRule="auto"/>
        <w:rPr>
          <w:rFonts w:cstheme="minorHAnsi"/>
          <w:sz w:val="16"/>
          <w:szCs w:val="16"/>
        </w:rPr>
      </w:pPr>
      <w:r w:rsidRPr="00F91831">
        <w:rPr>
          <w:rFonts w:cstheme="minorHAnsi"/>
          <w:sz w:val="16"/>
          <w:szCs w:val="16"/>
        </w:rPr>
        <w:t>VoIP</w:t>
      </w:r>
      <w:r w:rsidRPr="00F91831">
        <w:rPr>
          <w:rFonts w:cstheme="minorHAnsi"/>
          <w:sz w:val="16"/>
          <w:szCs w:val="16"/>
        </w:rPr>
        <w:tab/>
      </w:r>
      <w:r w:rsidRPr="00F91831">
        <w:rPr>
          <w:rFonts w:cstheme="minorHAnsi"/>
          <w:sz w:val="16"/>
          <w:szCs w:val="16"/>
        </w:rPr>
        <w:tab/>
        <w:t>Voice over Internet Protocol</w:t>
      </w:r>
    </w:p>
    <w:p w:rsidR="00682362" w:rsidRPr="00F91831" w:rsidRDefault="00264F20" w:rsidP="0040201F">
      <w:pPr>
        <w:spacing w:after="0" w:line="240" w:lineRule="auto"/>
        <w:rPr>
          <w:rFonts w:cstheme="minorHAnsi"/>
          <w:sz w:val="16"/>
          <w:szCs w:val="16"/>
        </w:rPr>
      </w:pPr>
      <w:r w:rsidRPr="00F91831">
        <w:rPr>
          <w:rFonts w:ascii="Calibri" w:eastAsia="SimSun" w:hAnsi="Calibri" w:cs="Calibri"/>
          <w:sz w:val="16"/>
          <w:szCs w:val="16"/>
        </w:rPr>
        <w:t>WCIT</w:t>
      </w:r>
      <w:r w:rsidRPr="00F91831">
        <w:rPr>
          <w:rFonts w:ascii="Calibri" w:eastAsia="SimSun" w:hAnsi="Calibri" w:cs="Calibri"/>
          <w:sz w:val="16"/>
          <w:szCs w:val="16"/>
        </w:rPr>
        <w:tab/>
      </w:r>
      <w:r w:rsidRPr="00F91831">
        <w:rPr>
          <w:rFonts w:ascii="Calibri" w:eastAsia="SimSun" w:hAnsi="Calibri" w:cs="Calibri"/>
          <w:sz w:val="16"/>
          <w:szCs w:val="16"/>
        </w:rPr>
        <w:tab/>
        <w:t>World Conference on International Telecommunications</w:t>
      </w:r>
      <w:r w:rsidR="00AC1CD6" w:rsidRPr="00F91831">
        <w:rPr>
          <w:rFonts w:cstheme="minorHAnsi"/>
          <w:sz w:val="16"/>
          <w:szCs w:val="16"/>
        </w:rPr>
        <w:br/>
        <w:t>WIDE</w:t>
      </w:r>
      <w:r w:rsidR="00AC1CD6" w:rsidRPr="00F91831">
        <w:rPr>
          <w:rFonts w:cstheme="minorHAnsi"/>
          <w:sz w:val="16"/>
          <w:szCs w:val="16"/>
        </w:rPr>
        <w:tab/>
      </w:r>
      <w:r w:rsidR="00AC1CD6" w:rsidRPr="00F91831">
        <w:rPr>
          <w:rFonts w:cstheme="minorHAnsi"/>
          <w:sz w:val="16"/>
          <w:szCs w:val="16"/>
        </w:rPr>
        <w:tab/>
        <w:t>Widely Integrated Distributed Environment project</w:t>
      </w:r>
    </w:p>
    <w:p w:rsidR="00850AD9" w:rsidRPr="00F91831" w:rsidRDefault="00AC1CD6" w:rsidP="0040201F">
      <w:pPr>
        <w:spacing w:after="0" w:line="240" w:lineRule="auto"/>
        <w:rPr>
          <w:rFonts w:cstheme="minorHAnsi"/>
          <w:sz w:val="16"/>
          <w:szCs w:val="16"/>
        </w:rPr>
      </w:pPr>
      <w:r w:rsidRPr="00F91831">
        <w:rPr>
          <w:rFonts w:cstheme="minorHAnsi"/>
          <w:sz w:val="16"/>
          <w:szCs w:val="16"/>
        </w:rPr>
        <w:t>WGIG</w:t>
      </w:r>
      <w:r w:rsidRPr="00F91831">
        <w:rPr>
          <w:rFonts w:cstheme="minorHAnsi"/>
          <w:sz w:val="16"/>
          <w:szCs w:val="16"/>
        </w:rPr>
        <w:tab/>
      </w:r>
      <w:r w:rsidRPr="00F91831">
        <w:rPr>
          <w:rFonts w:cstheme="minorHAnsi"/>
          <w:sz w:val="16"/>
          <w:szCs w:val="16"/>
        </w:rPr>
        <w:tab/>
        <w:t>Working Group on Internet Governance</w:t>
      </w:r>
    </w:p>
    <w:p w:rsidR="00F77CB1" w:rsidRPr="00F91831" w:rsidRDefault="00AC1CD6" w:rsidP="0040201F">
      <w:pPr>
        <w:spacing w:after="0" w:line="240" w:lineRule="auto"/>
        <w:rPr>
          <w:rFonts w:cstheme="minorHAnsi"/>
          <w:sz w:val="16"/>
          <w:szCs w:val="16"/>
        </w:rPr>
      </w:pPr>
      <w:r w:rsidRPr="00F91831">
        <w:rPr>
          <w:rFonts w:cstheme="minorHAnsi"/>
          <w:sz w:val="16"/>
          <w:szCs w:val="16"/>
        </w:rPr>
        <w:t xml:space="preserve">WIPO </w:t>
      </w:r>
      <w:r w:rsidRPr="00F91831">
        <w:rPr>
          <w:rFonts w:cstheme="minorHAnsi"/>
          <w:sz w:val="16"/>
          <w:szCs w:val="16"/>
        </w:rPr>
        <w:tab/>
      </w:r>
      <w:r w:rsidRPr="00F91831">
        <w:rPr>
          <w:rFonts w:cstheme="minorHAnsi"/>
          <w:sz w:val="16"/>
          <w:szCs w:val="16"/>
        </w:rPr>
        <w:tab/>
      </w:r>
      <w:proofErr w:type="gramStart"/>
      <w:r w:rsidRPr="00F91831">
        <w:rPr>
          <w:rFonts w:cstheme="minorHAnsi"/>
          <w:sz w:val="16"/>
          <w:szCs w:val="16"/>
        </w:rPr>
        <w:t>The</w:t>
      </w:r>
      <w:proofErr w:type="gramEnd"/>
      <w:r w:rsidRPr="00F91831">
        <w:rPr>
          <w:rFonts w:cstheme="minorHAnsi"/>
          <w:sz w:val="16"/>
          <w:szCs w:val="16"/>
        </w:rPr>
        <w:t xml:space="preserve"> World Intellectual Property Organization</w:t>
      </w:r>
    </w:p>
    <w:p w:rsidR="00682362" w:rsidRPr="00F91831" w:rsidRDefault="00AC1CD6" w:rsidP="0040201F">
      <w:pPr>
        <w:spacing w:after="0" w:line="240" w:lineRule="auto"/>
        <w:rPr>
          <w:rFonts w:cstheme="minorHAnsi"/>
          <w:sz w:val="16"/>
          <w:szCs w:val="16"/>
        </w:rPr>
      </w:pPr>
      <w:r w:rsidRPr="00F91831">
        <w:rPr>
          <w:rFonts w:cstheme="minorHAnsi"/>
          <w:sz w:val="16"/>
          <w:szCs w:val="16"/>
        </w:rPr>
        <w:t>WSIS</w:t>
      </w:r>
      <w:r w:rsidRPr="00F91831">
        <w:rPr>
          <w:rFonts w:cstheme="minorHAnsi"/>
          <w:sz w:val="16"/>
          <w:szCs w:val="16"/>
        </w:rPr>
        <w:tab/>
      </w:r>
      <w:r w:rsidRPr="00F91831">
        <w:rPr>
          <w:rFonts w:cstheme="minorHAnsi"/>
          <w:sz w:val="16"/>
          <w:szCs w:val="16"/>
        </w:rPr>
        <w:tab/>
        <w:t>World Summit on the Information Society</w:t>
      </w:r>
    </w:p>
    <w:p w:rsidR="00955D8E" w:rsidRPr="00F91831" w:rsidRDefault="00AC1CD6" w:rsidP="0040201F">
      <w:pPr>
        <w:spacing w:after="0" w:line="240" w:lineRule="auto"/>
        <w:rPr>
          <w:rFonts w:cstheme="minorHAnsi"/>
          <w:sz w:val="16"/>
          <w:szCs w:val="16"/>
        </w:rPr>
      </w:pPr>
      <w:r w:rsidRPr="00F91831">
        <w:rPr>
          <w:rFonts w:cstheme="minorHAnsi"/>
          <w:sz w:val="16"/>
          <w:szCs w:val="16"/>
        </w:rPr>
        <w:t>W3C</w:t>
      </w:r>
      <w:r w:rsidRPr="00F91831">
        <w:rPr>
          <w:rFonts w:cstheme="minorHAnsi"/>
          <w:sz w:val="16"/>
          <w:szCs w:val="16"/>
        </w:rPr>
        <w:tab/>
      </w:r>
      <w:r w:rsidRPr="00F91831">
        <w:rPr>
          <w:rFonts w:cstheme="minorHAnsi"/>
          <w:sz w:val="16"/>
          <w:szCs w:val="16"/>
        </w:rPr>
        <w:tab/>
        <w:t>World Wide Web Consortium</w:t>
      </w:r>
    </w:p>
    <w:p w:rsidR="00682362" w:rsidRPr="005D33A9" w:rsidRDefault="00AC1CD6" w:rsidP="0040201F">
      <w:pPr>
        <w:spacing w:after="0" w:line="240" w:lineRule="auto"/>
        <w:rPr>
          <w:rFonts w:cstheme="minorHAnsi"/>
          <w:sz w:val="16"/>
          <w:szCs w:val="16"/>
        </w:rPr>
      </w:pPr>
      <w:r w:rsidRPr="00F91831">
        <w:rPr>
          <w:rFonts w:cstheme="minorHAnsi"/>
          <w:sz w:val="16"/>
          <w:szCs w:val="16"/>
        </w:rPr>
        <w:t>WTPF</w:t>
      </w:r>
      <w:r w:rsidRPr="00F91831">
        <w:rPr>
          <w:rFonts w:cstheme="minorHAnsi"/>
          <w:sz w:val="16"/>
          <w:szCs w:val="16"/>
        </w:rPr>
        <w:tab/>
      </w:r>
      <w:r w:rsidRPr="00F91831">
        <w:rPr>
          <w:rFonts w:cstheme="minorHAnsi"/>
          <w:sz w:val="16"/>
          <w:szCs w:val="16"/>
        </w:rPr>
        <w:tab/>
        <w:t>World Telecommunication/ICT Policy Forum</w:t>
      </w:r>
    </w:p>
    <w:p w:rsidR="00331AD1" w:rsidRPr="005D33A9" w:rsidRDefault="00AC1CD6" w:rsidP="0040201F">
      <w:pPr>
        <w:spacing w:after="0" w:line="240" w:lineRule="auto"/>
        <w:rPr>
          <w:rFonts w:cstheme="minorHAnsi"/>
          <w:sz w:val="16"/>
          <w:szCs w:val="16"/>
        </w:rPr>
      </w:pPr>
      <w:r w:rsidRPr="00AC1CD6">
        <w:rPr>
          <w:rFonts w:cstheme="minorHAnsi"/>
          <w:sz w:val="16"/>
          <w:szCs w:val="16"/>
        </w:rPr>
        <w:t>WTSA</w:t>
      </w:r>
      <w:r w:rsidRPr="00AC1CD6">
        <w:rPr>
          <w:rFonts w:cstheme="minorHAnsi"/>
          <w:sz w:val="16"/>
          <w:szCs w:val="16"/>
        </w:rPr>
        <w:tab/>
      </w:r>
      <w:r w:rsidRPr="00AC1CD6">
        <w:rPr>
          <w:rFonts w:cstheme="minorHAnsi"/>
          <w:sz w:val="16"/>
          <w:szCs w:val="16"/>
        </w:rPr>
        <w:tab/>
        <w:t>World Telecommunication Standardization Assembly</w:t>
      </w:r>
    </w:p>
    <w:p w:rsidR="005C45D9" w:rsidRPr="005D33A9" w:rsidRDefault="00AC1CD6" w:rsidP="0040201F">
      <w:pPr>
        <w:spacing w:after="0" w:line="240" w:lineRule="auto"/>
        <w:rPr>
          <w:rFonts w:cstheme="minorHAnsi"/>
          <w:sz w:val="16"/>
          <w:szCs w:val="16"/>
        </w:rPr>
      </w:pPr>
      <w:r w:rsidRPr="00AC1CD6">
        <w:rPr>
          <w:rFonts w:cstheme="minorHAnsi"/>
          <w:sz w:val="16"/>
          <w:szCs w:val="16"/>
        </w:rPr>
        <w:t>WTDC</w:t>
      </w:r>
      <w:r w:rsidRPr="00AC1CD6">
        <w:rPr>
          <w:rFonts w:cstheme="minorHAnsi"/>
          <w:sz w:val="16"/>
          <w:szCs w:val="16"/>
        </w:rPr>
        <w:tab/>
      </w:r>
      <w:r w:rsidRPr="00AC1CD6">
        <w:rPr>
          <w:rFonts w:cstheme="minorHAnsi"/>
          <w:sz w:val="16"/>
          <w:szCs w:val="16"/>
        </w:rPr>
        <w:tab/>
        <w:t>World Telecommunication Development Conference</w:t>
      </w:r>
    </w:p>
    <w:p w:rsidR="001A7A05" w:rsidRPr="005D33A9" w:rsidRDefault="00AC1CD6" w:rsidP="0040201F">
      <w:pPr>
        <w:spacing w:after="0" w:line="240" w:lineRule="auto"/>
        <w:rPr>
          <w:rFonts w:cstheme="minorHAnsi"/>
          <w:sz w:val="16"/>
          <w:szCs w:val="16"/>
        </w:rPr>
      </w:pPr>
      <w:r w:rsidRPr="00AC1CD6">
        <w:rPr>
          <w:rFonts w:cstheme="minorHAnsi"/>
          <w:sz w:val="16"/>
          <w:szCs w:val="16"/>
        </w:rPr>
        <w:t>ZSK</w:t>
      </w:r>
      <w:r w:rsidRPr="00AC1CD6">
        <w:rPr>
          <w:rFonts w:cstheme="minorHAnsi"/>
          <w:sz w:val="16"/>
          <w:szCs w:val="16"/>
        </w:rPr>
        <w:tab/>
      </w:r>
      <w:r w:rsidRPr="00AC1CD6">
        <w:rPr>
          <w:rFonts w:cstheme="minorHAnsi"/>
          <w:sz w:val="16"/>
          <w:szCs w:val="16"/>
        </w:rPr>
        <w:tab/>
        <w:t>Zone Signing Key</w:t>
      </w:r>
    </w:p>
    <w:p w:rsidR="002B2A1F" w:rsidRDefault="002B2A1F" w:rsidP="0040201F">
      <w:pPr>
        <w:spacing w:line="240" w:lineRule="auto"/>
        <w:rPr>
          <w:b/>
          <w:bCs/>
          <w:sz w:val="24"/>
          <w:szCs w:val="24"/>
        </w:rPr>
      </w:pPr>
      <w:r>
        <w:rPr>
          <w:b/>
          <w:bCs/>
          <w:sz w:val="24"/>
          <w:szCs w:val="24"/>
        </w:rPr>
        <w:br w:type="page"/>
      </w:r>
    </w:p>
    <w:p w:rsidR="007D1F2C" w:rsidRDefault="00AC1CD6" w:rsidP="0040201F">
      <w:pPr>
        <w:spacing w:line="240" w:lineRule="auto"/>
        <w:jc w:val="center"/>
        <w:rPr>
          <w:b/>
          <w:bCs/>
          <w:sz w:val="24"/>
          <w:szCs w:val="24"/>
        </w:rPr>
      </w:pPr>
      <w:r w:rsidRPr="00AC1CD6">
        <w:rPr>
          <w:b/>
          <w:bCs/>
          <w:sz w:val="24"/>
          <w:szCs w:val="24"/>
        </w:rPr>
        <w:lastRenderedPageBreak/>
        <w:t>Annex B: Draft Opinions</w:t>
      </w:r>
    </w:p>
    <w:p w:rsidR="007D1F2C" w:rsidRDefault="007D1F2C" w:rsidP="0040201F">
      <w:pPr>
        <w:spacing w:after="0" w:line="240" w:lineRule="auto"/>
        <w:jc w:val="center"/>
        <w:rPr>
          <w:b/>
          <w:bCs/>
          <w:sz w:val="24"/>
          <w:szCs w:val="24"/>
        </w:rPr>
      </w:pPr>
    </w:p>
    <w:p w:rsidR="007D1F2C" w:rsidRDefault="00AC1CD6" w:rsidP="0040201F">
      <w:pPr>
        <w:pStyle w:val="Equation"/>
        <w:tabs>
          <w:tab w:val="left" w:pos="1191"/>
          <w:tab w:val="left" w:pos="1588"/>
          <w:tab w:val="left" w:pos="1985"/>
        </w:tabs>
        <w:spacing w:before="240"/>
        <w:jc w:val="center"/>
        <w:rPr>
          <w:rFonts w:asciiTheme="minorHAnsi" w:hAnsiTheme="minorHAnsi"/>
          <w:b/>
          <w:bCs/>
          <w:szCs w:val="24"/>
        </w:rPr>
      </w:pPr>
      <w:r w:rsidRPr="00AC1CD6">
        <w:rPr>
          <w:rFonts w:asciiTheme="minorHAnsi" w:hAnsiTheme="minorHAnsi"/>
          <w:b/>
          <w:bCs/>
          <w:szCs w:val="24"/>
        </w:rPr>
        <w:t>DRAFT OPINION 1:  Promoting Internet Exchange Points (IXPs) as a long term solution to advance connectivity</w:t>
      </w:r>
    </w:p>
    <w:p w:rsidR="007D1F2C" w:rsidRDefault="00AC1CD6" w:rsidP="0040201F">
      <w:pPr>
        <w:pStyle w:val="Equation"/>
        <w:tabs>
          <w:tab w:val="left" w:pos="720"/>
        </w:tabs>
        <w:spacing w:before="720" w:after="20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40201F">
      <w:pPr>
        <w:tabs>
          <w:tab w:val="left" w:pos="720"/>
        </w:tabs>
        <w:spacing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recalling</w:t>
      </w:r>
      <w:proofErr w:type="gramEnd"/>
    </w:p>
    <w:p w:rsidR="007D1F2C" w:rsidRDefault="00AC1CD6" w:rsidP="0040201F">
      <w:pPr>
        <w:pStyle w:val="ListParagraph"/>
        <w:numPr>
          <w:ilvl w:val="0"/>
          <w:numId w:val="27"/>
        </w:numPr>
        <w:tabs>
          <w:tab w:val="left" w:pos="567"/>
        </w:tabs>
        <w:spacing w:before="160" w:after="0" w:line="240" w:lineRule="auto"/>
        <w:ind w:left="0" w:firstLine="0"/>
        <w:jc w:val="both"/>
        <w:outlineLvl w:val="0"/>
        <w:rPr>
          <w:rFonts w:cs="Times New Roman"/>
          <w:sz w:val="24"/>
          <w:szCs w:val="24"/>
        </w:rPr>
      </w:pPr>
      <w:r w:rsidRPr="00AC1CD6">
        <w:rPr>
          <w:rFonts w:cs="Times New Roman"/>
          <w:sz w:val="24"/>
          <w:szCs w:val="24"/>
        </w:rPr>
        <w:t>that Paragraph 27, c)</w:t>
      </w:r>
      <w:proofErr w:type="spellStart"/>
      <w:r w:rsidRPr="00AC1CD6">
        <w:rPr>
          <w:rFonts w:cs="Times New Roman"/>
          <w:sz w:val="24"/>
          <w:szCs w:val="24"/>
        </w:rPr>
        <w:t>i</w:t>
      </w:r>
      <w:proofErr w:type="spellEnd"/>
      <w:r w:rsidRPr="00AC1CD6">
        <w:rPr>
          <w:rFonts w:cs="Times New Roman"/>
          <w:sz w:val="24"/>
          <w:szCs w:val="24"/>
        </w:rPr>
        <w:t xml:space="preserve"> of the Tunis Agenda recognizes the contribution that Internet Exchange points can make to reducing interconnection costs and broadening network access;</w:t>
      </w:r>
    </w:p>
    <w:p w:rsidR="007D1F2C" w:rsidRDefault="00AC1CD6" w:rsidP="0040201F">
      <w:pPr>
        <w:pStyle w:val="ListParagraph"/>
        <w:numPr>
          <w:ilvl w:val="0"/>
          <w:numId w:val="27"/>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Paragraph 50 of the Tunis Agenda calls for the establishment of national, regional and sub-regional  Internet exchange points as a strategy for increasing affordable global connectivity, thereby facilitating improved and equitable access for all; and </w:t>
      </w:r>
    </w:p>
    <w:p w:rsidR="007D1F2C" w:rsidRDefault="009459EA" w:rsidP="0040201F">
      <w:pPr>
        <w:tabs>
          <w:tab w:val="left" w:pos="567"/>
          <w:tab w:val="left" w:pos="720"/>
        </w:tabs>
        <w:spacing w:before="160" w:after="0" w:line="240" w:lineRule="auto"/>
        <w:jc w:val="both"/>
        <w:rPr>
          <w:rFonts w:cs="Times New Roman"/>
          <w:i/>
          <w:sz w:val="24"/>
          <w:szCs w:val="24"/>
        </w:rPr>
      </w:pPr>
      <w:r>
        <w:rPr>
          <w:rFonts w:cs="Times New Roman"/>
          <w:sz w:val="24"/>
          <w:szCs w:val="24"/>
        </w:rPr>
        <w:t>c)</w:t>
      </w:r>
      <w:r>
        <w:rPr>
          <w:rFonts w:cs="Times New Roman"/>
          <w:sz w:val="24"/>
          <w:szCs w:val="24"/>
        </w:rPr>
        <w:tab/>
      </w:r>
      <w:r w:rsidR="00AC1CD6" w:rsidRPr="00AC1CD6">
        <w:rPr>
          <w:rFonts w:cs="Times New Roman"/>
          <w:sz w:val="24"/>
          <w:szCs w:val="24"/>
        </w:rPr>
        <w:t xml:space="preserve">Resolution 101 (rev. Guadalajara, 2010) </w:t>
      </w:r>
      <w:r w:rsidR="00AC1CD6" w:rsidRPr="00AC1CD6">
        <w:rPr>
          <w:rFonts w:cs="Times New Roman"/>
          <w:i/>
          <w:sz w:val="24"/>
          <w:szCs w:val="24"/>
        </w:rPr>
        <w:t>resolves 2),</w:t>
      </w:r>
      <w:r w:rsidR="00AC1CD6" w:rsidRPr="00AC1CD6">
        <w:rPr>
          <w:rFonts w:cs="Times New Roman"/>
          <w:sz w:val="24"/>
          <w:szCs w:val="24"/>
        </w:rPr>
        <w:t xml:space="preserve"> that the ITU should fully embrace the opportunities for telecommunication/ICT development that arise from the growth of IP-based services, in conformity with the ITU purposes and the outcomes of the Geneva (2003) and Tunis (2005) phases of WSIS,</w:t>
      </w:r>
      <w:r w:rsidR="00AC1CD6" w:rsidRPr="00AC1CD6">
        <w:rPr>
          <w:rFonts w:cs="Times New Roman"/>
          <w:i/>
          <w:sz w:val="24"/>
          <w:szCs w:val="24"/>
        </w:rPr>
        <w:t xml:space="preserve"> </w:t>
      </w:r>
    </w:p>
    <w:p w:rsidR="007D1F2C" w:rsidRDefault="00AC1CD6" w:rsidP="0040201F">
      <w:pPr>
        <w:tabs>
          <w:tab w:val="left" w:pos="720"/>
        </w:tabs>
        <w:spacing w:line="240" w:lineRule="auto"/>
        <w:ind w:left="720"/>
        <w:jc w:val="both"/>
        <w:rPr>
          <w:rFonts w:cs="Times New Roman"/>
          <w:sz w:val="24"/>
          <w:szCs w:val="24"/>
        </w:rPr>
      </w:pPr>
      <w:proofErr w:type="gramStart"/>
      <w:r w:rsidRPr="00AC1CD6">
        <w:rPr>
          <w:rFonts w:cs="Times New Roman"/>
          <w:i/>
          <w:sz w:val="24"/>
          <w:szCs w:val="24"/>
        </w:rPr>
        <w:t>considering</w:t>
      </w:r>
      <w:proofErr w:type="gramEnd"/>
      <w:r w:rsidRPr="00AC1CD6">
        <w:rPr>
          <w:rFonts w:cs="Times New Roman"/>
          <w:sz w:val="24"/>
          <w:szCs w:val="24"/>
        </w:rPr>
        <w:t xml:space="preserve"> </w:t>
      </w:r>
    </w:p>
    <w:p w:rsidR="007D1F2C" w:rsidRDefault="00AC1CD6" w:rsidP="0040201F">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that a study by ISOC, OECD and UNESCO</w:t>
      </w:r>
      <w:r w:rsidR="00E52C5B" w:rsidRPr="005D33A9">
        <w:rPr>
          <w:rFonts w:cs="Times New Roman"/>
          <w:sz w:val="24"/>
          <w:szCs w:val="24"/>
        </w:rPr>
        <w:footnoteReference w:id="232"/>
      </w:r>
      <w:r w:rsidR="00E52C5B" w:rsidRPr="005D33A9">
        <w:rPr>
          <w:rFonts w:cs="Times New Roman"/>
          <w:sz w:val="24"/>
          <w:szCs w:val="24"/>
        </w:rPr>
        <w:t xml:space="preserve"> states “this research finds a significant relationship between the development of international bandwi</w:t>
      </w:r>
      <w:r w:rsidRPr="00AC1CD6">
        <w:rPr>
          <w:rFonts w:cs="Times New Roman"/>
          <w:sz w:val="24"/>
          <w:szCs w:val="24"/>
        </w:rPr>
        <w:t>dth and the price of local Internet access”;</w:t>
      </w:r>
    </w:p>
    <w:p w:rsidR="007D1F2C" w:rsidRDefault="00AC1CD6" w:rsidP="0040201F">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the ITU and UNESCO Broadband Commission </w:t>
      </w:r>
      <w:r w:rsidR="004850A8">
        <w:rPr>
          <w:rFonts w:cs="Times New Roman"/>
          <w:sz w:val="24"/>
          <w:szCs w:val="24"/>
        </w:rPr>
        <w:t>R</w:t>
      </w:r>
      <w:r w:rsidR="004850A8" w:rsidRPr="00AC1CD6">
        <w:rPr>
          <w:rFonts w:cs="Times New Roman"/>
          <w:sz w:val="24"/>
          <w:szCs w:val="24"/>
        </w:rPr>
        <w:t>eport</w:t>
      </w:r>
      <w:r>
        <w:rPr>
          <w:rStyle w:val="FootnoteReference"/>
          <w:rFonts w:cs="Times New Roman"/>
          <w:sz w:val="24"/>
          <w:szCs w:val="24"/>
        </w:rPr>
        <w:footnoteReference w:id="233"/>
      </w:r>
      <w:r w:rsidRPr="00AC1CD6">
        <w:rPr>
          <w:rFonts w:cs="Times New Roman"/>
          <w:sz w:val="24"/>
          <w:szCs w:val="24"/>
        </w:rPr>
        <w:t xml:space="preserve"> </w:t>
      </w:r>
      <w:proofErr w:type="spellStart"/>
      <w:r w:rsidRPr="00AC1CD6">
        <w:rPr>
          <w:rFonts w:cs="Times New Roman"/>
          <w:sz w:val="24"/>
          <w:szCs w:val="24"/>
        </w:rPr>
        <w:t>recognised</w:t>
      </w:r>
      <w:proofErr w:type="spellEnd"/>
      <w:r w:rsidRPr="00AC1CD6">
        <w:rPr>
          <w:rFonts w:cs="Times New Roman"/>
          <w:sz w:val="24"/>
          <w:szCs w:val="24"/>
        </w:rPr>
        <w:t xml:space="preserve"> that “technology-based developments such as Content Distribution Networks (CDNs) and new Internet Exchange Points (IXPs) have resulted in some economic efficiencies and have generally proven helpful, where the regulatory environment has been favorable”;</w:t>
      </w:r>
    </w:p>
    <w:p w:rsidR="007D1F2C" w:rsidRDefault="00AC1CD6" w:rsidP="0040201F">
      <w:pPr>
        <w:pStyle w:val="ListParagraph"/>
        <w:numPr>
          <w:ilvl w:val="0"/>
          <w:numId w:val="29"/>
        </w:numPr>
        <w:tabs>
          <w:tab w:val="left" w:pos="567"/>
        </w:tabs>
        <w:spacing w:before="160" w:after="0" w:line="240" w:lineRule="auto"/>
        <w:ind w:left="0" w:firstLine="0"/>
        <w:contextualSpacing w:val="0"/>
        <w:jc w:val="both"/>
        <w:outlineLvl w:val="0"/>
        <w:rPr>
          <w:rFonts w:cs="Times New Roman"/>
          <w:sz w:val="24"/>
          <w:szCs w:val="24"/>
        </w:rPr>
      </w:pPr>
      <w:r w:rsidRPr="00AC1CD6">
        <w:rPr>
          <w:rFonts w:cs="Times New Roman"/>
          <w:sz w:val="24"/>
          <w:szCs w:val="24"/>
        </w:rPr>
        <w:t xml:space="preserve">that at the 2012 Connect Americas Summit, regional leaders </w:t>
      </w:r>
      <w:r w:rsidRPr="00AC1CD6">
        <w:rPr>
          <w:rFonts w:eastAsia="MyriadPro-Light" w:cs="Times New Roman"/>
          <w:sz w:val="24"/>
          <w:szCs w:val="24"/>
        </w:rPr>
        <w:t>committed to the development of Internet exchange points at the local, national and regional levels to reduce Internet access costs;</w:t>
      </w:r>
    </w:p>
    <w:p w:rsidR="007D1F2C" w:rsidRDefault="00AC1CD6" w:rsidP="0040201F">
      <w:pPr>
        <w:tabs>
          <w:tab w:val="left" w:pos="567"/>
          <w:tab w:val="left" w:pos="720"/>
        </w:tabs>
        <w:spacing w:before="160" w:after="0" w:line="240" w:lineRule="auto"/>
        <w:jc w:val="both"/>
        <w:rPr>
          <w:rFonts w:cs="Times New Roman"/>
          <w:sz w:val="24"/>
          <w:szCs w:val="24"/>
        </w:rPr>
      </w:pPr>
      <w:r w:rsidRPr="00AC1CD6">
        <w:rPr>
          <w:rFonts w:cs="Times New Roman"/>
          <w:sz w:val="24"/>
          <w:szCs w:val="24"/>
        </w:rPr>
        <w:t xml:space="preserve">d)  </w:t>
      </w:r>
      <w:r w:rsidRPr="00AC1CD6">
        <w:rPr>
          <w:rFonts w:cs="Times New Roman"/>
          <w:sz w:val="24"/>
          <w:szCs w:val="24"/>
        </w:rPr>
        <w:tab/>
        <w:t>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interconnections,</w:t>
      </w:r>
    </w:p>
    <w:p w:rsidR="007D1F2C" w:rsidRDefault="00AC1CD6" w:rsidP="0040201F">
      <w:pPr>
        <w:spacing w:before="160" w:after="0" w:line="240" w:lineRule="auto"/>
        <w:ind w:firstLine="720"/>
        <w:jc w:val="both"/>
        <w:rPr>
          <w:rFonts w:cs="Times New Roman"/>
          <w:i/>
          <w:sz w:val="24"/>
          <w:szCs w:val="24"/>
        </w:rPr>
      </w:pPr>
      <w:proofErr w:type="gramStart"/>
      <w:r w:rsidRPr="00AC1CD6">
        <w:rPr>
          <w:rFonts w:cs="Times New Roman"/>
          <w:i/>
          <w:sz w:val="24"/>
          <w:szCs w:val="24"/>
        </w:rPr>
        <w:t>is</w:t>
      </w:r>
      <w:proofErr w:type="gramEnd"/>
      <w:r w:rsidRPr="00AC1CD6">
        <w:rPr>
          <w:rFonts w:cs="Times New Roman"/>
          <w:i/>
          <w:sz w:val="24"/>
          <w:szCs w:val="24"/>
        </w:rPr>
        <w:t xml:space="preserve"> of the view</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cs="Times New Roman"/>
          <w:sz w:val="24"/>
          <w:szCs w:val="24"/>
        </w:rPr>
      </w:pPr>
      <w:r w:rsidRPr="00AC1CD6">
        <w:rPr>
          <w:rFonts w:asciiTheme="minorHAnsi" w:hAnsiTheme="minorHAnsi"/>
          <w:sz w:val="24"/>
          <w:szCs w:val="24"/>
        </w:rPr>
        <w:t>that establishment of  local, national, sub-regional, and regional IXPs is a priority to address connectivity issues, improve quality of service and reduce interconnection costs;</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lastRenderedPageBreak/>
        <w:t>that enabling the interconnection of international, national and regional networks through IXPs may be an effective way to improve international internet connectivity and to reduce the costs of such connectivity, with regulation only when necessary to promote competition;</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donor </w:t>
      </w:r>
      <w:proofErr w:type="spellStart"/>
      <w:r w:rsidRPr="00AC1CD6">
        <w:rPr>
          <w:rFonts w:asciiTheme="minorHAnsi" w:hAnsiTheme="minorHAnsi"/>
          <w:sz w:val="24"/>
          <w:szCs w:val="24"/>
        </w:rPr>
        <w:t>programmes</w:t>
      </w:r>
      <w:proofErr w:type="spellEnd"/>
      <w:r w:rsidRPr="00AC1CD6">
        <w:rPr>
          <w:rFonts w:asciiTheme="minorHAnsi" w:hAnsiTheme="minorHAnsi"/>
          <w:sz w:val="24"/>
          <w:szCs w:val="24"/>
        </w:rPr>
        <w:t xml:space="preserve"> and developmental financing mechanisms should consider the need to provide funding for initiatives that advance connectivity, IXPs and local content for developing countries;</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creation of IXPs enables a virtuous cycle: as the IXP attracts more ISPs, it will also begin to attract local, national and international content providers, along with business, academic, and governmental users, which in turn attracts more ISPs;</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local content capacity in developing countries should be encouraged and supported within the enabling environment that local/ regional IXPs provides;</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effective IXPs often emerge where Member States have adopted </w:t>
      </w:r>
      <w:proofErr w:type="spellStart"/>
      <w:r w:rsidRPr="00AC1CD6">
        <w:rPr>
          <w:rFonts w:asciiTheme="minorHAnsi" w:hAnsiTheme="minorHAnsi"/>
          <w:sz w:val="24"/>
          <w:szCs w:val="24"/>
        </w:rPr>
        <w:t>multistakeholder</w:t>
      </w:r>
      <w:proofErr w:type="spellEnd"/>
      <w:r w:rsidRPr="00AC1CD6">
        <w:rPr>
          <w:rFonts w:asciiTheme="minorHAnsi" w:hAnsiTheme="minorHAnsi"/>
          <w:sz w:val="24"/>
          <w:szCs w:val="24"/>
        </w:rPr>
        <w:t xml:space="preserve"> policy processes, as IXPs rely on cooperation among relevant stakeholders;</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regulatory measures should not impede arrangements for transit and peering, to create an enabling and competitive environment for the creation of IXPs;</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liberalization of the electronic communications market may play a significant role in allowing a competitive market to emerge to support introduction and interconnection with IXPs; and</w:t>
      </w:r>
      <w:r w:rsidR="00106F3D">
        <w:rPr>
          <w:rFonts w:asciiTheme="minorHAnsi" w:hAnsiTheme="minorHAnsi"/>
          <w:sz w:val="24"/>
          <w:szCs w:val="24"/>
        </w:rPr>
        <w:t>,</w:t>
      </w:r>
    </w:p>
    <w:p w:rsidR="007D1F2C" w:rsidRDefault="00AC1CD6" w:rsidP="0040201F">
      <w:pPr>
        <w:pStyle w:val="PlainText"/>
        <w:numPr>
          <w:ilvl w:val="0"/>
          <w:numId w:val="30"/>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increased level of interconnection enabled by participation in IXPs contributes to an enhanced level of resilience in the network infrastructure,</w:t>
      </w: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w:t>
      </w:r>
      <w:proofErr w:type="gramEnd"/>
    </w:p>
    <w:p w:rsidR="007D1F2C" w:rsidRDefault="00AC1CD6" w:rsidP="0040201F">
      <w:pPr>
        <w:tabs>
          <w:tab w:val="left" w:pos="720"/>
        </w:tabs>
        <w:spacing w:before="160" w:after="0" w:line="240" w:lineRule="auto"/>
        <w:jc w:val="both"/>
        <w:rPr>
          <w:rFonts w:eastAsia="Times New Roman" w:cs="Times New Roman"/>
          <w:sz w:val="24"/>
          <w:szCs w:val="24"/>
          <w:lang w:val="en-GB" w:eastAsia="en-GB"/>
        </w:rPr>
      </w:pPr>
      <w:r w:rsidRPr="00AC1CD6">
        <w:rPr>
          <w:rFonts w:cs="Times New Roman"/>
          <w:sz w:val="24"/>
          <w:szCs w:val="24"/>
        </w:rPr>
        <w:t xml:space="preserve">Member States and Sector </w:t>
      </w:r>
      <w:r w:rsidRPr="00AC1CD6">
        <w:rPr>
          <w:rFonts w:eastAsia="Times New Roman" w:cs="Times New Roman"/>
          <w:sz w:val="24"/>
          <w:szCs w:val="24"/>
          <w:lang w:val="en-GB" w:eastAsia="en-GB"/>
        </w:rPr>
        <w:t>Members to work in a collaborative manner to:</w:t>
      </w:r>
    </w:p>
    <w:p w:rsidR="007D1F2C" w:rsidRDefault="00AC1CD6" w:rsidP="0040201F">
      <w:pPr>
        <w:pStyle w:val="ListParagraph"/>
        <w:numPr>
          <w:ilvl w:val="0"/>
          <w:numId w:val="31"/>
        </w:numPr>
        <w:tabs>
          <w:tab w:val="left" w:pos="720"/>
        </w:tabs>
        <w:spacing w:before="160" w:after="0" w:line="240" w:lineRule="auto"/>
        <w:contextualSpacing w:val="0"/>
        <w:jc w:val="both"/>
        <w:rPr>
          <w:rFonts w:eastAsia="Calibri" w:cs="Times New Roman"/>
          <w:sz w:val="24"/>
          <w:szCs w:val="24"/>
          <w:lang w:eastAsia="en-US" w:bidi="en-US"/>
        </w:rPr>
      </w:pPr>
      <w:r w:rsidRPr="00AC1CD6">
        <w:rPr>
          <w:rFonts w:eastAsia="Times New Roman" w:cs="Times New Roman"/>
          <w:sz w:val="24"/>
          <w:szCs w:val="24"/>
          <w:lang w:val="en-GB" w:eastAsia="en-GB"/>
        </w:rPr>
        <w:t xml:space="preserve">promote the further </w:t>
      </w:r>
      <w:r w:rsidRPr="00AC1CD6">
        <w:rPr>
          <w:rFonts w:cs="Times New Roman"/>
          <w:sz w:val="24"/>
          <w:szCs w:val="24"/>
        </w:rPr>
        <w:t xml:space="preserve">development and expansion of networks on national, sub-regional and regional levels; </w:t>
      </w:r>
    </w:p>
    <w:p w:rsidR="007D1F2C" w:rsidRDefault="00AC1CD6" w:rsidP="0040201F">
      <w:pPr>
        <w:pStyle w:val="ListParagraph"/>
        <w:numPr>
          <w:ilvl w:val="0"/>
          <w:numId w:val="31"/>
        </w:numPr>
        <w:tabs>
          <w:tab w:val="left" w:pos="720"/>
        </w:tabs>
        <w:spacing w:before="160" w:after="0" w:line="240" w:lineRule="auto"/>
        <w:contextualSpacing w:val="0"/>
        <w:jc w:val="both"/>
        <w:rPr>
          <w:rFonts w:cs="Times New Roman"/>
          <w:sz w:val="24"/>
          <w:szCs w:val="24"/>
        </w:rPr>
      </w:pPr>
      <w:r w:rsidRPr="00AC1CD6">
        <w:rPr>
          <w:rFonts w:cs="Times New Roman"/>
          <w:sz w:val="24"/>
          <w:szCs w:val="24"/>
        </w:rPr>
        <w:t xml:space="preserve">enable the emergence of Internet Exchange Points through, inter alia, the exchange of technical expertise and the fostering of supportive policy environments through open </w:t>
      </w:r>
      <w:proofErr w:type="spellStart"/>
      <w:r w:rsidRPr="00AC1CD6">
        <w:rPr>
          <w:rFonts w:cs="Times New Roman"/>
          <w:sz w:val="24"/>
          <w:szCs w:val="24"/>
        </w:rPr>
        <w:t>multistakeholder</w:t>
      </w:r>
      <w:proofErr w:type="spellEnd"/>
      <w:r w:rsidRPr="00AC1CD6">
        <w:rPr>
          <w:rFonts w:cs="Times New Roman"/>
          <w:sz w:val="24"/>
          <w:szCs w:val="24"/>
        </w:rPr>
        <w:t xml:space="preserve"> consultations;</w:t>
      </w:r>
    </w:p>
    <w:p w:rsidR="007D1F2C" w:rsidRDefault="00AC1CD6" w:rsidP="0040201F">
      <w:pPr>
        <w:pStyle w:val="ListParagraph"/>
        <w:numPr>
          <w:ilvl w:val="0"/>
          <w:numId w:val="31"/>
        </w:numPr>
        <w:tabs>
          <w:tab w:val="left" w:pos="720"/>
        </w:tabs>
        <w:spacing w:before="160" w:after="0" w:line="240" w:lineRule="auto"/>
        <w:contextualSpacing w:val="0"/>
        <w:jc w:val="both"/>
        <w:rPr>
          <w:rFonts w:cs="Times New Roman"/>
          <w:sz w:val="24"/>
          <w:szCs w:val="24"/>
        </w:rPr>
      </w:pPr>
      <w:proofErr w:type="gramStart"/>
      <w:r w:rsidRPr="00AC1CD6">
        <w:rPr>
          <w:rFonts w:cs="Times New Roman"/>
          <w:sz w:val="24"/>
          <w:szCs w:val="24"/>
        </w:rPr>
        <w:t>promote</w:t>
      </w:r>
      <w:proofErr w:type="gramEnd"/>
      <w:r w:rsidRPr="00AC1CD6">
        <w:rPr>
          <w:rFonts w:cs="Times New Roman"/>
          <w:sz w:val="24"/>
          <w:szCs w:val="24"/>
        </w:rPr>
        <w:t xml:space="preserve"> public policies aimed at permitting the local, regional and international internet network operators to interconnect through IXPs.</w:t>
      </w:r>
    </w:p>
    <w:p w:rsidR="007D1F2C" w:rsidRDefault="00AC1CD6" w:rsidP="0040201F">
      <w:pPr>
        <w:spacing w:line="240" w:lineRule="auto"/>
        <w:jc w:val="center"/>
        <w:rPr>
          <w:rFonts w:cs="Times New Roman"/>
          <w:sz w:val="24"/>
          <w:szCs w:val="24"/>
        </w:rPr>
      </w:pPr>
      <w:r w:rsidRPr="00AC1CD6">
        <w:rPr>
          <w:rFonts w:cs="Times New Roman"/>
          <w:sz w:val="24"/>
          <w:szCs w:val="24"/>
        </w:rPr>
        <w:t>____________________________</w:t>
      </w:r>
    </w:p>
    <w:p w:rsidR="007D1F2C" w:rsidRDefault="00AC1CD6" w:rsidP="0040201F">
      <w:pPr>
        <w:spacing w:line="240" w:lineRule="auto"/>
        <w:rPr>
          <w:b/>
          <w:bCs/>
          <w:sz w:val="24"/>
          <w:szCs w:val="24"/>
        </w:rPr>
      </w:pPr>
      <w:r w:rsidRPr="00AC1CD6">
        <w:rPr>
          <w:b/>
          <w:bCs/>
          <w:sz w:val="24"/>
          <w:szCs w:val="24"/>
        </w:rPr>
        <w:br w:type="page"/>
      </w:r>
    </w:p>
    <w:p w:rsidR="007D1F2C" w:rsidRDefault="00AC1CD6" w:rsidP="0040201F">
      <w:pPr>
        <w:spacing w:before="160" w:after="0" w:line="240" w:lineRule="auto"/>
        <w:jc w:val="center"/>
        <w:rPr>
          <w:rFonts w:cs="Times New Roman"/>
          <w:b/>
          <w:sz w:val="24"/>
          <w:szCs w:val="24"/>
        </w:rPr>
      </w:pPr>
      <w:r w:rsidRPr="00AC1CD6">
        <w:rPr>
          <w:rFonts w:cs="Times New Roman"/>
          <w:b/>
          <w:sz w:val="24"/>
          <w:szCs w:val="24"/>
        </w:rPr>
        <w:lastRenderedPageBreak/>
        <w:t>DRAFT OPINION 2: Fostering an enabling environment for the greater growth and development of broadband connectivity</w:t>
      </w:r>
    </w:p>
    <w:p w:rsidR="007D1F2C" w:rsidRDefault="00AC1CD6" w:rsidP="0040201F">
      <w:pPr>
        <w:spacing w:before="720" w:after="0" w:line="240" w:lineRule="auto"/>
        <w:jc w:val="both"/>
        <w:rPr>
          <w:rFonts w:cs="Times New Roman"/>
          <w:sz w:val="24"/>
          <w:szCs w:val="24"/>
        </w:rPr>
      </w:pPr>
      <w:r w:rsidRPr="00AC1CD6">
        <w:rPr>
          <w:rFonts w:cs="Times New Roman"/>
          <w:sz w:val="24"/>
          <w:szCs w:val="24"/>
        </w:rPr>
        <w:t>The fifth World Telecommunication/ICT Policy Forum (Geneva, 2013),</w:t>
      </w:r>
    </w:p>
    <w:p w:rsidR="007D1F2C" w:rsidRDefault="00AC1CD6" w:rsidP="0040201F">
      <w:pPr>
        <w:spacing w:before="160" w:after="0" w:line="240" w:lineRule="auto"/>
        <w:ind w:firstLine="720"/>
        <w:jc w:val="both"/>
        <w:rPr>
          <w:rFonts w:cs="Times New Roman"/>
          <w:i/>
          <w:sz w:val="24"/>
          <w:szCs w:val="24"/>
        </w:rPr>
      </w:pPr>
      <w:proofErr w:type="gramStart"/>
      <w:r w:rsidRPr="00AC1CD6">
        <w:rPr>
          <w:rFonts w:cs="Times New Roman"/>
          <w:i/>
          <w:sz w:val="24"/>
          <w:szCs w:val="24"/>
        </w:rPr>
        <w:t>recalling</w:t>
      </w:r>
      <w:proofErr w:type="gramEnd"/>
    </w:p>
    <w:p w:rsidR="007D1F2C" w:rsidRDefault="00AC1CD6" w:rsidP="0040201F">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71 (Rev. Guadalajara, 2010), The Strategic Plan for the Union;</w:t>
      </w:r>
    </w:p>
    <w:p w:rsidR="007D1F2C" w:rsidRDefault="00AC1CD6" w:rsidP="0040201F">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101 (Rev. Guadalajara, 2010) on the subject of Internet-Protocol based networks;</w:t>
      </w:r>
    </w:p>
    <w:p w:rsidR="007D1F2C" w:rsidRDefault="00AC1CD6" w:rsidP="0040201F">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139 (Rev. Guadalajara, 2010), Telecommunications/information and communication technologies to bridge the digital divide and build an inclusive information society;</w:t>
      </w:r>
    </w:p>
    <w:p w:rsidR="007D1F2C" w:rsidRDefault="00AC1CD6" w:rsidP="0040201F">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2005 World Summit on the Information Society (WSIS) outcome documents;</w:t>
      </w:r>
    </w:p>
    <w:p w:rsidR="007D1F2C" w:rsidRDefault="00AC1CD6" w:rsidP="0040201F">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third World Telecommunication Policy Forum (Geneva, 2001), Opinion A on the general implications of IP Telephony for the ITU membership,</w:t>
      </w:r>
    </w:p>
    <w:p w:rsidR="007D1F2C" w:rsidRDefault="00AC1CD6" w:rsidP="0040201F">
      <w:pPr>
        <w:spacing w:before="160" w:after="0" w:line="240" w:lineRule="auto"/>
        <w:ind w:left="360" w:firstLine="360"/>
        <w:jc w:val="both"/>
        <w:rPr>
          <w:rFonts w:cs="Times New Roman"/>
          <w:i/>
          <w:sz w:val="24"/>
          <w:szCs w:val="24"/>
        </w:rPr>
      </w:pPr>
      <w:proofErr w:type="gramStart"/>
      <w:r w:rsidRPr="00AC1CD6">
        <w:rPr>
          <w:rFonts w:cs="Times New Roman"/>
          <w:i/>
          <w:sz w:val="24"/>
          <w:szCs w:val="24"/>
        </w:rPr>
        <w:t>taking</w:t>
      </w:r>
      <w:proofErr w:type="gramEnd"/>
      <w:r w:rsidRPr="00AC1CD6">
        <w:rPr>
          <w:rFonts w:cs="Times New Roman"/>
          <w:i/>
          <w:sz w:val="24"/>
          <w:szCs w:val="24"/>
        </w:rPr>
        <w:t xml:space="preserve"> into account</w:t>
      </w:r>
    </w:p>
    <w:p w:rsidR="007D1F2C" w:rsidRDefault="00AC1CD6" w:rsidP="0040201F">
      <w:pPr>
        <w:spacing w:before="160" w:after="0" w:line="240" w:lineRule="auto"/>
        <w:jc w:val="both"/>
        <w:rPr>
          <w:rFonts w:cs="Times New Roman"/>
          <w:sz w:val="24"/>
          <w:szCs w:val="24"/>
        </w:rPr>
      </w:pPr>
      <w:r w:rsidRPr="00AC1CD6">
        <w:rPr>
          <w:rFonts w:cs="Times New Roman"/>
          <w:sz w:val="24"/>
          <w:szCs w:val="24"/>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7D1F2C" w:rsidRDefault="00AC1CD6" w:rsidP="0040201F">
      <w:pPr>
        <w:spacing w:before="160" w:after="0" w:line="240" w:lineRule="auto"/>
        <w:ind w:firstLine="709"/>
        <w:jc w:val="both"/>
        <w:rPr>
          <w:rFonts w:cs="Times New Roman"/>
          <w:i/>
          <w:sz w:val="24"/>
          <w:szCs w:val="24"/>
        </w:rPr>
      </w:pPr>
      <w:proofErr w:type="gramStart"/>
      <w:r w:rsidRPr="00AC1CD6">
        <w:rPr>
          <w:rFonts w:cs="Times New Roman"/>
          <w:i/>
          <w:sz w:val="24"/>
          <w:szCs w:val="24"/>
        </w:rPr>
        <w:t>considering</w:t>
      </w:r>
      <w:proofErr w:type="gramEnd"/>
    </w:p>
    <w:p w:rsidR="007D1F2C" w:rsidRDefault="00AC1CD6" w:rsidP="0040201F">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Geneva Declaration of Principles adopted by WSIS;</w:t>
      </w:r>
    </w:p>
    <w:p w:rsidR="007D1F2C" w:rsidRDefault="00AC1CD6" w:rsidP="0040201F">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7D1F2C" w:rsidRDefault="00AC1CD6" w:rsidP="0040201F">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role of broadband connectivity in attaining the UN Millennium Development Goals;</w:t>
      </w:r>
    </w:p>
    <w:p w:rsidR="007D1F2C" w:rsidRDefault="00AC1CD6" w:rsidP="0040201F">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importance of broadband capacity to facilitate the delivery of a broader range of services and applications, promote investment and provide Internet access at affordable prices to both existing and new users,</w:t>
      </w:r>
    </w:p>
    <w:p w:rsidR="007D1F2C" w:rsidRDefault="00AC1CD6" w:rsidP="0040201F">
      <w:pPr>
        <w:spacing w:before="160" w:after="0" w:line="240" w:lineRule="auto"/>
        <w:ind w:left="360" w:firstLine="360"/>
        <w:jc w:val="both"/>
        <w:rPr>
          <w:rFonts w:cs="Times New Roman"/>
          <w:i/>
          <w:sz w:val="24"/>
          <w:szCs w:val="24"/>
        </w:rPr>
      </w:pPr>
      <w:proofErr w:type="gramStart"/>
      <w:r w:rsidRPr="00AC1CD6">
        <w:rPr>
          <w:rFonts w:cs="Times New Roman"/>
          <w:i/>
          <w:sz w:val="24"/>
          <w:szCs w:val="24"/>
        </w:rPr>
        <w:t>recognizing</w:t>
      </w:r>
      <w:proofErr w:type="gramEnd"/>
    </w:p>
    <w:p w:rsidR="007D1F2C" w:rsidRDefault="00AC1CD6" w:rsidP="0040201F">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t>
      </w:r>
      <w:proofErr w:type="spellStart"/>
      <w:r w:rsidRPr="00AC1CD6">
        <w:rPr>
          <w:rFonts w:cs="Times New Roman"/>
          <w:sz w:val="24"/>
          <w:szCs w:val="24"/>
        </w:rPr>
        <w:t>well being</w:t>
      </w:r>
      <w:proofErr w:type="spellEnd"/>
      <w:r w:rsidRPr="00AC1CD6">
        <w:rPr>
          <w:rFonts w:cs="Times New Roman"/>
          <w:sz w:val="24"/>
          <w:szCs w:val="24"/>
        </w:rPr>
        <w:t xml:space="preserve"> of all individuals, communities and peoples;</w:t>
      </w:r>
    </w:p>
    <w:p w:rsidR="007D1F2C" w:rsidRDefault="00AC1CD6" w:rsidP="0040201F">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lastRenderedPageBreak/>
        <w:t xml:space="preserve">the importance of competition in promoting investment, as presented in the </w:t>
      </w:r>
      <w:r w:rsidR="004850A8">
        <w:rPr>
          <w:rFonts w:cs="Times New Roman"/>
          <w:sz w:val="24"/>
          <w:szCs w:val="24"/>
        </w:rPr>
        <w:t>R</w:t>
      </w:r>
      <w:r w:rsidR="004850A8" w:rsidRPr="00AC1CD6">
        <w:rPr>
          <w:rFonts w:cs="Times New Roman"/>
          <w:sz w:val="24"/>
          <w:szCs w:val="24"/>
        </w:rPr>
        <w:t xml:space="preserve">eport </w:t>
      </w:r>
      <w:r w:rsidRPr="00AC1CD6">
        <w:rPr>
          <w:rFonts w:cs="Times New Roman"/>
          <w:sz w:val="24"/>
          <w:szCs w:val="24"/>
        </w:rPr>
        <w:t>of the Broadband Commission for Digital Development</w:t>
      </w:r>
      <w:r w:rsidR="002130A7" w:rsidRPr="005D33A9">
        <w:rPr>
          <w:rStyle w:val="FootnoteReference"/>
          <w:rFonts w:cs="Times New Roman"/>
          <w:sz w:val="24"/>
          <w:szCs w:val="24"/>
        </w:rPr>
        <w:footnoteReference w:id="234"/>
      </w:r>
      <w:r w:rsidR="002130A7" w:rsidRPr="005D33A9">
        <w:rPr>
          <w:rFonts w:cs="Times New Roman"/>
          <w:sz w:val="24"/>
          <w:szCs w:val="24"/>
        </w:rPr>
        <w:t xml:space="preserve"> </w:t>
      </w:r>
      <w:r w:rsidRPr="00AC1CD6">
        <w:rPr>
          <w:rFonts w:cs="Times New Roman"/>
          <w:sz w:val="24"/>
          <w:szCs w:val="24"/>
        </w:rPr>
        <w:t>;</w:t>
      </w:r>
    </w:p>
    <w:p w:rsidR="007D1F2C" w:rsidRDefault="00AC1CD6" w:rsidP="0040201F">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the policy recommendations in the </w:t>
      </w:r>
      <w:r w:rsidR="004850A8">
        <w:rPr>
          <w:rFonts w:cs="Times New Roman"/>
          <w:sz w:val="24"/>
          <w:szCs w:val="24"/>
        </w:rPr>
        <w:t>R</w:t>
      </w:r>
      <w:r w:rsidR="004850A8" w:rsidRPr="00AC1CD6">
        <w:rPr>
          <w:rFonts w:cs="Times New Roman"/>
          <w:sz w:val="24"/>
          <w:szCs w:val="24"/>
        </w:rPr>
        <w:t xml:space="preserve">eport </w:t>
      </w:r>
      <w:r w:rsidRPr="00AC1CD6">
        <w:rPr>
          <w:rFonts w:cs="Times New Roman"/>
          <w:sz w:val="24"/>
          <w:szCs w:val="24"/>
        </w:rPr>
        <w:t>of the ITU/UNESCO Broadband Commission for Digital Development</w:t>
      </w:r>
      <w:r>
        <w:rPr>
          <w:rStyle w:val="FootnoteReference"/>
          <w:rFonts w:cs="Times New Roman"/>
          <w:sz w:val="24"/>
          <w:szCs w:val="24"/>
        </w:rPr>
        <w:footnoteReference w:id="235"/>
      </w:r>
      <w:r w:rsidRPr="00AC1CD6">
        <w:rPr>
          <w:rFonts w:cs="Times New Roman"/>
          <w:sz w:val="24"/>
          <w:szCs w:val="24"/>
        </w:rPr>
        <w:t xml:space="preserve"> encouraging broadband infrastructure development and for creating a </w:t>
      </w:r>
      <w:proofErr w:type="spellStart"/>
      <w:r w:rsidRPr="00AC1CD6">
        <w:rPr>
          <w:rFonts w:cs="Times New Roman"/>
          <w:sz w:val="24"/>
          <w:szCs w:val="24"/>
        </w:rPr>
        <w:t>favourable</w:t>
      </w:r>
      <w:proofErr w:type="spellEnd"/>
      <w:r w:rsidRPr="00AC1CD6">
        <w:rPr>
          <w:rFonts w:cs="Times New Roman"/>
          <w:sz w:val="24"/>
          <w:szCs w:val="24"/>
        </w:rPr>
        <w:t xml:space="preserve"> environment for investment in telecommunications infrastructure by encouraging all Member States to:</w:t>
      </w:r>
    </w:p>
    <w:p w:rsidR="007D1F2C" w:rsidRDefault="00AC1CD6" w:rsidP="0040201F">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provide policy leadership for investment, including open consultations on necessary policy and legal frameworks;</w:t>
      </w:r>
    </w:p>
    <w:p w:rsidR="007D1F2C" w:rsidRDefault="00AC1CD6" w:rsidP="0040201F">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open telecommunications markets to competition through licensing and taxation reforms, including transparent licensing regimes;</w:t>
      </w:r>
    </w:p>
    <w:p w:rsidR="007D1F2C" w:rsidRDefault="00AC1CD6" w:rsidP="0040201F">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enable government services that will stimulate demand for and investment in telecommunications, especially in developing countries;</w:t>
      </w:r>
    </w:p>
    <w:p w:rsidR="007D1F2C" w:rsidRDefault="00AC1CD6" w:rsidP="0040201F">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establish a universal service program to support telecommunications infrastructure investment; and</w:t>
      </w:r>
    </w:p>
    <w:p w:rsidR="007D1F2C" w:rsidRDefault="00AC1CD6" w:rsidP="0040201F">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encourage efficient and innovative mobile broadband practices for new market entrants and consumers,</w:t>
      </w:r>
    </w:p>
    <w:p w:rsidR="007D1F2C" w:rsidRDefault="00AC1CD6" w:rsidP="0040201F">
      <w:pPr>
        <w:spacing w:before="160" w:after="0" w:line="240" w:lineRule="auto"/>
        <w:ind w:left="720"/>
        <w:jc w:val="both"/>
        <w:rPr>
          <w:rFonts w:cs="Times New Roman"/>
          <w:i/>
          <w:sz w:val="24"/>
          <w:szCs w:val="24"/>
        </w:rPr>
      </w:pPr>
      <w:proofErr w:type="gramStart"/>
      <w:r w:rsidRPr="00AC1CD6">
        <w:rPr>
          <w:rFonts w:cs="Times New Roman"/>
          <w:i/>
          <w:sz w:val="24"/>
          <w:szCs w:val="24"/>
        </w:rPr>
        <w:t>noting</w:t>
      </w:r>
      <w:proofErr w:type="gramEnd"/>
    </w:p>
    <w:p w:rsidR="007D1F2C" w:rsidRDefault="00AC1CD6" w:rsidP="0040201F">
      <w:pPr>
        <w:pStyle w:val="ListParagraph"/>
        <w:numPr>
          <w:ilvl w:val="0"/>
          <w:numId w:val="36"/>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7D1F2C" w:rsidRDefault="00AC1CD6" w:rsidP="0040201F">
      <w:pPr>
        <w:pStyle w:val="ListParagraph"/>
        <w:numPr>
          <w:ilvl w:val="0"/>
          <w:numId w:val="36"/>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establishment of the Broadband Commission for Digital Development at the invitation of the Secretary-General of the ITU and the Director General of UNESCO, and taking note of the Commission Report entitled “A 2010 Leadership Imperative: The Future Built on Broadband”, which calls for broadband-friendly practice and policies towards the attainment of the internationally agreed development goals, including the UN Millennium Development Goals,</w:t>
      </w:r>
    </w:p>
    <w:p w:rsidR="007D1F2C" w:rsidRDefault="00AC1CD6" w:rsidP="0040201F">
      <w:pPr>
        <w:spacing w:before="160" w:after="0" w:line="240" w:lineRule="auto"/>
        <w:ind w:left="360" w:firstLine="360"/>
        <w:jc w:val="both"/>
        <w:rPr>
          <w:rFonts w:cs="Times New Roman"/>
          <w:i/>
          <w:sz w:val="24"/>
          <w:szCs w:val="24"/>
        </w:rPr>
      </w:pPr>
      <w:proofErr w:type="gramStart"/>
      <w:r w:rsidRPr="00AC1CD6">
        <w:rPr>
          <w:rFonts w:cs="Times New Roman"/>
          <w:i/>
          <w:sz w:val="24"/>
          <w:szCs w:val="24"/>
        </w:rPr>
        <w:t>is</w:t>
      </w:r>
      <w:proofErr w:type="gramEnd"/>
      <w:r w:rsidRPr="00AC1CD6">
        <w:rPr>
          <w:rFonts w:cs="Times New Roman"/>
          <w:i/>
          <w:sz w:val="24"/>
          <w:szCs w:val="24"/>
        </w:rPr>
        <w:t xml:space="preserve"> of the view</w:t>
      </w:r>
    </w:p>
    <w:p w:rsidR="007D1F2C" w:rsidRDefault="00AC1CD6" w:rsidP="0040201F">
      <w:pPr>
        <w:spacing w:before="160" w:after="0" w:line="240" w:lineRule="auto"/>
        <w:jc w:val="both"/>
        <w:rPr>
          <w:rFonts w:cs="Times New Roman"/>
          <w:sz w:val="24"/>
          <w:szCs w:val="24"/>
        </w:rPr>
      </w:pPr>
      <w:proofErr w:type="gramStart"/>
      <w:r w:rsidRPr="00AC1CD6">
        <w:rPr>
          <w:rFonts w:cs="Times New Roman"/>
          <w:sz w:val="24"/>
          <w:szCs w:val="24"/>
        </w:rPr>
        <w:t>that</w:t>
      </w:r>
      <w:proofErr w:type="gramEnd"/>
      <w:r w:rsidRPr="00AC1CD6">
        <w:rPr>
          <w:rFonts w:cs="Times New Roman"/>
          <w:sz w:val="24"/>
          <w:szCs w:val="24"/>
        </w:rPr>
        <w:t xml:space="preserve"> Member States, Sector Members and other interested stakeholders should undertake all efforts to foster an enabling environment for the greater growth and development of  broadband connectivity,</w:t>
      </w:r>
    </w:p>
    <w:p w:rsidR="007D1F2C" w:rsidRDefault="00AC1CD6" w:rsidP="0040201F">
      <w:pPr>
        <w:spacing w:before="160" w:after="0" w:line="240" w:lineRule="auto"/>
        <w:ind w:left="360" w:firstLine="360"/>
        <w:jc w:val="both"/>
        <w:rPr>
          <w:rFonts w:cs="Times New Roman"/>
          <w:i/>
          <w:sz w:val="24"/>
          <w:szCs w:val="24"/>
        </w:rPr>
      </w:pPr>
      <w:proofErr w:type="gramStart"/>
      <w:r w:rsidRPr="00AC1CD6">
        <w:rPr>
          <w:rFonts w:cs="Times New Roman"/>
          <w:i/>
          <w:sz w:val="24"/>
          <w:szCs w:val="24"/>
        </w:rPr>
        <w:t>invites</w:t>
      </w:r>
      <w:proofErr w:type="gramEnd"/>
      <w:r w:rsidRPr="00AC1CD6">
        <w:rPr>
          <w:rFonts w:cs="Times New Roman"/>
          <w:i/>
          <w:sz w:val="24"/>
          <w:szCs w:val="24"/>
        </w:rPr>
        <w:t xml:space="preserve"> Member States,</w:t>
      </w:r>
    </w:p>
    <w:p w:rsidR="007D1F2C" w:rsidRDefault="00AC1CD6" w:rsidP="0040201F">
      <w:pPr>
        <w:pStyle w:val="ListParagraph"/>
        <w:numPr>
          <w:ilvl w:val="0"/>
          <w:numId w:val="37"/>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to create and promote widespread affordable access to telecommunication infrastructure by enabling legal and regulatory environments, and develop policies that are fair, transparent, stable, predictable and non-discriminatory; and that promote competition, foster continued technological and service innovation, and encourage private sector investment incentives;</w:t>
      </w:r>
    </w:p>
    <w:p w:rsidR="007D1F2C" w:rsidRDefault="007D1F2C" w:rsidP="0040201F">
      <w:pPr>
        <w:pStyle w:val="ListParagraph"/>
        <w:tabs>
          <w:tab w:val="left" w:pos="567"/>
        </w:tabs>
        <w:spacing w:before="160" w:after="0" w:line="240" w:lineRule="auto"/>
        <w:ind w:left="0"/>
        <w:contextualSpacing w:val="0"/>
        <w:jc w:val="both"/>
        <w:rPr>
          <w:rFonts w:cs="Times New Roman"/>
          <w:sz w:val="24"/>
          <w:szCs w:val="24"/>
        </w:rPr>
      </w:pPr>
    </w:p>
    <w:p w:rsidR="007D1F2C" w:rsidRDefault="00AC1CD6" w:rsidP="0040201F">
      <w:pPr>
        <w:pStyle w:val="ListParagraph"/>
        <w:numPr>
          <w:ilvl w:val="0"/>
          <w:numId w:val="37"/>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to review their current regulatory frameworks with a view to adopting a competition-oriented approach with respect to IP-based networks in order to achieve clearly defined public policy goals, taking into account, </w:t>
      </w:r>
      <w:r w:rsidRPr="00AC1CD6">
        <w:rPr>
          <w:rFonts w:cs="Times New Roman"/>
          <w:i/>
          <w:sz w:val="24"/>
          <w:szCs w:val="24"/>
        </w:rPr>
        <w:t>inter alia</w:t>
      </w:r>
      <w:r w:rsidRPr="00AC1CD6">
        <w:rPr>
          <w:rFonts w:cs="Times New Roman"/>
          <w:sz w:val="24"/>
          <w:szCs w:val="24"/>
        </w:rPr>
        <w:t xml:space="preserve">, the concept of technology neutrality, </w:t>
      </w:r>
    </w:p>
    <w:p w:rsidR="007D1F2C" w:rsidRDefault="00AC1CD6" w:rsidP="0040201F">
      <w:pPr>
        <w:spacing w:before="160" w:after="0" w:line="240" w:lineRule="auto"/>
        <w:ind w:firstLine="720"/>
        <w:jc w:val="both"/>
        <w:rPr>
          <w:rFonts w:cs="Times New Roman"/>
          <w:i/>
          <w:sz w:val="24"/>
          <w:szCs w:val="24"/>
        </w:rPr>
      </w:pPr>
      <w:proofErr w:type="gramStart"/>
      <w:r w:rsidRPr="00AC1CD6">
        <w:rPr>
          <w:rFonts w:cs="Times New Roman"/>
          <w:i/>
          <w:sz w:val="24"/>
          <w:szCs w:val="24"/>
        </w:rPr>
        <w:t>invites</w:t>
      </w:r>
      <w:proofErr w:type="gramEnd"/>
      <w:r w:rsidRPr="00AC1CD6">
        <w:rPr>
          <w:rFonts w:cs="Times New Roman"/>
          <w:i/>
          <w:sz w:val="24"/>
          <w:szCs w:val="24"/>
        </w:rPr>
        <w:t xml:space="preserve"> Member States, Sector Members and all  interested stakeholders, </w:t>
      </w:r>
    </w:p>
    <w:p w:rsidR="007D1F2C" w:rsidRDefault="00AC1CD6" w:rsidP="0040201F">
      <w:pPr>
        <w:spacing w:before="160" w:after="0" w:line="240" w:lineRule="auto"/>
        <w:jc w:val="both"/>
        <w:rPr>
          <w:rFonts w:cs="Times New Roman"/>
          <w:sz w:val="24"/>
          <w:szCs w:val="24"/>
        </w:rPr>
      </w:pPr>
      <w:r w:rsidRPr="00AC1CD6">
        <w:rPr>
          <w:rFonts w:cs="Times New Roman"/>
          <w:sz w:val="24"/>
          <w:szCs w:val="24"/>
        </w:rPr>
        <w:t>to continue to work, as appropriate,  in the activities of ITU, and in all international, regional and national forums considering the subject of broadband connectivity, to share best practices regarding the implementation of progressive regulatory regimes designed to liberalize markets, promote competition and stimulate investment,</w:t>
      </w:r>
    </w:p>
    <w:p w:rsidR="007D1F2C" w:rsidRDefault="00AC1CD6" w:rsidP="0040201F">
      <w:pPr>
        <w:spacing w:before="160" w:after="0" w:line="240" w:lineRule="auto"/>
        <w:ind w:left="360" w:firstLine="360"/>
        <w:jc w:val="both"/>
        <w:rPr>
          <w:rFonts w:cs="Times New Roman"/>
          <w:i/>
          <w:sz w:val="24"/>
          <w:szCs w:val="24"/>
        </w:rPr>
      </w:pPr>
      <w:proofErr w:type="gramStart"/>
      <w:r w:rsidRPr="00AC1CD6">
        <w:rPr>
          <w:rFonts w:cs="Times New Roman"/>
          <w:i/>
          <w:sz w:val="24"/>
          <w:szCs w:val="24"/>
        </w:rPr>
        <w:t>requests</w:t>
      </w:r>
      <w:proofErr w:type="gramEnd"/>
      <w:r w:rsidRPr="00AC1CD6">
        <w:rPr>
          <w:rFonts w:cs="Times New Roman"/>
          <w:i/>
          <w:sz w:val="24"/>
          <w:szCs w:val="24"/>
        </w:rPr>
        <w:t xml:space="preserve"> the Secretary-General</w:t>
      </w:r>
    </w:p>
    <w:p w:rsidR="007D1F2C" w:rsidRDefault="00AC1CD6" w:rsidP="0040201F">
      <w:pPr>
        <w:spacing w:before="160" w:after="0" w:line="240" w:lineRule="auto"/>
        <w:jc w:val="both"/>
        <w:rPr>
          <w:rFonts w:cs="Times New Roman"/>
          <w:sz w:val="24"/>
          <w:szCs w:val="24"/>
        </w:rPr>
      </w:pPr>
      <w:proofErr w:type="gramStart"/>
      <w:r w:rsidRPr="00AC1CD6">
        <w:rPr>
          <w:rFonts w:cs="Times New Roman"/>
          <w:sz w:val="24"/>
          <w:szCs w:val="24"/>
        </w:rPr>
        <w:t>to</w:t>
      </w:r>
      <w:proofErr w:type="gramEnd"/>
      <w:r w:rsidRPr="00AC1CD6">
        <w:rPr>
          <w:rFonts w:cs="Times New Roman"/>
          <w:sz w:val="24"/>
          <w:szCs w:val="24"/>
        </w:rPr>
        <w:t xml:space="preserve"> ensure the effective implementation of the relevant ITU </w:t>
      </w:r>
      <w:proofErr w:type="spellStart"/>
      <w:r w:rsidRPr="00AC1CD6">
        <w:rPr>
          <w:rFonts w:cs="Times New Roman"/>
          <w:sz w:val="24"/>
          <w:szCs w:val="24"/>
        </w:rPr>
        <w:t>programmes</w:t>
      </w:r>
      <w:proofErr w:type="spellEnd"/>
      <w:r w:rsidRPr="00AC1CD6">
        <w:rPr>
          <w:rFonts w:cs="Times New Roman"/>
          <w:sz w:val="24"/>
          <w:szCs w:val="24"/>
        </w:rPr>
        <w:t xml:space="preserve"> and activities, including the WSIS outcomes, through the promotion and strengthening of cooperation in the development of broadband connectivity.</w:t>
      </w:r>
    </w:p>
    <w:p w:rsidR="007D1F2C" w:rsidRDefault="007D1F2C" w:rsidP="0040201F">
      <w:pPr>
        <w:spacing w:before="160" w:after="0" w:line="240" w:lineRule="auto"/>
        <w:jc w:val="both"/>
        <w:rPr>
          <w:rFonts w:cs="Times New Roman"/>
          <w:sz w:val="24"/>
          <w:szCs w:val="24"/>
        </w:rPr>
      </w:pPr>
    </w:p>
    <w:p w:rsidR="007D1F2C" w:rsidRDefault="00AC1CD6" w:rsidP="0040201F">
      <w:pPr>
        <w:spacing w:before="160" w:after="0" w:line="240" w:lineRule="auto"/>
        <w:jc w:val="center"/>
        <w:rPr>
          <w:rFonts w:cs="Times New Roman"/>
          <w:sz w:val="24"/>
          <w:szCs w:val="24"/>
        </w:rPr>
      </w:pPr>
      <w:r w:rsidRPr="00AC1CD6">
        <w:rPr>
          <w:rFonts w:cs="Times New Roman"/>
          <w:sz w:val="24"/>
          <w:szCs w:val="24"/>
        </w:rPr>
        <w:t>____________________________</w:t>
      </w:r>
    </w:p>
    <w:p w:rsidR="007D1F2C" w:rsidRDefault="00AC1CD6" w:rsidP="0040201F">
      <w:pPr>
        <w:spacing w:before="160" w:after="0" w:line="240" w:lineRule="auto"/>
        <w:rPr>
          <w:rFonts w:cs="Times New Roman"/>
          <w:sz w:val="24"/>
          <w:szCs w:val="24"/>
        </w:rPr>
      </w:pPr>
      <w:r w:rsidRPr="00AC1CD6">
        <w:rPr>
          <w:rFonts w:cs="Times New Roman"/>
          <w:sz w:val="24"/>
          <w:szCs w:val="24"/>
        </w:rPr>
        <w:br w:type="page"/>
      </w:r>
    </w:p>
    <w:p w:rsidR="007D1F2C" w:rsidRDefault="007D1F2C" w:rsidP="0040201F">
      <w:pPr>
        <w:pStyle w:val="Equation"/>
        <w:tabs>
          <w:tab w:val="left" w:pos="1191"/>
          <w:tab w:val="left" w:pos="1588"/>
          <w:tab w:val="left" w:pos="1985"/>
        </w:tabs>
        <w:spacing w:before="160"/>
        <w:jc w:val="center"/>
        <w:rPr>
          <w:rFonts w:asciiTheme="minorHAnsi" w:hAnsiTheme="minorHAnsi"/>
          <w:b/>
          <w:bCs/>
          <w:szCs w:val="24"/>
        </w:rPr>
      </w:pPr>
    </w:p>
    <w:p w:rsidR="007D1F2C" w:rsidRDefault="00AC1CD6" w:rsidP="0040201F">
      <w:pPr>
        <w:pStyle w:val="Equation"/>
        <w:tabs>
          <w:tab w:val="left" w:pos="1191"/>
          <w:tab w:val="left" w:pos="1588"/>
          <w:tab w:val="left" w:pos="1985"/>
        </w:tabs>
        <w:spacing w:before="160"/>
        <w:jc w:val="center"/>
        <w:rPr>
          <w:rFonts w:asciiTheme="minorHAnsi" w:hAnsiTheme="minorHAnsi"/>
          <w:b/>
          <w:bCs/>
          <w:szCs w:val="24"/>
        </w:rPr>
      </w:pPr>
      <w:r w:rsidRPr="00AC1CD6">
        <w:rPr>
          <w:rFonts w:asciiTheme="minorHAnsi" w:hAnsiTheme="minorHAnsi"/>
          <w:b/>
          <w:bCs/>
          <w:szCs w:val="24"/>
        </w:rPr>
        <w:t>DRAFT OPINION 3:  Supporting Capacity Building for the deployment of IPv6</w:t>
      </w:r>
    </w:p>
    <w:p w:rsidR="007D1F2C" w:rsidRDefault="00AC1CD6" w:rsidP="0040201F">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considering</w:t>
      </w:r>
      <w:proofErr w:type="gramEnd"/>
    </w:p>
    <w:p w:rsidR="007D1F2C" w:rsidRDefault="00AC1CD6" w:rsidP="0040201F">
      <w:pPr>
        <w:tabs>
          <w:tab w:val="left" w:pos="567"/>
          <w:tab w:val="left" w:pos="1440"/>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 xml:space="preserve">the success of </w:t>
      </w:r>
      <w:r w:rsidRPr="00AC1CD6">
        <w:rPr>
          <w:rFonts w:eastAsia="Arial" w:cs="Times New Roman"/>
          <w:sz w:val="24"/>
          <w:szCs w:val="24"/>
          <w:lang w:val="en-CA"/>
        </w:rPr>
        <w:t xml:space="preserve">WTSA Resolution 64 (Rev. Dubai 2012) on the subject of IP address allocation and encouraging the deployment of IPv6 which, </w:t>
      </w:r>
      <w:r w:rsidRPr="00AC1CD6">
        <w:rPr>
          <w:rFonts w:eastAsia="Arial" w:cs="Times New Roman"/>
          <w:i/>
          <w:sz w:val="24"/>
          <w:szCs w:val="24"/>
          <w:lang w:val="en-CA"/>
        </w:rPr>
        <w:t>inter alia</w:t>
      </w:r>
      <w:r w:rsidRPr="00AC1CD6">
        <w:rPr>
          <w:rFonts w:eastAsia="Arial" w:cs="Times New Roman"/>
          <w:sz w:val="24"/>
          <w:szCs w:val="24"/>
          <w:lang w:val="en-CA"/>
        </w:rPr>
        <w:t>, instructed the Director of the TSB in close collaboration with the Director of the BDT to undertake tasks;</w:t>
      </w:r>
    </w:p>
    <w:p w:rsidR="007D1F2C" w:rsidRDefault="00AC1CD6" w:rsidP="0040201F">
      <w:pPr>
        <w:tabs>
          <w:tab w:val="left" w:pos="567"/>
          <w:tab w:val="left" w:pos="1440"/>
        </w:tabs>
        <w:spacing w:before="160" w:after="0" w:line="240" w:lineRule="auto"/>
        <w:jc w:val="both"/>
        <w:rPr>
          <w:rFonts w:eastAsia="Calibri" w:cs="Times New Roman"/>
          <w:sz w:val="24"/>
          <w:szCs w:val="24"/>
        </w:rPr>
      </w:pPr>
      <w:r w:rsidRPr="00AC1CD6">
        <w:rPr>
          <w:rFonts w:cs="Times New Roman"/>
          <w:sz w:val="24"/>
          <w:szCs w:val="24"/>
        </w:rPr>
        <w:t>b)</w:t>
      </w:r>
      <w:r w:rsidRPr="00AC1CD6">
        <w:rPr>
          <w:rFonts w:cs="Times New Roman"/>
          <w:sz w:val="24"/>
          <w:szCs w:val="24"/>
        </w:rPr>
        <w:tab/>
        <w:t>Plenipotentiary Resolution 180 (Guadalajara 2010) on Facilitating the transition from IPv4 to IPv6;</w:t>
      </w:r>
    </w:p>
    <w:p w:rsidR="007D1F2C" w:rsidRDefault="009459EA" w:rsidP="0040201F">
      <w:pPr>
        <w:tabs>
          <w:tab w:val="left" w:pos="567"/>
        </w:tabs>
        <w:spacing w:before="160" w:after="0" w:line="240" w:lineRule="auto"/>
        <w:jc w:val="both"/>
        <w:outlineLvl w:val="0"/>
        <w:rPr>
          <w:rFonts w:cs="Times New Roman"/>
          <w:sz w:val="24"/>
          <w:szCs w:val="24"/>
        </w:rPr>
      </w:pPr>
      <w:r>
        <w:rPr>
          <w:rFonts w:cs="Times New Roman"/>
          <w:sz w:val="24"/>
          <w:szCs w:val="24"/>
        </w:rPr>
        <w:t>c)</w:t>
      </w:r>
      <w:r w:rsidR="00AC1CD6" w:rsidRPr="00AC1CD6">
        <w:rPr>
          <w:rFonts w:cs="Times New Roman"/>
          <w:sz w:val="24"/>
          <w:szCs w:val="24"/>
        </w:rPr>
        <w:tab/>
      </w:r>
      <w:proofErr w:type="gramStart"/>
      <w:r w:rsidR="00AC1CD6" w:rsidRPr="00AC1CD6">
        <w:rPr>
          <w:rFonts w:cs="Times New Roman"/>
          <w:sz w:val="24"/>
          <w:szCs w:val="24"/>
        </w:rPr>
        <w:t>the</w:t>
      </w:r>
      <w:proofErr w:type="gramEnd"/>
      <w:r w:rsidR="00AC1CD6" w:rsidRPr="00AC1CD6">
        <w:rPr>
          <w:rFonts w:cs="Times New Roman"/>
          <w:sz w:val="24"/>
          <w:szCs w:val="24"/>
        </w:rPr>
        <w:t xml:space="preserve"> work of the IPv6 working group, that was established by the Council at its 2009 session and relevant discussions in WTSA-12 Dubai;</w:t>
      </w:r>
    </w:p>
    <w:p w:rsidR="007D1F2C" w:rsidRDefault="009459EA" w:rsidP="0040201F">
      <w:pPr>
        <w:tabs>
          <w:tab w:val="left" w:pos="567"/>
        </w:tabs>
        <w:spacing w:before="160" w:after="0" w:line="240" w:lineRule="auto"/>
        <w:jc w:val="both"/>
        <w:outlineLvl w:val="0"/>
        <w:rPr>
          <w:rFonts w:cs="Times New Roman"/>
          <w:sz w:val="24"/>
          <w:szCs w:val="24"/>
        </w:rPr>
      </w:pPr>
      <w:r>
        <w:rPr>
          <w:rFonts w:cs="Times New Roman"/>
          <w:sz w:val="24"/>
          <w:szCs w:val="24"/>
        </w:rPr>
        <w:t>d)</w:t>
      </w:r>
      <w:r w:rsidR="00AC1CD6" w:rsidRPr="00AC1CD6">
        <w:rPr>
          <w:rFonts w:cs="Times New Roman"/>
          <w:sz w:val="24"/>
          <w:szCs w:val="24"/>
        </w:rPr>
        <w:tab/>
        <w:t>WTPF Opinion 5 (Lisbon, 2009) calling for acceleration of activities related to WTSA Resolution 64;</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work of BDT and TSB already undertaken on the subject of IPv6;</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 address allocation and deployment is an important issue for Member States and Sector Members; </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ongoing work of the RIRs, ISOC and other stakeholders in the areas of IPv4, IPv6 in relevant capacity building,</w:t>
      </w:r>
    </w:p>
    <w:p w:rsidR="007D1F2C" w:rsidRDefault="00AC1CD6" w:rsidP="0040201F">
      <w:pPr>
        <w:tabs>
          <w:tab w:val="left" w:pos="720"/>
        </w:tabs>
        <w:spacing w:before="160" w:after="0" w:line="240" w:lineRule="auto"/>
        <w:jc w:val="both"/>
        <w:outlineLvl w:val="0"/>
        <w:rPr>
          <w:rFonts w:cs="Times New Roman"/>
          <w:b/>
          <w:sz w:val="24"/>
          <w:szCs w:val="24"/>
        </w:rPr>
      </w:pPr>
      <w:r w:rsidRPr="00AC1CD6">
        <w:rPr>
          <w:rFonts w:cs="Times New Roman"/>
          <w:i/>
          <w:sz w:val="24"/>
          <w:szCs w:val="24"/>
        </w:rPr>
        <w:tab/>
      </w:r>
      <w:proofErr w:type="gramStart"/>
      <w:r w:rsidRPr="00AC1CD6">
        <w:rPr>
          <w:rFonts w:cs="Times New Roman"/>
          <w:i/>
          <w:sz w:val="24"/>
          <w:szCs w:val="24"/>
        </w:rPr>
        <w:t>recognizing</w:t>
      </w:r>
      <w:proofErr w:type="gramEnd"/>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IANA has allocated the last IPv4 blocks to the RIRs;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RIRs have put in place measures to manage the remaining IPv4 blocks;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migration to IPv6 is gaining speed and that many prominent international web-based businesses have already implemented IPv6 portals;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 xml:space="preserve">that IPv6 extremely large address space enables global connectivity to many more electronic devices, mobile phones, laptops, in-vehicle computers, televisions, cameras, building sensors, medical devices, </w:t>
      </w:r>
      <w:proofErr w:type="spellStart"/>
      <w:r w:rsidRPr="00AC1CD6">
        <w:rPr>
          <w:rFonts w:cs="Times New Roman"/>
          <w:sz w:val="24"/>
          <w:szCs w:val="24"/>
        </w:rPr>
        <w:t>etc</w:t>
      </w:r>
      <w:proofErr w:type="spellEnd"/>
      <w:r w:rsidRPr="00AC1CD6">
        <w:rPr>
          <w:rFonts w:cs="Times New Roman"/>
          <w:sz w:val="24"/>
          <w:szCs w:val="24"/>
        </w:rPr>
        <w:t>;</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IPv6’s security, when enabled and configured with the appropriate key infrastructure, in form of IPsec, will enhance authentication, encryption, and integrity protection at the network layer;</w:t>
      </w:r>
    </w:p>
    <w:p w:rsidR="007D1F2C" w:rsidRDefault="00AC1CD6" w:rsidP="0040201F">
      <w:pPr>
        <w:tabs>
          <w:tab w:val="left" w:pos="567"/>
        </w:tabs>
        <w:spacing w:before="160" w:after="0" w:line="240" w:lineRule="auto"/>
        <w:jc w:val="both"/>
        <w:outlineLvl w:val="0"/>
        <w:rPr>
          <w:rFonts w:cs="Times New Roman"/>
          <w:sz w:val="24"/>
          <w:szCs w:val="24"/>
        </w:rPr>
      </w:pPr>
      <w:proofErr w:type="gramStart"/>
      <w:r w:rsidRPr="00AC1CD6">
        <w:rPr>
          <w:rFonts w:cs="Times New Roman"/>
          <w:sz w:val="24"/>
          <w:szCs w:val="24"/>
        </w:rPr>
        <w:t>f</w:t>
      </w:r>
      <w:proofErr w:type="gramEnd"/>
      <w:r w:rsidRPr="00AC1CD6">
        <w:rPr>
          <w:rFonts w:cs="Times New Roman"/>
          <w:sz w:val="24"/>
          <w:szCs w:val="24"/>
        </w:rPr>
        <w:t>)</w:t>
      </w:r>
      <w:r w:rsidRPr="00AC1CD6">
        <w:rPr>
          <w:rFonts w:cs="Times New Roman"/>
          <w:sz w:val="24"/>
          <w:szCs w:val="24"/>
        </w:rPr>
        <w:tab/>
        <w:t>that, nevertheless, the proportion of IPv6 traffic on the Internet remains very small;</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that, because of the opportunity to operate IPv4 and IPv6 in parallel, via either dual stack or tunneling operation, there will be a need for IPv4 addresses for an indeterminate period until a critical mass of web-based services is available via IPv6 addresses;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h)</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new entrant Internet service providers will continue to require access to IPv4 addresses for an indeterminate time;</w:t>
      </w:r>
    </w:p>
    <w:p w:rsidR="007D1F2C" w:rsidRDefault="00AC1CD6" w:rsidP="0040201F">
      <w:pPr>
        <w:tabs>
          <w:tab w:val="left" w:pos="567"/>
        </w:tabs>
        <w:spacing w:before="160" w:after="0" w:line="240" w:lineRule="auto"/>
        <w:jc w:val="both"/>
        <w:outlineLvl w:val="0"/>
        <w:rPr>
          <w:rFonts w:cs="Times New Roman"/>
          <w:sz w:val="24"/>
          <w:szCs w:val="24"/>
        </w:rPr>
      </w:pPr>
      <w:proofErr w:type="spellStart"/>
      <w:r w:rsidRPr="00AC1CD6">
        <w:rPr>
          <w:rFonts w:cs="Times New Roman"/>
          <w:sz w:val="24"/>
          <w:szCs w:val="24"/>
        </w:rPr>
        <w:lastRenderedPageBreak/>
        <w:t>i</w:t>
      </w:r>
      <w:proofErr w:type="spellEnd"/>
      <w:r w:rsidRPr="00AC1CD6">
        <w:rPr>
          <w:rFonts w:cs="Times New Roman"/>
          <w:sz w:val="24"/>
          <w:szCs w:val="24"/>
        </w:rPr>
        <w:t>)</w:t>
      </w:r>
      <w:r w:rsidRPr="00AC1CD6">
        <w:rPr>
          <w:rFonts w:cs="Times New Roman"/>
          <w:sz w:val="24"/>
          <w:szCs w:val="24"/>
        </w:rPr>
        <w:tab/>
        <w:t>that the RIRs have developed special policies for the distribution of final blocks of IPv4 addresses aimed to ensure that new and emerging networks receive a small amount of IPv4 for the foreseeable future;</w:t>
      </w:r>
    </w:p>
    <w:p w:rsidR="007D1F2C" w:rsidRDefault="00AC1CD6" w:rsidP="0040201F">
      <w:pPr>
        <w:tabs>
          <w:tab w:val="left" w:pos="567"/>
        </w:tabs>
        <w:spacing w:before="160" w:after="0" w:line="240" w:lineRule="auto"/>
        <w:jc w:val="both"/>
        <w:outlineLvl w:val="0"/>
        <w:rPr>
          <w:rFonts w:cs="Times New Roman"/>
          <w:color w:val="000000"/>
          <w:sz w:val="24"/>
          <w:szCs w:val="24"/>
        </w:rPr>
      </w:pPr>
      <w:r w:rsidRPr="00AC1CD6">
        <w:rPr>
          <w:rFonts w:cs="Times New Roman"/>
          <w:sz w:val="24"/>
          <w:szCs w:val="24"/>
        </w:rPr>
        <w:t>j)</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some RIRs are seeking to reclaim the IPv4 address space that was allocated in large blocks to individual companies and organizations prior to the establishment of the RIRs;</w:t>
      </w:r>
    </w:p>
    <w:p w:rsidR="007D1F2C" w:rsidRDefault="00AC1CD6" w:rsidP="0040201F">
      <w:pPr>
        <w:tabs>
          <w:tab w:val="left" w:pos="567"/>
          <w:tab w:val="left" w:pos="1440"/>
        </w:tabs>
        <w:autoSpaceDE w:val="0"/>
        <w:autoSpaceDN w:val="0"/>
        <w:adjustRightInd w:val="0"/>
        <w:spacing w:before="160" w:after="0" w:line="240" w:lineRule="auto"/>
        <w:jc w:val="both"/>
        <w:rPr>
          <w:rFonts w:eastAsia="Arial" w:cs="Times New Roman"/>
          <w:sz w:val="24"/>
          <w:szCs w:val="24"/>
        </w:rPr>
      </w:pPr>
      <w:r w:rsidRPr="00AC1CD6">
        <w:rPr>
          <w:rFonts w:cs="Times New Roman"/>
          <w:sz w:val="24"/>
          <w:szCs w:val="24"/>
        </w:rPr>
        <w:t>k)</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a growing market has developed in the transfer of IPv4 addresses between entities and that the overwhelming proportion of transferred addresses are from legacy allocations which are not subject to the policies of the RIRs;</w:t>
      </w:r>
    </w:p>
    <w:p w:rsidR="007D1F2C" w:rsidRDefault="009459EA" w:rsidP="0040201F">
      <w:pPr>
        <w:tabs>
          <w:tab w:val="left" w:pos="567"/>
          <w:tab w:val="left" w:pos="1440"/>
        </w:tabs>
        <w:autoSpaceDE w:val="0"/>
        <w:autoSpaceDN w:val="0"/>
        <w:adjustRightInd w:val="0"/>
        <w:spacing w:before="160" w:after="0" w:line="240" w:lineRule="auto"/>
        <w:jc w:val="both"/>
        <w:rPr>
          <w:rFonts w:eastAsia="Arial" w:cs="Times New Roman"/>
          <w:sz w:val="24"/>
          <w:szCs w:val="24"/>
        </w:rPr>
      </w:pPr>
      <w:r>
        <w:rPr>
          <w:rFonts w:eastAsia="Arial" w:cs="Times New Roman"/>
          <w:sz w:val="24"/>
          <w:szCs w:val="24"/>
        </w:rPr>
        <w:t>l)</w:t>
      </w:r>
      <w:r w:rsidR="00AC1CD6" w:rsidRPr="00AC1CD6">
        <w:rPr>
          <w:rFonts w:eastAsia="Arial" w:cs="Times New Roman"/>
          <w:sz w:val="24"/>
          <w:szCs w:val="24"/>
        </w:rPr>
        <w:tab/>
      </w:r>
      <w:proofErr w:type="gramStart"/>
      <w:r w:rsidR="00AC1CD6" w:rsidRPr="00AC1CD6">
        <w:rPr>
          <w:rFonts w:eastAsia="Arial" w:cs="Times New Roman"/>
          <w:sz w:val="24"/>
          <w:szCs w:val="24"/>
        </w:rPr>
        <w:t>that</w:t>
      </w:r>
      <w:proofErr w:type="gramEnd"/>
      <w:r w:rsidR="00AC1CD6" w:rsidRPr="00AC1CD6">
        <w:rPr>
          <w:rFonts w:eastAsia="Arial" w:cs="Times New Roman"/>
          <w:sz w:val="24"/>
          <w:szCs w:val="24"/>
        </w:rPr>
        <w:t xml:space="preserve"> the Directors of the TSB and BDT have</w:t>
      </w:r>
      <w:r w:rsidR="00AF1A95">
        <w:rPr>
          <w:rFonts w:eastAsia="Arial" w:cs="Times New Roman"/>
          <w:sz w:val="24"/>
          <w:szCs w:val="24"/>
        </w:rPr>
        <w:t>,</w:t>
      </w:r>
      <w:r w:rsidR="00AC1CD6" w:rsidRPr="00AC1CD6">
        <w:rPr>
          <w:rFonts w:eastAsia="Arial" w:cs="Times New Roman"/>
          <w:sz w:val="24"/>
          <w:szCs w:val="24"/>
        </w:rPr>
        <w:t xml:space="preserve"> </w:t>
      </w:r>
    </w:p>
    <w:p w:rsidR="007D1F2C" w:rsidRDefault="00AC1CD6" w:rsidP="0040201F">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1)</w:t>
      </w:r>
      <w:r w:rsidRPr="00AC1CD6">
        <w:rPr>
          <w:rFonts w:eastAsia="Arial" w:cs="Times New Roman"/>
          <w:sz w:val="24"/>
          <w:szCs w:val="24"/>
        </w:rPr>
        <w:tab/>
        <w:t xml:space="preserve">initiated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7D1F2C" w:rsidRDefault="00AC1CD6" w:rsidP="0040201F">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2)</w:t>
      </w:r>
      <w:r w:rsidRPr="00AC1CD6">
        <w:rPr>
          <w:rFonts w:eastAsia="Arial" w:cs="Times New Roman"/>
          <w:sz w:val="24"/>
          <w:szCs w:val="24"/>
        </w:rPr>
        <w:tab/>
        <w:t>established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(RIRs), Local Internet Registries (LIRs), operator groups, the Internet Society (ISOC));</w:t>
      </w:r>
    </w:p>
    <w:p w:rsidR="007D1F2C" w:rsidRDefault="00AC1CD6" w:rsidP="0040201F">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3)</w:t>
      </w:r>
      <w:r w:rsidRPr="00AC1CD6">
        <w:rPr>
          <w:rFonts w:eastAsia="Arial" w:cs="Times New Roman"/>
          <w:sz w:val="24"/>
          <w:szCs w:val="24"/>
        </w:rPr>
        <w:tab/>
      </w:r>
      <w:proofErr w:type="gramStart"/>
      <w:r w:rsidRPr="00AC1CD6">
        <w:rPr>
          <w:rFonts w:eastAsia="Arial" w:cs="Times New Roman"/>
          <w:sz w:val="24"/>
          <w:szCs w:val="24"/>
        </w:rPr>
        <w:t>promoted</w:t>
      </w:r>
      <w:proofErr w:type="gramEnd"/>
      <w:r w:rsidRPr="00AC1CD6">
        <w:rPr>
          <w:rFonts w:eastAsia="Arial" w:cs="Times New Roman"/>
          <w:sz w:val="24"/>
          <w:szCs w:val="24"/>
        </w:rPr>
        <w:t xml:space="preserve"> awareness of the importance of IPv6 deployment, to facilitate joint training activities involving appropriate experts from the relevant entities, and to provide information to developing countries;</w:t>
      </w:r>
    </w:p>
    <w:p w:rsidR="007D1F2C" w:rsidRDefault="00AC1CD6" w:rsidP="0040201F">
      <w:pPr>
        <w:tabs>
          <w:tab w:val="left" w:pos="1440"/>
        </w:tabs>
        <w:spacing w:before="160" w:after="0" w:line="240" w:lineRule="auto"/>
        <w:ind w:left="1418" w:hanging="698"/>
        <w:jc w:val="both"/>
        <w:outlineLvl w:val="0"/>
        <w:rPr>
          <w:rFonts w:eastAsia="Calibri" w:cs="Times New Roman"/>
          <w:sz w:val="24"/>
          <w:szCs w:val="24"/>
          <w:lang w:bidi="ar-AE"/>
        </w:rPr>
      </w:pPr>
      <w:r w:rsidRPr="00AC1CD6">
        <w:rPr>
          <w:rFonts w:eastAsia="Arial" w:cs="Times New Roman"/>
          <w:sz w:val="24"/>
          <w:szCs w:val="24"/>
        </w:rPr>
        <w:t>4)</w:t>
      </w:r>
      <w:r w:rsidRPr="00AC1CD6">
        <w:rPr>
          <w:rFonts w:eastAsia="Arial" w:cs="Times New Roman"/>
          <w:sz w:val="24"/>
          <w:szCs w:val="24"/>
        </w:rPr>
        <w:tab/>
      </w:r>
      <w:proofErr w:type="gramStart"/>
      <w:r w:rsidRPr="00AC1CD6">
        <w:rPr>
          <w:rFonts w:eastAsia="Arial" w:cs="Times New Roman"/>
          <w:sz w:val="24"/>
          <w:szCs w:val="24"/>
        </w:rPr>
        <w:t>studied</w:t>
      </w:r>
      <w:proofErr w:type="gramEnd"/>
      <w:r w:rsidRPr="00AC1CD6">
        <w:rPr>
          <w:rFonts w:eastAsia="Arial" w:cs="Times New Roman"/>
          <w:sz w:val="24"/>
          <w:szCs w:val="24"/>
        </w:rPr>
        <w:t xml:space="preserve"> IPv6 address allocation and registration and reported to ITU Council 2012.</w:t>
      </w:r>
    </w:p>
    <w:p w:rsidR="007D1F2C" w:rsidRDefault="00AF1A95" w:rsidP="0040201F">
      <w:pPr>
        <w:tabs>
          <w:tab w:val="left" w:pos="720"/>
        </w:tabs>
        <w:spacing w:before="160" w:after="0" w:line="240" w:lineRule="auto"/>
        <w:jc w:val="both"/>
        <w:rPr>
          <w:rFonts w:cs="Times New Roman"/>
          <w:b/>
          <w:sz w:val="24"/>
          <w:szCs w:val="24"/>
        </w:rPr>
      </w:pPr>
      <w:r>
        <w:rPr>
          <w:rFonts w:cs="Times New Roman"/>
          <w:i/>
          <w:sz w:val="24"/>
          <w:szCs w:val="24"/>
        </w:rPr>
        <w:tab/>
      </w:r>
      <w:proofErr w:type="gramStart"/>
      <w:r w:rsidR="00AC1CD6" w:rsidRPr="00AC1CD6">
        <w:rPr>
          <w:rFonts w:cs="Times New Roman"/>
          <w:i/>
          <w:sz w:val="24"/>
          <w:szCs w:val="24"/>
        </w:rPr>
        <w:t>recognizing</w:t>
      </w:r>
      <w:proofErr w:type="gramEnd"/>
      <w:r w:rsidR="00AC1CD6" w:rsidRPr="00AC1CD6">
        <w:rPr>
          <w:rFonts w:cs="Times New Roman"/>
          <w:i/>
          <w:sz w:val="24"/>
          <w:szCs w:val="24"/>
        </w:rPr>
        <w:t xml:space="preserve"> further</w:t>
      </w:r>
    </w:p>
    <w:p w:rsidR="007D1F2C" w:rsidRDefault="00AC1CD6" w:rsidP="0040201F">
      <w:pPr>
        <w:tabs>
          <w:tab w:val="left" w:pos="567"/>
        </w:tabs>
        <w:spacing w:before="160" w:after="0" w:line="240" w:lineRule="auto"/>
        <w:jc w:val="both"/>
        <w:rPr>
          <w:rFonts w:cs="Times New Roman"/>
          <w:color w:val="000000"/>
          <w:sz w:val="24"/>
          <w:szCs w:val="24"/>
        </w:rPr>
      </w:pPr>
      <w:r w:rsidRPr="00AC1CD6">
        <w:rPr>
          <w:rFonts w:cs="Times New Roman"/>
          <w:color w:val="000000"/>
          <w:sz w:val="24"/>
          <w:szCs w:val="24"/>
        </w:rPr>
        <w:t>a)</w:t>
      </w:r>
      <w:r w:rsidRPr="00AC1CD6">
        <w:rPr>
          <w:rFonts w:cs="Times New Roman"/>
          <w:color w:val="000000"/>
          <w:sz w:val="24"/>
          <w:szCs w:val="24"/>
        </w:rPr>
        <w:tab/>
      </w:r>
      <w:proofErr w:type="gramStart"/>
      <w:r w:rsidRPr="00AC1CD6">
        <w:rPr>
          <w:rFonts w:cs="Times New Roman"/>
          <w:color w:val="000000"/>
          <w:sz w:val="24"/>
          <w:szCs w:val="24"/>
        </w:rPr>
        <w:t>that</w:t>
      </w:r>
      <w:proofErr w:type="gramEnd"/>
      <w:r w:rsidRPr="00AC1CD6">
        <w:rPr>
          <w:rFonts w:cs="Times New Roman"/>
          <w:color w:val="000000"/>
          <w:sz w:val="24"/>
          <w:szCs w:val="24"/>
        </w:rPr>
        <w:t xml:space="preserve"> the RIRs are developing policies to manage the inter-regional transfer of address space, underpinned by needs based demand for IPv4 addresses; </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that needs-based address allocation should continue to underpin IP address allocation, irrespective of whether they are IPv6 or IPv4, and in the case of IPv4, irrespective of whether they are legacy or allocated address space;</w:t>
      </w:r>
    </w:p>
    <w:p w:rsidR="007D1F2C" w:rsidRDefault="009459EA" w:rsidP="0040201F">
      <w:pPr>
        <w:tabs>
          <w:tab w:val="left" w:pos="567"/>
        </w:tabs>
        <w:spacing w:before="160" w:after="0" w:line="240" w:lineRule="auto"/>
        <w:jc w:val="both"/>
        <w:rPr>
          <w:rFonts w:cs="Times New Roman"/>
          <w:sz w:val="24"/>
          <w:szCs w:val="24"/>
        </w:rPr>
      </w:pPr>
      <w:r>
        <w:rPr>
          <w:rFonts w:cs="Times New Roman"/>
          <w:sz w:val="24"/>
          <w:szCs w:val="24"/>
        </w:rPr>
        <w:t>c)</w:t>
      </w:r>
      <w:r w:rsidR="00AC1CD6" w:rsidRPr="00AC1CD6">
        <w:rPr>
          <w:rFonts w:cs="Times New Roman"/>
          <w:sz w:val="24"/>
          <w:szCs w:val="24"/>
        </w:rPr>
        <w:tab/>
        <w:t>that all IPv4 transactions be reported to the relevant RIRs, including transactions of legacy addresses that are not necessarily subject to the policies of the RIRs regarding transfers, as supported by the policies developed by the RIR communities;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issues regarding IPv4 can be minimized by accelerating the transition to IPv6,</w:t>
      </w: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is</w:t>
      </w:r>
      <w:proofErr w:type="gramEnd"/>
      <w:r w:rsidRPr="00AC1CD6">
        <w:rPr>
          <w:rFonts w:cs="Times New Roman"/>
          <w:i/>
          <w:sz w:val="24"/>
          <w:szCs w:val="24"/>
        </w:rPr>
        <w:t xml:space="preserve"> of the view</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every effort should be made to encourage and facilitate the transition to IPv6;</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policies of inter-RIR transfer across all RIRs should ensure that such transfers are needs based and be common to all RIRs irrespective of the address space concerned;</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Member states and Sector members should promote the availability of affordable Customer Premise Equipment (CPEs) compatible with IPv6 in the shortest time possible,</w:t>
      </w:r>
    </w:p>
    <w:p w:rsidR="007D1F2C" w:rsidRDefault="007D1F2C" w:rsidP="0040201F">
      <w:pPr>
        <w:tabs>
          <w:tab w:val="left" w:pos="720"/>
        </w:tabs>
        <w:spacing w:before="160" w:after="0" w:line="240" w:lineRule="auto"/>
        <w:jc w:val="both"/>
        <w:rPr>
          <w:rFonts w:cs="Times New Roman"/>
          <w:i/>
          <w:sz w:val="24"/>
          <w:szCs w:val="24"/>
        </w:rPr>
      </w:pP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invites</w:t>
      </w:r>
      <w:proofErr w:type="gramEnd"/>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 xml:space="preserve">Member States to consider policies and incentives to </w:t>
      </w:r>
      <w:proofErr w:type="gramStart"/>
      <w:r w:rsidRPr="00AC1CD6">
        <w:rPr>
          <w:rFonts w:cs="Times New Roman"/>
          <w:sz w:val="24"/>
          <w:szCs w:val="24"/>
        </w:rPr>
        <w:t>promote,</w:t>
      </w:r>
      <w:proofErr w:type="gramEnd"/>
      <w:r w:rsidRPr="00AC1CD6">
        <w:rPr>
          <w:rFonts w:cs="Times New Roman"/>
          <w:sz w:val="24"/>
          <w:szCs w:val="24"/>
        </w:rPr>
        <w:t xml:space="preserve"> facilitate and support the fastest possible adoption and migration to IPv6 within their jurisdictions;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Sector Members with web and Internet business to offer their services via IPv6 as quickly as possible.</w:t>
      </w:r>
    </w:p>
    <w:p w:rsidR="007D1F2C" w:rsidRDefault="007D1F2C" w:rsidP="0040201F">
      <w:pPr>
        <w:spacing w:before="160" w:after="0" w:line="240" w:lineRule="auto"/>
        <w:rPr>
          <w:rFonts w:cs="Arial"/>
          <w:sz w:val="24"/>
          <w:szCs w:val="24"/>
        </w:rPr>
      </w:pPr>
    </w:p>
    <w:p w:rsidR="007D1F2C" w:rsidRDefault="00AC1CD6" w:rsidP="0040201F">
      <w:pPr>
        <w:spacing w:before="160" w:after="0" w:line="240" w:lineRule="auto"/>
        <w:jc w:val="center"/>
        <w:rPr>
          <w:rFonts w:cs="Times New Roman"/>
          <w:sz w:val="24"/>
          <w:szCs w:val="24"/>
        </w:rPr>
      </w:pPr>
      <w:r w:rsidRPr="00AC1CD6">
        <w:rPr>
          <w:rFonts w:cs="Times New Roman"/>
          <w:sz w:val="24"/>
          <w:szCs w:val="24"/>
        </w:rPr>
        <w:t>____________________________</w:t>
      </w:r>
    </w:p>
    <w:p w:rsidR="007D1F2C" w:rsidRDefault="007D1F2C" w:rsidP="0040201F">
      <w:pPr>
        <w:spacing w:before="160" w:after="0" w:line="240" w:lineRule="auto"/>
        <w:rPr>
          <w:rFonts w:cs="Arial"/>
          <w:sz w:val="24"/>
          <w:szCs w:val="24"/>
        </w:rPr>
      </w:pPr>
    </w:p>
    <w:p w:rsidR="007D1F2C" w:rsidRDefault="007D1F2C" w:rsidP="0040201F">
      <w:pPr>
        <w:spacing w:before="160" w:after="0" w:line="240" w:lineRule="auto"/>
        <w:jc w:val="both"/>
        <w:rPr>
          <w:rFonts w:cs="Times New Roman"/>
          <w:sz w:val="24"/>
          <w:szCs w:val="24"/>
        </w:rPr>
      </w:pPr>
    </w:p>
    <w:p w:rsidR="007D1F2C" w:rsidRDefault="00AC1CD6" w:rsidP="0040201F">
      <w:pPr>
        <w:spacing w:before="160" w:after="0" w:line="240" w:lineRule="auto"/>
        <w:rPr>
          <w:b/>
          <w:bCs/>
          <w:sz w:val="24"/>
          <w:szCs w:val="24"/>
        </w:rPr>
      </w:pPr>
      <w:r w:rsidRPr="00AC1CD6">
        <w:rPr>
          <w:b/>
          <w:bCs/>
          <w:sz w:val="24"/>
          <w:szCs w:val="24"/>
        </w:rPr>
        <w:br w:type="page"/>
      </w:r>
    </w:p>
    <w:p w:rsidR="007D1F2C" w:rsidRDefault="00AC1CD6" w:rsidP="0040201F">
      <w:pPr>
        <w:pStyle w:val="Equation"/>
        <w:tabs>
          <w:tab w:val="left" w:pos="1191"/>
          <w:tab w:val="left" w:pos="1588"/>
          <w:tab w:val="left" w:pos="1985"/>
        </w:tabs>
        <w:spacing w:before="160"/>
        <w:jc w:val="center"/>
        <w:rPr>
          <w:rFonts w:asciiTheme="minorHAnsi" w:hAnsiTheme="minorHAnsi" w:cstheme="minorHAnsi"/>
          <w:b/>
          <w:bCs/>
          <w:szCs w:val="24"/>
        </w:rPr>
      </w:pPr>
      <w:r w:rsidRPr="00AC1CD6">
        <w:rPr>
          <w:rFonts w:asciiTheme="minorHAnsi" w:hAnsiTheme="minorHAnsi" w:cstheme="minorHAnsi"/>
          <w:b/>
          <w:szCs w:val="24"/>
        </w:rPr>
        <w:lastRenderedPageBreak/>
        <w:t xml:space="preserve">DRAFT OPINION 4: </w:t>
      </w:r>
      <w:r w:rsidRPr="00AC1CD6">
        <w:rPr>
          <w:rFonts w:asciiTheme="minorHAnsi" w:hAnsiTheme="minorHAnsi" w:cstheme="minorHAnsi"/>
          <w:b/>
          <w:bCs/>
          <w:szCs w:val="24"/>
        </w:rPr>
        <w:t xml:space="preserve">IN SUPPORT OF IPv6 ADOPTION AND TRANSITION FROM IPv4 </w:t>
      </w:r>
    </w:p>
    <w:p w:rsidR="007D1F2C" w:rsidRDefault="00AC1CD6" w:rsidP="0040201F">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considering</w:t>
      </w:r>
      <w:proofErr w:type="gramEnd"/>
    </w:p>
    <w:p w:rsidR="007D1F2C" w:rsidRDefault="00AC1CD6" w:rsidP="0040201F">
      <w:pPr>
        <w:tabs>
          <w:tab w:val="left" w:pos="567"/>
          <w:tab w:val="left" w:pos="1440"/>
        </w:tabs>
        <w:spacing w:before="160" w:after="0" w:line="240" w:lineRule="auto"/>
        <w:jc w:val="both"/>
        <w:rPr>
          <w:rFonts w:eastAsia="Arial" w:cs="Times New Roman"/>
          <w:sz w:val="24"/>
          <w:szCs w:val="24"/>
          <w:lang w:val="en-CA"/>
        </w:rPr>
      </w:pPr>
      <w:r w:rsidRPr="00AC1CD6">
        <w:rPr>
          <w:rFonts w:cs="Times New Roman"/>
          <w:sz w:val="24"/>
          <w:szCs w:val="24"/>
        </w:rPr>
        <w:t>a)</w:t>
      </w:r>
      <w:r w:rsidRPr="00AC1CD6">
        <w:rPr>
          <w:rFonts w:cs="Times New Roman"/>
          <w:sz w:val="24"/>
          <w:szCs w:val="24"/>
        </w:rPr>
        <w:tab/>
      </w:r>
      <w:r w:rsidRPr="00AC1CD6">
        <w:rPr>
          <w:rFonts w:eastAsia="Arial" w:cs="Times New Roman"/>
          <w:sz w:val="24"/>
          <w:szCs w:val="24"/>
          <w:lang w:val="en-CA"/>
        </w:rPr>
        <w:t xml:space="preserve">WTSA Resolution 64 (Rev. Dubai, 2012) on the subject of IP address allocation and facilitating the transition to and deployment of IPv6 which, </w:t>
      </w:r>
      <w:r w:rsidRPr="00AC1CD6">
        <w:rPr>
          <w:rFonts w:eastAsia="Arial" w:cs="Times New Roman"/>
          <w:i/>
          <w:sz w:val="24"/>
          <w:szCs w:val="24"/>
          <w:lang w:val="en-CA"/>
        </w:rPr>
        <w:t>inter alia</w:t>
      </w:r>
      <w:r w:rsidRPr="00AC1CD6">
        <w:rPr>
          <w:rFonts w:eastAsia="Arial" w:cs="Times New Roman"/>
          <w:sz w:val="24"/>
          <w:szCs w:val="24"/>
          <w:lang w:val="en-CA"/>
        </w:rPr>
        <w:t>, instructs the Director of the TSB in close collaboration with the Director of the BDT to:</w:t>
      </w:r>
    </w:p>
    <w:p w:rsidR="007D1F2C" w:rsidRDefault="009459EA" w:rsidP="0040201F">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1)</w:t>
      </w:r>
      <w:r w:rsidR="00AC1CD6" w:rsidRPr="00AC1CD6">
        <w:rPr>
          <w:rFonts w:eastAsia="Arial" w:cs="Times New Roman"/>
          <w:sz w:val="24"/>
          <w:szCs w:val="24"/>
        </w:rPr>
        <w:tab/>
        <w:t xml:space="preserve">continue the ongoing activities between the Telecommunication Standardization Bureau (TSB) and the Telecommunication Development Bureau (BDT), taking into consideration the involvement of those partners willing to participate and bring their expertise to assist developing countries with IPv6 migration and deployment, and to respond to their regional needs as identified by the BDT, especially through capacity building programs; </w:t>
      </w:r>
    </w:p>
    <w:p w:rsidR="007D1F2C" w:rsidRDefault="009459EA" w:rsidP="0040201F">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2)</w:t>
      </w:r>
      <w:r w:rsidR="00AC1CD6" w:rsidRPr="00AC1CD6">
        <w:rPr>
          <w:rFonts w:eastAsia="Arial" w:cs="Times New Roman"/>
          <w:sz w:val="24"/>
          <w:szCs w:val="24"/>
        </w:rPr>
        <w:tab/>
        <w:t>maintain the website which provides information about global activities related to IPv6, to facilitate awareness-raising and the importance of IPv6 deployment for all ITU members and interested entities, and provides information related to training events being undertaken by ITU and relevant entities in the Internet community (e.g. Regional Internet Registries (RIRs), network operator groups, and the Internet Society (ISOC));</w:t>
      </w:r>
    </w:p>
    <w:p w:rsidR="007D1F2C" w:rsidRDefault="009459EA" w:rsidP="0040201F">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3)</w:t>
      </w:r>
      <w:r w:rsidR="00AC1CD6" w:rsidRPr="00AC1CD6">
        <w:rPr>
          <w:rFonts w:eastAsia="Arial" w:cs="Times New Roman"/>
          <w:sz w:val="24"/>
          <w:szCs w:val="24"/>
        </w:rPr>
        <w:tab/>
        <w:t xml:space="preserve">promote awareness of the importance of IPv6 deployment, to facilitate joint training activities involving appropriate experts from the relevant entities, and to provide information including roadmaps, guidelines, and to assist in the establishment of IPv6 Test bed Laboratories in developing countries in collaboration with appropriate related organizations; </w:t>
      </w:r>
    </w:p>
    <w:p w:rsidR="007D1F2C" w:rsidRDefault="00AC1CD6" w:rsidP="0040201F">
      <w:pPr>
        <w:tabs>
          <w:tab w:val="left" w:pos="567"/>
          <w:tab w:val="left" w:pos="1134"/>
        </w:tabs>
        <w:spacing w:before="160" w:after="0" w:line="240" w:lineRule="auto"/>
        <w:ind w:left="567"/>
        <w:jc w:val="both"/>
        <w:outlineLvl w:val="0"/>
        <w:rPr>
          <w:rFonts w:eastAsia="Calibri" w:cs="Times New Roman"/>
          <w:sz w:val="24"/>
          <w:szCs w:val="24"/>
          <w:lang w:bidi="ar-AE"/>
        </w:rPr>
      </w:pPr>
      <w:r w:rsidRPr="00AC1CD6">
        <w:rPr>
          <w:rFonts w:eastAsia="Arial" w:cs="Times New Roman"/>
          <w:sz w:val="24"/>
          <w:szCs w:val="24"/>
        </w:rPr>
        <w:t>4)</w:t>
      </w:r>
      <w:r w:rsidRPr="00AC1CD6">
        <w:rPr>
          <w:rFonts w:eastAsia="Arial" w:cs="Times New Roman"/>
          <w:sz w:val="24"/>
          <w:szCs w:val="24"/>
        </w:rPr>
        <w:tab/>
      </w:r>
      <w:proofErr w:type="gramStart"/>
      <w:r w:rsidRPr="00AC1CD6">
        <w:rPr>
          <w:rFonts w:eastAsia="Arial" w:cs="Times New Roman"/>
          <w:sz w:val="24"/>
          <w:szCs w:val="24"/>
        </w:rPr>
        <w:t>take</w:t>
      </w:r>
      <w:proofErr w:type="gramEnd"/>
      <w:r w:rsidRPr="00AC1CD6">
        <w:rPr>
          <w:rFonts w:eastAsia="Arial" w:cs="Times New Roman"/>
          <w:sz w:val="24"/>
          <w:szCs w:val="24"/>
        </w:rPr>
        <w:t xml:space="preserve"> appropriate action to facilitate the activities for Study Group 2 and Study Group 3 in the area of IP addresses and to report annually to the ITU Council and to WTSA 2016.</w:t>
      </w:r>
    </w:p>
    <w:p w:rsidR="007D1F2C" w:rsidRDefault="00AC1CD6" w:rsidP="0040201F">
      <w:pPr>
        <w:tabs>
          <w:tab w:val="left" w:pos="567"/>
        </w:tabs>
        <w:spacing w:before="160" w:after="0" w:line="240" w:lineRule="auto"/>
        <w:jc w:val="both"/>
        <w:outlineLvl w:val="0"/>
        <w:rPr>
          <w:rFonts w:cs="Times New Roman"/>
          <w:sz w:val="24"/>
          <w:szCs w:val="24"/>
          <w:lang w:bidi="en-US"/>
        </w:rPr>
      </w:pPr>
      <w:r w:rsidRPr="00AC1CD6">
        <w:rPr>
          <w:rFonts w:cs="Times New Roman"/>
          <w:sz w:val="24"/>
          <w:szCs w:val="24"/>
        </w:rPr>
        <w:t>b)</w:t>
      </w:r>
      <w:r w:rsidRPr="00AC1CD6">
        <w:rPr>
          <w:rFonts w:cs="Times New Roman"/>
          <w:sz w:val="24"/>
          <w:szCs w:val="24"/>
        </w:rPr>
        <w:tab/>
        <w:t>Plenipotentiary Resolution 180 (Guadalajara, 2010) on Facilitating the transition from IPv4 to IPv6;</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t>the work of the IPv6 working group, that was established by the Council at its 2009 session, as well as related discussions in WTSA-12 (Dubai 2012);</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WTPF Opinion 5 (Lisbon, 2009) calling for acceleration of activities related to WTSA Resolution 64 (Johannesburg 2008);</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work of BDT and TSB already undertaken on the subject of IPv6;</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 address allocation and deployment is an important issue for Member States and Sector Members;  </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ongoing work of the RIRs, ISOC, and other stakeholders in the areas of IPv4 and IPv6,</w:t>
      </w:r>
    </w:p>
    <w:p w:rsidR="007D1F2C" w:rsidRDefault="00AC1CD6" w:rsidP="0040201F">
      <w:pPr>
        <w:tabs>
          <w:tab w:val="left" w:pos="720"/>
        </w:tabs>
        <w:spacing w:before="160" w:after="0" w:line="240" w:lineRule="auto"/>
        <w:jc w:val="both"/>
        <w:rPr>
          <w:rFonts w:cs="Times New Roman"/>
          <w:b/>
          <w:sz w:val="24"/>
          <w:szCs w:val="24"/>
        </w:rPr>
      </w:pPr>
      <w:r w:rsidRPr="00AC1CD6">
        <w:rPr>
          <w:rFonts w:cs="Times New Roman"/>
          <w:i/>
          <w:sz w:val="24"/>
          <w:szCs w:val="24"/>
        </w:rPr>
        <w:tab/>
      </w:r>
      <w:proofErr w:type="gramStart"/>
      <w:r w:rsidRPr="00AC1CD6">
        <w:rPr>
          <w:rFonts w:cs="Times New Roman"/>
          <w:i/>
          <w:sz w:val="24"/>
          <w:szCs w:val="24"/>
        </w:rPr>
        <w:t>recognizing</w:t>
      </w:r>
      <w:proofErr w:type="gramEnd"/>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IANA functions operator has allocated the last IPv4 blocks to the RIRs;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  RIRs</w:t>
      </w:r>
      <w:proofErr w:type="gramEnd"/>
      <w:r w:rsidRPr="00AC1CD6">
        <w:rPr>
          <w:rFonts w:cs="Times New Roman"/>
          <w:sz w:val="24"/>
          <w:szCs w:val="24"/>
        </w:rPr>
        <w:t xml:space="preserve"> are close to exhausting their IPv4 allocations;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lastRenderedPageBreak/>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migration to IPv6 is gaining speed and that many prominent international web-based businesses have already implemented IPv6 portals;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 xml:space="preserve">that IPv6’s extremely large address space enables global connectivity to many more electronic devices, mobile phones, laptops, in-vehicle computers, televisions, cameras, building sensors, medical devices, </w:t>
      </w:r>
      <w:proofErr w:type="spellStart"/>
      <w:r w:rsidRPr="00AC1CD6">
        <w:rPr>
          <w:rFonts w:cs="Times New Roman"/>
          <w:sz w:val="24"/>
          <w:szCs w:val="24"/>
        </w:rPr>
        <w:t>etc</w:t>
      </w:r>
      <w:proofErr w:type="spellEnd"/>
      <w:r w:rsidRPr="00AC1CD6">
        <w:rPr>
          <w:rFonts w:cs="Times New Roman"/>
          <w:sz w:val="24"/>
          <w:szCs w:val="24"/>
        </w:rPr>
        <w:t xml:space="preserve">; </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IPv6’s security, when enabled and configured with the appropriate key infrastructure, such as IPsec, will enhance authentication, encryption, confidentiality and integrity protection at the network layer;</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proportion of IPv6 traffic on the Internet remains very small;</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that because of incompatibility between IPv4 and IPv6, parallel (dual stack) operation is required and there will be a need for IPv4 addresses for an undetermined period until a critical mass of users and services is available via IPv6 addresses, thereby allowing IPv4 to be phased out;</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h)</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new entrant Internet service providers will continue to require access to IPv4 addresses for an indeterminate period of time;</w:t>
      </w:r>
    </w:p>
    <w:p w:rsidR="007D1F2C" w:rsidRDefault="00AC1CD6" w:rsidP="0040201F">
      <w:pPr>
        <w:tabs>
          <w:tab w:val="left" w:pos="567"/>
        </w:tabs>
        <w:spacing w:before="160" w:after="0" w:line="240" w:lineRule="auto"/>
        <w:jc w:val="both"/>
        <w:outlineLvl w:val="0"/>
        <w:rPr>
          <w:rFonts w:cs="Times New Roman"/>
          <w:sz w:val="24"/>
          <w:szCs w:val="24"/>
        </w:rPr>
      </w:pPr>
      <w:proofErr w:type="spellStart"/>
      <w:r w:rsidRPr="00AC1CD6">
        <w:rPr>
          <w:rFonts w:cs="Times New Roman"/>
          <w:sz w:val="24"/>
          <w:szCs w:val="24"/>
        </w:rPr>
        <w:t>i</w:t>
      </w:r>
      <w:proofErr w:type="spellEnd"/>
      <w:r w:rsidRPr="00AC1CD6">
        <w:rPr>
          <w:rFonts w:cs="Times New Roman"/>
          <w:sz w:val="24"/>
          <w:szCs w:val="24"/>
        </w:rPr>
        <w:t>)</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large blocks  of IPv4 address space were allocated to individual companies and organizations prior to the establishment of the RIRs and that the status of some legacy address space is unclear;</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j)</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a growing market has developed in the transfer of IPv4 addresses between entities with a significant proportion of transferred addresses from legacy allocations which are not subject to the relevant policies of the RIRs;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k)</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consistent with the policies developed through the RIRs, all IP numbers continue to be allocated for use on a needs basis and should be returned to the numbering pool when no longer needed,</w:t>
      </w:r>
    </w:p>
    <w:p w:rsidR="007D1F2C" w:rsidRDefault="00AF1A95" w:rsidP="0040201F">
      <w:pPr>
        <w:tabs>
          <w:tab w:val="left" w:pos="720"/>
        </w:tabs>
        <w:spacing w:before="160" w:after="0" w:line="240" w:lineRule="auto"/>
        <w:jc w:val="both"/>
        <w:rPr>
          <w:rFonts w:cs="Times New Roman"/>
          <w:sz w:val="24"/>
          <w:szCs w:val="24"/>
        </w:rPr>
      </w:pPr>
      <w:r>
        <w:rPr>
          <w:rFonts w:cs="Times New Roman"/>
          <w:i/>
          <w:sz w:val="24"/>
          <w:szCs w:val="24"/>
        </w:rPr>
        <w:tab/>
      </w:r>
      <w:proofErr w:type="gramStart"/>
      <w:r w:rsidR="00AC1CD6" w:rsidRPr="00AC1CD6">
        <w:rPr>
          <w:rFonts w:cs="Times New Roman"/>
          <w:i/>
          <w:sz w:val="24"/>
          <w:szCs w:val="24"/>
        </w:rPr>
        <w:t>recognizing</w:t>
      </w:r>
      <w:proofErr w:type="gramEnd"/>
      <w:r w:rsidR="00AC1CD6" w:rsidRPr="00AC1CD6">
        <w:rPr>
          <w:rFonts w:cs="Times New Roman"/>
          <w:i/>
          <w:sz w:val="24"/>
          <w:szCs w:val="24"/>
        </w:rPr>
        <w:t xml:space="preserve"> further</w:t>
      </w:r>
    </w:p>
    <w:p w:rsidR="007D1F2C" w:rsidRDefault="00AC1CD6" w:rsidP="0040201F">
      <w:pPr>
        <w:tabs>
          <w:tab w:val="left" w:pos="567"/>
        </w:tabs>
        <w:spacing w:before="160" w:after="0" w:line="240" w:lineRule="auto"/>
        <w:jc w:val="both"/>
        <w:outlineLvl w:val="0"/>
        <w:rPr>
          <w:rFonts w:cs="Times New Roman"/>
          <w:color w:val="000000"/>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transfers of IPv4 addresses that are not coordinated through the RIRs could have undesirable consequences;</w:t>
      </w:r>
      <w:r w:rsidRPr="00AC1CD6">
        <w:rPr>
          <w:rFonts w:cs="Times New Roman"/>
          <w:color w:val="000000"/>
          <w:sz w:val="24"/>
          <w:szCs w:val="24"/>
        </w:rPr>
        <w:tab/>
      </w:r>
    </w:p>
    <w:p w:rsidR="007D1F2C" w:rsidRDefault="009459EA" w:rsidP="0040201F">
      <w:pPr>
        <w:tabs>
          <w:tab w:val="left" w:pos="567"/>
        </w:tabs>
        <w:spacing w:before="160" w:after="0" w:line="240" w:lineRule="auto"/>
        <w:jc w:val="both"/>
        <w:rPr>
          <w:rFonts w:cs="Times New Roman"/>
          <w:sz w:val="24"/>
          <w:szCs w:val="24"/>
        </w:rPr>
      </w:pPr>
      <w:r>
        <w:rPr>
          <w:rFonts w:cs="Times New Roman"/>
          <w:sz w:val="24"/>
          <w:szCs w:val="24"/>
        </w:rPr>
        <w:t>b)</w:t>
      </w:r>
      <w:r w:rsidR="00AC1CD6" w:rsidRPr="00AC1CD6">
        <w:rPr>
          <w:rFonts w:cs="Times New Roman"/>
          <w:sz w:val="24"/>
          <w:szCs w:val="24"/>
        </w:rPr>
        <w:tab/>
      </w:r>
      <w:proofErr w:type="gramStart"/>
      <w:r w:rsidR="00AC1CD6" w:rsidRPr="00AC1CD6">
        <w:rPr>
          <w:rFonts w:cs="Times New Roman"/>
          <w:sz w:val="24"/>
          <w:szCs w:val="24"/>
        </w:rPr>
        <w:t>that</w:t>
      </w:r>
      <w:proofErr w:type="gramEnd"/>
      <w:r w:rsidR="00AC1CD6" w:rsidRPr="00AC1CD6">
        <w:rPr>
          <w:rFonts w:cs="Times New Roman"/>
          <w:sz w:val="24"/>
          <w:szCs w:val="24"/>
        </w:rPr>
        <w:t xml:space="preserve"> such consequences could be minimized by accelerating the transition to IPv6,</w:t>
      </w: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is</w:t>
      </w:r>
      <w:proofErr w:type="gramEnd"/>
      <w:r w:rsidRPr="00AC1CD6">
        <w:rPr>
          <w:rFonts w:cs="Times New Roman"/>
          <w:i/>
          <w:sz w:val="24"/>
          <w:szCs w:val="24"/>
        </w:rPr>
        <w:t xml:space="preserve"> of the view</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every effort should be made to encourage and facilitate the transition to IPv6;</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every effort should be made to facilitate the optimal use of IPv4 addresses, including legacy addresses and by inter-region transfers; </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plans and policies should continue to be in place to allow new entrant ISPs to enter the market via access to a reasonable block of IPv4 addresses at reasonable prices;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 xml:space="preserve">d) </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needs-based address allocation should continue to underpin IP address allocation, irrespective of whether they are IPv6 or IPv4 addresses;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all IPv4 transactions should continue to be reported to the relevant RIRs;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lastRenderedPageBreak/>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policies of inter RIR transfer across all RIRs should work to ensure that such transfers are needs based and be common to all RIRs irrespective of the address space concerned;</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 xml:space="preserve">g) </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plans and policies should be in place to address the issue of legacy addresses which may not be subject to current policies of the RIRs,</w:t>
      </w:r>
    </w:p>
    <w:p w:rsidR="007D1F2C" w:rsidRDefault="00AC1CD6" w:rsidP="0040201F">
      <w:pPr>
        <w:pStyle w:val="ListParagraph"/>
        <w:tabs>
          <w:tab w:val="left" w:pos="720"/>
        </w:tabs>
        <w:spacing w:before="160" w:after="0" w:line="240" w:lineRule="auto"/>
        <w:ind w:left="0"/>
        <w:contextualSpacing w:val="0"/>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invites</w:t>
      </w:r>
      <w:proofErr w:type="gramEnd"/>
    </w:p>
    <w:p w:rsidR="007D1F2C" w:rsidRDefault="00AC1CD6" w:rsidP="0040201F">
      <w:pPr>
        <w:pStyle w:val="ListParagraph"/>
        <w:tabs>
          <w:tab w:val="left" w:pos="567"/>
        </w:tabs>
        <w:spacing w:before="160" w:after="0" w:line="240" w:lineRule="auto"/>
        <w:ind w:left="0"/>
        <w:contextualSpacing w:val="0"/>
        <w:jc w:val="both"/>
        <w:rPr>
          <w:rFonts w:cs="Times New Roman"/>
          <w:sz w:val="24"/>
          <w:szCs w:val="24"/>
        </w:rPr>
      </w:pPr>
      <w:r w:rsidRPr="00AC1CD6">
        <w:rPr>
          <w:rFonts w:cs="Times New Roman"/>
          <w:sz w:val="24"/>
          <w:szCs w:val="24"/>
        </w:rPr>
        <w:t>a)</w:t>
      </w:r>
      <w:r w:rsidRPr="00AC1CD6">
        <w:rPr>
          <w:rFonts w:cs="Times New Roman"/>
          <w:sz w:val="24"/>
          <w:szCs w:val="24"/>
        </w:rPr>
        <w:tab/>
        <w:t xml:space="preserve">Member States to take appropriate measures to </w:t>
      </w:r>
      <w:proofErr w:type="gramStart"/>
      <w:r w:rsidRPr="00AC1CD6">
        <w:rPr>
          <w:rFonts w:cs="Times New Roman"/>
          <w:sz w:val="24"/>
          <w:szCs w:val="24"/>
        </w:rPr>
        <w:t>encourage,</w:t>
      </w:r>
      <w:proofErr w:type="gramEnd"/>
      <w:r w:rsidRPr="00AC1CD6">
        <w:rPr>
          <w:rFonts w:cs="Times New Roman"/>
          <w:sz w:val="24"/>
          <w:szCs w:val="24"/>
        </w:rPr>
        <w:t xml:space="preserve"> facilitate and support the fastest possible adoption and migration to IPv6;</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Membership to promote affordable IPv6 compliant products and services as quickly as possible;</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 xml:space="preserve">c) </w:t>
      </w:r>
      <w:r w:rsidRPr="00AC1CD6">
        <w:rPr>
          <w:rFonts w:cs="Times New Roman"/>
          <w:sz w:val="24"/>
          <w:szCs w:val="24"/>
        </w:rPr>
        <w:tab/>
        <w:t>Member States to contribute to the Council Working Group on International Internet-related Public Policy Issues on matters pertaining to the Internet and the management of Internet resources, including addresses;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t>Member States, and other stakeholders, according to their roles and responsibilities as defined in paragraph 35 of the Tunis Agenda, to participate in the multi-stakeholder institutions directly responsible for the development of technical policy and allocation of these resources so that their policy priorities in these matters can be taken into account.</w:t>
      </w:r>
    </w:p>
    <w:p w:rsidR="008E464A" w:rsidRDefault="00AC1CD6" w:rsidP="0040201F">
      <w:pPr>
        <w:spacing w:before="160" w:after="0" w:line="240" w:lineRule="auto"/>
        <w:jc w:val="center"/>
        <w:rPr>
          <w:rFonts w:cs="Times New Roman"/>
          <w:b/>
          <w:bCs/>
          <w:sz w:val="24"/>
          <w:szCs w:val="24"/>
        </w:rPr>
      </w:pPr>
      <w:r w:rsidRPr="00AC1CD6">
        <w:rPr>
          <w:rFonts w:cs="Times New Roman"/>
          <w:sz w:val="24"/>
          <w:szCs w:val="24"/>
        </w:rPr>
        <w:t>____________________________</w:t>
      </w:r>
    </w:p>
    <w:p w:rsidR="009459EA" w:rsidRDefault="009459EA" w:rsidP="0040201F">
      <w:pPr>
        <w:spacing w:line="240" w:lineRule="auto"/>
        <w:rPr>
          <w:rFonts w:cs="Times New Roman"/>
          <w:b/>
          <w:bCs/>
          <w:sz w:val="24"/>
          <w:szCs w:val="24"/>
        </w:rPr>
      </w:pPr>
      <w:r>
        <w:rPr>
          <w:rFonts w:cs="Times New Roman"/>
          <w:b/>
          <w:bCs/>
          <w:sz w:val="24"/>
          <w:szCs w:val="24"/>
        </w:rPr>
        <w:br w:type="page"/>
      </w:r>
    </w:p>
    <w:p w:rsidR="009459EA" w:rsidRDefault="009459EA" w:rsidP="0040201F">
      <w:pPr>
        <w:spacing w:before="160" w:after="0" w:line="240" w:lineRule="auto"/>
        <w:jc w:val="center"/>
        <w:rPr>
          <w:rFonts w:cs="Times New Roman"/>
          <w:b/>
          <w:bCs/>
          <w:sz w:val="24"/>
          <w:szCs w:val="24"/>
        </w:rPr>
      </w:pPr>
    </w:p>
    <w:p w:rsidR="007D1F2C" w:rsidRDefault="00AC1CD6" w:rsidP="0040201F">
      <w:pPr>
        <w:spacing w:before="160" w:after="0" w:line="240" w:lineRule="auto"/>
        <w:jc w:val="center"/>
        <w:rPr>
          <w:rFonts w:cs="Times New Roman"/>
          <w:b/>
          <w:bCs/>
          <w:sz w:val="24"/>
          <w:szCs w:val="24"/>
        </w:rPr>
      </w:pPr>
      <w:r w:rsidRPr="00AC1CD6">
        <w:rPr>
          <w:rFonts w:cs="Times New Roman"/>
          <w:b/>
          <w:bCs/>
          <w:sz w:val="24"/>
          <w:szCs w:val="24"/>
        </w:rPr>
        <w:t>DRAFT OPINION 5: SUPPORTING MULTI-STAKEHOLDERISM IN INTERNET GOVERNANCE</w:t>
      </w:r>
    </w:p>
    <w:p w:rsidR="007D1F2C" w:rsidRDefault="00AC1CD6" w:rsidP="0040201F">
      <w:pPr>
        <w:spacing w:before="720" w:after="0" w:line="240" w:lineRule="auto"/>
        <w:jc w:val="both"/>
        <w:rPr>
          <w:rFonts w:cs="Times New Roman"/>
          <w:sz w:val="24"/>
          <w:szCs w:val="24"/>
        </w:rPr>
      </w:pPr>
      <w:r w:rsidRPr="00AC1CD6">
        <w:rPr>
          <w:rFonts w:cs="Times New Roman"/>
          <w:sz w:val="24"/>
          <w:szCs w:val="24"/>
        </w:rPr>
        <w:t>The fifth World Telecommunication/ICT Policy Forum (Geneva, 2013),</w:t>
      </w:r>
    </w:p>
    <w:p w:rsidR="007D1F2C" w:rsidRDefault="00AC1CD6" w:rsidP="0040201F">
      <w:pPr>
        <w:spacing w:before="160" w:after="0" w:line="240" w:lineRule="auto"/>
        <w:ind w:firstLine="720"/>
        <w:jc w:val="both"/>
        <w:rPr>
          <w:rFonts w:cs="Times New Roman"/>
          <w:i/>
          <w:iCs/>
          <w:sz w:val="24"/>
          <w:szCs w:val="24"/>
        </w:rPr>
      </w:pPr>
      <w:proofErr w:type="gramStart"/>
      <w:r w:rsidRPr="00AC1CD6">
        <w:rPr>
          <w:rFonts w:cs="Times New Roman"/>
          <w:i/>
          <w:iCs/>
          <w:sz w:val="24"/>
          <w:szCs w:val="24"/>
        </w:rPr>
        <w:t>recalling</w:t>
      </w:r>
      <w:proofErr w:type="gramEnd"/>
      <w:r w:rsidRPr="00AC1CD6">
        <w:rPr>
          <w:rFonts w:cs="Times New Roman"/>
          <w:i/>
          <w:iCs/>
          <w:sz w:val="24"/>
          <w:szCs w:val="24"/>
        </w:rPr>
        <w:t xml:space="preserve"> </w:t>
      </w:r>
    </w:p>
    <w:p w:rsidR="007D1F2C" w:rsidRDefault="00AC1CD6" w:rsidP="0040201F">
      <w:pPr>
        <w:spacing w:before="160" w:after="0" w:line="240" w:lineRule="auto"/>
        <w:jc w:val="both"/>
        <w:rPr>
          <w:rFonts w:cs="Times New Roman"/>
          <w:sz w:val="24"/>
          <w:szCs w:val="24"/>
        </w:rPr>
      </w:pPr>
      <w:r w:rsidRPr="00AC1CD6">
        <w:rPr>
          <w:rFonts w:cs="Times New Roman"/>
          <w:sz w:val="24"/>
          <w:szCs w:val="24"/>
        </w:rPr>
        <w:t xml:space="preserve">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w:t>
      </w:r>
      <w:proofErr w:type="spellStart"/>
      <w:r w:rsidRPr="00AC1CD6">
        <w:rPr>
          <w:rFonts w:cs="Times New Roman"/>
          <w:sz w:val="24"/>
          <w:szCs w:val="24"/>
        </w:rPr>
        <w:t>programmes</w:t>
      </w:r>
      <w:proofErr w:type="spellEnd"/>
      <w:r w:rsidRPr="00AC1CD6">
        <w:rPr>
          <w:rFonts w:cs="Times New Roman"/>
          <w:sz w:val="24"/>
          <w:szCs w:val="24"/>
        </w:rPr>
        <w:t xml:space="preserve"> that shape the evolution and use of the Internet,</w:t>
      </w:r>
    </w:p>
    <w:p w:rsidR="007D1F2C" w:rsidRDefault="00AC1CD6" w:rsidP="0040201F">
      <w:pPr>
        <w:spacing w:before="160" w:after="0" w:line="240" w:lineRule="auto"/>
        <w:ind w:firstLine="720"/>
        <w:jc w:val="both"/>
        <w:rPr>
          <w:rFonts w:cs="Times New Roman"/>
          <w:i/>
          <w:iCs/>
          <w:sz w:val="24"/>
          <w:szCs w:val="24"/>
        </w:rPr>
      </w:pPr>
      <w:proofErr w:type="gramStart"/>
      <w:r w:rsidRPr="00AC1CD6">
        <w:rPr>
          <w:rFonts w:cs="Times New Roman"/>
          <w:i/>
          <w:iCs/>
          <w:sz w:val="24"/>
          <w:szCs w:val="24"/>
        </w:rPr>
        <w:t>recognizing</w:t>
      </w:r>
      <w:proofErr w:type="gramEnd"/>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that, as per paragraph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B1746E" w:rsidRDefault="00AC1CD6" w:rsidP="0040201F">
      <w:pPr>
        <w:spacing w:before="160" w:after="0" w:line="240" w:lineRule="auto"/>
        <w:ind w:left="1134" w:hanging="567"/>
        <w:jc w:val="both"/>
        <w:rPr>
          <w:rFonts w:cs="Times New Roman"/>
          <w:sz w:val="24"/>
          <w:szCs w:val="24"/>
        </w:rPr>
      </w:pPr>
      <w:proofErr w:type="spellStart"/>
      <w:r w:rsidRPr="00AC1CD6">
        <w:rPr>
          <w:rFonts w:cs="Times New Roman"/>
          <w:sz w:val="24"/>
          <w:szCs w:val="24"/>
        </w:rPr>
        <w:t>i</w:t>
      </w:r>
      <w:proofErr w:type="spellEnd"/>
      <w:r w:rsidRPr="00AC1CD6">
        <w:rPr>
          <w:rFonts w:cs="Times New Roman"/>
          <w:sz w:val="24"/>
          <w:szCs w:val="24"/>
        </w:rPr>
        <w:t>)</w:t>
      </w:r>
      <w:r w:rsidRPr="00AC1CD6">
        <w:rPr>
          <w:rFonts w:cs="Times New Roman"/>
          <w:sz w:val="24"/>
          <w:szCs w:val="24"/>
        </w:rPr>
        <w:tab/>
        <w:t>Policy authority for Internet-related public policy issues is the sovereign right of States. They have rights and responsibilities for international Internet- related public policy issues</w:t>
      </w:r>
      <w:r w:rsidR="00B1746E">
        <w:rPr>
          <w:rFonts w:cs="Times New Roman"/>
          <w:sz w:val="24"/>
          <w:szCs w:val="24"/>
        </w:rPr>
        <w:t xml:space="preserve">, </w:t>
      </w:r>
      <w:r w:rsidR="00B1746E" w:rsidRPr="00E620C4">
        <w:rPr>
          <w:rFonts w:cs="Times New Roman"/>
          <w:sz w:val="24"/>
          <w:szCs w:val="24"/>
          <w:highlight w:val="yellow"/>
        </w:rPr>
        <w:t>which may include:</w:t>
      </w:r>
    </w:p>
    <w:p w:rsidR="00B1746E" w:rsidRPr="00E620C4" w:rsidRDefault="00B1746E" w:rsidP="0040201F">
      <w:pPr>
        <w:spacing w:after="0" w:line="240" w:lineRule="auto"/>
        <w:ind w:left="1985"/>
        <w:jc w:val="both"/>
        <w:rPr>
          <w:rFonts w:cs="Times New Roman"/>
          <w:sz w:val="24"/>
          <w:szCs w:val="24"/>
          <w:highlight w:val="yellow"/>
        </w:rPr>
      </w:pPr>
      <w:r w:rsidRPr="00935DE4">
        <w:rPr>
          <w:rFonts w:cs="Times New Roman"/>
          <w:sz w:val="24"/>
          <w:szCs w:val="24"/>
          <w:highlight w:val="yellow"/>
        </w:rPr>
        <w:t>- establish and implement public policy, including international policy, on matters of Internet governance, ensure security of national Internet segment, as well as regulate within their territory the activities of operating agencies providing Internet access or carrying Internet traffic</w:t>
      </w:r>
      <w:r w:rsidR="00E620C4">
        <w:rPr>
          <w:rFonts w:cs="Times New Roman"/>
          <w:sz w:val="24"/>
          <w:szCs w:val="24"/>
          <w:highlight w:val="yellow"/>
        </w:rPr>
        <w:t>;</w:t>
      </w:r>
    </w:p>
    <w:p w:rsidR="00B1746E" w:rsidRPr="00935DE4" w:rsidRDefault="00B1746E" w:rsidP="0040201F">
      <w:pPr>
        <w:spacing w:after="0" w:line="240" w:lineRule="auto"/>
        <w:ind w:left="1985"/>
        <w:jc w:val="both"/>
        <w:rPr>
          <w:rFonts w:cs="Times New Roman"/>
          <w:sz w:val="24"/>
          <w:szCs w:val="24"/>
          <w:highlight w:val="yellow"/>
        </w:rPr>
      </w:pPr>
      <w:r w:rsidRPr="00935DE4">
        <w:rPr>
          <w:rFonts w:cs="Times New Roman"/>
          <w:sz w:val="24"/>
          <w:szCs w:val="24"/>
          <w:highlight w:val="yellow"/>
        </w:rPr>
        <w:t>- establish policies aimed at meeting public requirements with respect to Internet access and use</w:t>
      </w:r>
      <w:r w:rsidR="00E620C4">
        <w:rPr>
          <w:rFonts w:cs="Times New Roman"/>
          <w:sz w:val="24"/>
          <w:szCs w:val="24"/>
          <w:highlight w:val="yellow"/>
        </w:rPr>
        <w:t>;</w:t>
      </w:r>
    </w:p>
    <w:p w:rsidR="007D1F2C" w:rsidRDefault="00B1746E" w:rsidP="0040201F">
      <w:pPr>
        <w:spacing w:after="0" w:line="240" w:lineRule="auto"/>
        <w:ind w:left="1985"/>
        <w:jc w:val="both"/>
        <w:rPr>
          <w:rFonts w:cs="Times New Roman"/>
          <w:sz w:val="24"/>
          <w:szCs w:val="24"/>
        </w:rPr>
      </w:pPr>
      <w:r w:rsidRPr="00935DE4">
        <w:rPr>
          <w:rFonts w:cs="Times New Roman"/>
          <w:sz w:val="24"/>
          <w:szCs w:val="24"/>
          <w:highlight w:val="yellow"/>
        </w:rPr>
        <w:t xml:space="preserve">- take necessary regulatory measures to ensure security and confidence in provision international telecommunication services, provide implementation of these measures by </w:t>
      </w:r>
      <w:r w:rsidR="00935DE4" w:rsidRPr="00935DE4">
        <w:rPr>
          <w:rFonts w:cs="Times New Roman"/>
          <w:sz w:val="24"/>
          <w:szCs w:val="24"/>
          <w:highlight w:val="yellow"/>
        </w:rPr>
        <w:t>operating agencies</w:t>
      </w:r>
      <w:r w:rsidR="00AC1CD6" w:rsidRPr="00935DE4">
        <w:rPr>
          <w:rFonts w:cs="Times New Roman"/>
          <w:sz w:val="24"/>
          <w:szCs w:val="24"/>
          <w:highlight w:val="yellow"/>
        </w:rPr>
        <w:t>;</w:t>
      </w:r>
    </w:p>
    <w:p w:rsidR="007D1F2C" w:rsidRDefault="00AC1CD6" w:rsidP="0040201F">
      <w:pPr>
        <w:spacing w:before="160" w:after="0" w:line="240" w:lineRule="auto"/>
        <w:ind w:left="1134" w:hanging="567"/>
        <w:jc w:val="both"/>
        <w:rPr>
          <w:rFonts w:cs="Times New Roman"/>
          <w:sz w:val="24"/>
          <w:szCs w:val="24"/>
        </w:rPr>
      </w:pPr>
      <w:r w:rsidRPr="00AC1CD6">
        <w:rPr>
          <w:rFonts w:cs="Times New Roman"/>
          <w:sz w:val="24"/>
          <w:szCs w:val="24"/>
        </w:rPr>
        <w:t>ii)</w:t>
      </w:r>
      <w:r w:rsidRPr="00AC1CD6">
        <w:rPr>
          <w:rFonts w:cs="Times New Roman"/>
          <w:sz w:val="24"/>
          <w:szCs w:val="24"/>
        </w:rPr>
        <w:tab/>
        <w:t xml:space="preserve">The Private Sector has had, and should continue to have, an important role in the </w:t>
      </w:r>
      <w:proofErr w:type="gramStart"/>
      <w:r w:rsidRPr="00AC1CD6">
        <w:rPr>
          <w:rFonts w:cs="Times New Roman"/>
          <w:sz w:val="24"/>
          <w:szCs w:val="24"/>
        </w:rPr>
        <w:t>development  of</w:t>
      </w:r>
      <w:proofErr w:type="gramEnd"/>
      <w:r w:rsidRPr="00AC1CD6">
        <w:rPr>
          <w:rFonts w:cs="Times New Roman"/>
          <w:sz w:val="24"/>
          <w:szCs w:val="24"/>
        </w:rPr>
        <w:t xml:space="preserve"> the Internet, both in the technical and economic fields;</w:t>
      </w:r>
    </w:p>
    <w:p w:rsidR="007D1F2C" w:rsidRDefault="00AC1CD6" w:rsidP="0040201F">
      <w:pPr>
        <w:spacing w:before="160" w:after="0" w:line="240" w:lineRule="auto"/>
        <w:ind w:left="1134" w:hanging="567"/>
        <w:jc w:val="both"/>
        <w:rPr>
          <w:rFonts w:cs="Times New Roman"/>
          <w:sz w:val="24"/>
          <w:szCs w:val="24"/>
        </w:rPr>
      </w:pPr>
      <w:r w:rsidRPr="00AC1CD6">
        <w:rPr>
          <w:rFonts w:cs="Times New Roman"/>
          <w:sz w:val="24"/>
          <w:szCs w:val="24"/>
        </w:rPr>
        <w:t>iii)</w:t>
      </w:r>
      <w:r w:rsidRPr="00AC1CD6">
        <w:rPr>
          <w:rFonts w:cs="Times New Roman"/>
          <w:sz w:val="24"/>
          <w:szCs w:val="24"/>
        </w:rPr>
        <w:tab/>
        <w:t>Civil Society has also played an important role on Internet matters, especially at community level, and should continue to play such a role;</w:t>
      </w:r>
    </w:p>
    <w:p w:rsidR="007D1F2C" w:rsidRDefault="00AC1CD6" w:rsidP="0040201F">
      <w:pPr>
        <w:spacing w:before="160" w:after="0" w:line="240" w:lineRule="auto"/>
        <w:ind w:left="1134" w:hanging="567"/>
        <w:jc w:val="both"/>
        <w:rPr>
          <w:rFonts w:cs="Times New Roman"/>
          <w:sz w:val="24"/>
          <w:szCs w:val="24"/>
        </w:rPr>
      </w:pPr>
      <w:proofErr w:type="gramStart"/>
      <w:r w:rsidRPr="00AC1CD6">
        <w:rPr>
          <w:rFonts w:cs="Times New Roman"/>
          <w:sz w:val="24"/>
          <w:szCs w:val="24"/>
        </w:rPr>
        <w:t>iv)</w:t>
      </w:r>
      <w:r w:rsidRPr="00AC1CD6">
        <w:rPr>
          <w:rFonts w:cs="Times New Roman"/>
          <w:sz w:val="24"/>
          <w:szCs w:val="24"/>
        </w:rPr>
        <w:tab/>
        <w:t>Intergovernmental</w:t>
      </w:r>
      <w:proofErr w:type="gramEnd"/>
      <w:r w:rsidRPr="00AC1CD6">
        <w:rPr>
          <w:rFonts w:cs="Times New Roman"/>
          <w:sz w:val="24"/>
          <w:szCs w:val="24"/>
        </w:rPr>
        <w:t xml:space="preserve"> organizations have had, and should continue to have, a facilitating role in the coordination of Internet-related public policy issues; and</w:t>
      </w:r>
    </w:p>
    <w:p w:rsidR="007D1F2C" w:rsidRDefault="009459EA" w:rsidP="0040201F">
      <w:pPr>
        <w:spacing w:before="160" w:after="0" w:line="240" w:lineRule="auto"/>
        <w:ind w:left="1134" w:hanging="567"/>
        <w:jc w:val="both"/>
        <w:rPr>
          <w:rFonts w:cs="Times New Roman"/>
          <w:sz w:val="24"/>
          <w:szCs w:val="24"/>
        </w:rPr>
      </w:pPr>
      <w:r>
        <w:rPr>
          <w:rFonts w:cs="Times New Roman"/>
          <w:sz w:val="24"/>
          <w:szCs w:val="24"/>
        </w:rPr>
        <w:t>v)</w:t>
      </w:r>
      <w:r w:rsidR="00AC1CD6" w:rsidRPr="00AC1CD6">
        <w:rPr>
          <w:rFonts w:cs="Times New Roman"/>
          <w:sz w:val="24"/>
          <w:szCs w:val="24"/>
        </w:rPr>
        <w:tab/>
        <w:t>International organizations have also had, and should continue to have, an important role in the development of Internet-related technical standards and relevant policies.</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lastRenderedPageBreak/>
        <w:t>c)</w:t>
      </w:r>
      <w:r w:rsidRPr="00AC1CD6">
        <w:rPr>
          <w:rFonts w:cs="Times New Roman"/>
          <w:sz w:val="24"/>
          <w:szCs w:val="24"/>
        </w:rPr>
        <w:tab/>
        <w:t xml:space="preserve">that, as per paragraph 55 of the Tunis Agenda,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  </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t xml:space="preserve">that, as per paragraph 69 of the Tunis Agenda, there is a need for enhanced cooperation to enable Governments, on an equal footing, to carry out their roles and responsibilities in </w:t>
      </w:r>
      <w:bookmarkStart w:id="0" w:name="_GoBack"/>
      <w:bookmarkEnd w:id="0"/>
      <w:r w:rsidRPr="00AC1CD6">
        <w:rPr>
          <w:rFonts w:cs="Times New Roman"/>
          <w:sz w:val="24"/>
          <w:szCs w:val="24"/>
        </w:rPr>
        <w:t>international public policy issues related to the Internet, but not in the day-to-day technical and operational matters that do not impact on international public policy issues,</w:t>
      </w:r>
    </w:p>
    <w:p w:rsidR="007D1F2C" w:rsidRDefault="00AC1CD6" w:rsidP="0040201F">
      <w:pPr>
        <w:keepNext/>
        <w:keepLines/>
        <w:spacing w:before="160" w:after="0" w:line="240" w:lineRule="auto"/>
        <w:ind w:firstLine="720"/>
        <w:jc w:val="both"/>
        <w:rPr>
          <w:rFonts w:cs="Times New Roman"/>
          <w:i/>
          <w:iCs/>
          <w:sz w:val="24"/>
          <w:szCs w:val="24"/>
        </w:rPr>
      </w:pPr>
      <w:proofErr w:type="gramStart"/>
      <w:r w:rsidRPr="00AC1CD6">
        <w:rPr>
          <w:rFonts w:cs="Times New Roman"/>
          <w:i/>
          <w:iCs/>
          <w:sz w:val="24"/>
          <w:szCs w:val="24"/>
        </w:rPr>
        <w:t>considering</w:t>
      </w:r>
      <w:proofErr w:type="gramEnd"/>
    </w:p>
    <w:p w:rsidR="007D1F2C" w:rsidRDefault="00AC1CD6" w:rsidP="0040201F">
      <w:pPr>
        <w:keepNext/>
        <w:keepLines/>
        <w:spacing w:before="160" w:after="0" w:line="240" w:lineRule="auto"/>
        <w:jc w:val="both"/>
        <w:rPr>
          <w:rFonts w:cs="Times New Roman"/>
          <w:sz w:val="24"/>
          <w:szCs w:val="24"/>
        </w:rPr>
      </w:pPr>
      <w:r w:rsidRPr="00AC1CD6">
        <w:rPr>
          <w:rFonts w:cs="Times New Roman"/>
          <w:sz w:val="24"/>
          <w:szCs w:val="24"/>
        </w:rPr>
        <w:t>Resolution 101 (Rev. Guadalajara, 2010)</w:t>
      </w:r>
      <w:r w:rsidR="00E77BE8" w:rsidRPr="00AC1CD6">
        <w:rPr>
          <w:rFonts w:cs="Times New Roman"/>
          <w:sz w:val="24"/>
          <w:szCs w:val="24"/>
        </w:rPr>
        <w:t>, Resolution</w:t>
      </w:r>
      <w:r w:rsidRPr="00AC1CD6">
        <w:rPr>
          <w:rFonts w:cs="Times New Roman"/>
          <w:sz w:val="24"/>
          <w:szCs w:val="24"/>
        </w:rPr>
        <w:t xml:space="preserve"> 102 (Rev. Guadalajara, 2010) and Resolution 133 (Rev. Guadalajara, 2010) each of which resolves to explore ways and means for greater collaboration and coordination between ITU and relevant organizations (including, but not limited, to ICANN, IETF, RIRs, ISOC, W3C) on the basis of reciprocity,</w:t>
      </w:r>
    </w:p>
    <w:p w:rsidR="007D1F2C" w:rsidRDefault="00AC1CD6" w:rsidP="0040201F">
      <w:pPr>
        <w:spacing w:before="160" w:after="0" w:line="240" w:lineRule="auto"/>
        <w:ind w:firstLine="720"/>
        <w:jc w:val="both"/>
        <w:rPr>
          <w:rFonts w:cs="Times New Roman"/>
          <w:i/>
          <w:iCs/>
          <w:sz w:val="24"/>
          <w:szCs w:val="24"/>
        </w:rPr>
      </w:pPr>
      <w:proofErr w:type="gramStart"/>
      <w:r w:rsidRPr="00AC1CD6">
        <w:rPr>
          <w:rFonts w:cs="Times New Roman"/>
          <w:i/>
          <w:iCs/>
          <w:sz w:val="24"/>
          <w:szCs w:val="24"/>
        </w:rPr>
        <w:t>is</w:t>
      </w:r>
      <w:proofErr w:type="gramEnd"/>
      <w:r w:rsidRPr="00AC1CD6">
        <w:rPr>
          <w:rFonts w:cs="Times New Roman"/>
          <w:i/>
          <w:iCs/>
          <w:sz w:val="24"/>
          <w:szCs w:val="24"/>
        </w:rPr>
        <w:t xml:space="preserve"> of the view</w:t>
      </w:r>
    </w:p>
    <w:p w:rsidR="007D1F2C" w:rsidRDefault="00AC1CD6" w:rsidP="0040201F">
      <w:pPr>
        <w:spacing w:before="160" w:after="0" w:line="240" w:lineRule="auto"/>
        <w:jc w:val="both"/>
        <w:rPr>
          <w:rFonts w:cs="Times New Roman"/>
          <w:sz w:val="24"/>
          <w:szCs w:val="24"/>
        </w:rPr>
      </w:pPr>
      <w:proofErr w:type="gramStart"/>
      <w:r w:rsidRPr="00AC1CD6">
        <w:rPr>
          <w:rFonts w:cs="Times New Roman"/>
          <w:sz w:val="24"/>
          <w:szCs w:val="24"/>
        </w:rPr>
        <w:t>that</w:t>
      </w:r>
      <w:proofErr w:type="gramEnd"/>
      <w:r w:rsidRPr="00AC1CD6">
        <w:rPr>
          <w:rFonts w:cs="Times New Roman"/>
          <w:sz w:val="24"/>
          <w:szCs w:val="24"/>
        </w:rPr>
        <w:t xml:space="preserve"> it is important to further implement multi-stakeholder practices as outlined in the relevant paragraphs of the Tunis agenda,</w:t>
      </w:r>
    </w:p>
    <w:p w:rsidR="007D1F2C" w:rsidRDefault="00AC1CD6" w:rsidP="0040201F">
      <w:pPr>
        <w:spacing w:before="160" w:after="0" w:line="240" w:lineRule="auto"/>
        <w:ind w:firstLine="720"/>
        <w:jc w:val="both"/>
        <w:rPr>
          <w:rFonts w:cs="Times New Roman"/>
          <w:i/>
          <w:iCs/>
          <w:sz w:val="24"/>
          <w:szCs w:val="24"/>
        </w:rPr>
      </w:pPr>
      <w:proofErr w:type="gramStart"/>
      <w:r w:rsidRPr="00AC1CD6">
        <w:rPr>
          <w:rFonts w:cs="Times New Roman"/>
          <w:i/>
          <w:iCs/>
          <w:sz w:val="24"/>
          <w:szCs w:val="24"/>
        </w:rPr>
        <w:t>invites</w:t>
      </w:r>
      <w:proofErr w:type="gramEnd"/>
      <w:r w:rsidRPr="00AC1CD6">
        <w:rPr>
          <w:rFonts w:cs="Times New Roman"/>
          <w:i/>
          <w:iCs/>
          <w:sz w:val="24"/>
          <w:szCs w:val="24"/>
        </w:rPr>
        <w:t xml:space="preserve"> Member States and other stakeholders </w:t>
      </w:r>
    </w:p>
    <w:p w:rsidR="007D1F2C" w:rsidRDefault="00AC1CD6" w:rsidP="0040201F">
      <w:pPr>
        <w:pStyle w:val="ListParagraph"/>
        <w:numPr>
          <w:ilvl w:val="0"/>
          <w:numId w:val="38"/>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to explore ways and means for greater collaboration and coordination between governments; the private sector, international and intergovernmental organizations, and civil society, as well as greater participation in </w:t>
      </w:r>
      <w:proofErr w:type="spellStart"/>
      <w:r w:rsidRPr="00AC1CD6">
        <w:rPr>
          <w:rFonts w:cs="Times New Roman"/>
          <w:sz w:val="24"/>
          <w:szCs w:val="24"/>
        </w:rPr>
        <w:t>multistakeholder</w:t>
      </w:r>
      <w:proofErr w:type="spellEnd"/>
      <w:r w:rsidRPr="00AC1CD6">
        <w:rPr>
          <w:rFonts w:cs="Times New Roman"/>
          <w:sz w:val="24"/>
          <w:szCs w:val="24"/>
        </w:rPr>
        <w:t xml:space="preserve"> processes, with a view to ensure that the governance of the Internet is  a multi-stakeholder process that enables all parties to continue to benefit from the Internet;</w:t>
      </w:r>
    </w:p>
    <w:p w:rsidR="007D1F2C" w:rsidRDefault="00AC1CD6" w:rsidP="0040201F">
      <w:pPr>
        <w:pStyle w:val="ListParagraph"/>
        <w:numPr>
          <w:ilvl w:val="0"/>
          <w:numId w:val="38"/>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to contribute based on their roles and responsibilities as stated in paragraph 35 of the Tunis Agenda;</w:t>
      </w:r>
    </w:p>
    <w:p w:rsidR="007D1F2C" w:rsidRDefault="00AC1CD6" w:rsidP="0040201F">
      <w:pPr>
        <w:pStyle w:val="ListParagraph"/>
        <w:numPr>
          <w:ilvl w:val="0"/>
          <w:numId w:val="38"/>
        </w:numPr>
        <w:tabs>
          <w:tab w:val="left" w:pos="567"/>
        </w:tabs>
        <w:spacing w:before="160" w:after="0" w:line="240" w:lineRule="auto"/>
        <w:ind w:left="0" w:firstLine="0"/>
        <w:contextualSpacing w:val="0"/>
        <w:jc w:val="both"/>
        <w:rPr>
          <w:rFonts w:cs="Times New Roman"/>
          <w:sz w:val="24"/>
          <w:szCs w:val="24"/>
        </w:rPr>
      </w:pPr>
      <w:proofErr w:type="gramStart"/>
      <w:r w:rsidRPr="00AC1CD6">
        <w:rPr>
          <w:rFonts w:cs="Times New Roman"/>
          <w:sz w:val="24"/>
          <w:szCs w:val="24"/>
        </w:rPr>
        <w:t>to</w:t>
      </w:r>
      <w:proofErr w:type="gramEnd"/>
      <w:r w:rsidRPr="00AC1CD6">
        <w:rPr>
          <w:rFonts w:cs="Times New Roman"/>
          <w:sz w:val="24"/>
          <w:szCs w:val="24"/>
        </w:rPr>
        <w:t xml:space="preserve"> focus in particular on how to improve the participation of developing country stakeholders in the initiatives, entities, and institutions involved in various aspects of Internet Governance. </w:t>
      </w:r>
    </w:p>
    <w:p w:rsidR="007D1F2C" w:rsidRDefault="00E620C4" w:rsidP="0040201F">
      <w:pPr>
        <w:spacing w:before="160" w:after="0" w:line="240" w:lineRule="auto"/>
        <w:ind w:firstLine="720"/>
        <w:jc w:val="both"/>
        <w:rPr>
          <w:rFonts w:cs="Times New Roman"/>
          <w:i/>
          <w:iCs/>
          <w:sz w:val="24"/>
          <w:szCs w:val="24"/>
        </w:rPr>
      </w:pPr>
      <w:proofErr w:type="gramStart"/>
      <w:r w:rsidRPr="00C77BA0">
        <w:rPr>
          <w:rFonts w:cs="Times New Roman"/>
          <w:i/>
          <w:iCs/>
          <w:sz w:val="24"/>
          <w:szCs w:val="24"/>
          <w:highlight w:val="yellow"/>
        </w:rPr>
        <w:t>invites</w:t>
      </w:r>
      <w:proofErr w:type="gramEnd"/>
      <w:r w:rsidRPr="00C77BA0">
        <w:rPr>
          <w:rFonts w:cs="Times New Roman"/>
          <w:i/>
          <w:iCs/>
          <w:sz w:val="24"/>
          <w:szCs w:val="24"/>
          <w:highlight w:val="yellow"/>
        </w:rPr>
        <w:t xml:space="preserve"> Member States</w:t>
      </w:r>
    </w:p>
    <w:p w:rsidR="00E620C4" w:rsidRPr="00C77BA0" w:rsidRDefault="00E620C4" w:rsidP="0040201F">
      <w:pPr>
        <w:pStyle w:val="ListParagraph"/>
        <w:numPr>
          <w:ilvl w:val="0"/>
          <w:numId w:val="44"/>
        </w:numPr>
        <w:tabs>
          <w:tab w:val="left" w:pos="567"/>
        </w:tabs>
        <w:spacing w:before="160" w:after="0" w:line="240" w:lineRule="auto"/>
        <w:ind w:left="0" w:firstLine="0"/>
        <w:contextualSpacing w:val="0"/>
        <w:jc w:val="both"/>
        <w:rPr>
          <w:rFonts w:cs="Times New Roman"/>
          <w:sz w:val="24"/>
          <w:szCs w:val="24"/>
          <w:highlight w:val="yellow"/>
        </w:rPr>
      </w:pPr>
      <w:r w:rsidRPr="00C77BA0">
        <w:rPr>
          <w:rFonts w:cs="Times New Roman"/>
          <w:sz w:val="24"/>
          <w:szCs w:val="24"/>
          <w:highlight w:val="yellow"/>
        </w:rPr>
        <w:t>undertake the development and provide application by governments, the private sector and the civil society of shared principles, norms, rules, decisions-making procedures and programs that shape the evolution and use of information and communication infrastructure, include the Internet;</w:t>
      </w:r>
    </w:p>
    <w:p w:rsidR="00E620C4" w:rsidRPr="00C77BA0" w:rsidRDefault="00E620C4" w:rsidP="0040201F">
      <w:pPr>
        <w:pStyle w:val="ListParagraph"/>
        <w:numPr>
          <w:ilvl w:val="0"/>
          <w:numId w:val="44"/>
        </w:numPr>
        <w:tabs>
          <w:tab w:val="left" w:pos="567"/>
        </w:tabs>
        <w:spacing w:before="160" w:after="0" w:line="240" w:lineRule="auto"/>
        <w:ind w:left="0" w:firstLine="0"/>
        <w:contextualSpacing w:val="0"/>
        <w:jc w:val="both"/>
        <w:rPr>
          <w:rFonts w:cs="Times New Roman"/>
          <w:sz w:val="24"/>
          <w:szCs w:val="24"/>
          <w:highlight w:val="yellow"/>
        </w:rPr>
      </w:pPr>
      <w:r w:rsidRPr="00C77BA0">
        <w:rPr>
          <w:rFonts w:cs="Times New Roman"/>
          <w:sz w:val="24"/>
          <w:szCs w:val="24"/>
          <w:highlight w:val="yellow"/>
        </w:rPr>
        <w:t xml:space="preserve"> to exercise their rights on Internet Governance to control distribution, appropriation and development of Internet numbering, naming, addressing and identification resources and support the operation and development of </w:t>
      </w:r>
      <w:r w:rsidR="005C69F9">
        <w:rPr>
          <w:rFonts w:cs="Times New Roman"/>
          <w:sz w:val="24"/>
          <w:szCs w:val="24"/>
          <w:highlight w:val="yellow"/>
        </w:rPr>
        <w:t xml:space="preserve">the </w:t>
      </w:r>
      <w:r w:rsidRPr="00C77BA0">
        <w:rPr>
          <w:rFonts w:cs="Times New Roman"/>
          <w:sz w:val="24"/>
          <w:szCs w:val="24"/>
          <w:highlight w:val="yellow"/>
        </w:rPr>
        <w:t>basic information and communication infrastructure, include the Internet</w:t>
      </w:r>
      <w:r w:rsidR="005C69F9">
        <w:rPr>
          <w:rFonts w:cs="Times New Roman"/>
          <w:sz w:val="24"/>
          <w:szCs w:val="24"/>
          <w:highlight w:val="yellow"/>
        </w:rPr>
        <w:t>, at the national level</w:t>
      </w:r>
      <w:r w:rsidRPr="00C77BA0">
        <w:rPr>
          <w:rFonts w:cs="Times New Roman"/>
          <w:sz w:val="24"/>
          <w:szCs w:val="24"/>
          <w:highlight w:val="yellow"/>
        </w:rPr>
        <w:t>;</w:t>
      </w:r>
    </w:p>
    <w:p w:rsidR="00E620C4" w:rsidRPr="00C77BA0" w:rsidRDefault="00E620C4" w:rsidP="0040201F">
      <w:pPr>
        <w:pStyle w:val="ListParagraph"/>
        <w:numPr>
          <w:ilvl w:val="0"/>
          <w:numId w:val="44"/>
        </w:numPr>
        <w:tabs>
          <w:tab w:val="left" w:pos="567"/>
        </w:tabs>
        <w:spacing w:before="160" w:after="0" w:line="240" w:lineRule="auto"/>
        <w:ind w:left="0" w:firstLine="0"/>
        <w:contextualSpacing w:val="0"/>
        <w:jc w:val="both"/>
        <w:rPr>
          <w:rFonts w:cs="Times New Roman"/>
          <w:sz w:val="24"/>
          <w:szCs w:val="24"/>
          <w:highlight w:val="yellow"/>
        </w:rPr>
      </w:pPr>
      <w:r w:rsidRPr="00C77BA0">
        <w:rPr>
          <w:rFonts w:cs="Times New Roman"/>
          <w:sz w:val="24"/>
          <w:szCs w:val="24"/>
          <w:highlight w:val="yellow"/>
        </w:rPr>
        <w:t xml:space="preserve"> to establish and implement public policy, including international policy, on matters of Internet Governance, and to regulate the national information and communication infrastructure, include the Internet, as well as activities within their territory of operating agencies providing Internet access or carrying Internet traffic;</w:t>
      </w:r>
    </w:p>
    <w:p w:rsidR="00C77BA0" w:rsidRPr="00C77BA0" w:rsidRDefault="00C77BA0" w:rsidP="0040201F">
      <w:pPr>
        <w:pStyle w:val="ListParagraph"/>
        <w:numPr>
          <w:ilvl w:val="0"/>
          <w:numId w:val="44"/>
        </w:numPr>
        <w:tabs>
          <w:tab w:val="left" w:pos="567"/>
        </w:tabs>
        <w:spacing w:before="160" w:after="0" w:line="240" w:lineRule="auto"/>
        <w:ind w:left="0" w:firstLine="0"/>
        <w:contextualSpacing w:val="0"/>
        <w:jc w:val="both"/>
        <w:rPr>
          <w:rFonts w:cs="Times New Roman"/>
          <w:sz w:val="24"/>
          <w:szCs w:val="24"/>
          <w:highlight w:val="yellow"/>
        </w:rPr>
      </w:pPr>
      <w:r>
        <w:rPr>
          <w:rFonts w:cs="Times New Roman"/>
          <w:sz w:val="24"/>
          <w:szCs w:val="24"/>
          <w:highlight w:val="yellow"/>
        </w:rPr>
        <w:lastRenderedPageBreak/>
        <w:t>e</w:t>
      </w:r>
      <w:r w:rsidRPr="00C77BA0">
        <w:rPr>
          <w:rFonts w:cs="Times New Roman"/>
          <w:sz w:val="24"/>
          <w:szCs w:val="24"/>
          <w:highlight w:val="yellow"/>
        </w:rPr>
        <w:t>ndeavor to establish policies aimed at meeting public requirements with respect to Internet access and use, and at assisting, including through international cooperation, administrations and operating agencies in supporting the operation and development of the information and communication infrastructure, include the Internet;</w:t>
      </w:r>
    </w:p>
    <w:p w:rsidR="00E620C4" w:rsidRPr="00C77BA0" w:rsidRDefault="00C77BA0" w:rsidP="0040201F">
      <w:pPr>
        <w:pStyle w:val="ListParagraph"/>
        <w:numPr>
          <w:ilvl w:val="0"/>
          <w:numId w:val="44"/>
        </w:numPr>
        <w:tabs>
          <w:tab w:val="left" w:pos="567"/>
        </w:tabs>
        <w:spacing w:before="160" w:after="0" w:line="240" w:lineRule="auto"/>
        <w:ind w:left="0" w:firstLine="0"/>
        <w:contextualSpacing w:val="0"/>
        <w:jc w:val="both"/>
        <w:rPr>
          <w:rFonts w:cs="Times New Roman"/>
          <w:sz w:val="24"/>
          <w:szCs w:val="24"/>
          <w:highlight w:val="yellow"/>
        </w:rPr>
      </w:pPr>
      <w:r w:rsidRPr="00C77BA0">
        <w:rPr>
          <w:rFonts w:cs="Times New Roman"/>
          <w:sz w:val="24"/>
          <w:szCs w:val="24"/>
          <w:highlight w:val="yellow"/>
        </w:rPr>
        <w:t xml:space="preserve"> </w:t>
      </w:r>
      <w:proofErr w:type="gramStart"/>
      <w:r w:rsidR="00735711">
        <w:rPr>
          <w:rFonts w:cs="Times New Roman"/>
          <w:sz w:val="24"/>
          <w:szCs w:val="24"/>
          <w:highlight w:val="yellow"/>
        </w:rPr>
        <w:t>t</w:t>
      </w:r>
      <w:r w:rsidRPr="00C77BA0">
        <w:rPr>
          <w:rFonts w:cs="Times New Roman"/>
          <w:sz w:val="24"/>
          <w:szCs w:val="24"/>
          <w:highlight w:val="yellow"/>
        </w:rPr>
        <w:t>o</w:t>
      </w:r>
      <w:proofErr w:type="gramEnd"/>
      <w:r w:rsidRPr="00C77BA0">
        <w:rPr>
          <w:rFonts w:cs="Times New Roman"/>
          <w:sz w:val="24"/>
          <w:szCs w:val="24"/>
          <w:highlight w:val="yellow"/>
        </w:rPr>
        <w:t xml:space="preserve"> ensure that administrations and operating agencies cooperate in ensuring the integrity, reliable operation and security of the national information and communication infrastructure, include the Internet at the site of ITU.</w:t>
      </w:r>
      <w:r w:rsidR="00E620C4" w:rsidRPr="00C77BA0">
        <w:rPr>
          <w:rFonts w:cs="Times New Roman"/>
          <w:sz w:val="24"/>
          <w:szCs w:val="24"/>
          <w:highlight w:val="yellow"/>
        </w:rPr>
        <w:t xml:space="preserve"> </w:t>
      </w:r>
    </w:p>
    <w:p w:rsidR="007D1F2C" w:rsidRDefault="00AC1CD6" w:rsidP="0040201F">
      <w:pPr>
        <w:spacing w:before="160" w:after="0" w:line="240" w:lineRule="auto"/>
        <w:jc w:val="center"/>
        <w:rPr>
          <w:rFonts w:cs="Times New Roman"/>
          <w:sz w:val="24"/>
          <w:szCs w:val="24"/>
        </w:rPr>
      </w:pPr>
      <w:r w:rsidRPr="00AC1CD6">
        <w:rPr>
          <w:rFonts w:cs="Times New Roman"/>
          <w:sz w:val="24"/>
          <w:szCs w:val="24"/>
        </w:rPr>
        <w:t>____________________________</w:t>
      </w:r>
    </w:p>
    <w:p w:rsidR="007D1F2C" w:rsidRDefault="00AC1CD6" w:rsidP="0040201F">
      <w:pPr>
        <w:spacing w:before="160" w:after="0" w:line="240" w:lineRule="auto"/>
        <w:rPr>
          <w:b/>
          <w:bCs/>
          <w:sz w:val="28"/>
          <w:szCs w:val="28"/>
        </w:rPr>
      </w:pPr>
      <w:r w:rsidRPr="00AC1CD6">
        <w:rPr>
          <w:b/>
          <w:bCs/>
          <w:sz w:val="24"/>
          <w:szCs w:val="24"/>
        </w:rPr>
        <w:br w:type="page"/>
      </w:r>
    </w:p>
    <w:p w:rsidR="007D1F2C" w:rsidRDefault="00AC1CD6" w:rsidP="0040201F">
      <w:pPr>
        <w:spacing w:before="720" w:after="0" w:line="240" w:lineRule="auto"/>
        <w:jc w:val="center"/>
        <w:rPr>
          <w:b/>
          <w:bCs/>
          <w:szCs w:val="28"/>
        </w:rPr>
      </w:pPr>
      <w:r w:rsidRPr="00AC1CD6">
        <w:rPr>
          <w:b/>
          <w:bCs/>
          <w:sz w:val="24"/>
          <w:szCs w:val="28"/>
        </w:rPr>
        <w:lastRenderedPageBreak/>
        <w:t>DRAFT OPINION 6: ON SUPPORTING OPERATIONALIZING THE ENHANCED COOPERATION PROCESS</w:t>
      </w:r>
    </w:p>
    <w:p w:rsidR="007D1F2C" w:rsidRDefault="00AC1CD6" w:rsidP="0040201F">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40201F">
      <w:pPr>
        <w:tabs>
          <w:tab w:val="left" w:pos="720"/>
        </w:tabs>
        <w:spacing w:before="160" w:after="0" w:line="240" w:lineRule="auto"/>
        <w:jc w:val="both"/>
        <w:rPr>
          <w:rFonts w:cs="Times New Roman"/>
          <w:sz w:val="24"/>
          <w:szCs w:val="24"/>
        </w:rPr>
      </w:pPr>
      <w:r w:rsidRPr="00AC1CD6">
        <w:rPr>
          <w:rFonts w:cs="Times New Roman"/>
          <w:i/>
          <w:sz w:val="24"/>
          <w:szCs w:val="24"/>
          <w:lang w:val="en-GB"/>
        </w:rPr>
        <w:tab/>
      </w:r>
      <w:proofErr w:type="gramStart"/>
      <w:r w:rsidRPr="00AC1CD6">
        <w:rPr>
          <w:rFonts w:cs="Times New Roman"/>
          <w:i/>
          <w:sz w:val="24"/>
          <w:szCs w:val="24"/>
          <w:lang w:val="en-GB"/>
        </w:rPr>
        <w:t>recalling</w:t>
      </w:r>
      <w:proofErr w:type="gramEnd"/>
      <w:r w:rsidRPr="00AC1CD6">
        <w:rPr>
          <w:rFonts w:cs="Times New Roman"/>
          <w:i/>
          <w:sz w:val="24"/>
          <w:szCs w:val="24"/>
          <w:lang w:val="en-GB"/>
        </w:rPr>
        <w:t xml:space="preserve"> </w:t>
      </w:r>
    </w:p>
    <w:p w:rsidR="007D1F2C" w:rsidRDefault="00AC1CD6" w:rsidP="0040201F">
      <w:pPr>
        <w:pStyle w:val="ListParagraph"/>
        <w:numPr>
          <w:ilvl w:val="0"/>
          <w:numId w:val="39"/>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Paragraphs 35, 37, 55, 60, 68, 69, 70, 71, 83  and other relevant paragraphs of the Tunis Agenda related to </w:t>
      </w:r>
      <w:r w:rsidRPr="00AC1CD6">
        <w:rPr>
          <w:rFonts w:cs="Times New Roman"/>
          <w:i/>
          <w:iCs/>
          <w:sz w:val="24"/>
          <w:szCs w:val="24"/>
        </w:rPr>
        <w:t xml:space="preserve">enhanced cooperation </w:t>
      </w:r>
      <w:r w:rsidRPr="00AC1CD6">
        <w:rPr>
          <w:rFonts w:cs="Times New Roman"/>
          <w:sz w:val="24"/>
          <w:szCs w:val="24"/>
        </w:rPr>
        <w:t>and the roles of all relevant stakeholders;</w:t>
      </w:r>
    </w:p>
    <w:p w:rsidR="007D1F2C" w:rsidRDefault="00AC1CD6" w:rsidP="0040201F">
      <w:pPr>
        <w:pStyle w:val="ListParagraph"/>
        <w:numPr>
          <w:ilvl w:val="0"/>
          <w:numId w:val="39"/>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UNGA Resolutions - enhanced cooperation (2011 A/RES/65/141, 2012 A/RES/67/195);</w:t>
      </w:r>
    </w:p>
    <w:p w:rsidR="007D1F2C" w:rsidRDefault="00AC1CD6" w:rsidP="0040201F">
      <w:pPr>
        <w:pStyle w:val="ListParagraph"/>
        <w:numPr>
          <w:ilvl w:val="0"/>
          <w:numId w:val="39"/>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relevant ITU Resolutions (i.e., Res. 101, 102, 133),</w:t>
      </w: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considering</w:t>
      </w:r>
      <w:proofErr w:type="gramEnd"/>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Internet has evolved into a powerful and very successful vehicle for innovation, economic growth, the spread of knowledge and culture, and the delivery of services;</w:t>
      </w:r>
    </w:p>
    <w:p w:rsidR="007D1F2C" w:rsidRDefault="009459EA" w:rsidP="0040201F">
      <w:pPr>
        <w:tabs>
          <w:tab w:val="left" w:pos="567"/>
        </w:tabs>
        <w:spacing w:before="160" w:after="0" w:line="240" w:lineRule="auto"/>
        <w:jc w:val="both"/>
        <w:outlineLvl w:val="0"/>
        <w:rPr>
          <w:rFonts w:cs="Times New Roman"/>
          <w:sz w:val="24"/>
          <w:szCs w:val="24"/>
        </w:rPr>
      </w:pPr>
      <w:r>
        <w:rPr>
          <w:rFonts w:cs="Times New Roman"/>
          <w:sz w:val="24"/>
          <w:szCs w:val="24"/>
        </w:rPr>
        <w:t>b)</w:t>
      </w:r>
      <w:r w:rsidR="00AC1CD6" w:rsidRPr="00AC1CD6">
        <w:rPr>
          <w:rFonts w:cs="Times New Roman"/>
          <w:sz w:val="24"/>
          <w:szCs w:val="24"/>
        </w:rPr>
        <w:tab/>
      </w:r>
      <w:proofErr w:type="gramStart"/>
      <w:r w:rsidR="00AC1CD6" w:rsidRPr="00AC1CD6">
        <w:rPr>
          <w:rFonts w:cs="Times New Roman"/>
          <w:sz w:val="24"/>
          <w:szCs w:val="24"/>
        </w:rPr>
        <w:t>that</w:t>
      </w:r>
      <w:proofErr w:type="gramEnd"/>
      <w:r w:rsidR="00AC1CD6" w:rsidRPr="00AC1CD6">
        <w:rPr>
          <w:rFonts w:cs="Times New Roman"/>
          <w:sz w:val="24"/>
          <w:szCs w:val="24"/>
        </w:rPr>
        <w:t xml:space="preserve"> the Internet, where it is available, has provided, inter alia, economic and social benefits to governments, business and wider society. However, it is recognized that there are some problems related to network security and spam which should be addressed through cooperation among all stakeholders in their respective roles;</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Internet is now essential for the continuing operation of business and government services around the world;</w:t>
      </w:r>
    </w:p>
    <w:p w:rsidR="007D1F2C" w:rsidRDefault="00AC1CD6" w:rsidP="0040201F">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international cooperation and support is also essential for bringing the benefits of the Internet to all peoples of the world, in particular developing and least developed countries,</w:t>
      </w:r>
    </w:p>
    <w:p w:rsidR="007D1F2C" w:rsidRDefault="00AC1CD6" w:rsidP="0040201F">
      <w:pPr>
        <w:tabs>
          <w:tab w:val="left" w:pos="720"/>
        </w:tabs>
        <w:spacing w:before="160" w:after="0" w:line="240" w:lineRule="auto"/>
        <w:jc w:val="both"/>
        <w:rPr>
          <w:rFonts w:cs="Times New Roman"/>
          <w:b/>
          <w:sz w:val="24"/>
          <w:szCs w:val="24"/>
        </w:rPr>
      </w:pPr>
      <w:r w:rsidRPr="00AC1CD6">
        <w:rPr>
          <w:rFonts w:cs="Times New Roman"/>
          <w:i/>
          <w:sz w:val="24"/>
          <w:szCs w:val="24"/>
        </w:rPr>
        <w:tab/>
      </w:r>
      <w:proofErr w:type="gramStart"/>
      <w:r w:rsidRPr="00AC1CD6">
        <w:rPr>
          <w:rFonts w:cs="Times New Roman"/>
          <w:i/>
          <w:sz w:val="24"/>
          <w:szCs w:val="24"/>
        </w:rPr>
        <w:t>recognizing</w:t>
      </w:r>
      <w:proofErr w:type="gramEnd"/>
    </w:p>
    <w:p w:rsidR="007D1F2C" w:rsidRDefault="00AC1CD6" w:rsidP="0040201F">
      <w:pPr>
        <w:tabs>
          <w:tab w:val="left" w:pos="567"/>
          <w:tab w:val="left" w:pos="720"/>
        </w:tabs>
        <w:spacing w:before="160" w:after="0" w:line="240" w:lineRule="auto"/>
        <w:jc w:val="both"/>
        <w:outlineLvl w:val="0"/>
        <w:rPr>
          <w:rFonts w:cs="Times New Roman"/>
          <w:sz w:val="24"/>
          <w:szCs w:val="24"/>
        </w:rPr>
      </w:pPr>
      <w:r w:rsidRPr="00AC1CD6">
        <w:rPr>
          <w:rFonts w:cs="Times New Roman"/>
          <w:sz w:val="24"/>
          <w:szCs w:val="24"/>
        </w:rPr>
        <w:tab/>
        <w:t>UNGA Resolution A/RES/67/195 which states the “significance and urgency of the process towards enhanced cooperation in full consistency with the mandate provided in the Tunis Agenda and the need for enhanced cooperation to enable Governments, on an equal footing, to carry out their roles and responsibilities in respect of international public policy issues pertaining to the Internet but not in respect of the day-to-day technical and operational matters that have no impact on those issues”,</w:t>
      </w:r>
    </w:p>
    <w:p w:rsidR="007D1F2C" w:rsidRDefault="00AC1CD6" w:rsidP="0040201F">
      <w:pPr>
        <w:spacing w:before="160" w:after="0" w:line="240" w:lineRule="auto"/>
        <w:ind w:firstLine="720"/>
        <w:rPr>
          <w:rFonts w:cs="Times New Roman"/>
          <w:b/>
          <w:sz w:val="24"/>
          <w:szCs w:val="24"/>
        </w:rPr>
      </w:pPr>
      <w:proofErr w:type="gramStart"/>
      <w:r w:rsidRPr="00AC1CD6">
        <w:rPr>
          <w:rFonts w:cs="Times New Roman"/>
          <w:i/>
          <w:sz w:val="24"/>
          <w:szCs w:val="24"/>
        </w:rPr>
        <w:t>noting</w:t>
      </w:r>
      <w:proofErr w:type="gramEnd"/>
      <w:r w:rsidRPr="00AC1CD6">
        <w:rPr>
          <w:rFonts w:cs="Times New Roman"/>
          <w:i/>
          <w:sz w:val="24"/>
          <w:szCs w:val="24"/>
        </w:rPr>
        <w:t xml:space="preserve"> </w:t>
      </w:r>
    </w:p>
    <w:p w:rsidR="007D1F2C" w:rsidRDefault="009459EA" w:rsidP="0040201F">
      <w:pPr>
        <w:tabs>
          <w:tab w:val="left" w:pos="567"/>
        </w:tabs>
        <w:spacing w:before="160" w:after="0" w:line="240" w:lineRule="auto"/>
        <w:jc w:val="both"/>
        <w:rPr>
          <w:rFonts w:cs="Times New Roman"/>
          <w:sz w:val="24"/>
          <w:szCs w:val="24"/>
        </w:rPr>
      </w:pPr>
      <w:r>
        <w:rPr>
          <w:rFonts w:cs="Times New Roman"/>
          <w:color w:val="000000"/>
          <w:sz w:val="24"/>
          <w:szCs w:val="24"/>
        </w:rPr>
        <w:t>a)</w:t>
      </w:r>
      <w:r w:rsidR="00AC1CD6" w:rsidRPr="00AC1CD6">
        <w:rPr>
          <w:rFonts w:cs="Times New Roman"/>
          <w:color w:val="000000"/>
          <w:sz w:val="24"/>
          <w:szCs w:val="24"/>
        </w:rPr>
        <w:tab/>
      </w:r>
      <w:proofErr w:type="gramStart"/>
      <w:r w:rsidR="00AC1CD6" w:rsidRPr="00AC1CD6">
        <w:rPr>
          <w:rFonts w:cs="Times New Roman"/>
          <w:sz w:val="24"/>
          <w:szCs w:val="24"/>
        </w:rPr>
        <w:t>that</w:t>
      </w:r>
      <w:proofErr w:type="gramEnd"/>
      <w:r w:rsidR="00AC1CD6" w:rsidRPr="00AC1CD6">
        <w:rPr>
          <w:rFonts w:cs="Times New Roman"/>
          <w:i/>
          <w:iCs/>
          <w:sz w:val="24"/>
          <w:szCs w:val="24"/>
        </w:rPr>
        <w:t xml:space="preserve"> </w:t>
      </w:r>
      <w:r w:rsidR="00AC1CD6" w:rsidRPr="00AC1CD6">
        <w:rPr>
          <w:rFonts w:cs="Times New Roman"/>
          <w:sz w:val="24"/>
          <w:szCs w:val="24"/>
        </w:rPr>
        <w:t xml:space="preserve">the United Nations family of organizations has attempted to address some International Internet-related public policy issues; </w:t>
      </w:r>
    </w:p>
    <w:p w:rsidR="007D1F2C" w:rsidRDefault="00AC1CD6" w:rsidP="0040201F">
      <w:pPr>
        <w:tabs>
          <w:tab w:val="left" w:pos="567"/>
        </w:tabs>
        <w:spacing w:before="160" w:after="0" w:line="240" w:lineRule="auto"/>
        <w:jc w:val="both"/>
        <w:rPr>
          <w:rFonts w:cs="Times New Roman"/>
          <w:color w:val="000000"/>
          <w:sz w:val="24"/>
          <w:szCs w:val="24"/>
        </w:rPr>
      </w:pPr>
      <w:r w:rsidRPr="00AC1CD6">
        <w:rPr>
          <w:rFonts w:cs="Times New Roman"/>
          <w:color w:val="000000"/>
          <w:sz w:val="24"/>
          <w:szCs w:val="24"/>
        </w:rPr>
        <w:t>b)</w:t>
      </w:r>
      <w:r w:rsidRPr="00AC1CD6">
        <w:rPr>
          <w:rFonts w:cs="Times New Roman"/>
          <w:color w:val="000000"/>
          <w:sz w:val="24"/>
          <w:szCs w:val="24"/>
        </w:rPr>
        <w:tab/>
      </w:r>
      <w:proofErr w:type="gramStart"/>
      <w:r w:rsidRPr="00AC1CD6">
        <w:rPr>
          <w:rFonts w:cs="Times New Roman"/>
          <w:color w:val="000000"/>
          <w:sz w:val="24"/>
          <w:szCs w:val="24"/>
        </w:rPr>
        <w:t>that</w:t>
      </w:r>
      <w:proofErr w:type="gramEnd"/>
      <w:r w:rsidRPr="00AC1CD6">
        <w:rPr>
          <w:rFonts w:cs="Times New Roman"/>
          <w:color w:val="000000"/>
          <w:sz w:val="24"/>
          <w:szCs w:val="24"/>
        </w:rPr>
        <w:t xml:space="preserve"> these attempts by the UN family, referred to in noting a) above, have not  fully addressed those overriding issues of the Internet; </w:t>
      </w:r>
    </w:p>
    <w:p w:rsidR="007D1F2C" w:rsidRDefault="00AC1CD6" w:rsidP="0040201F">
      <w:pPr>
        <w:pStyle w:val="ListParagraph"/>
        <w:numPr>
          <w:ilvl w:val="0"/>
          <w:numId w:val="40"/>
        </w:numPr>
        <w:tabs>
          <w:tab w:val="left" w:pos="567"/>
        </w:tabs>
        <w:spacing w:before="160" w:after="0" w:line="240" w:lineRule="auto"/>
        <w:ind w:hanging="720"/>
        <w:contextualSpacing w:val="0"/>
        <w:jc w:val="both"/>
        <w:rPr>
          <w:rFonts w:cs="Times New Roman"/>
          <w:color w:val="000000"/>
          <w:sz w:val="24"/>
          <w:szCs w:val="24"/>
        </w:rPr>
      </w:pPr>
      <w:r w:rsidRPr="00AC1CD6">
        <w:rPr>
          <w:rFonts w:cs="Times New Roman"/>
          <w:color w:val="000000"/>
          <w:sz w:val="24"/>
          <w:szCs w:val="24"/>
        </w:rPr>
        <w:t xml:space="preserve">that, the UNGA has passed Resolution (A/RES/67/195), on 21 Dec. 2012, </w:t>
      </w:r>
    </w:p>
    <w:p w:rsidR="007D1F2C" w:rsidRDefault="00AC1CD6" w:rsidP="0040201F">
      <w:pPr>
        <w:pStyle w:val="ListParagraph"/>
        <w:spacing w:before="160" w:after="0" w:line="240" w:lineRule="auto"/>
        <w:contextualSpacing w:val="0"/>
        <w:jc w:val="both"/>
        <w:rPr>
          <w:rFonts w:cs="Times New Roman"/>
          <w:color w:val="0D0D0D" w:themeColor="text1" w:themeTint="F2"/>
          <w:sz w:val="24"/>
          <w:szCs w:val="24"/>
        </w:rPr>
      </w:pPr>
      <w:r w:rsidRPr="00AC1CD6">
        <w:rPr>
          <w:rFonts w:cs="Times New Roman"/>
          <w:color w:val="0D0D0D" w:themeColor="text1" w:themeTint="F2"/>
          <w:sz w:val="24"/>
          <w:szCs w:val="24"/>
        </w:rPr>
        <w:t>“20.</w:t>
      </w:r>
      <w:r w:rsidR="009459EA">
        <w:rPr>
          <w:rFonts w:cs="Times New Roman"/>
          <w:color w:val="0D0D0D" w:themeColor="text1" w:themeTint="F2"/>
          <w:sz w:val="24"/>
          <w:szCs w:val="24"/>
        </w:rPr>
        <w:tab/>
      </w:r>
      <w:r w:rsidRPr="00AC1CD6">
        <w:rPr>
          <w:rFonts w:cs="Times New Roman"/>
          <w:color w:val="0D0D0D" w:themeColor="text1" w:themeTint="F2"/>
          <w:sz w:val="24"/>
          <w:szCs w:val="24"/>
        </w:rPr>
        <w:t xml:space="preserve">Invites the Chair of the Commission on Science and Technology for Development to establish a working group on enhanced cooperation to examine the mandate of the World Summit on the Information Society regarding enhanced cooperation as contained in the Tunis Agenda, through seeking, compiling and reviewing inputs from all Member States and all other stakeholders, and to make recommendations on how to fully </w:t>
      </w:r>
      <w:r w:rsidRPr="00AC1CD6">
        <w:rPr>
          <w:rFonts w:cs="Times New Roman"/>
          <w:color w:val="0D0D0D" w:themeColor="text1" w:themeTint="F2"/>
          <w:sz w:val="24"/>
          <w:szCs w:val="24"/>
        </w:rPr>
        <w:lastRenderedPageBreak/>
        <w:t>implement this mandate; advises the Chair, when convening the working group, to take into consideration the meetings already scheduled on the calendar of the Commission; and also advises that the working group should report to the Commission at its seventeenth session, in 2014, as part of the overall review of the outcomes of the World Summit on the Information Society;</w:t>
      </w:r>
    </w:p>
    <w:p w:rsidR="007D1F2C" w:rsidRDefault="00AC1CD6" w:rsidP="0040201F">
      <w:pPr>
        <w:pStyle w:val="ListParagraph"/>
        <w:spacing w:before="160" w:after="0" w:line="240" w:lineRule="auto"/>
        <w:contextualSpacing w:val="0"/>
        <w:jc w:val="both"/>
        <w:rPr>
          <w:rFonts w:cs="Times New Roman"/>
          <w:color w:val="0D0D0D" w:themeColor="text1" w:themeTint="F2"/>
          <w:sz w:val="24"/>
          <w:szCs w:val="24"/>
        </w:rPr>
      </w:pPr>
      <w:r w:rsidRPr="00AC1CD6">
        <w:rPr>
          <w:rFonts w:cs="Times New Roman"/>
          <w:color w:val="0D0D0D" w:themeColor="text1" w:themeTint="F2"/>
          <w:sz w:val="24"/>
          <w:szCs w:val="24"/>
        </w:rPr>
        <w:t>21.</w:t>
      </w:r>
      <w:r w:rsidR="009459EA">
        <w:rPr>
          <w:rFonts w:cs="Times New Roman"/>
          <w:color w:val="0D0D0D" w:themeColor="text1" w:themeTint="F2"/>
          <w:sz w:val="24"/>
          <w:szCs w:val="24"/>
        </w:rPr>
        <w:tab/>
      </w:r>
      <w:r w:rsidRPr="00AC1CD6">
        <w:rPr>
          <w:rFonts w:cs="Times New Roman"/>
          <w:color w:val="0D0D0D" w:themeColor="text1" w:themeTint="F2"/>
          <w:sz w:val="24"/>
          <w:szCs w:val="24"/>
        </w:rPr>
        <w:t>Requests the Chair of the Commission on Science and Technology for Development to ensure that the working group on enhanced cooperation has balanced representation between Governments from the five regional groups of the Commission, and invitees from all other stakeholders, namely, the private sector, civil society, technical and academic communities, and intergovernmental and international organizations, drawn equally from developing and developed countries.”,</w:t>
      </w:r>
    </w:p>
    <w:p w:rsidR="007D1F2C" w:rsidRDefault="00AC1CD6" w:rsidP="0040201F">
      <w:pPr>
        <w:tabs>
          <w:tab w:val="left" w:pos="720"/>
        </w:tabs>
        <w:spacing w:before="160" w:after="0" w:line="240" w:lineRule="auto"/>
        <w:ind w:firstLine="720"/>
        <w:jc w:val="both"/>
        <w:rPr>
          <w:rFonts w:cs="Times New Roman"/>
          <w:i/>
          <w:sz w:val="24"/>
          <w:szCs w:val="24"/>
        </w:rPr>
      </w:pPr>
      <w:proofErr w:type="gramStart"/>
      <w:r w:rsidRPr="00AC1CD6">
        <w:rPr>
          <w:rFonts w:cs="Times New Roman"/>
          <w:i/>
          <w:sz w:val="24"/>
          <w:szCs w:val="24"/>
        </w:rPr>
        <w:t>is</w:t>
      </w:r>
      <w:proofErr w:type="gramEnd"/>
      <w:r w:rsidRPr="00AC1CD6">
        <w:rPr>
          <w:rFonts w:cs="Times New Roman"/>
          <w:i/>
          <w:sz w:val="24"/>
          <w:szCs w:val="24"/>
        </w:rPr>
        <w:t xml:space="preserve"> of the view</w:t>
      </w:r>
    </w:p>
    <w:p w:rsidR="007D1F2C" w:rsidRDefault="00AC1CD6" w:rsidP="0040201F">
      <w:pPr>
        <w:tabs>
          <w:tab w:val="left" w:pos="567"/>
        </w:tabs>
        <w:spacing w:before="160" w:after="0" w:line="240" w:lineRule="auto"/>
        <w:jc w:val="both"/>
        <w:rPr>
          <w:rFonts w:cs="Times New Roman"/>
          <w:sz w:val="24"/>
          <w:szCs w:val="24"/>
        </w:rPr>
      </w:pPr>
      <w:r w:rsidRPr="00AC1CD6">
        <w:rPr>
          <w:rFonts w:cs="Times New Roman"/>
          <w:sz w:val="24"/>
          <w:szCs w:val="24"/>
        </w:rPr>
        <w:tab/>
      </w:r>
      <w:proofErr w:type="gramStart"/>
      <w:r w:rsidRPr="00AC1CD6">
        <w:rPr>
          <w:rFonts w:cs="Times New Roman"/>
          <w:sz w:val="24"/>
          <w:szCs w:val="24"/>
        </w:rPr>
        <w:t>to</w:t>
      </w:r>
      <w:proofErr w:type="gramEnd"/>
      <w:r w:rsidRPr="00AC1CD6">
        <w:rPr>
          <w:rFonts w:cs="Times New Roman"/>
          <w:sz w:val="24"/>
          <w:szCs w:val="24"/>
        </w:rPr>
        <w:t xml:space="preserve"> reaffirm the need for enhanced cooperation to enable governments to develop international Internet-related public policy in consultation with all stakeholders as outlined in paragraph 69 of the Tunis Agenda,</w:t>
      </w:r>
    </w:p>
    <w:p w:rsidR="007D1F2C" w:rsidRDefault="00AC1CD6" w:rsidP="0040201F">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invites</w:t>
      </w:r>
      <w:proofErr w:type="gramEnd"/>
      <w:r w:rsidRPr="00AC1CD6">
        <w:rPr>
          <w:rFonts w:cs="Times New Roman"/>
          <w:iCs/>
          <w:sz w:val="24"/>
          <w:szCs w:val="24"/>
        </w:rPr>
        <w:t xml:space="preserve"> </w:t>
      </w:r>
    </w:p>
    <w:p w:rsidR="007D1F2C" w:rsidRDefault="00AF1A95" w:rsidP="0040201F">
      <w:pPr>
        <w:tabs>
          <w:tab w:val="left" w:pos="567"/>
        </w:tabs>
        <w:spacing w:before="160" w:after="0" w:line="240" w:lineRule="auto"/>
        <w:ind w:left="709" w:hanging="709"/>
        <w:jc w:val="both"/>
        <w:rPr>
          <w:rFonts w:cs="Times New Roman"/>
          <w:sz w:val="24"/>
          <w:szCs w:val="24"/>
        </w:rPr>
      </w:pPr>
      <w:r>
        <w:rPr>
          <w:rFonts w:cs="Times New Roman"/>
          <w:sz w:val="24"/>
          <w:szCs w:val="24"/>
        </w:rPr>
        <w:tab/>
      </w:r>
      <w:proofErr w:type="gramStart"/>
      <w:r w:rsidR="00AC1CD6" w:rsidRPr="00AC1CD6">
        <w:rPr>
          <w:rFonts w:cs="Times New Roman"/>
          <w:sz w:val="24"/>
          <w:szCs w:val="24"/>
        </w:rPr>
        <w:t>all</w:t>
      </w:r>
      <w:proofErr w:type="gramEnd"/>
      <w:r w:rsidR="00AC1CD6" w:rsidRPr="00AC1CD6">
        <w:rPr>
          <w:rFonts w:cs="Times New Roman"/>
          <w:sz w:val="24"/>
          <w:szCs w:val="24"/>
        </w:rPr>
        <w:t xml:space="preserve"> stakeholders to work on these issues. </w:t>
      </w:r>
    </w:p>
    <w:p w:rsidR="007D1F2C" w:rsidRDefault="00AC1CD6" w:rsidP="0040201F">
      <w:pPr>
        <w:spacing w:before="160" w:after="0" w:line="240" w:lineRule="auto"/>
        <w:jc w:val="center"/>
        <w:rPr>
          <w:rFonts w:cs="Times New Roman"/>
          <w:sz w:val="24"/>
          <w:szCs w:val="24"/>
        </w:rPr>
      </w:pPr>
      <w:r w:rsidRPr="00AC1CD6">
        <w:rPr>
          <w:rFonts w:cs="Times New Roman"/>
          <w:sz w:val="24"/>
          <w:szCs w:val="24"/>
        </w:rPr>
        <w:t>____________________________</w:t>
      </w:r>
    </w:p>
    <w:p w:rsidR="00F55769" w:rsidRDefault="00F55769" w:rsidP="0040201F">
      <w:pPr>
        <w:spacing w:before="160" w:after="0" w:line="240" w:lineRule="auto"/>
        <w:rPr>
          <w:b/>
          <w:bCs/>
          <w:sz w:val="24"/>
          <w:szCs w:val="24"/>
        </w:rPr>
      </w:pPr>
    </w:p>
    <w:sectPr w:rsidR="00F55769" w:rsidSect="00B97C5D">
      <w:headerReference w:type="default" r:id="rId21"/>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CD" w:rsidRDefault="00B36CCD" w:rsidP="00087C07">
      <w:pPr>
        <w:spacing w:after="0" w:line="240" w:lineRule="auto"/>
      </w:pPr>
      <w:r>
        <w:separator/>
      </w:r>
    </w:p>
  </w:endnote>
  <w:endnote w:type="continuationSeparator" w:id="0">
    <w:p w:rsidR="00B36CCD" w:rsidRDefault="00B36CCD"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Whitney-Book">
    <w:panose1 w:val="00000000000000000000"/>
    <w:charset w:val="00"/>
    <w:family w:val="swiss"/>
    <w:notTrueType/>
    <w:pitch w:val="default"/>
    <w:sig w:usb0="00000003" w:usb1="00000000" w:usb2="00000000" w:usb3="00000000" w:csb0="00000001"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CD" w:rsidRDefault="00B36CCD" w:rsidP="00087C07">
      <w:pPr>
        <w:spacing w:after="0" w:line="240" w:lineRule="auto"/>
      </w:pPr>
      <w:r>
        <w:separator/>
      </w:r>
    </w:p>
  </w:footnote>
  <w:footnote w:type="continuationSeparator" w:id="0">
    <w:p w:rsidR="00B36CCD" w:rsidRDefault="00B36CCD" w:rsidP="00087C07">
      <w:pPr>
        <w:spacing w:after="0" w:line="240" w:lineRule="auto"/>
      </w:pPr>
      <w:r>
        <w:continuationSeparator/>
      </w:r>
    </w:p>
  </w:footnote>
  <w:footnote w:id="1">
    <w:p w:rsidR="00B36CCD" w:rsidRPr="00B46952" w:rsidRDefault="00B36CCD" w:rsidP="00450278">
      <w:pPr>
        <w:pStyle w:val="FootnoteText"/>
        <w:tabs>
          <w:tab w:val="left" w:pos="426"/>
        </w:tabs>
        <w:ind w:left="426" w:hanging="426"/>
        <w:jc w:val="both"/>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w:t>
      </w:r>
      <w:r>
        <w:rPr>
          <w:rFonts w:asciiTheme="minorHAnsi" w:hAnsiTheme="minorHAnsi" w:cstheme="minorHAnsi"/>
        </w:rPr>
        <w:tab/>
      </w:r>
      <w:r w:rsidRPr="00F97800">
        <w:rPr>
          <w:rFonts w:asciiTheme="minorHAnsi" w:hAnsiTheme="minorHAnsi" w:cstheme="minorHAnsi"/>
        </w:rPr>
        <w:t xml:space="preserve">Note: the title of WTPF-13 is specified in Res. 2 (Rev. Guadalajara, 2010), ITU </w:t>
      </w:r>
      <w:r w:rsidRPr="00B46952">
        <w:rPr>
          <w:rFonts w:asciiTheme="minorHAnsi" w:hAnsiTheme="minorHAnsi" w:cstheme="minorHAnsi"/>
        </w:rPr>
        <w:t>Council 2011 Decision 562, and ITU Council 2012 Decision 572.</w:t>
      </w:r>
    </w:p>
  </w:footnote>
  <w:footnote w:id="2">
    <w:p w:rsidR="00B36CCD" w:rsidRPr="00F91831" w:rsidRDefault="00B36CCD" w:rsidP="00450278">
      <w:pPr>
        <w:pStyle w:val="FootnoteText"/>
        <w:tabs>
          <w:tab w:val="left" w:pos="426"/>
        </w:tabs>
        <w:ind w:left="426" w:hanging="426"/>
        <w:rPr>
          <w:rFonts w:asciiTheme="minorHAnsi" w:hAnsiTheme="minorHAnsi"/>
        </w:rPr>
      </w:pPr>
      <w:r w:rsidRPr="00F91831">
        <w:rPr>
          <w:rStyle w:val="FootnoteReference"/>
          <w:rFonts w:asciiTheme="minorHAnsi" w:hAnsiTheme="minorHAnsi"/>
        </w:rPr>
        <w:footnoteRef/>
      </w:r>
      <w:r w:rsidRPr="00F91831">
        <w:rPr>
          <w:rFonts w:asciiTheme="minorHAnsi" w:hAnsiTheme="minorHAnsi"/>
        </w:rPr>
        <w:t xml:space="preserve"> </w:t>
      </w:r>
      <w:r>
        <w:rPr>
          <w:rFonts w:asciiTheme="minorHAnsi" w:hAnsiTheme="minorHAnsi"/>
        </w:rPr>
        <w:tab/>
      </w:r>
      <w:r w:rsidRPr="00F91831">
        <w:rPr>
          <w:rFonts w:asciiTheme="minorHAnsi" w:hAnsiTheme="minorHAnsi"/>
        </w:rPr>
        <w:t xml:space="preserve">Dedicated Group on international Internet related public policy issues, available at </w:t>
      </w:r>
      <w:hyperlink r:id="rId1" w:history="1">
        <w:r w:rsidRPr="00F91831">
          <w:rPr>
            <w:rStyle w:val="Hyperlink"/>
            <w:rFonts w:asciiTheme="minorHAnsi" w:hAnsiTheme="minorHAnsi"/>
          </w:rPr>
          <w:t>http://www.itu.int/council/groups/wsis/dedicatedgroup.html</w:t>
        </w:r>
      </w:hyperlink>
      <w:r w:rsidRPr="00F91831">
        <w:rPr>
          <w:rFonts w:asciiTheme="minorHAnsi" w:hAnsiTheme="minorHAnsi"/>
        </w:rPr>
        <w:t xml:space="preserve"> </w:t>
      </w:r>
    </w:p>
  </w:footnote>
  <w:footnote w:id="3">
    <w:p w:rsidR="00B36CCD" w:rsidRPr="00B46952" w:rsidRDefault="00B36CCD" w:rsidP="00450278">
      <w:pPr>
        <w:pStyle w:val="FootnoteText"/>
        <w:tabs>
          <w:tab w:val="left" w:pos="426"/>
        </w:tabs>
        <w:ind w:left="0" w:firstLine="0"/>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CWG-Internet, available at:  </w:t>
      </w:r>
      <w:hyperlink r:id="rId2" w:history="1">
        <w:r w:rsidRPr="00B46952">
          <w:rPr>
            <w:rStyle w:val="Hyperlink"/>
            <w:rFonts w:asciiTheme="minorHAnsi" w:hAnsiTheme="minorHAnsi" w:cstheme="minorHAnsi"/>
          </w:rPr>
          <w:t>http://www.itu.int/council/groups/CWG-Internet/index.html</w:t>
        </w:r>
      </w:hyperlink>
      <w:r w:rsidRPr="00B46952">
        <w:rPr>
          <w:rFonts w:asciiTheme="minorHAnsi" w:hAnsiTheme="minorHAnsi" w:cstheme="minorHAnsi"/>
        </w:rPr>
        <w:t>.</w:t>
      </w:r>
    </w:p>
  </w:footnote>
  <w:footnote w:id="4">
    <w:p w:rsidR="00B36CCD" w:rsidRPr="00B46952" w:rsidRDefault="00B36CCD" w:rsidP="00450278">
      <w:pPr>
        <w:pStyle w:val="FootnoteText"/>
        <w:tabs>
          <w:tab w:val="left" w:pos="426"/>
        </w:tabs>
        <w:ind w:left="284" w:hanging="284"/>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Quoting </w:t>
      </w:r>
      <w:r w:rsidRPr="00B46952">
        <w:rPr>
          <w:rFonts w:asciiTheme="minorHAnsi" w:hAnsiTheme="minorHAnsi" w:cstheme="minorHAnsi"/>
          <w:i/>
          <w:iCs/>
        </w:rPr>
        <w:t>instructs the Council 1</w:t>
      </w:r>
      <w:r w:rsidRPr="00B46952">
        <w:rPr>
          <w:rFonts w:asciiTheme="minorHAnsi" w:hAnsiTheme="minorHAnsi" w:cstheme="minorHAnsi"/>
        </w:rPr>
        <w:t xml:space="preserve"> of Res. 102 (Rev. Guadalajara 2010).</w:t>
      </w:r>
    </w:p>
  </w:footnote>
  <w:footnote w:id="5">
    <w:p w:rsidR="00B36CCD" w:rsidRPr="00F91831" w:rsidRDefault="00B36CCD" w:rsidP="00450278">
      <w:pPr>
        <w:tabs>
          <w:tab w:val="left" w:pos="284"/>
        </w:tabs>
        <w:spacing w:after="0" w:line="240" w:lineRule="auto"/>
        <w:jc w:val="both"/>
        <w:rPr>
          <w:rFonts w:cstheme="minorHAnsi"/>
          <w:sz w:val="20"/>
          <w:szCs w:val="20"/>
        </w:rPr>
      </w:pPr>
      <w:r w:rsidRPr="00F97800">
        <w:rPr>
          <w:rStyle w:val="FootnoteReference"/>
          <w:rFonts w:cstheme="minorHAnsi"/>
          <w:sz w:val="20"/>
          <w:szCs w:val="20"/>
        </w:rPr>
        <w:footnoteRef/>
      </w:r>
      <w:r w:rsidRPr="00F97800">
        <w:rPr>
          <w:rFonts w:cstheme="minorHAnsi"/>
          <w:sz w:val="20"/>
          <w:szCs w:val="20"/>
        </w:rPr>
        <w:t xml:space="preserve"> </w:t>
      </w:r>
      <w:r>
        <w:rPr>
          <w:rFonts w:cstheme="minorHAnsi"/>
          <w:sz w:val="20"/>
          <w:szCs w:val="20"/>
        </w:rPr>
        <w:tab/>
      </w:r>
      <w:r w:rsidRPr="00F97800">
        <w:rPr>
          <w:rFonts w:cstheme="minorHAnsi"/>
          <w:sz w:val="20"/>
          <w:szCs w:val="20"/>
        </w:rPr>
        <w:t xml:space="preserve">Council 2012 Res. 1344 (available at: </w:t>
      </w:r>
      <w:hyperlink r:id="rId3" w:history="1">
        <w:r w:rsidRPr="00B46952">
          <w:rPr>
            <w:rStyle w:val="Hyperlink"/>
            <w:sz w:val="20"/>
            <w:szCs w:val="20"/>
          </w:rPr>
          <w:t>http://www.itu.int/md/S13-WTPF13REPORT-C-0001</w:t>
        </w:r>
      </w:hyperlink>
      <w:r w:rsidRPr="00F97800">
        <w:rPr>
          <w:rFonts w:cstheme="minorHAnsi"/>
          <w:sz w:val="20"/>
          <w:szCs w:val="20"/>
        </w:rPr>
        <w:t>).</w:t>
      </w:r>
    </w:p>
  </w:footnote>
  <w:footnote w:id="6">
    <w:p w:rsidR="00B36CCD" w:rsidRPr="00B46952" w:rsidRDefault="00B36CCD" w:rsidP="00450278">
      <w:pPr>
        <w:pStyle w:val="FootnoteText"/>
        <w:tabs>
          <w:tab w:val="left" w:pos="284"/>
        </w:tabs>
        <w:ind w:left="0" w:firstLine="0"/>
        <w:rPr>
          <w:rFonts w:asciiTheme="minorHAnsi" w:hAnsiTheme="minorHAnsi" w:cstheme="minorHAnsi"/>
        </w:rPr>
      </w:pPr>
      <w:r w:rsidRPr="00F97800">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gramStart"/>
      <w:r w:rsidRPr="005254D8">
        <w:rPr>
          <w:rFonts w:asciiTheme="minorHAnsi" w:hAnsiTheme="minorHAnsi" w:cstheme="minorHAnsi"/>
        </w:rPr>
        <w:t xml:space="preserve">ITU Council 2012 Document </w:t>
      </w:r>
      <w:hyperlink r:id="rId4" w:history="1">
        <w:r w:rsidRPr="00B46952">
          <w:rPr>
            <w:rStyle w:val="Hyperlink"/>
            <w:rFonts w:asciiTheme="minorHAnsi" w:hAnsiTheme="minorHAnsi" w:cstheme="minorHAnsi"/>
          </w:rPr>
          <w:t>C12/27</w:t>
        </w:r>
      </w:hyperlink>
      <w:r w:rsidRPr="00B46952">
        <w:rPr>
          <w:rFonts w:asciiTheme="minorHAnsi" w:hAnsiTheme="minorHAnsi" w:cstheme="minorHAnsi"/>
        </w:rPr>
        <w:t>, “Preparations for the Fifth WTPF”.</w:t>
      </w:r>
      <w:proofErr w:type="gramEnd"/>
    </w:p>
  </w:footnote>
  <w:footnote w:id="7">
    <w:p w:rsidR="00B36CCD" w:rsidRPr="00B46952" w:rsidRDefault="00B36CCD" w:rsidP="00450278">
      <w:pPr>
        <w:tabs>
          <w:tab w:val="left" w:pos="284"/>
        </w:tabs>
        <w:spacing w:after="0" w:line="240" w:lineRule="auto"/>
        <w:rPr>
          <w:color w:val="1F497D"/>
          <w:sz w:val="20"/>
          <w:szCs w:val="20"/>
        </w:rPr>
      </w:pPr>
      <w:r w:rsidRPr="00F97800">
        <w:rPr>
          <w:rStyle w:val="FootnoteReference"/>
          <w:sz w:val="20"/>
          <w:szCs w:val="20"/>
        </w:rPr>
        <w:footnoteRef/>
      </w:r>
      <w:r w:rsidRPr="00F97800">
        <w:rPr>
          <w:sz w:val="20"/>
          <w:szCs w:val="20"/>
        </w:rPr>
        <w:t xml:space="preserve"> </w:t>
      </w:r>
      <w:r>
        <w:rPr>
          <w:sz w:val="20"/>
          <w:szCs w:val="20"/>
        </w:rPr>
        <w:tab/>
      </w:r>
      <w:r w:rsidRPr="00F97800">
        <w:rPr>
          <w:sz w:val="20"/>
          <w:szCs w:val="20"/>
        </w:rPr>
        <w:t xml:space="preserve">List of members of the IEG is available at: </w:t>
      </w:r>
      <w:hyperlink r:id="rId5" w:history="1">
        <w:r w:rsidRPr="00B46952">
          <w:rPr>
            <w:rStyle w:val="Hyperlink"/>
            <w:sz w:val="20"/>
            <w:szCs w:val="20"/>
          </w:rPr>
          <w:t>http://www.itu.int/md/S13-WTPF13IEG3-ADM-0002/en</w:t>
        </w:r>
      </w:hyperlink>
      <w:r w:rsidRPr="00F97800">
        <w:rPr>
          <w:color w:val="1F497D"/>
          <w:sz w:val="20"/>
          <w:szCs w:val="20"/>
        </w:rPr>
        <w:t xml:space="preserve"> </w:t>
      </w:r>
    </w:p>
    <w:p w:rsidR="00B36CCD" w:rsidRPr="00F91831" w:rsidRDefault="00B36CCD">
      <w:pPr>
        <w:pStyle w:val="FootnoteText"/>
        <w:rPr>
          <w:rFonts w:asciiTheme="minorHAnsi" w:hAnsiTheme="minorHAnsi"/>
        </w:rPr>
      </w:pPr>
      <w:r w:rsidRPr="00F91831">
        <w:rPr>
          <w:rFonts w:asciiTheme="minorHAnsi" w:hAnsiTheme="minorHAnsi"/>
        </w:rPr>
        <w:t xml:space="preserve"> </w:t>
      </w:r>
    </w:p>
  </w:footnote>
  <w:footnote w:id="8">
    <w:p w:rsidR="00B36CCD" w:rsidRPr="00B46952" w:rsidRDefault="00B36CCD" w:rsidP="00F91831">
      <w:pPr>
        <w:pStyle w:val="FootnoteText"/>
        <w:ind w:left="0" w:firstLine="0"/>
        <w:rPr>
          <w:rFonts w:asciiTheme="minorHAnsi" w:hAnsiTheme="minorHAnsi" w:cstheme="minorHAnsi"/>
        </w:rPr>
      </w:pPr>
      <w:r w:rsidRPr="00F97800">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5254D8">
        <w:rPr>
          <w:rFonts w:asciiTheme="minorHAnsi" w:hAnsiTheme="minorHAnsi" w:cstheme="minorHAnsi"/>
        </w:rPr>
        <w:t xml:space="preserve">ITU </w:t>
      </w:r>
      <w:r w:rsidRPr="00E6075E">
        <w:rPr>
          <w:rFonts w:asciiTheme="minorHAnsi" w:hAnsiTheme="minorHAnsi" w:cstheme="minorHAnsi"/>
        </w:rPr>
        <w:t xml:space="preserve">Council 2012 Document </w:t>
      </w:r>
      <w:hyperlink r:id="rId6" w:history="1">
        <w:r w:rsidRPr="00B46952">
          <w:rPr>
            <w:rStyle w:val="Hyperlink"/>
            <w:rFonts w:asciiTheme="minorHAnsi" w:hAnsiTheme="minorHAnsi" w:cstheme="minorHAnsi"/>
          </w:rPr>
          <w:t>C12/27</w:t>
        </w:r>
      </w:hyperlink>
      <w:r w:rsidRPr="00B46952">
        <w:rPr>
          <w:rFonts w:asciiTheme="minorHAnsi" w:hAnsiTheme="minorHAnsi" w:cstheme="minorHAnsi"/>
        </w:rPr>
        <w:t>, “Preparations for the Fifth WTPF”.</w:t>
      </w:r>
      <w:proofErr w:type="gramEnd"/>
      <w:r w:rsidRPr="00B46952">
        <w:rPr>
          <w:rFonts w:asciiTheme="minorHAnsi" w:hAnsiTheme="minorHAnsi" w:cstheme="minorHAnsi"/>
        </w:rPr>
        <w:t xml:space="preserve"> </w:t>
      </w:r>
    </w:p>
  </w:footnote>
  <w:footnote w:id="9">
    <w:p w:rsidR="00B36CCD" w:rsidRPr="00F91831" w:rsidRDefault="00B36CCD" w:rsidP="00F91831">
      <w:pPr>
        <w:pStyle w:val="FootnoteText"/>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Taking into account the considerable interest and large number of contributions received, the Secretariat published the ITU Secretary-General's Report on 15 March 2013</w:t>
      </w:r>
    </w:p>
  </w:footnote>
  <w:footnote w:id="10">
    <w:p w:rsidR="00B36CCD" w:rsidRPr="00B67BB8" w:rsidRDefault="00B36CCD" w:rsidP="00262200">
      <w:pPr>
        <w:pStyle w:val="CommentText"/>
        <w:tabs>
          <w:tab w:val="left" w:pos="284"/>
        </w:tabs>
        <w:spacing w:after="0"/>
        <w:jc w:val="both"/>
        <w:rPr>
          <w:rFonts w:cstheme="minorHAnsi"/>
        </w:rPr>
      </w:pPr>
      <w:r w:rsidRPr="00F97800">
        <w:rPr>
          <w:rStyle w:val="FootnoteReference"/>
          <w:rFonts w:cstheme="minorHAnsi"/>
        </w:rPr>
        <w:footnoteRef/>
      </w:r>
      <w:r w:rsidRPr="00B46952">
        <w:rPr>
          <w:rFonts w:cstheme="minorHAnsi"/>
        </w:rPr>
        <w:t xml:space="preserve"> </w:t>
      </w:r>
      <w:r>
        <w:rPr>
          <w:rFonts w:cstheme="minorHAnsi"/>
        </w:rPr>
        <w:tab/>
      </w:r>
      <w:r w:rsidRPr="00B46952">
        <w:rPr>
          <w:rFonts w:cstheme="minorHAnsi"/>
        </w:rPr>
        <w:t>For further detail, please see the Chairman’s Reports of the 1</w:t>
      </w:r>
      <w:r w:rsidRPr="005254D8">
        <w:rPr>
          <w:rFonts w:cstheme="minorHAnsi"/>
          <w:vertAlign w:val="superscript"/>
        </w:rPr>
        <w:t>st</w:t>
      </w:r>
      <w:r w:rsidRPr="00E6075E">
        <w:rPr>
          <w:rFonts w:cstheme="minorHAnsi"/>
        </w:rPr>
        <w:t xml:space="preserve"> and 2</w:t>
      </w:r>
      <w:r w:rsidRPr="00B67BB8">
        <w:rPr>
          <w:rFonts w:cstheme="minorHAnsi"/>
          <w:vertAlign w:val="superscript"/>
        </w:rPr>
        <w:t>nd</w:t>
      </w:r>
      <w:r w:rsidRPr="00B67BB8">
        <w:rPr>
          <w:rFonts w:cstheme="minorHAnsi"/>
        </w:rPr>
        <w:t xml:space="preserve"> IEG meetings.</w:t>
      </w:r>
    </w:p>
  </w:footnote>
  <w:footnote w:id="11">
    <w:p w:rsidR="00B36CCD" w:rsidRPr="00B46952" w:rsidRDefault="00B36CCD" w:rsidP="00262200">
      <w:pPr>
        <w:pStyle w:val="FootnoteText"/>
        <w:tabs>
          <w:tab w:val="left" w:pos="284"/>
        </w:tabs>
        <w:rPr>
          <w:rFonts w:asciiTheme="minorHAnsi" w:hAnsiTheme="minorHAnsi" w:cstheme="minorHAnsi"/>
        </w:rPr>
      </w:pPr>
      <w:r w:rsidRPr="00894275">
        <w:rPr>
          <w:rStyle w:val="FootnoteReference"/>
          <w:rFonts w:asciiTheme="minorHAnsi" w:hAnsiTheme="minorHAnsi" w:cstheme="minorHAnsi"/>
        </w:rPr>
        <w:footnoteRef/>
      </w:r>
      <w:r>
        <w:rPr>
          <w:rFonts w:asciiTheme="minorHAnsi" w:hAnsiTheme="minorHAnsi" w:cstheme="minorHAnsi"/>
        </w:rPr>
        <w:tab/>
      </w:r>
      <w:hyperlink r:id="rId7"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(1 August 2012).</w:t>
      </w:r>
      <w:proofErr w:type="gramEnd"/>
    </w:p>
  </w:footnote>
  <w:footnote w:id="12">
    <w:p w:rsidR="00B36CCD" w:rsidRPr="00B46952" w:rsidRDefault="00B36CCD"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8"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 </w:t>
      </w:r>
    </w:p>
  </w:footnote>
  <w:footnote w:id="13">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w:t>
      </w:r>
      <w:r w:rsidRPr="00B46952">
        <w:rPr>
          <w:rFonts w:asciiTheme="minorHAnsi" w:hAnsiTheme="minorHAnsi" w:cstheme="minorHAnsi"/>
          <w:i/>
          <w:iCs/>
        </w:rPr>
        <w:t xml:space="preserve">Brief History of the Internet”, </w:t>
      </w:r>
      <w:r w:rsidRPr="00B46952">
        <w:rPr>
          <w:rFonts w:asciiTheme="minorHAnsi" w:hAnsiTheme="minorHAnsi" w:cstheme="minorHAnsi"/>
        </w:rPr>
        <w:t xml:space="preserve">by Barry M. </w:t>
      </w:r>
      <w:proofErr w:type="spellStart"/>
      <w:r w:rsidRPr="00B46952">
        <w:rPr>
          <w:rFonts w:asciiTheme="minorHAnsi" w:hAnsiTheme="minorHAnsi" w:cstheme="minorHAnsi"/>
        </w:rPr>
        <w:t>Leiner</w:t>
      </w:r>
      <w:proofErr w:type="spellEnd"/>
      <w:r w:rsidRPr="00B46952">
        <w:rPr>
          <w:rFonts w:asciiTheme="minorHAnsi" w:hAnsiTheme="minorHAnsi" w:cstheme="minorHAnsi"/>
        </w:rPr>
        <w:t xml:space="preserve">, Vinton G. Cerf, David D. Clark, Robert E. Kahn, Leonard </w:t>
      </w:r>
      <w:proofErr w:type="spellStart"/>
      <w:r w:rsidRPr="00B46952">
        <w:rPr>
          <w:rFonts w:asciiTheme="minorHAnsi" w:hAnsiTheme="minorHAnsi" w:cstheme="minorHAnsi"/>
        </w:rPr>
        <w:t>Kleinrock</w:t>
      </w:r>
      <w:proofErr w:type="spellEnd"/>
      <w:r w:rsidRPr="00B46952">
        <w:rPr>
          <w:rFonts w:asciiTheme="minorHAnsi" w:hAnsiTheme="minorHAnsi" w:cstheme="minorHAnsi"/>
        </w:rPr>
        <w:t xml:space="preserve">, Daniel C. Lynch, Jon </w:t>
      </w:r>
      <w:proofErr w:type="spellStart"/>
      <w:r w:rsidRPr="00B46952">
        <w:rPr>
          <w:rFonts w:asciiTheme="minorHAnsi" w:hAnsiTheme="minorHAnsi" w:cstheme="minorHAnsi"/>
        </w:rPr>
        <w:t>Postel</w:t>
      </w:r>
      <w:proofErr w:type="spellEnd"/>
      <w:r w:rsidRPr="00B46952">
        <w:rPr>
          <w:rFonts w:asciiTheme="minorHAnsi" w:hAnsiTheme="minorHAnsi" w:cstheme="minorHAnsi"/>
        </w:rPr>
        <w:t xml:space="preserve">, Larry G. Roberts, and Stephen Wolff, available at: </w:t>
      </w:r>
      <w:hyperlink r:id="rId9" w:history="1">
        <w:r w:rsidRPr="00B46952">
          <w:rPr>
            <w:rStyle w:val="Hyperlink"/>
            <w:rFonts w:asciiTheme="minorHAnsi" w:hAnsiTheme="minorHAnsi" w:cstheme="minorHAnsi"/>
          </w:rPr>
          <w:t>http://www.internetsociety.org/internet/internet-51/history-internet/brief-history-internet/</w:t>
        </w:r>
      </w:hyperlink>
      <w:r w:rsidRPr="00B46952">
        <w:rPr>
          <w:rFonts w:asciiTheme="minorHAnsi" w:hAnsiTheme="minorHAnsi" w:cstheme="minorHAnsi"/>
        </w:rPr>
        <w:t xml:space="preserve">. </w:t>
      </w:r>
    </w:p>
  </w:footnote>
  <w:footnote w:id="14">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See </w:t>
      </w:r>
      <w:hyperlink r:id="rId10" w:history="1">
        <w:r w:rsidRPr="00B46952">
          <w:rPr>
            <w:rStyle w:val="Hyperlink"/>
            <w:rFonts w:asciiTheme="minorHAnsi" w:hAnsiTheme="minorHAnsi" w:cstheme="minorHAnsi"/>
          </w:rPr>
          <w:t>US/CNRI contribution</w:t>
        </w:r>
      </w:hyperlink>
      <w:r w:rsidRPr="00B46952">
        <w:rPr>
          <w:rFonts w:asciiTheme="minorHAnsi" w:hAnsiTheme="minorHAnsi" w:cstheme="minorHAnsi"/>
        </w:rPr>
        <w:t xml:space="preserve"> (1 August 2012) for a more detailed timeline of major technological milestones.</w:t>
      </w:r>
    </w:p>
  </w:footnote>
  <w:footnote w:id="15">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Pr>
          <w:rFonts w:asciiTheme="minorHAnsi" w:hAnsiTheme="minorHAnsi"/>
        </w:rPr>
        <w:tab/>
      </w:r>
      <w:hyperlink r:id="rId11"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 ISOC (at the 3</w:t>
      </w:r>
      <w:r w:rsidRPr="00B46952">
        <w:rPr>
          <w:rFonts w:asciiTheme="minorHAnsi" w:hAnsiTheme="minorHAnsi" w:cstheme="minorHAnsi"/>
          <w:vertAlign w:val="superscript"/>
        </w:rPr>
        <w:t>rd</w:t>
      </w:r>
      <w:r w:rsidRPr="00B46952">
        <w:rPr>
          <w:rFonts w:asciiTheme="minorHAnsi" w:hAnsiTheme="minorHAnsi" w:cstheme="minorHAnsi"/>
        </w:rPr>
        <w:t xml:space="preserve"> IEG meeting).</w:t>
      </w:r>
      <w:proofErr w:type="gramEnd"/>
    </w:p>
  </w:footnote>
  <w:footnote w:id="16">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Style w:val="FootnoteReference"/>
          <w:rFonts w:asciiTheme="minorHAnsi" w:hAnsiTheme="minorHAnsi" w:cstheme="minorHAnsi"/>
        </w:rPr>
        <w:tab/>
      </w:r>
      <w:r w:rsidRPr="00B46952">
        <w:rPr>
          <w:rFonts w:asciiTheme="minorHAnsi" w:hAnsiTheme="minorHAnsi" w:cstheme="minorHAnsi"/>
        </w:rPr>
        <w:t>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The Internet creates net job growth in SMEs.  Specifically, the McKinsey report found that the Internet created an average of 3.2 jobs for every job it eliminated in Aspiring Countries.</w:t>
      </w:r>
    </w:p>
  </w:footnote>
  <w:footnote w:id="17">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Pr>
          <w:rFonts w:asciiTheme="minorHAnsi" w:hAnsiTheme="minorHAnsi"/>
        </w:rPr>
        <w:tab/>
      </w:r>
      <w:hyperlink r:id="rId12"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18">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Minges (2000), “Counting the Net: Internet Access Indicators”: </w:t>
      </w:r>
      <w:hyperlink r:id="rId13" w:history="1">
        <w:r w:rsidRPr="00B46952">
          <w:rPr>
            <w:rStyle w:val="Hyperlink"/>
            <w:rFonts w:asciiTheme="minorHAnsi" w:hAnsiTheme="minorHAnsi" w:cstheme="minorHAnsi"/>
          </w:rPr>
          <w:t>www.isoc.org/inet2000/cdproceedings/8e/8e_1.htm</w:t>
        </w:r>
      </w:hyperlink>
    </w:p>
  </w:footnote>
  <w:footnote w:id="19">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See for example, the IDC report on the Size of the Data Universe.</w:t>
      </w:r>
    </w:p>
  </w:footnote>
  <w:footnote w:id="20">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gramStart"/>
      <w:r w:rsidRPr="00B46952">
        <w:rPr>
          <w:rFonts w:asciiTheme="minorHAnsi" w:hAnsiTheme="minorHAnsi" w:cstheme="minorHAnsi"/>
        </w:rPr>
        <w:t>ITU World Telecommunication/ICT Database.</w:t>
      </w:r>
      <w:proofErr w:type="gramEnd"/>
    </w:p>
  </w:footnote>
  <w:footnote w:id="21">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14" w:history="1">
        <w:r w:rsidRPr="00B46952">
          <w:rPr>
            <w:rStyle w:val="Hyperlink"/>
            <w:rFonts w:asciiTheme="minorHAnsi" w:hAnsiTheme="minorHAnsi"/>
          </w:rPr>
          <w:t>www.valueoftheweb.com</w:t>
        </w:r>
      </w:hyperlink>
      <w:r w:rsidRPr="00B46952">
        <w:rPr>
          <w:rFonts w:asciiTheme="minorHAnsi" w:hAnsiTheme="minorHAnsi"/>
        </w:rPr>
        <w:t xml:space="preserve"> . Website contains country-by-country information on the economic impact of the Internet.</w:t>
      </w:r>
    </w:p>
  </w:footnote>
  <w:footnote w:id="22">
    <w:p w:rsidR="00B36CCD" w:rsidRPr="00264F8F" w:rsidRDefault="00B36CCD" w:rsidP="00262200">
      <w:pPr>
        <w:pStyle w:val="FootnoteText"/>
        <w:tabs>
          <w:tab w:val="left" w:pos="284"/>
        </w:tabs>
        <w:ind w:left="284" w:hanging="284"/>
        <w:rPr>
          <w:rFonts w:asciiTheme="minorHAnsi" w:hAnsiTheme="minorHAnsi" w:cstheme="minorHAnsi"/>
          <w:lang w:val="fr-CH"/>
        </w:rPr>
      </w:pPr>
      <w:r w:rsidRPr="00B46952">
        <w:rPr>
          <w:rStyle w:val="FootnoteReference"/>
          <w:rFonts w:asciiTheme="minorHAnsi" w:hAnsiTheme="minorHAnsi" w:cstheme="minorHAnsi"/>
        </w:rPr>
        <w:footnoteRef/>
      </w:r>
      <w:r w:rsidRPr="00264F8F">
        <w:rPr>
          <w:rFonts w:asciiTheme="minorHAnsi" w:hAnsiTheme="minorHAnsi" w:cstheme="minorHAnsi"/>
          <w:lang w:val="fr-CH"/>
        </w:rPr>
        <w:t xml:space="preserve"> </w:t>
      </w:r>
      <w:r>
        <w:rPr>
          <w:rFonts w:asciiTheme="minorHAnsi" w:hAnsiTheme="minorHAnsi" w:cstheme="minorHAnsi"/>
          <w:lang w:val="fr-CH"/>
        </w:rPr>
        <w:tab/>
      </w:r>
      <w:r w:rsidRPr="00264F8F">
        <w:rPr>
          <w:rFonts w:asciiTheme="minorHAnsi" w:hAnsiTheme="minorHAnsi" w:cstheme="minorHAnsi"/>
          <w:lang w:val="fr-CH"/>
        </w:rPr>
        <w:t xml:space="preserve">2011 </w:t>
      </w:r>
      <w:proofErr w:type="spellStart"/>
      <w:r w:rsidRPr="00264F8F">
        <w:rPr>
          <w:rFonts w:asciiTheme="minorHAnsi" w:hAnsiTheme="minorHAnsi" w:cstheme="minorHAnsi"/>
          <w:lang w:val="fr-CH"/>
        </w:rPr>
        <w:t>MessageLabs</w:t>
      </w:r>
      <w:proofErr w:type="spellEnd"/>
      <w:r w:rsidRPr="00264F8F">
        <w:rPr>
          <w:rFonts w:asciiTheme="minorHAnsi" w:hAnsiTheme="minorHAnsi" w:cstheme="minorHAnsi"/>
          <w:lang w:val="fr-CH"/>
        </w:rPr>
        <w:t xml:space="preserve"> Intelligence Report: </w:t>
      </w:r>
      <w:hyperlink r:id="rId15" w:history="1">
        <w:r w:rsidRPr="00F91831">
          <w:rPr>
            <w:rStyle w:val="Hyperlink"/>
            <w:rFonts w:asciiTheme="minorHAnsi" w:hAnsiTheme="minorHAnsi" w:cstheme="minorHAnsi"/>
            <w:lang w:val="fr-CH"/>
          </w:rPr>
          <w:t>www.symantec.com/about/news/release/article.jsp?prid=20110524_02</w:t>
        </w:r>
      </w:hyperlink>
      <w:r w:rsidRPr="00264F8F">
        <w:rPr>
          <w:rFonts w:asciiTheme="minorHAnsi" w:hAnsiTheme="minorHAnsi" w:cstheme="minorHAnsi"/>
          <w:lang w:val="fr-CH"/>
        </w:rPr>
        <w:t xml:space="preserve">. </w:t>
      </w:r>
    </w:p>
  </w:footnote>
  <w:footnote w:id="23">
    <w:p w:rsidR="00B36CCD" w:rsidRPr="00B46952" w:rsidRDefault="00B36CCD" w:rsidP="00262200">
      <w:pPr>
        <w:pStyle w:val="FootnoteText"/>
        <w:tabs>
          <w:tab w:val="left" w:pos="284"/>
        </w:tabs>
        <w:ind w:left="284" w:hanging="284"/>
        <w:rPr>
          <w:rFonts w:asciiTheme="minorHAnsi" w:hAnsiTheme="minorHAnsi" w:cstheme="minorHAnsi"/>
        </w:rPr>
      </w:pPr>
      <w:r w:rsidRPr="00F97800">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6" w:history="1">
        <w:r w:rsidRPr="00B46952">
          <w:rPr>
            <w:rStyle w:val="Hyperlink"/>
            <w:rFonts w:asciiTheme="minorHAnsi" w:hAnsiTheme="minorHAnsi" w:cstheme="minorHAnsi"/>
          </w:rPr>
          <w:t>http://www.itu.int/osg/csd/cybersecurity/gca/cop/</w:t>
        </w:r>
      </w:hyperlink>
      <w:r w:rsidRPr="00B46952">
        <w:rPr>
          <w:rStyle w:val="Hyperlink"/>
          <w:rFonts w:asciiTheme="minorHAnsi" w:hAnsiTheme="minorHAnsi" w:cstheme="minorHAnsi"/>
        </w:rPr>
        <w:t xml:space="preserve">; </w:t>
      </w:r>
      <w:r w:rsidRPr="00B46952">
        <w:rPr>
          <w:rFonts w:asciiTheme="minorHAnsi" w:hAnsiTheme="minorHAnsi" w:cstheme="minorHAnsi"/>
        </w:rPr>
        <w:t xml:space="preserve">see also for example M. Taylor and E. Quayle, Child Pornography: an Internet Crime (2003, London: </w:t>
      </w:r>
      <w:proofErr w:type="spellStart"/>
      <w:r w:rsidRPr="00B46952">
        <w:rPr>
          <w:rFonts w:asciiTheme="minorHAnsi" w:hAnsiTheme="minorHAnsi" w:cstheme="minorHAnsi"/>
        </w:rPr>
        <w:t>Routledge</w:t>
      </w:r>
      <w:proofErr w:type="spellEnd"/>
      <w:r w:rsidRPr="00B46952">
        <w:rPr>
          <w:rFonts w:asciiTheme="minorHAnsi" w:hAnsiTheme="minorHAnsi" w:cstheme="minorHAnsi"/>
        </w:rPr>
        <w:t xml:space="preserve">) at 159-163; Y. </w:t>
      </w:r>
      <w:proofErr w:type="spellStart"/>
      <w:r w:rsidRPr="00B46952">
        <w:rPr>
          <w:rFonts w:asciiTheme="minorHAnsi" w:hAnsiTheme="minorHAnsi" w:cstheme="minorHAnsi"/>
        </w:rPr>
        <w:t>Akdeniz</w:t>
      </w:r>
      <w:proofErr w:type="spellEnd"/>
      <w:r w:rsidRPr="00B46952">
        <w:rPr>
          <w:rFonts w:asciiTheme="minorHAnsi" w:hAnsiTheme="minorHAnsi" w:cstheme="minorHAnsi"/>
        </w:rPr>
        <w:t xml:space="preserve">, International Child Pornography and the Law: National and International Responses (2008, </w:t>
      </w:r>
      <w:proofErr w:type="spellStart"/>
      <w:r w:rsidRPr="00B46952">
        <w:rPr>
          <w:rFonts w:asciiTheme="minorHAnsi" w:hAnsiTheme="minorHAnsi" w:cstheme="minorHAnsi"/>
        </w:rPr>
        <w:t>Aldershot</w:t>
      </w:r>
      <w:proofErr w:type="spellEnd"/>
      <w:r w:rsidRPr="00B46952">
        <w:rPr>
          <w:rFonts w:asciiTheme="minorHAnsi" w:hAnsiTheme="minorHAnsi" w:cstheme="minorHAnsi"/>
        </w:rPr>
        <w:t xml:space="preserve">: </w:t>
      </w:r>
      <w:proofErr w:type="spellStart"/>
      <w:r w:rsidRPr="00B46952">
        <w:rPr>
          <w:rFonts w:asciiTheme="minorHAnsi" w:hAnsiTheme="minorHAnsi" w:cstheme="minorHAnsi"/>
        </w:rPr>
        <w:t>Ashgate</w:t>
      </w:r>
      <w:proofErr w:type="spellEnd"/>
      <w:r w:rsidRPr="00B46952">
        <w:rPr>
          <w:rFonts w:asciiTheme="minorHAnsi" w:hAnsiTheme="minorHAnsi" w:cstheme="minorHAnsi"/>
        </w:rPr>
        <w:t>) at 7; the Convention on the Rights of the Child and its optional protocol on the sexual exploitation of children; the 2009 G-8 Ministers’ Declaration (</w:t>
      </w:r>
      <w:hyperlink r:id="rId17" w:history="1">
        <w:r w:rsidRPr="00262200">
          <w:rPr>
            <w:rStyle w:val="Hyperlink"/>
            <w:rFonts w:asciiTheme="minorHAnsi" w:hAnsiTheme="minorHAnsi" w:cstheme="minorHAnsi"/>
            <w:sz w:val="18"/>
            <w:szCs w:val="18"/>
          </w:rPr>
          <w:t>http://www.justice.gov/criminal/ceos/downloads/G8MinistersDeclaration20090530.pdf</w:t>
        </w:r>
      </w:hyperlink>
      <w:r w:rsidRPr="00262200">
        <w:rPr>
          <w:rFonts w:asciiTheme="minorHAnsi" w:hAnsiTheme="minorHAnsi" w:cstheme="minorHAnsi"/>
          <w:sz w:val="18"/>
          <w:szCs w:val="18"/>
        </w:rPr>
        <w:t>)</w:t>
      </w:r>
      <w:r w:rsidRPr="00B46952">
        <w:rPr>
          <w:rFonts w:asciiTheme="minorHAnsi" w:hAnsiTheme="minorHAnsi" w:cstheme="minorHAnsi"/>
        </w:rPr>
        <w:t xml:space="preserve">; all cited in </w:t>
      </w:r>
      <w:proofErr w:type="spellStart"/>
      <w:r w:rsidRPr="00B46952">
        <w:rPr>
          <w:rFonts w:asciiTheme="minorHAnsi" w:hAnsiTheme="minorHAnsi" w:cstheme="minorHAnsi"/>
        </w:rPr>
        <w:t>Alisdair</w:t>
      </w:r>
      <w:proofErr w:type="spellEnd"/>
      <w:r w:rsidRPr="00B46952">
        <w:rPr>
          <w:rFonts w:asciiTheme="minorHAnsi" w:hAnsiTheme="minorHAnsi" w:cstheme="minorHAnsi"/>
        </w:rPr>
        <w:t xml:space="preserve"> A. Gillespie, Jurisdictional issues concerning online child pornography, International Journal of Law and Information Technology, (Oxford University Press), vol. 20, no. 3, Autumn 2012. </w:t>
      </w:r>
    </w:p>
  </w:footnote>
  <w:footnote w:id="24">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Pr>
          <w:rFonts w:asciiTheme="minorHAnsi" w:hAnsiTheme="minorHAnsi" w:cstheme="minorHAnsi"/>
        </w:rPr>
        <w:tab/>
      </w:r>
      <w:r w:rsidRPr="00B46952">
        <w:rPr>
          <w:rFonts w:asciiTheme="minorHAnsi" w:hAnsiTheme="minorHAnsi" w:cstheme="minorHAnsi"/>
        </w:rPr>
        <w:t xml:space="preserve">See for example, monitoring and intelligence from Symantec, available at: </w:t>
      </w:r>
      <w:hyperlink r:id="rId18" w:history="1">
        <w:r w:rsidRPr="00B46952">
          <w:rPr>
            <w:rStyle w:val="Hyperlink"/>
            <w:rFonts w:asciiTheme="minorHAnsi" w:hAnsiTheme="minorHAnsi" w:cstheme="minorHAnsi"/>
          </w:rPr>
          <w:t>http://www.symanteccloud.com/en/us/globalthreats/</w:t>
        </w:r>
      </w:hyperlink>
      <w:r w:rsidRPr="00B46952">
        <w:rPr>
          <w:rFonts w:asciiTheme="minorHAnsi" w:hAnsiTheme="minorHAnsi" w:cstheme="minorHAnsi"/>
        </w:rPr>
        <w:t xml:space="preserve"> or the growing sophistication of cyber-risks for enterprises from the Cisco Annual Security Report 2011, available at: </w:t>
      </w:r>
      <w:hyperlink r:id="rId19" w:history="1">
        <w:r w:rsidRPr="00B46952">
          <w:rPr>
            <w:rStyle w:val="Hyperlink"/>
            <w:rFonts w:asciiTheme="minorHAnsi" w:hAnsiTheme="minorHAnsi" w:cstheme="minorHAnsi"/>
          </w:rPr>
          <w:t>http://www.cisco.com/en/US/prod/collateral/vpndevc/security_annual_report_2011.pdf</w:t>
        </w:r>
      </w:hyperlink>
      <w:r w:rsidRPr="00B46952">
        <w:rPr>
          <w:rFonts w:asciiTheme="minorHAnsi" w:hAnsiTheme="minorHAnsi" w:cstheme="minorHAnsi"/>
        </w:rPr>
        <w:t>.</w:t>
      </w:r>
    </w:p>
  </w:footnote>
  <w:footnote w:id="25">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Pr>
          <w:rFonts w:asciiTheme="minorHAnsi" w:hAnsiTheme="minorHAnsi"/>
        </w:rPr>
        <w:tab/>
      </w:r>
      <w:hyperlink r:id="rId20" w:history="1">
        <w:r w:rsidRPr="00B46952">
          <w:rPr>
            <w:rStyle w:val="Hyperlink"/>
            <w:rFonts w:asciiTheme="minorHAnsi" w:hAnsiTheme="minorHAnsi" w:cstheme="minorHAnsi"/>
          </w:rPr>
          <w:t>Contribution of the Russian Federation</w:t>
        </w:r>
      </w:hyperlink>
      <w:r w:rsidRPr="00B46952">
        <w:rPr>
          <w:rFonts w:asciiTheme="minorHAnsi" w:hAnsiTheme="minorHAnsi" w:cstheme="minorHAnsi"/>
        </w:rPr>
        <w:t xml:space="preserve"> (4 October 2012).</w:t>
      </w:r>
    </w:p>
  </w:footnote>
  <w:footnote w:id="26">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OECD, UNESCO and Internet Society Report (2012): “</w:t>
      </w:r>
      <w:r w:rsidRPr="00B46952">
        <w:rPr>
          <w:rFonts w:asciiTheme="minorHAnsi" w:hAnsiTheme="minorHAnsi"/>
          <w:bCs/>
        </w:rPr>
        <w:t xml:space="preserve">The Relationship </w:t>
      </w:r>
      <w:proofErr w:type="gramStart"/>
      <w:r w:rsidRPr="00B46952">
        <w:rPr>
          <w:rFonts w:asciiTheme="minorHAnsi" w:hAnsiTheme="minorHAnsi"/>
          <w:bCs/>
        </w:rPr>
        <w:t>Between</w:t>
      </w:r>
      <w:proofErr w:type="gramEnd"/>
      <w:r w:rsidRPr="00B46952">
        <w:rPr>
          <w:rFonts w:asciiTheme="minorHAnsi" w:hAnsiTheme="minorHAnsi"/>
          <w:bCs/>
        </w:rPr>
        <w:t xml:space="preserve"> Local Content, Internet Development and Access Prices”, available at: </w:t>
      </w:r>
      <w:hyperlink r:id="rId21" w:history="1">
        <w:r w:rsidRPr="00B46952">
          <w:rPr>
            <w:rStyle w:val="Hyperlink"/>
            <w:rFonts w:asciiTheme="minorHAnsi" w:hAnsiTheme="minorHAnsi"/>
            <w:bCs/>
          </w:rPr>
          <w:t>http://www.internetsociety.org/localcontent/</w:t>
        </w:r>
      </w:hyperlink>
      <w:r w:rsidRPr="00B46952">
        <w:rPr>
          <w:rFonts w:asciiTheme="minorHAnsi" w:hAnsiTheme="minorHAnsi"/>
        </w:rPr>
        <w:t>.</w:t>
      </w:r>
      <w:r w:rsidRPr="00B46952">
        <w:rPr>
          <w:rFonts w:asciiTheme="minorHAnsi" w:hAnsiTheme="minorHAnsi"/>
          <w:bCs/>
        </w:rPr>
        <w:t xml:space="preserve">  </w:t>
      </w:r>
    </w:p>
  </w:footnote>
  <w:footnote w:id="27">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22" w:history="1">
        <w:proofErr w:type="gramStart"/>
        <w:r w:rsidRPr="00B46952">
          <w:rPr>
            <w:rStyle w:val="Hyperlink"/>
            <w:rFonts w:asciiTheme="minorHAnsi" w:hAnsiTheme="minorHAnsi" w:cstheme="minorHAnsi"/>
          </w:rPr>
          <w:t>Saudi Arabia and Sudan contribution</w:t>
        </w:r>
      </w:hyperlink>
      <w:r w:rsidRPr="00B46952">
        <w:rPr>
          <w:rFonts w:asciiTheme="minorHAnsi" w:hAnsiTheme="minorHAnsi" w:cstheme="minorHAnsi"/>
        </w:rPr>
        <w:t xml:space="preserve"> (1 August 2012).</w:t>
      </w:r>
      <w:proofErr w:type="gramEnd"/>
    </w:p>
  </w:footnote>
  <w:footnote w:id="28">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OECD, UNESCO and Internet Society Report (2012): “</w:t>
      </w:r>
      <w:r w:rsidRPr="00B46952">
        <w:rPr>
          <w:rFonts w:asciiTheme="minorHAnsi" w:hAnsiTheme="minorHAnsi"/>
          <w:bCs/>
        </w:rPr>
        <w:t xml:space="preserve">The Relationship </w:t>
      </w:r>
      <w:proofErr w:type="gramStart"/>
      <w:r w:rsidRPr="00B46952">
        <w:rPr>
          <w:rFonts w:asciiTheme="minorHAnsi" w:hAnsiTheme="minorHAnsi"/>
          <w:bCs/>
        </w:rPr>
        <w:t>Between</w:t>
      </w:r>
      <w:proofErr w:type="gramEnd"/>
      <w:r w:rsidRPr="00B46952">
        <w:rPr>
          <w:rFonts w:asciiTheme="minorHAnsi" w:hAnsiTheme="minorHAnsi"/>
          <w:bCs/>
        </w:rPr>
        <w:t xml:space="preserve"> Local Content, Internet Development and Access Prices”, available at: </w:t>
      </w:r>
      <w:hyperlink r:id="rId23" w:history="1">
        <w:r w:rsidRPr="00B46952">
          <w:rPr>
            <w:rStyle w:val="Hyperlink"/>
            <w:rFonts w:asciiTheme="minorHAnsi" w:hAnsiTheme="minorHAnsi"/>
            <w:bCs/>
          </w:rPr>
          <w:t>http://www.internetsociety.org/localcontent/</w:t>
        </w:r>
      </w:hyperlink>
      <w:r w:rsidRPr="00B46952">
        <w:rPr>
          <w:rFonts w:asciiTheme="minorHAnsi" w:hAnsiTheme="minorHAnsi"/>
        </w:rPr>
        <w:t>.</w:t>
      </w:r>
      <w:r w:rsidRPr="00B46952">
        <w:rPr>
          <w:rFonts w:asciiTheme="minorHAnsi" w:hAnsiTheme="minorHAnsi"/>
          <w:bCs/>
        </w:rPr>
        <w:t xml:space="preserve"> </w:t>
      </w:r>
    </w:p>
  </w:footnote>
  <w:footnote w:id="29">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Style w:val="FootnoteReference"/>
          <w:rFonts w:asciiTheme="minorHAnsi" w:hAnsiTheme="minorHAnsi" w:cstheme="minorHAnsi"/>
        </w:rPr>
        <w:tab/>
      </w:r>
      <w:hyperlink r:id="rId24"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30">
    <w:p w:rsidR="00B36CCD" w:rsidRPr="00B46952" w:rsidRDefault="00B36CCD"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See the series of country case studies for broadband, available at: </w:t>
      </w:r>
      <w:hyperlink r:id="rId25" w:history="1">
        <w:r w:rsidRPr="00B46952">
          <w:rPr>
            <w:rStyle w:val="Hyperlink"/>
            <w:rFonts w:asciiTheme="minorHAnsi" w:hAnsiTheme="minorHAnsi" w:cstheme="minorHAnsi"/>
          </w:rPr>
          <w:t>www.itu.int/broadband/</w:t>
        </w:r>
      </w:hyperlink>
      <w:r w:rsidRPr="00B46952">
        <w:rPr>
          <w:rFonts w:asciiTheme="minorHAnsi" w:hAnsiTheme="minorHAnsi"/>
        </w:rPr>
        <w:t>.</w:t>
      </w:r>
    </w:p>
  </w:footnote>
  <w:footnote w:id="31">
    <w:p w:rsidR="00B36CCD" w:rsidRPr="00B46952" w:rsidRDefault="00B36CCD"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Broadband Commission Report, “The State of Broadband 2012: Achieving Digital Inclusion for All”.</w:t>
      </w:r>
    </w:p>
  </w:footnote>
  <w:footnote w:id="32">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F91831">
        <w:rPr>
          <w:rFonts w:asciiTheme="minorHAnsi" w:hAnsiTheme="minorHAnsi" w:cstheme="minorHAnsi"/>
        </w:rPr>
        <w:t>ITU “</w:t>
      </w:r>
      <w:r w:rsidRPr="00F91831">
        <w:rPr>
          <w:rFonts w:asciiTheme="minorHAnsi" w:hAnsiTheme="minorHAnsi" w:cstheme="minorHAnsi"/>
          <w:color w:val="auto"/>
        </w:rPr>
        <w:t>WTDR 2002: Reinventing Telecoms”</w:t>
      </w:r>
      <w:r w:rsidRPr="00F91831">
        <w:rPr>
          <w:rFonts w:asciiTheme="minorHAnsi" w:hAnsiTheme="minorHAnsi" w:cstheme="minorHAnsi"/>
        </w:rPr>
        <w:t>, available</w:t>
      </w:r>
      <w:r w:rsidRPr="00F97800">
        <w:rPr>
          <w:rFonts w:asciiTheme="minorHAnsi" w:hAnsiTheme="minorHAnsi" w:cstheme="minorHAnsi"/>
        </w:rPr>
        <w:t xml:space="preserve"> at: </w:t>
      </w:r>
      <w:hyperlink r:id="rId26" w:history="1">
        <w:r w:rsidRPr="00B46952">
          <w:rPr>
            <w:rStyle w:val="Hyperlink"/>
            <w:rFonts w:asciiTheme="minorHAnsi" w:hAnsiTheme="minorHAnsi" w:cstheme="minorHAnsi"/>
          </w:rPr>
          <w:t>http://www.itu.int/ITU-D/ict/publications/wtdr_02/</w:t>
        </w:r>
      </w:hyperlink>
      <w:r w:rsidRPr="00B46952">
        <w:rPr>
          <w:rFonts w:asciiTheme="minorHAnsi" w:hAnsiTheme="minorHAnsi" w:cstheme="minorHAnsi"/>
        </w:rPr>
        <w:t xml:space="preserve">. </w:t>
      </w:r>
    </w:p>
  </w:footnote>
  <w:footnote w:id="33">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ITU World Telecommunication Development Report 1996/7: Trade in Telecommunications, available at: </w:t>
      </w:r>
      <w:hyperlink r:id="rId27" w:history="1">
        <w:r w:rsidRPr="00B46952">
          <w:rPr>
            <w:rStyle w:val="Hyperlink"/>
            <w:rFonts w:asciiTheme="minorHAnsi" w:hAnsiTheme="minorHAnsi" w:cstheme="minorHAnsi"/>
          </w:rPr>
          <w:t>www.itu.int/newsarchive/press/WTPF98/TradeInTelecomsExSum.html</w:t>
        </w:r>
      </w:hyperlink>
      <w:r w:rsidRPr="00B46952">
        <w:rPr>
          <w:rFonts w:asciiTheme="minorHAnsi" w:hAnsiTheme="minorHAnsi" w:cstheme="minorHAnsi"/>
        </w:rPr>
        <w:t>.</w:t>
      </w:r>
    </w:p>
  </w:footnote>
  <w:footnote w:id="34">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ITU World Telecommunication Development Report 1996/7: Trade in Telecommunications, available at: </w:t>
      </w:r>
      <w:hyperlink r:id="rId28" w:history="1">
        <w:r w:rsidRPr="00B46952">
          <w:rPr>
            <w:rStyle w:val="Hyperlink"/>
            <w:rFonts w:asciiTheme="minorHAnsi" w:hAnsiTheme="minorHAnsi" w:cstheme="minorHAnsi"/>
          </w:rPr>
          <w:t>www.itu.int/newsarchive/press/WTPF98/TradeInTelecomsExSum.html</w:t>
        </w:r>
      </w:hyperlink>
      <w:r w:rsidRPr="00B46952">
        <w:rPr>
          <w:rFonts w:asciiTheme="minorHAnsi" w:hAnsiTheme="minorHAnsi" w:cstheme="minorHAnsi"/>
        </w:rPr>
        <w:t>.</w:t>
      </w:r>
    </w:p>
  </w:footnote>
  <w:footnote w:id="35">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ITU “WTDR 2002: Reinventing Telecoms”, available at </w:t>
      </w:r>
      <w:hyperlink r:id="rId29" w:history="1">
        <w:r w:rsidRPr="00B46952">
          <w:rPr>
            <w:rStyle w:val="Hyperlink"/>
            <w:rFonts w:asciiTheme="minorHAnsi" w:hAnsiTheme="minorHAnsi" w:cstheme="minorHAnsi"/>
          </w:rPr>
          <w:t>www.itu.int/ITU-D/ict/publications/wtdr_02</w:t>
        </w:r>
      </w:hyperlink>
      <w:r w:rsidRPr="00B46952">
        <w:rPr>
          <w:rFonts w:asciiTheme="minorHAnsi" w:hAnsiTheme="minorHAnsi" w:cstheme="minorHAnsi"/>
        </w:rPr>
        <w:t xml:space="preserve">. </w:t>
      </w:r>
    </w:p>
  </w:footnote>
  <w:footnote w:id="36">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See, for example, ITU “World Telecommunication Development Report 2002: Reinventing Telecoms”, at: </w:t>
      </w:r>
      <w:hyperlink r:id="rId30" w:history="1">
        <w:r w:rsidRPr="00B46952">
          <w:rPr>
            <w:rStyle w:val="Hyperlink"/>
            <w:rFonts w:asciiTheme="minorHAnsi" w:hAnsiTheme="minorHAnsi" w:cstheme="minorHAnsi"/>
          </w:rPr>
          <w:t>www.itu.int/ITU-D/ict/publications/wtdr_02</w:t>
        </w:r>
      </w:hyperlink>
      <w:r w:rsidRPr="00B46952">
        <w:rPr>
          <w:rFonts w:asciiTheme="minorHAnsi" w:hAnsiTheme="minorHAnsi" w:cstheme="minorHAnsi"/>
        </w:rPr>
        <w:t xml:space="preserve"> and ITU “Trends in Telecommunication Reform Report 2007: The Road to NGN”, at: </w:t>
      </w:r>
      <w:hyperlink r:id="rId31" w:history="1">
        <w:r w:rsidRPr="00B46952">
          <w:rPr>
            <w:rStyle w:val="Hyperlink"/>
            <w:rFonts w:asciiTheme="minorHAnsi" w:hAnsiTheme="minorHAnsi" w:cstheme="minorHAnsi"/>
          </w:rPr>
          <w:t>http://www.itu.int/ITU-D/treg/publications/trends07.html</w:t>
        </w:r>
      </w:hyperlink>
      <w:r w:rsidRPr="00B46952">
        <w:rPr>
          <w:rFonts w:asciiTheme="minorHAnsi" w:hAnsiTheme="minorHAnsi" w:cstheme="minorHAnsi"/>
        </w:rPr>
        <w:t xml:space="preserve">.  </w:t>
      </w:r>
    </w:p>
  </w:footnote>
  <w:footnote w:id="37">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Network Operators and Content Providers: Who Bears the Cost</w:t>
      </w:r>
      <w:proofErr w:type="gramStart"/>
      <w:r w:rsidRPr="00B46952">
        <w:rPr>
          <w:rFonts w:asciiTheme="minorHAnsi" w:hAnsiTheme="minorHAnsi"/>
        </w:rPr>
        <w:t>?,</w:t>
      </w:r>
      <w:proofErr w:type="gramEnd"/>
      <w:r w:rsidRPr="00B46952">
        <w:rPr>
          <w:rFonts w:asciiTheme="minorHAnsi" w:hAnsiTheme="minorHAnsi"/>
        </w:rPr>
        <w:t xml:space="preserve"> J. Scott Marcus, </w:t>
      </w:r>
      <w:proofErr w:type="spellStart"/>
      <w:r w:rsidRPr="00B46952">
        <w:rPr>
          <w:rFonts w:asciiTheme="minorHAnsi" w:hAnsiTheme="minorHAnsi"/>
        </w:rPr>
        <w:t>Wissenschaftliches</w:t>
      </w:r>
      <w:proofErr w:type="spellEnd"/>
      <w:r w:rsidRPr="00B46952">
        <w:rPr>
          <w:rFonts w:asciiTheme="minorHAnsi" w:hAnsiTheme="minorHAnsi"/>
        </w:rPr>
        <w:t xml:space="preserve"> </w:t>
      </w:r>
      <w:proofErr w:type="spellStart"/>
      <w:r w:rsidRPr="00B46952">
        <w:rPr>
          <w:rFonts w:asciiTheme="minorHAnsi" w:hAnsiTheme="minorHAnsi"/>
        </w:rPr>
        <w:t>Institut</w:t>
      </w:r>
      <w:proofErr w:type="spellEnd"/>
      <w:r w:rsidRPr="00B46952">
        <w:rPr>
          <w:rFonts w:asciiTheme="minorHAnsi" w:hAnsiTheme="minorHAnsi"/>
        </w:rPr>
        <w:t xml:space="preserve"> fur </w:t>
      </w:r>
      <w:proofErr w:type="spellStart"/>
      <w:r w:rsidRPr="00B46952">
        <w:rPr>
          <w:rFonts w:asciiTheme="minorHAnsi" w:hAnsiTheme="minorHAnsi"/>
        </w:rPr>
        <w:t>Infrastruktur</w:t>
      </w:r>
      <w:proofErr w:type="spellEnd"/>
      <w:r w:rsidRPr="00B46952">
        <w:rPr>
          <w:rFonts w:asciiTheme="minorHAnsi" w:hAnsiTheme="minorHAnsi"/>
        </w:rPr>
        <w:t xml:space="preserve"> und </w:t>
      </w:r>
      <w:proofErr w:type="spellStart"/>
      <w:r w:rsidRPr="00B46952">
        <w:rPr>
          <w:rFonts w:asciiTheme="minorHAnsi" w:hAnsiTheme="minorHAnsi"/>
        </w:rPr>
        <w:t>Kommunikationdienste</w:t>
      </w:r>
      <w:proofErr w:type="spellEnd"/>
      <w:r w:rsidRPr="00B46952">
        <w:rPr>
          <w:rFonts w:asciiTheme="minorHAnsi" w:hAnsiTheme="minorHAnsi"/>
        </w:rPr>
        <w:t xml:space="preserve"> (2011) at http://papers.ssrn.com/sol3/papers.cfm?abstract_id=1926768.  </w:t>
      </w:r>
    </w:p>
  </w:footnote>
  <w:footnote w:id="38">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Pr>
          <w:rFonts w:asciiTheme="minorHAnsi" w:hAnsiTheme="minorHAnsi"/>
        </w:rPr>
        <w:tab/>
      </w:r>
      <w:hyperlink r:id="rId32"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39">
    <w:p w:rsidR="00B36CCD" w:rsidRDefault="00B36CCD" w:rsidP="00262200">
      <w:pPr>
        <w:pStyle w:val="FootnoteText"/>
        <w:tabs>
          <w:tab w:val="left" w:pos="284"/>
        </w:tabs>
        <w:ind w:left="284" w:hanging="284"/>
      </w:pPr>
      <w:r>
        <w:rPr>
          <w:rStyle w:val="FootnoteReference"/>
        </w:rPr>
        <w:footnoteRef/>
      </w:r>
      <w:r>
        <w:t xml:space="preserve"> </w:t>
      </w:r>
      <w:r>
        <w:tab/>
      </w:r>
      <w:r w:rsidRPr="00F91831">
        <w:rPr>
          <w:rFonts w:asciiTheme="minorHAnsi" w:hAnsiTheme="minorHAnsi"/>
        </w:rPr>
        <w:t xml:space="preserve">More information on IXPs available at </w:t>
      </w:r>
      <w:hyperlink r:id="rId33" w:history="1">
        <w:r w:rsidRPr="00F91831">
          <w:rPr>
            <w:rStyle w:val="Hyperlink"/>
            <w:rFonts w:asciiTheme="minorHAnsi" w:hAnsiTheme="minorHAnsi"/>
          </w:rPr>
          <w:t>http://academy.itu.int/index.php/topics/item/967-internet-exchange-points</w:t>
        </w:r>
      </w:hyperlink>
      <w:r>
        <w:rPr>
          <w:rFonts w:asciiTheme="minorHAnsi" w:hAnsiTheme="minorHAnsi"/>
        </w:rPr>
        <w:t>;</w:t>
      </w:r>
      <w:r>
        <w:t xml:space="preserve"> </w:t>
      </w:r>
      <w:r w:rsidRPr="00F91831">
        <w:rPr>
          <w:rFonts w:asciiTheme="minorHAnsi" w:hAnsiTheme="minorHAnsi" w:cstheme="minorHAnsi"/>
        </w:rPr>
        <w:t xml:space="preserve">Via Africa </w:t>
      </w:r>
      <w:proofErr w:type="gramStart"/>
      <w:r w:rsidRPr="00F91831">
        <w:rPr>
          <w:rFonts w:asciiTheme="minorHAnsi" w:hAnsiTheme="minorHAnsi" w:cstheme="minorHAnsi"/>
        </w:rPr>
        <w:t>Creating</w:t>
      </w:r>
      <w:proofErr w:type="gramEnd"/>
      <w:r w:rsidRPr="00F91831">
        <w:rPr>
          <w:rFonts w:asciiTheme="minorHAnsi" w:hAnsiTheme="minorHAnsi" w:cstheme="minorHAnsi"/>
        </w:rPr>
        <w:t xml:space="preserve"> local and regional IXPs to save money and bandwidth, ITU, 2004</w:t>
      </w:r>
      <w:r>
        <w:rPr>
          <w:rFonts w:asciiTheme="minorHAnsi" w:hAnsiTheme="minorHAnsi" w:cstheme="minorHAnsi"/>
        </w:rPr>
        <w:t xml:space="preserve">. Available at </w:t>
      </w:r>
      <w:hyperlink r:id="rId34" w:history="1">
        <w:r w:rsidRPr="000E5652">
          <w:rPr>
            <w:rStyle w:val="Hyperlink"/>
            <w:rFonts w:asciiTheme="minorHAnsi" w:hAnsiTheme="minorHAnsi" w:cstheme="minorHAnsi"/>
          </w:rPr>
          <w:t>http://www.itu.int/ITU-D/cyb/ip/index.html</w:t>
        </w:r>
      </w:hyperlink>
      <w:r>
        <w:rPr>
          <w:rFonts w:asciiTheme="minorHAnsi" w:hAnsiTheme="minorHAnsi" w:cstheme="minorHAnsi"/>
        </w:rPr>
        <w:t xml:space="preserve">  </w:t>
      </w:r>
    </w:p>
  </w:footnote>
  <w:footnote w:id="40">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spellStart"/>
      <w:r w:rsidRPr="00B46952">
        <w:rPr>
          <w:rFonts w:asciiTheme="minorHAnsi" w:hAnsiTheme="minorHAnsi" w:cstheme="minorHAnsi"/>
        </w:rPr>
        <w:t>Kende</w:t>
      </w:r>
      <w:proofErr w:type="spellEnd"/>
      <w:r w:rsidRPr="00B46952">
        <w:rPr>
          <w:rFonts w:asciiTheme="minorHAnsi" w:hAnsiTheme="minorHAnsi" w:cstheme="minorHAnsi"/>
        </w:rPr>
        <w:t xml:space="preserve"> &amp; </w:t>
      </w:r>
      <w:proofErr w:type="spellStart"/>
      <w:r w:rsidRPr="00B46952">
        <w:rPr>
          <w:rFonts w:asciiTheme="minorHAnsi" w:hAnsiTheme="minorHAnsi" w:cstheme="minorHAnsi"/>
        </w:rPr>
        <w:t>Hurpy</w:t>
      </w:r>
      <w:proofErr w:type="spellEnd"/>
      <w:r w:rsidRPr="00B46952">
        <w:rPr>
          <w:rFonts w:asciiTheme="minorHAnsi" w:hAnsiTheme="minorHAnsi" w:cstheme="minorHAnsi"/>
        </w:rPr>
        <w:t xml:space="preserve"> (2012): “Assessment of the impact of IXPs – empirical study of Kenya and Nigeria”, Internet Society, available at: </w:t>
      </w:r>
      <w:hyperlink r:id="rId35" w:history="1">
        <w:r w:rsidRPr="00B46952">
          <w:rPr>
            <w:rStyle w:val="Hyperlink"/>
            <w:rFonts w:asciiTheme="minorHAnsi" w:hAnsiTheme="minorHAnsi" w:cstheme="minorHAnsi"/>
          </w:rPr>
          <w:t>http://www.internetsociety.org/ixpimpact</w:t>
        </w:r>
      </w:hyperlink>
      <w:r w:rsidRPr="00B46952">
        <w:rPr>
          <w:rFonts w:asciiTheme="minorHAnsi" w:hAnsiTheme="minorHAnsi" w:cstheme="minorHAnsi"/>
        </w:rPr>
        <w:t xml:space="preserve">. </w:t>
      </w:r>
    </w:p>
  </w:footnote>
  <w:footnote w:id="41">
    <w:p w:rsidR="00B36CCD" w:rsidRPr="00B46952" w:rsidRDefault="00B36CCD" w:rsidP="00262200">
      <w:pPr>
        <w:tabs>
          <w:tab w:val="left" w:pos="284"/>
        </w:tabs>
        <w:spacing w:after="0" w:line="240" w:lineRule="auto"/>
        <w:rPr>
          <w:rFonts w:cstheme="minorHAnsi"/>
          <w:sz w:val="20"/>
          <w:szCs w:val="20"/>
        </w:rPr>
      </w:pPr>
      <w:r w:rsidRPr="00F97800">
        <w:rPr>
          <w:rStyle w:val="FootnoteReference"/>
          <w:rFonts w:cstheme="minorHAnsi"/>
          <w:sz w:val="20"/>
          <w:szCs w:val="20"/>
        </w:rPr>
        <w:footnoteRef/>
      </w:r>
      <w:r w:rsidRPr="00F97800">
        <w:rPr>
          <w:rFonts w:cstheme="minorHAnsi"/>
          <w:sz w:val="20"/>
          <w:szCs w:val="20"/>
        </w:rPr>
        <w:t xml:space="preserve"> </w:t>
      </w:r>
      <w:r>
        <w:rPr>
          <w:rFonts w:cstheme="minorHAnsi"/>
          <w:sz w:val="20"/>
          <w:szCs w:val="20"/>
        </w:rPr>
        <w:tab/>
      </w:r>
      <w:r w:rsidRPr="00F97800">
        <w:rPr>
          <w:rFonts w:cstheme="minorHAnsi"/>
          <w:sz w:val="20"/>
          <w:szCs w:val="20"/>
        </w:rPr>
        <w:t xml:space="preserve">Point Topic statistics (2012), available at: </w:t>
      </w:r>
      <w:hyperlink r:id="rId36" w:history="1">
        <w:r w:rsidRPr="00B46952">
          <w:rPr>
            <w:rStyle w:val="Hyperlink"/>
            <w:rFonts w:cstheme="minorHAnsi"/>
            <w:sz w:val="20"/>
            <w:szCs w:val="20"/>
          </w:rPr>
          <w:t>http://point-topic.com/dslanalysis.php</w:t>
        </w:r>
      </w:hyperlink>
      <w:r w:rsidRPr="00F97800">
        <w:rPr>
          <w:rFonts w:cstheme="minorHAnsi"/>
          <w:sz w:val="20"/>
          <w:szCs w:val="20"/>
        </w:rPr>
        <w:t xml:space="preserve">. </w:t>
      </w:r>
    </w:p>
  </w:footnote>
  <w:footnote w:id="42">
    <w:p w:rsidR="00B36CCD" w:rsidRPr="00F91831" w:rsidRDefault="00B36CCD">
      <w:pPr>
        <w:pStyle w:val="FootnoteText"/>
        <w:ind w:left="0" w:firstLine="0"/>
        <w:rPr>
          <w:rFonts w:asciiTheme="minorHAnsi" w:hAnsiTheme="minorHAnsi"/>
        </w:rPr>
      </w:pPr>
      <w:r w:rsidRPr="00B46952">
        <w:rPr>
          <w:rStyle w:val="FootnoteReference"/>
          <w:rFonts w:asciiTheme="minorHAnsi" w:hAnsiTheme="minorHAnsi"/>
        </w:rPr>
        <w:footnoteRef/>
      </w:r>
      <w:r w:rsidRPr="005254D8">
        <w:rPr>
          <w:rFonts w:asciiTheme="minorHAnsi" w:hAnsiTheme="minorHAnsi"/>
        </w:rPr>
        <w:t xml:space="preserve"> Source: ITU </w:t>
      </w:r>
      <w:r w:rsidRPr="00104687">
        <w:rPr>
          <w:rFonts w:asciiTheme="minorHAnsi" w:hAnsiTheme="minorHAnsi"/>
        </w:rPr>
        <w:t xml:space="preserve">from </w:t>
      </w:r>
      <w:hyperlink r:id="rId37" w:history="1">
        <w:r w:rsidRPr="00B46952">
          <w:rPr>
            <w:rStyle w:val="Hyperlink"/>
            <w:rFonts w:asciiTheme="minorHAnsi" w:hAnsiTheme="minorHAnsi"/>
          </w:rPr>
          <w:t>http://www.itu.int/ITU-D/ict/statistics/at_glance/KeyTelecom.html</w:t>
        </w:r>
      </w:hyperlink>
      <w:r w:rsidRPr="00B46952">
        <w:rPr>
          <w:rFonts w:asciiTheme="minorHAnsi" w:hAnsiTheme="minorHAnsi"/>
        </w:rPr>
        <w:t xml:space="preserve"> (left); Internet World Statistics from </w:t>
      </w:r>
      <w:hyperlink r:id="rId38" w:history="1">
        <w:r w:rsidRPr="00B46952">
          <w:rPr>
            <w:rStyle w:val="Hyperlink"/>
            <w:rFonts w:asciiTheme="minorHAnsi" w:hAnsiTheme="minorHAnsi"/>
          </w:rPr>
          <w:t>http://www.internetworldstats.com/stats7.htm</w:t>
        </w:r>
      </w:hyperlink>
      <w:r w:rsidRPr="00B46952">
        <w:rPr>
          <w:rFonts w:asciiTheme="minorHAnsi" w:hAnsiTheme="minorHAnsi"/>
        </w:rPr>
        <w:t xml:space="preserve"> (right).</w:t>
      </w:r>
    </w:p>
  </w:footnote>
  <w:footnote w:id="43">
    <w:p w:rsidR="00B36CCD" w:rsidRPr="00B46952" w:rsidRDefault="00B36CCD" w:rsidP="00716342">
      <w:pPr>
        <w:pStyle w:val="FootnoteText"/>
        <w:ind w:left="0" w:firstLine="0"/>
        <w:rPr>
          <w:rFonts w:asciiTheme="minorHAnsi" w:hAnsiTheme="minorHAnsi"/>
        </w:rPr>
      </w:pPr>
      <w:r w:rsidRPr="00F97800">
        <w:rPr>
          <w:rStyle w:val="FootnoteReference"/>
          <w:rFonts w:asciiTheme="minorHAnsi" w:hAnsiTheme="minorHAnsi"/>
        </w:rPr>
        <w:footnoteRef/>
      </w:r>
      <w:r w:rsidRPr="00B46952">
        <w:rPr>
          <w:rFonts w:asciiTheme="minorHAnsi" w:hAnsiTheme="minorHAnsi"/>
        </w:rPr>
        <w:t xml:space="preserve"> ITU </w:t>
      </w:r>
      <w:r w:rsidRPr="005254D8">
        <w:rPr>
          <w:rFonts w:asciiTheme="minorHAnsi" w:hAnsiTheme="minorHAnsi"/>
          <w:i/>
          <w:iCs/>
        </w:rPr>
        <w:t>Measuring the Information Society 2012</w:t>
      </w:r>
      <w:r w:rsidRPr="00104687">
        <w:rPr>
          <w:rFonts w:asciiTheme="minorHAnsi" w:hAnsiTheme="minorHAnsi"/>
        </w:rPr>
        <w:t xml:space="preserve"> Report</w:t>
      </w:r>
      <w:r w:rsidRPr="00B46952">
        <w:rPr>
          <w:rFonts w:asciiTheme="minorHAnsi" w:hAnsiTheme="minorHAnsi"/>
        </w:rPr>
        <w:t xml:space="preserve">, </w:t>
      </w:r>
      <w:hyperlink r:id="rId39" w:history="1">
        <w:r w:rsidRPr="00B46952">
          <w:rPr>
            <w:rStyle w:val="Hyperlink"/>
            <w:rFonts w:asciiTheme="minorHAnsi" w:hAnsiTheme="minorHAnsi"/>
          </w:rPr>
          <w:t>http://www.itu.int/ITU-D/ict/publications/idi/index.html</w:t>
        </w:r>
      </w:hyperlink>
      <w:r w:rsidRPr="00B46952">
        <w:rPr>
          <w:rFonts w:asciiTheme="minorHAnsi" w:hAnsiTheme="minorHAnsi"/>
        </w:rPr>
        <w:t xml:space="preserve"> </w:t>
      </w:r>
    </w:p>
  </w:footnote>
  <w:footnote w:id="44">
    <w:p w:rsidR="00B36CCD" w:rsidRPr="00B46952" w:rsidRDefault="00B36CCD" w:rsidP="00D17173">
      <w:pPr>
        <w:pStyle w:val="FootnoteText"/>
        <w:rPr>
          <w:rFonts w:asciiTheme="minorHAnsi" w:hAnsiTheme="minorHAnsi"/>
        </w:rPr>
      </w:pPr>
      <w:r w:rsidRPr="00B46952">
        <w:rPr>
          <w:rStyle w:val="FootnoteReference"/>
          <w:rFonts w:asciiTheme="minorHAnsi" w:eastAsiaTheme="minorEastAsia" w:hAnsiTheme="minorHAnsi" w:cstheme="minorBidi"/>
          <w:color w:val="auto"/>
          <w:lang w:eastAsia="zh-CN" w:bidi="ar-SA"/>
        </w:rPr>
        <w:footnoteRef/>
      </w:r>
      <w:r w:rsidRPr="00B46952">
        <w:rPr>
          <w:rStyle w:val="FootnoteReference"/>
          <w:rFonts w:asciiTheme="minorHAnsi" w:eastAsiaTheme="minorEastAsia" w:hAnsiTheme="minorHAnsi" w:cstheme="minorBidi"/>
          <w:color w:val="auto"/>
          <w:lang w:eastAsia="zh-CN" w:bidi="ar-SA"/>
        </w:rPr>
        <w:t xml:space="preserve"> </w:t>
      </w:r>
      <w:r w:rsidR="0040201F">
        <w:rPr>
          <w:rFonts w:asciiTheme="minorHAnsi" w:eastAsiaTheme="minorEastAsia" w:hAnsiTheme="minorHAnsi" w:cstheme="minorBidi"/>
          <w:color w:val="auto"/>
          <w:lang w:eastAsia="zh-CN" w:bidi="ar-SA"/>
        </w:rPr>
        <w:tab/>
      </w:r>
      <w:hyperlink r:id="rId40" w:history="1">
        <w:proofErr w:type="gramStart"/>
        <w:r w:rsidRPr="00B46952">
          <w:rPr>
            <w:rStyle w:val="Hyperlink"/>
            <w:rFonts w:asciiTheme="minorHAnsi" w:hAnsiTheme="minorHAnsi"/>
          </w:rPr>
          <w:t>U.S.A. contribution</w:t>
        </w:r>
      </w:hyperlink>
      <w:r w:rsidRPr="00B46952">
        <w:rPr>
          <w:rFonts w:asciiTheme="minorHAnsi" w:hAnsiTheme="minorHAnsi"/>
        </w:rPr>
        <w:t xml:space="preserve"> (2 October 2012).</w:t>
      </w:r>
      <w:proofErr w:type="gramEnd"/>
    </w:p>
  </w:footnote>
  <w:footnote w:id="45">
    <w:p w:rsidR="00B36CCD" w:rsidRPr="00B46952" w:rsidRDefault="00B36CCD" w:rsidP="00262200">
      <w:pPr>
        <w:tabs>
          <w:tab w:val="left" w:pos="284"/>
        </w:tabs>
        <w:autoSpaceDE w:val="0"/>
        <w:autoSpaceDN w:val="0"/>
        <w:adjustRightInd w:val="0"/>
        <w:spacing w:after="0" w:line="240" w:lineRule="auto"/>
        <w:ind w:left="284" w:hanging="284"/>
        <w:rPr>
          <w:sz w:val="20"/>
          <w:szCs w:val="20"/>
        </w:rPr>
      </w:pPr>
      <w:r w:rsidRPr="00F97800">
        <w:rPr>
          <w:rStyle w:val="FootnoteReference"/>
          <w:sz w:val="20"/>
          <w:szCs w:val="20"/>
        </w:rPr>
        <w:footnoteRef/>
      </w:r>
      <w:r w:rsidRPr="00F97800">
        <w:rPr>
          <w:sz w:val="20"/>
          <w:szCs w:val="20"/>
        </w:rPr>
        <w:t xml:space="preserve"> </w:t>
      </w:r>
      <w:r>
        <w:rPr>
          <w:sz w:val="20"/>
          <w:szCs w:val="20"/>
        </w:rPr>
        <w:tab/>
      </w:r>
      <w:r w:rsidRPr="00F97800">
        <w:rPr>
          <w:sz w:val="20"/>
          <w:szCs w:val="20"/>
        </w:rPr>
        <w:t xml:space="preserve">“Knowledge as a Global Public Good”, Joseph </w:t>
      </w:r>
      <w:proofErr w:type="spellStart"/>
      <w:r w:rsidRPr="00F97800">
        <w:rPr>
          <w:sz w:val="20"/>
          <w:szCs w:val="20"/>
        </w:rPr>
        <w:t>Stiglitz</w:t>
      </w:r>
      <w:proofErr w:type="spellEnd"/>
      <w:r w:rsidRPr="00F97800">
        <w:rPr>
          <w:sz w:val="20"/>
          <w:szCs w:val="20"/>
        </w:rPr>
        <w:t xml:space="preserve">, available at: </w:t>
      </w:r>
      <w:hyperlink r:id="rId41" w:history="1">
        <w:r w:rsidRPr="00B46952">
          <w:rPr>
            <w:rStyle w:val="Hyperlink"/>
            <w:sz w:val="20"/>
            <w:szCs w:val="20"/>
          </w:rPr>
          <w:t>http://cgt.columbia.edu/files/papers/1999_Knowledge_as_Global_Public_Good_stiglitz.pdf</w:t>
        </w:r>
      </w:hyperlink>
      <w:r w:rsidRPr="00F97800">
        <w:rPr>
          <w:sz w:val="20"/>
          <w:szCs w:val="20"/>
        </w:rPr>
        <w:t xml:space="preserve">. </w:t>
      </w:r>
      <w:r w:rsidRPr="00B46952">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w:t>
      </w:r>
      <w:proofErr w:type="spellStart"/>
      <w:r w:rsidRPr="00B46952">
        <w:rPr>
          <w:rFonts w:eastAsia="Lucida Sans Unicode" w:cs="Tahoma"/>
          <w:color w:val="000000"/>
          <w:sz w:val="20"/>
          <w:szCs w:val="20"/>
          <w:lang w:eastAsia="en-US" w:bidi="en-US"/>
        </w:rPr>
        <w:t>rivalrous</w:t>
      </w:r>
      <w:proofErr w:type="spellEnd"/>
      <w:r w:rsidRPr="00B46952">
        <w:rPr>
          <w:rFonts w:eastAsia="Lucida Sans Unicode" w:cs="Tahoma"/>
          <w:color w:val="000000"/>
          <w:sz w:val="20"/>
          <w:szCs w:val="20"/>
          <w:lang w:eastAsia="en-US" w:bidi="en-US"/>
        </w:rPr>
        <w:t xml:space="preserve"> and non-excludable, rather than the networks (which may be </w:t>
      </w:r>
      <w:proofErr w:type="spellStart"/>
      <w:r w:rsidRPr="00B46952">
        <w:rPr>
          <w:rFonts w:eastAsia="Lucida Sans Unicode" w:cs="Tahoma"/>
          <w:color w:val="000000"/>
          <w:sz w:val="20"/>
          <w:szCs w:val="20"/>
          <w:lang w:eastAsia="en-US" w:bidi="en-US"/>
        </w:rPr>
        <w:t>rivalrous</w:t>
      </w:r>
      <w:proofErr w:type="spellEnd"/>
      <w:r w:rsidRPr="00B46952">
        <w:rPr>
          <w:rFonts w:eastAsia="Lucida Sans Unicode" w:cs="Tahoma"/>
          <w:color w:val="000000"/>
          <w:sz w:val="20"/>
          <w:szCs w:val="20"/>
          <w:lang w:eastAsia="en-US" w:bidi="en-US"/>
        </w:rPr>
        <w:t xml:space="preserve"> and excludable). See also the ICT </w:t>
      </w:r>
      <w:proofErr w:type="gramStart"/>
      <w:r w:rsidRPr="00B46952">
        <w:rPr>
          <w:rFonts w:eastAsia="Lucida Sans Unicode" w:cs="Tahoma"/>
          <w:color w:val="000000"/>
          <w:sz w:val="20"/>
          <w:szCs w:val="20"/>
          <w:lang w:eastAsia="en-US" w:bidi="en-US"/>
        </w:rPr>
        <w:t>For</w:t>
      </w:r>
      <w:proofErr w:type="gramEnd"/>
      <w:r w:rsidRPr="00B46952">
        <w:rPr>
          <w:rFonts w:eastAsia="Lucida Sans Unicode" w:cs="Tahoma"/>
          <w:color w:val="000000"/>
          <w:sz w:val="20"/>
          <w:szCs w:val="20"/>
          <w:lang w:eastAsia="en-US" w:bidi="en-US"/>
        </w:rPr>
        <w:t xml:space="preserve"> Development Report (World Bank, 2009) and “Confronting the Crisis: ICT Stimulus Plans for Economic Growth” (ITU, 2009).</w:t>
      </w:r>
      <w:r w:rsidRPr="00B46952">
        <w:rPr>
          <w:rFonts w:cs="Times New Roman"/>
          <w:i/>
          <w:iCs/>
          <w:sz w:val="20"/>
          <w:szCs w:val="20"/>
        </w:rPr>
        <w:t xml:space="preserve"> </w:t>
      </w:r>
    </w:p>
  </w:footnote>
  <w:footnote w:id="46">
    <w:p w:rsidR="00B36CCD" w:rsidRPr="00B46952" w:rsidRDefault="00B36CCD" w:rsidP="00262200">
      <w:pPr>
        <w:pStyle w:val="FootnoteText"/>
        <w:tabs>
          <w:tab w:val="left" w:pos="284"/>
        </w:tabs>
        <w:rPr>
          <w:rFonts w:asciiTheme="minorHAnsi" w:hAnsiTheme="minorHAnsi"/>
        </w:rPr>
      </w:pPr>
      <w:r w:rsidRPr="00104687">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cstheme="minorHAnsi"/>
        </w:rPr>
        <w:t xml:space="preserve">Universal Declaration of Human Rights available at </w:t>
      </w:r>
      <w:hyperlink r:id="rId42" w:history="1">
        <w:r w:rsidRPr="00B46952">
          <w:rPr>
            <w:rStyle w:val="Hyperlink"/>
            <w:rFonts w:asciiTheme="minorHAnsi" w:hAnsiTheme="minorHAnsi" w:cstheme="minorHAnsi"/>
          </w:rPr>
          <w:t>http://www.un.org/en/documents/udhr/index.shtml</w:t>
        </w:r>
      </w:hyperlink>
      <w:r w:rsidRPr="00B46952">
        <w:rPr>
          <w:rFonts w:asciiTheme="minorHAnsi" w:hAnsiTheme="minorHAnsi" w:cstheme="minorHAnsi"/>
        </w:rPr>
        <w:t xml:space="preserve"> </w:t>
      </w:r>
    </w:p>
  </w:footnote>
  <w:footnote w:id="47">
    <w:p w:rsidR="00B36CCD" w:rsidRPr="00B46952" w:rsidRDefault="00B36CCD" w:rsidP="00262200">
      <w:pPr>
        <w:pStyle w:val="FootnoteText"/>
        <w:tabs>
          <w:tab w:val="left" w:pos="284"/>
        </w:tabs>
        <w:rPr>
          <w:rFonts w:asciiTheme="minorHAnsi" w:hAnsiTheme="minorHAnsi" w:cs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proofErr w:type="gramStart"/>
      <w:r w:rsidRPr="00B46952">
        <w:rPr>
          <w:rFonts w:asciiTheme="minorHAnsi" w:hAnsiTheme="minorHAnsi" w:cstheme="minorHAnsi"/>
        </w:rPr>
        <w:t>Article 19, International Covenant on Civil and Political Rights (1966); Article 34 of the ITU Constitution.</w:t>
      </w:r>
      <w:proofErr w:type="gramEnd"/>
    </w:p>
  </w:footnote>
  <w:footnote w:id="48">
    <w:p w:rsidR="00B36CCD" w:rsidRPr="00B46952" w:rsidRDefault="00B36CCD" w:rsidP="00262200">
      <w:pPr>
        <w:pStyle w:val="FootnoteText"/>
        <w:tabs>
          <w:tab w:val="left" w:pos="284"/>
        </w:tabs>
        <w:rPr>
          <w:rFonts w:asciiTheme="minorHAnsi" w:hAnsiTheme="minorHAnsi" w:cstheme="minorHAnsi"/>
          <w:lang w:val="en-GB"/>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43" w:history="1">
        <w:r w:rsidRPr="00B46952">
          <w:rPr>
            <w:rStyle w:val="Hyperlink"/>
            <w:rFonts w:asciiTheme="minorHAnsi" w:hAnsiTheme="minorHAnsi" w:cstheme="minorHAnsi"/>
          </w:rPr>
          <w:t>http://www.oecd.org/dataoecd/11/58/49258588.pdf</w:t>
        </w:r>
      </w:hyperlink>
      <w:r w:rsidRPr="00B46952">
        <w:rPr>
          <w:rFonts w:asciiTheme="minorHAnsi" w:hAnsiTheme="minorHAnsi" w:cstheme="minorHAnsi"/>
        </w:rPr>
        <w:t xml:space="preserve">. </w:t>
      </w:r>
    </w:p>
  </w:footnote>
  <w:footnote w:id="49">
    <w:p w:rsidR="00B36CCD" w:rsidRPr="00B46952" w:rsidRDefault="00B36CCD"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44" w:history="1">
        <w:proofErr w:type="gramStart"/>
        <w:r w:rsidRPr="00B46952">
          <w:rPr>
            <w:rStyle w:val="Hyperlink"/>
            <w:rFonts w:asciiTheme="minorHAnsi" w:hAnsiTheme="minorHAnsi" w:cstheme="minorHAnsi"/>
          </w:rPr>
          <w:t>U.S.A./CNRI contribution</w:t>
        </w:r>
      </w:hyperlink>
      <w:r w:rsidRPr="00B46952">
        <w:rPr>
          <w:rFonts w:asciiTheme="minorHAnsi" w:hAnsiTheme="minorHAnsi" w:cstheme="minorHAnsi"/>
        </w:rPr>
        <w:t xml:space="preserve"> (1 August 2012).</w:t>
      </w:r>
      <w:proofErr w:type="gramEnd"/>
    </w:p>
  </w:footnote>
  <w:footnote w:id="50">
    <w:p w:rsidR="00B36CCD" w:rsidRPr="00B46952" w:rsidRDefault="00B36CCD" w:rsidP="00540A7E">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gramStart"/>
      <w:r w:rsidRPr="00B46952">
        <w:rPr>
          <w:rFonts w:asciiTheme="minorHAnsi" w:hAnsiTheme="minorHAnsi" w:cstheme="minorHAnsi"/>
        </w:rPr>
        <w:t xml:space="preserve">§§ 29-82 of the Tunis Agenda, as described in </w:t>
      </w:r>
      <w:proofErr w:type="spellStart"/>
      <w:r w:rsidRPr="00B46952">
        <w:rPr>
          <w:rFonts w:asciiTheme="minorHAnsi" w:hAnsiTheme="minorHAnsi" w:cstheme="minorHAnsi"/>
        </w:rPr>
        <w:t>para</w:t>
      </w:r>
      <w:proofErr w:type="spellEnd"/>
      <w:r w:rsidRPr="00B46952">
        <w:rPr>
          <w:rFonts w:asciiTheme="minorHAnsi" w:hAnsiTheme="minorHAnsi" w:cstheme="minorHAnsi"/>
        </w:rPr>
        <w:t xml:space="preserve"> 2.3.2.1(d).</w:t>
      </w:r>
      <w:proofErr w:type="gramEnd"/>
    </w:p>
  </w:footnote>
  <w:footnote w:id="51">
    <w:p w:rsidR="00B36CCD" w:rsidRPr="00B46952" w:rsidRDefault="00B36CCD" w:rsidP="00B24DB7">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Tunis Agenda for the Information Society (2005), available at: </w:t>
      </w:r>
      <w:hyperlink r:id="rId45" w:history="1">
        <w:r w:rsidRPr="00B46952">
          <w:rPr>
            <w:rStyle w:val="Hyperlink"/>
            <w:rFonts w:asciiTheme="minorHAnsi" w:hAnsiTheme="minorHAnsi" w:cstheme="minorHAnsi"/>
          </w:rPr>
          <w:t>http://www.itu.int/wsis/docs2/tunis/off/6rev1.html</w:t>
        </w:r>
      </w:hyperlink>
      <w:r w:rsidRPr="00B46952">
        <w:rPr>
          <w:rFonts w:asciiTheme="minorHAnsi" w:hAnsiTheme="minorHAnsi" w:cstheme="minorHAnsi"/>
        </w:rPr>
        <w:t>.</w:t>
      </w:r>
    </w:p>
  </w:footnote>
  <w:footnote w:id="52">
    <w:p w:rsidR="00B36CCD" w:rsidRPr="00B46952" w:rsidRDefault="00B36CCD" w:rsidP="008E655D">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A Group </w:t>
      </w:r>
      <w:proofErr w:type="gramStart"/>
      <w:r w:rsidRPr="00B46952">
        <w:rPr>
          <w:rFonts w:asciiTheme="minorHAnsi" w:hAnsiTheme="minorHAnsi" w:cstheme="minorHAnsi"/>
        </w:rPr>
        <w:t>open</w:t>
      </w:r>
      <w:proofErr w:type="gramEnd"/>
      <w:r w:rsidRPr="00B46952">
        <w:rPr>
          <w:rFonts w:asciiTheme="minorHAnsi" w:hAnsiTheme="minorHAnsi" w:cstheme="minorHAnsi"/>
        </w:rPr>
        <w:t xml:space="preserve"> to all stakeholders, see:</w:t>
      </w:r>
      <w:r w:rsidRPr="00B46952">
        <w:rPr>
          <w:rFonts w:asciiTheme="minorHAnsi" w:hAnsiTheme="minorHAnsi"/>
        </w:rPr>
        <w:t xml:space="preserve"> </w:t>
      </w:r>
      <w:hyperlink r:id="rId46" w:history="1">
        <w:r w:rsidRPr="00B46952">
          <w:rPr>
            <w:rStyle w:val="Hyperlink"/>
            <w:rFonts w:asciiTheme="minorHAnsi" w:hAnsiTheme="minorHAnsi" w:cstheme="minorHAnsi"/>
          </w:rPr>
          <w:t>http://www.wgig.org/members.html</w:t>
        </w:r>
      </w:hyperlink>
      <w:r w:rsidRPr="00B46952">
        <w:rPr>
          <w:rFonts w:asciiTheme="minorHAnsi" w:hAnsiTheme="minorHAnsi" w:cstheme="minorHAnsi"/>
        </w:rPr>
        <w:t>.</w:t>
      </w:r>
    </w:p>
  </w:footnote>
  <w:footnote w:id="53">
    <w:p w:rsidR="00B36CCD" w:rsidRPr="00B46952"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47" w:history="1">
        <w:r w:rsidRPr="00B46952">
          <w:rPr>
            <w:rStyle w:val="Hyperlink"/>
            <w:rFonts w:asciiTheme="minorHAnsi" w:hAnsiTheme="minorHAnsi"/>
          </w:rPr>
          <w:t>Contribution from ISOC Bulgaria</w:t>
        </w:r>
      </w:hyperlink>
      <w:r w:rsidRPr="00B46952">
        <w:rPr>
          <w:rFonts w:asciiTheme="minorHAnsi" w:hAnsiTheme="minorHAnsi"/>
        </w:rPr>
        <w:t xml:space="preserve"> (9 October 2012).</w:t>
      </w:r>
    </w:p>
  </w:footnote>
  <w:footnote w:id="54">
    <w:p w:rsidR="00B36CCD" w:rsidRPr="00B46952" w:rsidRDefault="00B36CCD" w:rsidP="006C5D83">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Paragraphs </w:t>
      </w:r>
      <w:proofErr w:type="spellStart"/>
      <w:r w:rsidRPr="00B46952">
        <w:rPr>
          <w:rFonts w:asciiTheme="minorHAnsi" w:hAnsiTheme="minorHAnsi"/>
        </w:rPr>
        <w:t>i</w:t>
      </w:r>
      <w:proofErr w:type="spellEnd"/>
      <w:r w:rsidRPr="00B46952">
        <w:rPr>
          <w:rFonts w:asciiTheme="minorHAnsi" w:hAnsiTheme="minorHAnsi"/>
        </w:rPr>
        <w:t xml:space="preserve"> - v are from Res. 102 (Rev. Guadalajara, 2010); Para </w:t>
      </w:r>
      <w:proofErr w:type="gramStart"/>
      <w:r w:rsidRPr="00B46952">
        <w:rPr>
          <w:rFonts w:asciiTheme="minorHAnsi" w:hAnsiTheme="minorHAnsi"/>
        </w:rPr>
        <w:t>vi</w:t>
      </w:r>
      <w:proofErr w:type="gramEnd"/>
      <w:r w:rsidRPr="00B46952">
        <w:rPr>
          <w:rFonts w:asciiTheme="minorHAnsi" w:hAnsiTheme="minorHAnsi"/>
        </w:rPr>
        <w:t xml:space="preserve"> is from Res. 133 (Rev. Guadalajara, 2010).</w:t>
      </w:r>
    </w:p>
  </w:footnote>
  <w:footnote w:id="55">
    <w:p w:rsidR="00B36CCD" w:rsidRPr="00B46952" w:rsidRDefault="00B36CCD">
      <w:pPr>
        <w:pStyle w:val="FootnoteText"/>
        <w:rPr>
          <w:rFonts w:asciiTheme="minorHAnsi" w:hAnsiTheme="minorHAnsi"/>
          <w:color w:val="0D0D0D" w:themeColor="text1" w:themeTint="F2"/>
        </w:rPr>
      </w:pPr>
      <w:r w:rsidRPr="00B46952">
        <w:rPr>
          <w:rStyle w:val="FootnoteReference"/>
          <w:rFonts w:asciiTheme="minorHAnsi" w:hAnsiTheme="minorHAnsi" w:cstheme="minorHAnsi"/>
          <w:color w:val="0D0D0D" w:themeColor="text1" w:themeTint="F2"/>
        </w:rPr>
        <w:footnoteRef/>
      </w:r>
      <w:r w:rsidRPr="00B46952">
        <w:rPr>
          <w:rFonts w:asciiTheme="minorHAnsi" w:hAnsiTheme="minorHAnsi"/>
          <w:color w:val="0D0D0D" w:themeColor="text1" w:themeTint="F2"/>
        </w:rPr>
        <w:t xml:space="preserve"> </w:t>
      </w:r>
      <w:r>
        <w:rPr>
          <w:rFonts w:asciiTheme="minorHAnsi" w:hAnsiTheme="minorHAnsi"/>
          <w:color w:val="0D0D0D" w:themeColor="text1" w:themeTint="F2"/>
        </w:rPr>
        <w:tab/>
      </w:r>
      <w:proofErr w:type="gramStart"/>
      <w:r w:rsidRPr="00B46952">
        <w:rPr>
          <w:rStyle w:val="Hyperlink"/>
          <w:rFonts w:asciiTheme="minorHAnsi" w:hAnsiTheme="minorHAnsi" w:cstheme="minorHAnsi"/>
          <w:color w:val="0D0D0D" w:themeColor="text1" w:themeTint="F2"/>
        </w:rPr>
        <w:t>Paragraph 69 of the Tunis Agenda.</w:t>
      </w:r>
      <w:proofErr w:type="gramEnd"/>
    </w:p>
  </w:footnote>
  <w:footnote w:id="56">
    <w:p w:rsidR="00B36CCD" w:rsidRPr="00B46952" w:rsidRDefault="00B36CCD" w:rsidP="00262200">
      <w:pPr>
        <w:pStyle w:val="FootnoteText"/>
        <w:tabs>
          <w:tab w:val="left" w:pos="284"/>
        </w:tabs>
        <w:ind w:left="0" w:firstLine="0"/>
        <w:rPr>
          <w:rFonts w:asciiTheme="minorHAnsi" w:hAnsiTheme="minorHAnsi"/>
          <w:color w:val="0D0D0D" w:themeColor="text1" w:themeTint="F2"/>
        </w:rPr>
      </w:pPr>
      <w:r w:rsidRPr="00B46952">
        <w:rPr>
          <w:rStyle w:val="FootnoteReference"/>
          <w:rFonts w:asciiTheme="minorHAnsi" w:hAnsiTheme="minorHAnsi" w:cstheme="minorHAnsi"/>
          <w:color w:val="0D0D0D" w:themeColor="text1" w:themeTint="F2"/>
        </w:rPr>
        <w:footnoteRef/>
      </w:r>
      <w:r w:rsidRPr="00B46952">
        <w:rPr>
          <w:rFonts w:asciiTheme="minorHAnsi" w:hAnsiTheme="minorHAnsi"/>
          <w:color w:val="0D0D0D" w:themeColor="text1" w:themeTint="F2"/>
        </w:rPr>
        <w:t xml:space="preserve"> </w:t>
      </w:r>
      <w:r>
        <w:rPr>
          <w:rFonts w:asciiTheme="minorHAnsi" w:hAnsiTheme="minorHAnsi"/>
          <w:color w:val="0D0D0D" w:themeColor="text1" w:themeTint="F2"/>
        </w:rPr>
        <w:tab/>
      </w:r>
      <w:proofErr w:type="gramStart"/>
      <w:r w:rsidRPr="00F91831">
        <w:rPr>
          <w:rStyle w:val="Hyperlink"/>
          <w:rFonts w:asciiTheme="minorHAnsi" w:hAnsiTheme="minorHAnsi" w:cstheme="minorHAnsi"/>
          <w:color w:val="0D0D0D" w:themeColor="text1" w:themeTint="F2"/>
          <w:u w:val="none"/>
        </w:rPr>
        <w:t>Paragraph 53 of the Tunis Agenda (2005).</w:t>
      </w:r>
      <w:proofErr w:type="gramEnd"/>
    </w:p>
  </w:footnote>
  <w:footnote w:id="57">
    <w:p w:rsidR="00B36CCD" w:rsidRPr="00B46952" w:rsidRDefault="00B36CCD" w:rsidP="00262200">
      <w:pPr>
        <w:pStyle w:val="FootnoteText"/>
        <w:tabs>
          <w:tab w:val="left" w:pos="284"/>
        </w:tabs>
        <w:ind w:left="0" w:firstLine="0"/>
        <w:rPr>
          <w:rFonts w:asciiTheme="minorHAnsi" w:hAnsiTheme="minorHAnsi" w:cstheme="minorHAnsi"/>
          <w:color w:val="0D0D0D" w:themeColor="text1" w:themeTint="F2"/>
        </w:rPr>
      </w:pPr>
      <w:r w:rsidRPr="00B46952">
        <w:rPr>
          <w:rStyle w:val="FootnoteReference"/>
          <w:rFonts w:asciiTheme="minorHAnsi" w:hAnsiTheme="minorHAnsi" w:cstheme="minorHAnsi"/>
          <w:color w:val="0D0D0D" w:themeColor="text1" w:themeTint="F2"/>
        </w:rPr>
        <w:footnoteRef/>
      </w:r>
      <w:r w:rsidRPr="00B46952">
        <w:rPr>
          <w:rFonts w:asciiTheme="minorHAnsi" w:hAnsiTheme="minorHAnsi" w:cstheme="minorHAnsi"/>
          <w:color w:val="0D0D0D" w:themeColor="text1" w:themeTint="F2"/>
        </w:rPr>
        <w:t xml:space="preserve"> </w:t>
      </w:r>
      <w:r>
        <w:rPr>
          <w:rFonts w:asciiTheme="minorHAnsi" w:hAnsiTheme="minorHAnsi" w:cstheme="minorHAnsi"/>
          <w:color w:val="0D0D0D" w:themeColor="text1" w:themeTint="F2"/>
        </w:rPr>
        <w:tab/>
      </w:r>
      <w:hyperlink r:id="rId48" w:history="1">
        <w:proofErr w:type="gramStart"/>
        <w:r w:rsidRPr="00B46952">
          <w:rPr>
            <w:rStyle w:val="Hyperlink"/>
            <w:rFonts w:asciiTheme="minorHAnsi" w:hAnsiTheme="minorHAnsi" w:cstheme="minorHAnsi"/>
            <w:color w:val="0D0D0D" w:themeColor="text1" w:themeTint="F2"/>
          </w:rPr>
          <w:t>Brazilian contribution</w:t>
        </w:r>
      </w:hyperlink>
      <w:r w:rsidRPr="00B46952">
        <w:rPr>
          <w:rFonts w:asciiTheme="minorHAnsi" w:hAnsiTheme="minorHAnsi" w:cstheme="minorHAnsi"/>
          <w:color w:val="0D0D0D" w:themeColor="text1" w:themeTint="F2"/>
        </w:rPr>
        <w:t xml:space="preserve"> (18 May 2012).</w:t>
      </w:r>
      <w:proofErr w:type="gramEnd"/>
    </w:p>
  </w:footnote>
  <w:footnote w:id="58">
    <w:p w:rsidR="00B36CCD" w:rsidRPr="00B46952" w:rsidRDefault="00B36CCD" w:rsidP="00262200">
      <w:pPr>
        <w:pStyle w:val="FootnoteText"/>
        <w:tabs>
          <w:tab w:val="left" w:pos="284"/>
        </w:tabs>
        <w:ind w:left="0" w:firstLine="0"/>
        <w:rPr>
          <w:rFonts w:asciiTheme="minorHAnsi" w:hAnsiTheme="minorHAnsi"/>
          <w:color w:val="0D0D0D" w:themeColor="text1" w:themeTint="F2"/>
        </w:rPr>
      </w:pPr>
      <w:r w:rsidRPr="00B46952">
        <w:rPr>
          <w:rStyle w:val="FootnoteReference"/>
          <w:rFonts w:asciiTheme="minorHAnsi" w:hAnsiTheme="minorHAnsi"/>
          <w:color w:val="0D0D0D" w:themeColor="text1" w:themeTint="F2"/>
        </w:rPr>
        <w:footnoteRef/>
      </w:r>
      <w:r w:rsidRPr="00B46952">
        <w:rPr>
          <w:rFonts w:asciiTheme="minorHAnsi" w:hAnsiTheme="minorHAnsi"/>
          <w:color w:val="0D0D0D" w:themeColor="text1" w:themeTint="F2"/>
        </w:rPr>
        <w:t xml:space="preserve"> </w:t>
      </w:r>
      <w:r>
        <w:rPr>
          <w:rFonts w:asciiTheme="minorHAnsi" w:hAnsiTheme="minorHAnsi"/>
          <w:color w:val="0D0D0D" w:themeColor="text1" w:themeTint="F2"/>
        </w:rPr>
        <w:tab/>
      </w:r>
      <w:hyperlink r:id="rId49" w:history="1">
        <w:r w:rsidRPr="00B46952">
          <w:rPr>
            <w:rStyle w:val="Hyperlink"/>
            <w:rFonts w:asciiTheme="minorHAnsi" w:hAnsiTheme="minorHAnsi"/>
            <w:color w:val="0D0D0D" w:themeColor="text1" w:themeTint="F2"/>
          </w:rPr>
          <w:t>US contribution (1 Feb 2013)</w:t>
        </w:r>
      </w:hyperlink>
    </w:p>
  </w:footnote>
  <w:footnote w:id="59">
    <w:p w:rsidR="00B36CCD" w:rsidRPr="00F91831" w:rsidRDefault="00B36CCD" w:rsidP="00262200">
      <w:pPr>
        <w:tabs>
          <w:tab w:val="left" w:pos="284"/>
        </w:tabs>
        <w:autoSpaceDE w:val="0"/>
        <w:autoSpaceDN w:val="0"/>
        <w:adjustRightInd w:val="0"/>
        <w:spacing w:after="0" w:line="240" w:lineRule="auto"/>
        <w:ind w:left="284" w:hanging="284"/>
        <w:rPr>
          <w:rFonts w:cstheme="minorHAnsi"/>
          <w:color w:val="0D0D0D" w:themeColor="text1" w:themeTint="F2"/>
          <w:sz w:val="20"/>
          <w:szCs w:val="20"/>
        </w:rPr>
      </w:pPr>
      <w:r w:rsidRPr="00F97800">
        <w:rPr>
          <w:rStyle w:val="FootnoteReference"/>
          <w:rFonts w:cstheme="minorHAnsi"/>
          <w:color w:val="0D0D0D" w:themeColor="text1" w:themeTint="F2"/>
          <w:sz w:val="20"/>
          <w:szCs w:val="20"/>
        </w:rPr>
        <w:footnoteRef/>
      </w:r>
      <w:r w:rsidRPr="00F97800">
        <w:rPr>
          <w:rFonts w:cstheme="minorHAnsi"/>
          <w:color w:val="0D0D0D" w:themeColor="text1" w:themeTint="F2"/>
          <w:sz w:val="20"/>
          <w:szCs w:val="20"/>
        </w:rPr>
        <w:t xml:space="preserve"> </w:t>
      </w:r>
      <w:r>
        <w:rPr>
          <w:rFonts w:cstheme="minorHAnsi"/>
          <w:color w:val="0D0D0D" w:themeColor="text1" w:themeTint="F2"/>
          <w:sz w:val="20"/>
          <w:szCs w:val="20"/>
        </w:rPr>
        <w:tab/>
      </w:r>
      <w:r w:rsidRPr="00F97800">
        <w:rPr>
          <w:rFonts w:cstheme="minorHAnsi"/>
          <w:color w:val="0D0D0D" w:themeColor="text1" w:themeTint="F2"/>
          <w:sz w:val="20"/>
          <w:szCs w:val="20"/>
        </w:rPr>
        <w:t xml:space="preserve">United States </w:t>
      </w:r>
      <w:hyperlink r:id="rId50" w:history="1">
        <w:r w:rsidRPr="00B46952">
          <w:rPr>
            <w:rStyle w:val="Hyperlink"/>
            <w:rFonts w:cstheme="minorHAnsi"/>
            <w:color w:val="0D0D0D" w:themeColor="text1" w:themeTint="F2"/>
            <w:sz w:val="20"/>
            <w:szCs w:val="20"/>
          </w:rPr>
          <w:t>International Strategy for Cyberspace</w:t>
        </w:r>
      </w:hyperlink>
      <w:r w:rsidRPr="00F97800">
        <w:rPr>
          <w:color w:val="0D0D0D" w:themeColor="text1" w:themeTint="F2"/>
          <w:sz w:val="20"/>
          <w:szCs w:val="20"/>
        </w:rPr>
        <w:t>;</w:t>
      </w:r>
      <w:r w:rsidRPr="00B46952">
        <w:rPr>
          <w:rStyle w:val="Hyperlink"/>
          <w:rFonts w:cstheme="minorHAnsi"/>
          <w:color w:val="0D0D0D" w:themeColor="text1" w:themeTint="F2"/>
          <w:sz w:val="20"/>
          <w:szCs w:val="20"/>
        </w:rPr>
        <w:t xml:space="preserve"> </w:t>
      </w:r>
      <w:r w:rsidRPr="005254D8">
        <w:rPr>
          <w:rFonts w:cstheme="minorHAnsi"/>
          <w:color w:val="0D0D0D" w:themeColor="text1" w:themeTint="F2"/>
          <w:sz w:val="20"/>
          <w:szCs w:val="20"/>
          <w:lang w:val="en-GB"/>
        </w:rPr>
        <w:t>the OECD Council Recommendation on Principles for Internet Policy-Making</w:t>
      </w:r>
      <w:r w:rsidRPr="00104687">
        <w:rPr>
          <w:rFonts w:cstheme="minorHAnsi"/>
          <w:color w:val="0D0D0D" w:themeColor="text1" w:themeTint="F2"/>
          <w:sz w:val="20"/>
          <w:szCs w:val="20"/>
          <w:lang w:val="en-GB"/>
        </w:rPr>
        <w:t>;</w:t>
      </w:r>
      <w:r w:rsidRPr="00B46952">
        <w:rPr>
          <w:rFonts w:cstheme="minorHAnsi"/>
          <w:color w:val="0D0D0D" w:themeColor="text1" w:themeTint="F2"/>
          <w:sz w:val="20"/>
          <w:szCs w:val="20"/>
        </w:rPr>
        <w:t xml:space="preserve"> Brazil’s ten </w:t>
      </w:r>
      <w:hyperlink r:id="rId51" w:history="1">
        <w:r w:rsidRPr="00B46952">
          <w:rPr>
            <w:rStyle w:val="Hyperlink"/>
            <w:rFonts w:cstheme="minorHAnsi"/>
            <w:color w:val="0D0D0D" w:themeColor="text1" w:themeTint="F2"/>
            <w:sz w:val="20"/>
            <w:szCs w:val="20"/>
          </w:rPr>
          <w:t>Principles for the Governance and Use of the Internet</w:t>
        </w:r>
      </w:hyperlink>
      <w:r w:rsidRPr="00F97800">
        <w:rPr>
          <w:rStyle w:val="CommentReference"/>
          <w:rFonts w:cstheme="minorHAnsi"/>
          <w:color w:val="0D0D0D" w:themeColor="text1" w:themeTint="F2"/>
          <w:sz w:val="20"/>
          <w:szCs w:val="20"/>
        </w:rPr>
        <w:t>;</w:t>
      </w:r>
      <w:r w:rsidRPr="00B46952">
        <w:rPr>
          <w:rFonts w:cs="Calibri"/>
          <w:color w:val="0D0D0D" w:themeColor="text1" w:themeTint="F2"/>
          <w:sz w:val="20"/>
          <w:szCs w:val="20"/>
        </w:rPr>
        <w:t xml:space="preserve"> European Commission communication "Internet governance: the next steps" 18/06/2009 at:</w:t>
      </w:r>
      <w:r w:rsidRPr="00F91831">
        <w:rPr>
          <w:sz w:val="20"/>
          <w:szCs w:val="20"/>
        </w:rPr>
        <w:t xml:space="preserve"> </w:t>
      </w:r>
      <w:hyperlink r:id="rId52" w:history="1">
        <w:r w:rsidRPr="00B46952">
          <w:rPr>
            <w:rStyle w:val="Hyperlink"/>
            <w:rFonts w:cs="Calibri"/>
            <w:sz w:val="20"/>
            <w:szCs w:val="20"/>
          </w:rPr>
          <w:t>http://eur-lex.europa.eu/LexUriServ/LexUriServ.do?uri=COM:2009:0277:FIN:EN:PDF</w:t>
        </w:r>
      </w:hyperlink>
      <w:r w:rsidRPr="00F97800">
        <w:rPr>
          <w:rFonts w:cs="Calibri"/>
          <w:color w:val="0D0D0D" w:themeColor="text1" w:themeTint="F2"/>
          <w:sz w:val="20"/>
          <w:szCs w:val="20"/>
        </w:rPr>
        <w:t xml:space="preserve"> </w:t>
      </w:r>
      <w:r w:rsidRPr="00B46952">
        <w:rPr>
          <w:rStyle w:val="CommentReference"/>
          <w:rFonts w:cstheme="minorHAnsi"/>
          <w:color w:val="0D0D0D" w:themeColor="text1" w:themeTint="F2"/>
          <w:sz w:val="20"/>
          <w:szCs w:val="20"/>
        </w:rPr>
        <w:t>.</w:t>
      </w:r>
    </w:p>
  </w:footnote>
  <w:footnote w:id="60">
    <w:p w:rsidR="00B36CCD" w:rsidRPr="00B46952" w:rsidRDefault="00B36CCD" w:rsidP="00262200">
      <w:pPr>
        <w:pStyle w:val="FootnoteText"/>
        <w:tabs>
          <w:tab w:val="left" w:pos="284"/>
        </w:tabs>
        <w:ind w:left="0" w:firstLine="0"/>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w:t>
      </w:r>
      <w:r>
        <w:rPr>
          <w:rFonts w:asciiTheme="minorHAnsi" w:hAnsiTheme="minorHAnsi" w:cstheme="minorHAnsi"/>
        </w:rPr>
        <w:tab/>
      </w:r>
      <w:hyperlink r:id="rId53" w:history="1">
        <w:r w:rsidRPr="00B46952">
          <w:rPr>
            <w:rStyle w:val="Hyperlink"/>
            <w:rFonts w:asciiTheme="minorHAnsi" w:hAnsiTheme="minorHAnsi" w:cstheme="minorHAnsi"/>
          </w:rPr>
          <w:t>http://www.circleid.com/posts/us_european_union_to_support_icann_but_demand_reform/</w:t>
        </w:r>
      </w:hyperlink>
      <w:r w:rsidRPr="00B46952">
        <w:rPr>
          <w:rFonts w:asciiTheme="minorHAnsi" w:hAnsiTheme="minorHAnsi" w:cstheme="minorHAnsi"/>
        </w:rPr>
        <w:t>.</w:t>
      </w:r>
    </w:p>
  </w:footnote>
  <w:footnote w:id="61">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54" w:history="1">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w:t>
      </w:r>
      <w:proofErr w:type="gramStart"/>
      <w:r w:rsidRPr="00B46952">
        <w:rPr>
          <w:rFonts w:asciiTheme="minorHAnsi" w:hAnsiTheme="minorHAnsi" w:cstheme="minorHAnsi"/>
        </w:rPr>
        <w:t xml:space="preserve">,  </w:t>
      </w:r>
      <w:proofErr w:type="gramEnd"/>
      <w:r>
        <w:fldChar w:fldCharType="begin"/>
      </w:r>
      <w:r>
        <w:instrText xml:space="preserve"> HYPERLINK "http://www.itu.int/md/S12-WTPF13PREP-C-0013/en" </w:instrText>
      </w:r>
      <w:r>
        <w:fldChar w:fldCharType="separate"/>
      </w:r>
      <w:r w:rsidRPr="00B46952">
        <w:rPr>
          <w:rStyle w:val="Hyperlink"/>
          <w:rFonts w:asciiTheme="minorHAnsi" w:hAnsiTheme="minorHAnsi" w:cstheme="minorHAnsi"/>
        </w:rPr>
        <w:t>UK contribution</w:t>
      </w:r>
      <w:r>
        <w:rPr>
          <w:rStyle w:val="Hyperlink"/>
          <w:rFonts w:asciiTheme="minorHAnsi" w:hAnsiTheme="minorHAnsi" w:cstheme="minorHAnsi"/>
        </w:rPr>
        <w:fldChar w:fldCharType="end"/>
      </w:r>
      <w:r w:rsidRPr="00B46952">
        <w:rPr>
          <w:rFonts w:asciiTheme="minorHAnsi" w:hAnsiTheme="minorHAnsi" w:cstheme="minorHAnsi"/>
        </w:rPr>
        <w:t xml:space="preserve"> (25 June 2012), </w:t>
      </w:r>
      <w:r w:rsidRPr="00B46952">
        <w:rPr>
          <w:rFonts w:asciiTheme="minorHAnsi" w:hAnsiTheme="minorHAnsi"/>
        </w:rPr>
        <w:t>U.S.A. contribution</w:t>
      </w:r>
      <w:r w:rsidRPr="00B46952">
        <w:rPr>
          <w:rFonts w:asciiTheme="minorHAnsi" w:hAnsiTheme="minorHAnsi" w:cstheme="minorHAnsi"/>
        </w:rPr>
        <w:t xml:space="preserve"> (</w:t>
      </w:r>
      <w:hyperlink r:id="rId55" w:history="1">
        <w:r w:rsidRPr="00B46952">
          <w:rPr>
            <w:rStyle w:val="Hyperlink"/>
            <w:rFonts w:asciiTheme="minorHAnsi" w:hAnsiTheme="minorHAnsi" w:cstheme="minorHAnsi"/>
          </w:rPr>
          <w:t>18 May 2012</w:t>
        </w:r>
      </w:hyperlink>
      <w:r w:rsidRPr="00B46952">
        <w:rPr>
          <w:rFonts w:asciiTheme="minorHAnsi" w:hAnsiTheme="minorHAnsi" w:cstheme="minorHAnsi"/>
        </w:rPr>
        <w:t xml:space="preserve">, </w:t>
      </w:r>
      <w:hyperlink r:id="rId56" w:history="1">
        <w:r w:rsidRPr="00B46952">
          <w:rPr>
            <w:rStyle w:val="Hyperlink"/>
            <w:rFonts w:asciiTheme="minorHAnsi" w:hAnsiTheme="minorHAnsi" w:cstheme="minorHAnsi"/>
          </w:rPr>
          <w:t>1 Feb, 2013</w:t>
        </w:r>
      </w:hyperlink>
      <w:r w:rsidRPr="00B46952">
        <w:rPr>
          <w:rFonts w:asciiTheme="minorHAnsi" w:hAnsiTheme="minorHAnsi" w:cstheme="minorHAnsi"/>
        </w:rPr>
        <w:t xml:space="preserve">), </w:t>
      </w:r>
      <w:hyperlink r:id="rId57"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w:t>
      </w:r>
    </w:p>
  </w:footnote>
  <w:footnote w:id="62">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58"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 and </w:t>
      </w:r>
      <w:hyperlink r:id="rId59"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(30 September 2012).</w:t>
      </w:r>
      <w:proofErr w:type="gramEnd"/>
    </w:p>
  </w:footnote>
  <w:footnote w:id="63">
    <w:p w:rsidR="00B36CCD" w:rsidRPr="00B46952"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60"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64">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61" w:history="1">
        <w:r w:rsidRPr="00B46952">
          <w:rPr>
            <w:rStyle w:val="Hyperlink"/>
            <w:rFonts w:asciiTheme="minorHAnsi" w:hAnsiTheme="minorHAnsi" w:cstheme="minorHAnsi"/>
          </w:rPr>
          <w:t>http://articles.timesofindia.indiatimes.com/2012-07-30/edit-page/32924041_1_internet-governance-internet-corporation-root-servers</w:t>
        </w:r>
      </w:hyperlink>
      <w:r w:rsidRPr="00B46952">
        <w:rPr>
          <w:rFonts w:asciiTheme="minorHAnsi" w:hAnsiTheme="minorHAnsi" w:cstheme="minorHAnsi"/>
        </w:rPr>
        <w:t>.</w:t>
      </w:r>
    </w:p>
  </w:footnote>
  <w:footnote w:id="65">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62" w:history="1">
        <w:proofErr w:type="gramStart"/>
        <w:r w:rsidRPr="00B46952">
          <w:rPr>
            <w:rStyle w:val="Hyperlink"/>
            <w:rFonts w:asciiTheme="minorHAnsi" w:hAnsiTheme="minorHAnsi" w:cstheme="minorHAnsi"/>
          </w:rPr>
          <w:t>Saudi Arabian/Sudan contribution</w:t>
        </w:r>
      </w:hyperlink>
      <w:r w:rsidRPr="00B46952">
        <w:rPr>
          <w:rFonts w:asciiTheme="minorHAnsi" w:hAnsiTheme="minorHAnsi" w:cstheme="minorHAnsi"/>
        </w:rPr>
        <w:t xml:space="preserve"> (1 August 2012), </w:t>
      </w:r>
      <w:hyperlink r:id="rId63"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roofErr w:type="gramEnd"/>
      <w:r w:rsidRPr="00B46952">
        <w:rPr>
          <w:rFonts w:asciiTheme="minorHAnsi" w:hAnsiTheme="minorHAnsi" w:cstheme="minorHAnsi"/>
        </w:rPr>
        <w:t xml:space="preserve">      </w:t>
      </w:r>
    </w:p>
  </w:footnote>
  <w:footnote w:id="66">
    <w:p w:rsidR="00B36CCD" w:rsidRPr="00B46952"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64" w:history="1">
        <w:r w:rsidRPr="00B46952">
          <w:rPr>
            <w:rStyle w:val="Hyperlink"/>
            <w:rFonts w:asciiTheme="minorHAnsi" w:hAnsiTheme="minorHAnsi"/>
          </w:rPr>
          <w:t>Russian contribution</w:t>
        </w:r>
      </w:hyperlink>
      <w:r w:rsidRPr="00B46952">
        <w:rPr>
          <w:rFonts w:asciiTheme="minorHAnsi" w:hAnsiTheme="minorHAnsi"/>
        </w:rPr>
        <w:t xml:space="preserve"> (1 February, 2013)</w:t>
      </w:r>
    </w:p>
  </w:footnote>
  <w:footnote w:id="67">
    <w:p w:rsidR="00B36CCD" w:rsidRPr="00B46952" w:rsidRDefault="00B36CCD" w:rsidP="00902528">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65" w:history="1">
        <w:r w:rsidRPr="00B46952">
          <w:rPr>
            <w:rStyle w:val="Hyperlink"/>
            <w:rFonts w:asciiTheme="minorHAnsi" w:hAnsiTheme="minorHAnsi"/>
          </w:rPr>
          <w:t>Telecom Italia contribution</w:t>
        </w:r>
      </w:hyperlink>
      <w:r w:rsidRPr="00B46952">
        <w:rPr>
          <w:rFonts w:asciiTheme="minorHAnsi" w:hAnsiTheme="minorHAnsi"/>
        </w:rPr>
        <w:t>, 1 February 2013</w:t>
      </w:r>
    </w:p>
  </w:footnote>
  <w:footnote w:id="68">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gramStart"/>
      <w:r w:rsidRPr="00B46952">
        <w:rPr>
          <w:rFonts w:asciiTheme="minorHAnsi" w:hAnsiTheme="minorHAnsi" w:cstheme="minorHAnsi"/>
        </w:rPr>
        <w:t>CSTD (</w:t>
      </w:r>
      <w:hyperlink r:id="rId66" w:history="1">
        <w:r w:rsidRPr="00B46952">
          <w:rPr>
            <w:rStyle w:val="Hyperlink"/>
            <w:rFonts w:asciiTheme="minorHAnsi" w:hAnsiTheme="minorHAnsi" w:cstheme="minorHAnsi"/>
          </w:rPr>
          <w:t>http://unctad.org/en/Pages/MeetingDetails.aspx?meetingid=61</w:t>
        </w:r>
      </w:hyperlink>
      <w:r w:rsidRPr="00B46952">
        <w:rPr>
          <w:rFonts w:asciiTheme="minorHAnsi" w:hAnsiTheme="minorHAnsi" w:cstheme="minorHAnsi"/>
        </w:rPr>
        <w:t>), UN General Assembly.</w:t>
      </w:r>
      <w:proofErr w:type="gramEnd"/>
      <w:r w:rsidRPr="00B46952">
        <w:rPr>
          <w:rFonts w:asciiTheme="minorHAnsi" w:hAnsiTheme="minorHAnsi" w:cstheme="minorHAnsi"/>
        </w:rPr>
        <w:t xml:space="preserve"> (</w:t>
      </w:r>
      <w:hyperlink r:id="rId67" w:history="1">
        <w:r w:rsidRPr="00B46952">
          <w:rPr>
            <w:rStyle w:val="Hyperlink"/>
            <w:rFonts w:asciiTheme="minorHAnsi" w:hAnsiTheme="minorHAnsi" w:cstheme="minorHAnsi"/>
          </w:rPr>
          <w:t>http://unctad.org/meetings/en/SessionalDocuments/a66d77_en.pdf</w:t>
        </w:r>
      </w:hyperlink>
      <w:r w:rsidRPr="00B46952">
        <w:rPr>
          <w:rFonts w:asciiTheme="minorHAnsi" w:hAnsiTheme="minorHAnsi" w:cstheme="minorHAnsi"/>
        </w:rPr>
        <w:t>).</w:t>
      </w:r>
    </w:p>
  </w:footnote>
  <w:footnote w:id="69">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68" w:history="1">
        <w:r w:rsidRPr="00B46952">
          <w:rPr>
            <w:rStyle w:val="Hyperlink"/>
            <w:rFonts w:asciiTheme="minorHAnsi" w:hAnsiTheme="minorHAnsi" w:cstheme="minorHAnsi"/>
          </w:rPr>
          <w:t>Open consultations on enhanced cooperation on international public policy issues pertaining to the Internet - written contributions</w:t>
        </w:r>
      </w:hyperlink>
      <w:r w:rsidRPr="00B46952">
        <w:rPr>
          <w:rFonts w:asciiTheme="minorHAnsi" w:hAnsiTheme="minorHAnsi" w:cstheme="minorHAnsi"/>
        </w:rPr>
        <w:t>.</w:t>
      </w:r>
    </w:p>
  </w:footnote>
  <w:footnote w:id="70">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69"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roofErr w:type="gramEnd"/>
    </w:p>
  </w:footnote>
  <w:footnote w:id="71">
    <w:p w:rsidR="00B36CCD" w:rsidRPr="00B46952" w:rsidRDefault="00B36CCD" w:rsidP="0044108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70"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72">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71" w:history="1">
        <w:proofErr w:type="gramStart"/>
        <w:r w:rsidRPr="00B46952">
          <w:rPr>
            <w:rStyle w:val="Hyperlink"/>
            <w:rFonts w:asciiTheme="minorHAnsi" w:hAnsiTheme="minorHAnsi" w:cstheme="minorHAnsi"/>
          </w:rPr>
          <w:t>Saudi Arabia, Sudan contribution</w:t>
        </w:r>
      </w:hyperlink>
      <w:r w:rsidRPr="00B46952">
        <w:rPr>
          <w:rFonts w:asciiTheme="minorHAnsi" w:hAnsiTheme="minorHAnsi" w:cstheme="minorHAnsi"/>
        </w:rPr>
        <w:t xml:space="preserve"> (1 August 2012), </w:t>
      </w:r>
      <w:hyperlink r:id="rId72"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roofErr w:type="gramEnd"/>
    </w:p>
  </w:footnote>
  <w:footnote w:id="73">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73" w:history="1">
        <w:proofErr w:type="gramStart"/>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 </w:t>
      </w:r>
      <w:hyperlink r:id="rId74"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w:t>
      </w:r>
      <w:proofErr w:type="gramEnd"/>
    </w:p>
  </w:footnote>
  <w:footnote w:id="74">
    <w:p w:rsidR="00B36CCD" w:rsidRPr="00B46952" w:rsidRDefault="00B36CCD" w:rsidP="00160372">
      <w:pPr>
        <w:pStyle w:val="FootnoteText"/>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gramStart"/>
      <w:r w:rsidRPr="00B46952">
        <w:rPr>
          <w:rFonts w:asciiTheme="minorHAnsi" w:hAnsiTheme="minorHAnsi" w:cstheme="minorHAnsi"/>
        </w:rPr>
        <w:t>Resolutions 101, 102, 133, (Rev. Guadalajara, 2010), Resolution 180 (Guadalajara, 2010).</w:t>
      </w:r>
      <w:proofErr w:type="gramEnd"/>
    </w:p>
  </w:footnote>
  <w:footnote w:id="75">
    <w:p w:rsidR="00B36CCD" w:rsidRPr="00B46952"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75" w:history="1">
        <w:r w:rsidRPr="00B46952">
          <w:rPr>
            <w:rStyle w:val="Hyperlink"/>
            <w:rFonts w:asciiTheme="minorHAnsi" w:hAnsiTheme="minorHAnsi"/>
          </w:rPr>
          <w:t>http://www.itu.int/en/membership/Pages/default.aspx</w:t>
        </w:r>
      </w:hyperlink>
      <w:r w:rsidRPr="00B46952">
        <w:rPr>
          <w:rFonts w:asciiTheme="minorHAnsi" w:hAnsiTheme="minorHAnsi"/>
        </w:rPr>
        <w:t xml:space="preserve">. </w:t>
      </w:r>
    </w:p>
  </w:footnote>
  <w:footnote w:id="76">
    <w:p w:rsidR="00B36CCD" w:rsidRPr="00B46952" w:rsidRDefault="00B36CCD" w:rsidP="00247018">
      <w:pPr>
        <w:pStyle w:val="FootnoteText"/>
        <w:jc w:val="both"/>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76" w:history="1">
        <w:r w:rsidRPr="00B46952">
          <w:rPr>
            <w:rStyle w:val="Hyperlink"/>
            <w:rFonts w:asciiTheme="minorHAnsi" w:hAnsiTheme="minorHAnsi" w:cstheme="minorHAnsi"/>
          </w:rPr>
          <w:t>http://www.itu.int/en/membership/Pages/default.aspx</w:t>
        </w:r>
      </w:hyperlink>
      <w:r w:rsidRPr="00B46952">
        <w:rPr>
          <w:rFonts w:asciiTheme="minorHAnsi" w:hAnsiTheme="minorHAnsi" w:cstheme="minorHAnsi"/>
        </w:rPr>
        <w:t xml:space="preserve">. </w:t>
      </w:r>
    </w:p>
  </w:footnote>
  <w:footnote w:id="77">
    <w:p w:rsidR="00B36CCD" w:rsidRPr="00B46952" w:rsidRDefault="00B36CCD"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Style w:val="FootnoteReference"/>
          <w:rFonts w:asciiTheme="minorHAnsi" w:hAnsiTheme="minorHAnsi" w:cstheme="minorHAnsi"/>
        </w:rPr>
        <w:tab/>
      </w:r>
      <w:hyperlink r:id="rId77"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78">
    <w:p w:rsidR="00B36CCD" w:rsidRPr="00B46952" w:rsidRDefault="00B36CCD"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Style w:val="FootnoteReference"/>
          <w:rFonts w:asciiTheme="minorHAnsi" w:hAnsiTheme="minorHAnsi" w:cstheme="minorHAnsi"/>
        </w:rPr>
        <w:tab/>
      </w:r>
      <w:hyperlink r:id="rId78"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79">
    <w:p w:rsidR="00B36CCD" w:rsidRPr="00B46952" w:rsidRDefault="00B36CCD"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Pr>
          <w:rFonts w:asciiTheme="minorHAnsi" w:hAnsiTheme="minorHAnsi"/>
        </w:rPr>
        <w:tab/>
      </w:r>
      <w:hyperlink r:id="rId79"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80">
    <w:p w:rsidR="00B36CCD" w:rsidRPr="00B46952" w:rsidRDefault="00B36CCD"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Style w:val="FootnoteReference"/>
          <w:rFonts w:asciiTheme="minorHAnsi" w:hAnsiTheme="minorHAnsi" w:cstheme="minorHAnsi"/>
        </w:rPr>
        <w:tab/>
      </w:r>
      <w:hyperlink r:id="rId80" w:history="1">
        <w:r w:rsidRPr="00B46952">
          <w:rPr>
            <w:rStyle w:val="Hyperlink"/>
            <w:rFonts w:asciiTheme="minorHAnsi" w:hAnsiTheme="minorHAnsi" w:cstheme="minorHAnsi"/>
          </w:rPr>
          <w:t>Contribution by ISOC Bulgaria</w:t>
        </w:r>
      </w:hyperlink>
      <w:r w:rsidRPr="00B46952">
        <w:rPr>
          <w:rFonts w:asciiTheme="minorHAnsi" w:hAnsiTheme="minorHAnsi" w:cstheme="minorHAnsi"/>
        </w:rPr>
        <w:t xml:space="preserve"> (10 October 2012).</w:t>
      </w:r>
    </w:p>
  </w:footnote>
  <w:footnote w:id="81">
    <w:p w:rsidR="00B36CCD" w:rsidRPr="00B46952" w:rsidRDefault="00B36CCD" w:rsidP="00262200">
      <w:pPr>
        <w:tabs>
          <w:tab w:val="left" w:pos="284"/>
        </w:tabs>
        <w:autoSpaceDE w:val="0"/>
        <w:autoSpaceDN w:val="0"/>
        <w:adjustRightInd w:val="0"/>
        <w:spacing w:after="0" w:line="240" w:lineRule="auto"/>
        <w:ind w:left="284" w:hanging="284"/>
        <w:rPr>
          <w:rFonts w:cs="Calibri"/>
          <w:sz w:val="20"/>
          <w:szCs w:val="20"/>
        </w:rPr>
      </w:pPr>
      <w:r w:rsidRPr="00F97800">
        <w:rPr>
          <w:rStyle w:val="FootnoteReference"/>
          <w:sz w:val="20"/>
          <w:szCs w:val="20"/>
        </w:rPr>
        <w:footnoteRef/>
      </w:r>
      <w:r w:rsidRPr="00F97800">
        <w:rPr>
          <w:sz w:val="20"/>
          <w:szCs w:val="20"/>
        </w:rPr>
        <w:t xml:space="preserve"> </w:t>
      </w:r>
      <w:r>
        <w:rPr>
          <w:sz w:val="20"/>
          <w:szCs w:val="20"/>
        </w:rPr>
        <w:tab/>
      </w:r>
      <w:r w:rsidRPr="00F97800">
        <w:rPr>
          <w:sz w:val="20"/>
          <w:szCs w:val="20"/>
        </w:rPr>
        <w:t>A detailed analysis of many of these issues has recently been made by regulators in the European Union.</w:t>
      </w:r>
      <w:r w:rsidRPr="00F97800">
        <w:rPr>
          <w:rFonts w:cs="Calibri"/>
          <w:sz w:val="20"/>
          <w:szCs w:val="20"/>
        </w:rPr>
        <w:t xml:space="preserve"> See: "Differentiation practices and related competition issues in the scope of net neutrality", produced by the</w:t>
      </w:r>
      <w:r>
        <w:rPr>
          <w:rFonts w:cs="Calibri"/>
          <w:sz w:val="20"/>
          <w:szCs w:val="20"/>
        </w:rPr>
        <w:t xml:space="preserve"> </w:t>
      </w:r>
      <w:r w:rsidRPr="00B46952">
        <w:rPr>
          <w:rFonts w:cs="Calibri"/>
          <w:sz w:val="20"/>
          <w:szCs w:val="20"/>
        </w:rPr>
        <w:t>Body of European Regulators for Electronic Communications (BEREC), November 2012, at:</w:t>
      </w:r>
    </w:p>
    <w:p w:rsidR="00B36CCD" w:rsidRPr="00B46952" w:rsidRDefault="00B36CCD" w:rsidP="00DB36BE">
      <w:pPr>
        <w:pStyle w:val="FootnoteText"/>
        <w:rPr>
          <w:rFonts w:asciiTheme="minorHAnsi" w:hAnsiTheme="minorHAnsi"/>
        </w:rPr>
      </w:pPr>
      <w:r>
        <w:tab/>
      </w:r>
      <w:hyperlink r:id="rId81" w:history="1">
        <w:r w:rsidRPr="00B46952">
          <w:rPr>
            <w:rStyle w:val="Hyperlink"/>
            <w:rFonts w:asciiTheme="minorHAnsi" w:hAnsiTheme="minorHAnsi" w:cs="Calibri"/>
          </w:rPr>
          <w:t>http://berec.europa.eu/eng/document_register/subject_matter/berec/reports/?doc=1094</w:t>
        </w:r>
      </w:hyperlink>
      <w:r w:rsidRPr="00B46952">
        <w:rPr>
          <w:rFonts w:asciiTheme="minorHAnsi" w:hAnsiTheme="minorHAnsi" w:cs="Calibri"/>
          <w:color w:val="0000FF"/>
        </w:rPr>
        <w:t xml:space="preserve"> </w:t>
      </w:r>
    </w:p>
  </w:footnote>
  <w:footnote w:id="82">
    <w:p w:rsidR="00B36CCD" w:rsidRPr="00F97800"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82" w:history="1">
        <w:proofErr w:type="gramStart"/>
        <w:r w:rsidRPr="00F91831">
          <w:rPr>
            <w:rStyle w:val="Hyperlink"/>
            <w:rFonts w:asciiTheme="minorHAnsi" w:hAnsiTheme="minorHAnsi"/>
          </w:rPr>
          <w:t>European Commission contribution</w:t>
        </w:r>
      </w:hyperlink>
      <w:r w:rsidRPr="00F97800">
        <w:rPr>
          <w:rFonts w:asciiTheme="minorHAnsi" w:hAnsiTheme="minorHAnsi"/>
        </w:rPr>
        <w:t xml:space="preserve"> (4 February 2013).</w:t>
      </w:r>
      <w:proofErr w:type="gramEnd"/>
    </w:p>
  </w:footnote>
  <w:footnote w:id="83">
    <w:p w:rsidR="00B36CCD" w:rsidRPr="00F97800" w:rsidRDefault="00B36CCD" w:rsidP="00262200">
      <w:pPr>
        <w:tabs>
          <w:tab w:val="left" w:pos="284"/>
        </w:tabs>
        <w:spacing w:after="0" w:line="240" w:lineRule="auto"/>
        <w:ind w:left="284" w:hanging="284"/>
        <w:rPr>
          <w:rFonts w:cstheme="minorHAnsi"/>
          <w:sz w:val="20"/>
          <w:szCs w:val="20"/>
        </w:rPr>
      </w:pPr>
      <w:r w:rsidRPr="00F97800">
        <w:rPr>
          <w:rStyle w:val="FootnoteReference"/>
          <w:rFonts w:cstheme="minorHAnsi"/>
          <w:sz w:val="20"/>
          <w:szCs w:val="20"/>
        </w:rPr>
        <w:footnoteRef/>
      </w:r>
      <w:r w:rsidRPr="00F97800">
        <w:rPr>
          <w:rFonts w:cstheme="minorHAnsi"/>
          <w:sz w:val="20"/>
          <w:szCs w:val="20"/>
        </w:rPr>
        <w:t xml:space="preserve"> </w:t>
      </w:r>
      <w:r>
        <w:rPr>
          <w:rFonts w:cstheme="minorHAnsi"/>
          <w:sz w:val="20"/>
          <w:szCs w:val="20"/>
        </w:rPr>
        <w:tab/>
      </w:r>
      <w:r w:rsidRPr="00F97800">
        <w:rPr>
          <w:rFonts w:cstheme="minorHAnsi"/>
          <w:sz w:val="20"/>
          <w:szCs w:val="20"/>
        </w:rPr>
        <w:t>“</w:t>
      </w:r>
      <w:hyperlink r:id="rId83" w:history="1">
        <w:r w:rsidRPr="00B46952">
          <w:rPr>
            <w:rStyle w:val="Hyperlink"/>
            <w:rFonts w:cstheme="minorHAnsi"/>
            <w:sz w:val="20"/>
            <w:szCs w:val="20"/>
          </w:rPr>
          <w:t>The Future Internet”, ITU-T Technology Watch Report, April 2009</w:t>
        </w:r>
      </w:hyperlink>
      <w:r w:rsidRPr="00F97800">
        <w:rPr>
          <w:rFonts w:cstheme="minorHAnsi"/>
          <w:sz w:val="20"/>
          <w:szCs w:val="20"/>
        </w:rPr>
        <w:t>; David Talbot (2005), “</w:t>
      </w:r>
      <w:r w:rsidRPr="00F97800">
        <w:rPr>
          <w:rFonts w:cstheme="minorHAnsi"/>
          <w:i/>
          <w:iCs/>
          <w:sz w:val="20"/>
          <w:szCs w:val="20"/>
        </w:rPr>
        <w:t xml:space="preserve">The Internet is broken”,  </w:t>
      </w:r>
      <w:r w:rsidRPr="00F97800">
        <w:rPr>
          <w:rFonts w:cstheme="minorHAnsi"/>
          <w:sz w:val="20"/>
          <w:szCs w:val="20"/>
        </w:rPr>
        <w:t xml:space="preserve">MIT Technology Review; WG-WSIS-18/05: ‘The 'future Internet'’ (V.3): </w:t>
      </w:r>
      <w:hyperlink r:id="rId84" w:history="1">
        <w:r w:rsidRPr="00B46952">
          <w:rPr>
            <w:rStyle w:val="Hyperlink"/>
            <w:rFonts w:cstheme="minorHAnsi"/>
            <w:sz w:val="20"/>
            <w:szCs w:val="20"/>
          </w:rPr>
          <w:t>http://www.itu.int/md/S13-WTPF13REPORT-C-0005</w:t>
        </w:r>
      </w:hyperlink>
      <w:r w:rsidRPr="00F97800">
        <w:rPr>
          <w:rFonts w:cstheme="minorHAnsi"/>
          <w:sz w:val="20"/>
          <w:szCs w:val="20"/>
        </w:rPr>
        <w:t xml:space="preserve">; H. Kobayashi, Princeton University: </w:t>
      </w:r>
      <w:hyperlink r:id="rId85" w:history="1">
        <w:r w:rsidRPr="00B46952">
          <w:rPr>
            <w:rStyle w:val="Hyperlink"/>
            <w:rFonts w:cstheme="minorHAnsi"/>
            <w:sz w:val="20"/>
            <w:szCs w:val="20"/>
          </w:rPr>
          <w:t>http://files.hisashikobayashi.com/articles/20080623_Kenynote_NICT_slide.pdf</w:t>
        </w:r>
      </w:hyperlink>
      <w:r w:rsidRPr="00F97800">
        <w:rPr>
          <w:rFonts w:cstheme="minorHAnsi"/>
          <w:sz w:val="20"/>
          <w:szCs w:val="20"/>
        </w:rPr>
        <w:t>.</w:t>
      </w:r>
    </w:p>
  </w:footnote>
  <w:footnote w:id="84">
    <w:p w:rsidR="00B36CCD" w:rsidRPr="00B46952" w:rsidRDefault="00B36CCD" w:rsidP="00262200">
      <w:pPr>
        <w:pStyle w:val="FootnoteText"/>
        <w:tabs>
          <w:tab w:val="left" w:pos="284"/>
        </w:tabs>
        <w:ind w:left="0" w:firstLine="0"/>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w:t>
      </w:r>
      <w:r>
        <w:rPr>
          <w:rFonts w:asciiTheme="minorHAnsi" w:hAnsiTheme="minorHAnsi" w:cstheme="minorHAnsi"/>
        </w:rPr>
        <w:tab/>
      </w:r>
      <w:hyperlink r:id="rId86"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roofErr w:type="gramEnd"/>
    </w:p>
  </w:footnote>
  <w:footnote w:id="85">
    <w:p w:rsidR="00B36CCD" w:rsidRPr="00B46952" w:rsidRDefault="00B36CCD" w:rsidP="00B51A2B">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87"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86">
    <w:p w:rsidR="00B36CCD" w:rsidRPr="00B46952" w:rsidRDefault="00B36CCD" w:rsidP="00F91831">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eastAsiaTheme="minorEastAsia" w:hAnsiTheme="minorHAnsi" w:cstheme="minorHAnsi"/>
          <w:color w:val="auto"/>
          <w:lang w:eastAsia="zh-CN" w:bidi="ar-SA"/>
        </w:rPr>
        <w:t xml:space="preserve"> </w:t>
      </w:r>
      <w:r>
        <w:rPr>
          <w:rFonts w:asciiTheme="minorHAnsi" w:eastAsiaTheme="minorEastAsia" w:hAnsiTheme="minorHAnsi" w:cstheme="minorHAnsi"/>
          <w:color w:val="auto"/>
          <w:lang w:eastAsia="zh-CN" w:bidi="ar-SA"/>
        </w:rPr>
        <w:tab/>
      </w:r>
      <w:hyperlink r:id="rId88" w:history="1">
        <w:r w:rsidRPr="00B46952">
          <w:rPr>
            <w:rStyle w:val="Hyperlink"/>
            <w:rFonts w:asciiTheme="minorHAnsi" w:eastAsiaTheme="minorEastAsia" w:hAnsiTheme="minorHAnsi" w:cstheme="minorHAnsi"/>
            <w:lang w:eastAsia="zh-CN" w:bidi="ar-SA"/>
          </w:rPr>
          <w:t>www.itu.int/ITU-T/worksem/apportionment/201201/index.html</w:t>
        </w:r>
      </w:hyperlink>
      <w:r w:rsidRPr="00B46952">
        <w:rPr>
          <w:rFonts w:asciiTheme="minorHAnsi" w:eastAsiaTheme="minorEastAsia" w:hAnsiTheme="minorHAnsi" w:cstheme="minorHAnsi"/>
          <w:color w:val="auto"/>
          <w:lang w:eastAsia="zh-CN" w:bidi="ar-SA"/>
        </w:rPr>
        <w:t>.</w:t>
      </w:r>
    </w:p>
  </w:footnote>
  <w:footnote w:id="87">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89" w:history="1">
        <w:proofErr w:type="gramStart"/>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(30 September 2012).</w:t>
      </w:r>
      <w:proofErr w:type="gramEnd"/>
    </w:p>
  </w:footnote>
  <w:footnote w:id="88">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89">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See, for example: </w:t>
      </w:r>
      <w:hyperlink r:id="rId90" w:history="1">
        <w:r w:rsidRPr="00B46952">
          <w:rPr>
            <w:rStyle w:val="Hyperlink"/>
            <w:rFonts w:asciiTheme="minorHAnsi" w:hAnsiTheme="minorHAnsi" w:cstheme="minorHAnsi"/>
          </w:rPr>
          <w:t>www.itu.int/ITU-T/worksem/apportionment/201201/index.html</w:t>
        </w:r>
      </w:hyperlink>
      <w:r w:rsidRPr="00B46952">
        <w:rPr>
          <w:rFonts w:asciiTheme="minorHAnsi" w:hAnsiTheme="minorHAnsi" w:cstheme="minorHAnsi"/>
        </w:rPr>
        <w:t>.</w:t>
      </w:r>
    </w:p>
  </w:footnote>
  <w:footnote w:id="90">
    <w:p w:rsidR="00B36CCD" w:rsidRPr="00B46952" w:rsidRDefault="00B36CCD" w:rsidP="00F9183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91" w:history="1">
        <w:r w:rsidRPr="00B46952">
          <w:rPr>
            <w:rStyle w:val="Hyperlink"/>
            <w:rFonts w:asciiTheme="minorHAnsi" w:hAnsiTheme="minorHAnsi"/>
          </w:rPr>
          <w:t>http://www.itu.int/en/wcit-12/Documents/final-acts-wcit-12.pdf</w:t>
        </w:r>
      </w:hyperlink>
      <w:r w:rsidRPr="00B46952">
        <w:rPr>
          <w:rFonts w:asciiTheme="minorHAnsi" w:hAnsiTheme="minorHAnsi"/>
        </w:rPr>
        <w:t xml:space="preserve">. </w:t>
      </w:r>
    </w:p>
  </w:footnote>
  <w:footnote w:id="91">
    <w:p w:rsidR="00B36CCD" w:rsidRPr="00B46952" w:rsidRDefault="00B36CCD" w:rsidP="00DB36BE">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Style w:val="FootnoteReference"/>
          <w:rFonts w:asciiTheme="minorHAnsi" w:hAnsiTheme="minorHAnsi" w:cstheme="minorHAnsi"/>
        </w:rPr>
        <w:tab/>
      </w:r>
      <w:hyperlink r:id="rId92"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(21 September 2012).</w:t>
      </w:r>
    </w:p>
  </w:footnote>
  <w:footnote w:id="92">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As defined by ITU Recommendation E800.</w:t>
      </w:r>
    </w:p>
  </w:footnote>
  <w:footnote w:id="93">
    <w:p w:rsidR="00B36CCD" w:rsidRPr="00104687"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67BB8">
        <w:rPr>
          <w:rFonts w:asciiTheme="minorHAnsi" w:hAnsiTheme="minorHAnsi" w:cstheme="minorHAnsi"/>
        </w:rPr>
        <w:t xml:space="preserve"> </w:t>
      </w:r>
      <w:r>
        <w:rPr>
          <w:rFonts w:asciiTheme="minorHAnsi" w:hAnsiTheme="minorHAnsi" w:cstheme="minorHAnsi"/>
        </w:rPr>
        <w:tab/>
      </w:r>
      <w:proofErr w:type="gramStart"/>
      <w:r w:rsidRPr="00B67BB8">
        <w:rPr>
          <w:rFonts w:asciiTheme="minorHAnsi" w:hAnsiTheme="minorHAnsi" w:cstheme="minorHAnsi"/>
        </w:rPr>
        <w:t>Discussion of the Ad Hoc Group at first IEG meeting (June 2012).</w:t>
      </w:r>
      <w:proofErr w:type="gramEnd"/>
      <w:r w:rsidRPr="00B67BB8">
        <w:rPr>
          <w:rFonts w:asciiTheme="minorHAnsi" w:hAnsiTheme="minorHAnsi" w:cstheme="minorHAnsi"/>
        </w:rPr>
        <w:t xml:space="preserve"> </w:t>
      </w:r>
    </w:p>
  </w:footnote>
  <w:footnote w:id="94">
    <w:p w:rsidR="00B36CCD" w:rsidRPr="00B46952" w:rsidRDefault="00B36CCD" w:rsidP="00262200">
      <w:pPr>
        <w:pStyle w:val="FootnoteText"/>
        <w:rPr>
          <w:rFonts w:asciiTheme="minorHAnsi" w:hAnsiTheme="minorHAnsi"/>
        </w:rPr>
      </w:pPr>
      <w:r w:rsidRPr="00104687">
        <w:rPr>
          <w:rStyle w:val="FootnoteReference"/>
          <w:rFonts w:asciiTheme="minorHAnsi" w:hAnsiTheme="minorHAnsi"/>
        </w:rPr>
        <w:footnoteRef/>
      </w:r>
      <w:r w:rsidRPr="00104687">
        <w:rPr>
          <w:rFonts w:asciiTheme="minorHAnsi" w:hAnsiTheme="minorHAnsi"/>
        </w:rPr>
        <w:t xml:space="preserve"> </w:t>
      </w:r>
      <w:r>
        <w:rPr>
          <w:rFonts w:asciiTheme="minorHAnsi" w:hAnsiTheme="minorHAnsi"/>
        </w:rPr>
        <w:tab/>
      </w:r>
      <w:hyperlink r:id="rId93"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95">
    <w:p w:rsidR="00B36CCD" w:rsidRPr="00B46952" w:rsidRDefault="00B36CCD" w:rsidP="00262200">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94" w:history="1">
        <w:r w:rsidRPr="00B46952">
          <w:rPr>
            <w:rStyle w:val="Hyperlink"/>
            <w:rFonts w:asciiTheme="minorHAnsi" w:hAnsiTheme="minorHAnsi" w:cstheme="minorHAnsi"/>
          </w:rPr>
          <w:t>http://www.internetsociety.org/qos-emperors-wardrobe-geoff-huston-isp-column</w:t>
        </w:r>
      </w:hyperlink>
      <w:r w:rsidRPr="00B46952">
        <w:rPr>
          <w:rFonts w:asciiTheme="minorHAnsi" w:hAnsiTheme="minorHAnsi" w:cstheme="minorHAnsi"/>
        </w:rPr>
        <w:t xml:space="preserve">. </w:t>
      </w:r>
    </w:p>
  </w:footnote>
  <w:footnote w:id="96">
    <w:p w:rsidR="00B36CCD" w:rsidRPr="00B46952" w:rsidRDefault="00B36CCD" w:rsidP="00262200">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95" w:history="1">
        <w:r w:rsidRPr="00B46952">
          <w:rPr>
            <w:rStyle w:val="Hyperlink"/>
            <w:rFonts w:asciiTheme="minorHAnsi" w:hAnsiTheme="minorHAnsi"/>
          </w:rPr>
          <w:t>US contribution</w:t>
        </w:r>
      </w:hyperlink>
      <w:r w:rsidRPr="00B46952">
        <w:rPr>
          <w:rFonts w:asciiTheme="minorHAnsi" w:hAnsiTheme="minorHAnsi"/>
        </w:rPr>
        <w:t xml:space="preserve"> (1 February 2013)</w:t>
      </w:r>
    </w:p>
  </w:footnote>
  <w:footnote w:id="97">
    <w:p w:rsidR="00B36CCD" w:rsidRPr="00B46952" w:rsidRDefault="00B36CCD" w:rsidP="00262200">
      <w:pPr>
        <w:pStyle w:val="FootnoteText"/>
        <w:rPr>
          <w:rFonts w:asciiTheme="minorHAnsi" w:hAnsiTheme="minorHAnsi" w:cstheme="minorHAnsi"/>
          <w:b/>
          <w:bCs/>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See Overview of </w:t>
      </w:r>
      <w:proofErr w:type="spellStart"/>
      <w:r w:rsidRPr="00B46952">
        <w:rPr>
          <w:rFonts w:asciiTheme="minorHAnsi" w:hAnsiTheme="minorHAnsi" w:cstheme="minorHAnsi"/>
        </w:rPr>
        <w:t>QoS</w:t>
      </w:r>
      <w:proofErr w:type="spellEnd"/>
      <w:r w:rsidRPr="00B46952">
        <w:rPr>
          <w:rFonts w:asciiTheme="minorHAnsi" w:hAnsiTheme="minorHAnsi" w:cstheme="minorHAnsi"/>
        </w:rPr>
        <w:t xml:space="preserve">, Information Doc 5, CWG-WCIT, </w:t>
      </w:r>
      <w:proofErr w:type="gramStart"/>
      <w:r w:rsidRPr="00B46952">
        <w:rPr>
          <w:rFonts w:asciiTheme="minorHAnsi" w:hAnsiTheme="minorHAnsi" w:cstheme="minorHAnsi"/>
        </w:rPr>
        <w:t>Feb</w:t>
      </w:r>
      <w:proofErr w:type="gramEnd"/>
      <w:r w:rsidRPr="00B46952">
        <w:rPr>
          <w:rFonts w:asciiTheme="minorHAnsi" w:hAnsiTheme="minorHAnsi" w:cstheme="minorHAnsi"/>
        </w:rPr>
        <w:t xml:space="preserve"> 2012:</w:t>
      </w:r>
      <w:r w:rsidRPr="00B46952">
        <w:rPr>
          <w:rFonts w:asciiTheme="minorHAnsi" w:hAnsiTheme="minorHAnsi"/>
        </w:rPr>
        <w:t xml:space="preserve"> </w:t>
      </w:r>
      <w:hyperlink r:id="rId96" w:history="1">
        <w:r w:rsidRPr="00B46952">
          <w:rPr>
            <w:rStyle w:val="Hyperlink"/>
            <w:rFonts w:asciiTheme="minorHAnsi" w:hAnsiTheme="minorHAnsi" w:cstheme="minorHAnsi"/>
          </w:rPr>
          <w:t>http://www.itu.int/md/S13-WTPF13REPORT-C-0004</w:t>
        </w:r>
      </w:hyperlink>
      <w:r w:rsidRPr="00B46952">
        <w:rPr>
          <w:rFonts w:asciiTheme="minorHAnsi" w:hAnsiTheme="minorHAnsi" w:cstheme="minorHAnsi"/>
        </w:rPr>
        <w:t>.</w:t>
      </w:r>
    </w:p>
  </w:footnote>
  <w:footnote w:id="98">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97"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roofErr w:type="gramEnd"/>
    </w:p>
  </w:footnote>
  <w:footnote w:id="99">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Report by Arthur D Little, “Telco Operators: Let’s Face It”, March 2012.</w:t>
      </w:r>
    </w:p>
  </w:footnote>
  <w:footnote w:id="100">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Pr>
          <w:rStyle w:val="FootnoteReference"/>
          <w:rFonts w:asciiTheme="minorHAnsi" w:hAnsiTheme="minorHAnsi" w:cstheme="minorHAnsi"/>
        </w:rPr>
        <w:tab/>
      </w:r>
      <w:hyperlink r:id="rId98" w:history="1">
        <w:r w:rsidRPr="00B46952">
          <w:rPr>
            <w:rStyle w:val="Hyperlink"/>
            <w:rFonts w:asciiTheme="minorHAnsi" w:hAnsiTheme="minorHAnsi" w:cstheme="minorHAnsi"/>
          </w:rPr>
          <w:t>Nominet contribution</w:t>
        </w:r>
      </w:hyperlink>
      <w:r w:rsidRPr="00B46952">
        <w:rPr>
          <w:rStyle w:val="Hyperlink"/>
          <w:rFonts w:asciiTheme="minorHAnsi" w:hAnsiTheme="minorHAnsi" w:cstheme="minorHAnsi"/>
        </w:rPr>
        <w:t xml:space="preserve"> (September 2012), citing </w:t>
      </w:r>
      <w:hyperlink r:id="rId99" w:history="1">
        <w:r w:rsidRPr="00B46952">
          <w:rPr>
            <w:rStyle w:val="Hyperlink"/>
            <w:rFonts w:asciiTheme="minorHAnsi" w:hAnsiTheme="minorHAnsi"/>
          </w:rPr>
          <w:t>http://blog.telegeography.com/post/32390008437</w:t>
        </w:r>
      </w:hyperlink>
      <w:r w:rsidRPr="00B46952">
        <w:rPr>
          <w:rFonts w:asciiTheme="minorHAnsi" w:hAnsiTheme="minorHAnsi"/>
        </w:rPr>
        <w:t xml:space="preserve">.  </w:t>
      </w:r>
    </w:p>
  </w:footnote>
  <w:footnote w:id="101">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Source: </w:t>
      </w:r>
      <w:proofErr w:type="spellStart"/>
      <w:r w:rsidRPr="00B46952">
        <w:rPr>
          <w:rFonts w:asciiTheme="minorHAnsi" w:hAnsiTheme="minorHAnsi" w:cstheme="minorHAnsi"/>
        </w:rPr>
        <w:t>TeleGeography</w:t>
      </w:r>
      <w:proofErr w:type="spellEnd"/>
      <w:r w:rsidRPr="00B46952">
        <w:rPr>
          <w:rFonts w:asciiTheme="minorHAnsi" w:hAnsiTheme="minorHAnsi" w:cstheme="minorHAnsi"/>
        </w:rPr>
        <w:t xml:space="preserve"> (</w:t>
      </w:r>
      <w:hyperlink r:id="rId100" w:history="1">
        <w:r w:rsidRPr="00B46952">
          <w:rPr>
            <w:rStyle w:val="Hyperlink"/>
            <w:rFonts w:asciiTheme="minorHAnsi" w:hAnsiTheme="minorHAnsi" w:cstheme="minorHAnsi"/>
          </w:rPr>
          <w:t>www.telegeography.com</w:t>
        </w:r>
      </w:hyperlink>
      <w:r w:rsidRPr="00B46952">
        <w:rPr>
          <w:rFonts w:asciiTheme="minorHAnsi" w:hAnsiTheme="minorHAnsi" w:cstheme="minorHAnsi"/>
        </w:rPr>
        <w:t>).</w:t>
      </w:r>
    </w:p>
  </w:footnote>
  <w:footnote w:id="102">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Pr>
          <w:rFonts w:asciiTheme="minorHAnsi" w:hAnsiTheme="minorHAnsi" w:cstheme="minorHAnsi"/>
        </w:rPr>
        <w:tab/>
      </w:r>
      <w:r w:rsidRPr="00B46952">
        <w:rPr>
          <w:rFonts w:asciiTheme="minorHAnsi" w:hAnsiTheme="minorHAnsi" w:cstheme="minorHAnsi"/>
        </w:rPr>
        <w:t xml:space="preserve">“A Viable Future Model for the Internet”, AT Kearney (2010), available at: </w:t>
      </w:r>
      <w:hyperlink r:id="rId101" w:history="1">
        <w:r w:rsidRPr="00B46952">
          <w:rPr>
            <w:rStyle w:val="Hyperlink"/>
            <w:rFonts w:asciiTheme="minorHAnsi" w:hAnsiTheme="minorHAnsi" w:cstheme="minorHAnsi"/>
          </w:rPr>
          <w:t>http://www.atkearney.com/index.php/Publications/a-viable-future-model-for-the-internet.html</w:t>
        </w:r>
      </w:hyperlink>
      <w:r w:rsidRPr="00B46952">
        <w:rPr>
          <w:rFonts w:asciiTheme="minorHAnsi" w:hAnsiTheme="minorHAnsi"/>
        </w:rPr>
        <w:t>.</w:t>
      </w:r>
    </w:p>
  </w:footnote>
  <w:footnote w:id="103">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Pr>
          <w:rFonts w:asciiTheme="minorHAnsi" w:hAnsiTheme="minorHAnsi" w:cstheme="minorHAnsi"/>
        </w:rPr>
        <w:tab/>
      </w:r>
      <w:r w:rsidRPr="00B46952">
        <w:rPr>
          <w:rFonts w:asciiTheme="minorHAnsi" w:hAnsiTheme="minorHAnsi" w:cstheme="minorHAnsi"/>
        </w:rPr>
        <w:t>WG-WSIS-18/05*: ‘The 'future Internet' (Version 3.0), available at:</w:t>
      </w:r>
      <w:r w:rsidRPr="00B46952">
        <w:rPr>
          <w:rFonts w:asciiTheme="minorHAnsi" w:hAnsiTheme="minorHAnsi"/>
        </w:rPr>
        <w:t xml:space="preserve"> </w:t>
      </w:r>
      <w:hyperlink r:id="rId102" w:history="1">
        <w:r w:rsidRPr="00B46952">
          <w:rPr>
            <w:rStyle w:val="Hyperlink"/>
            <w:rFonts w:asciiTheme="minorHAnsi" w:hAnsiTheme="minorHAnsi" w:cstheme="minorHAnsi"/>
          </w:rPr>
          <w:t>http://www.itu.int/md/S13-WTPF13REPORT-C-0005</w:t>
        </w:r>
      </w:hyperlink>
      <w:r w:rsidRPr="00B46952">
        <w:rPr>
          <w:rFonts w:asciiTheme="minorHAnsi" w:hAnsiTheme="minorHAnsi" w:cstheme="minorHAnsi"/>
        </w:rPr>
        <w:t xml:space="preserve">. </w:t>
      </w:r>
    </w:p>
  </w:footnote>
  <w:footnote w:id="104">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gramStart"/>
      <w:r w:rsidRPr="00B46952">
        <w:rPr>
          <w:rFonts w:asciiTheme="minorHAnsi" w:hAnsiTheme="minorHAnsi" w:cstheme="minorHAnsi"/>
        </w:rPr>
        <w:t xml:space="preserve">WTDC-02 </w:t>
      </w:r>
      <w:proofErr w:type="spellStart"/>
      <w:r w:rsidRPr="00B46952">
        <w:rPr>
          <w:rFonts w:asciiTheme="minorHAnsi" w:hAnsiTheme="minorHAnsi" w:cstheme="minorHAnsi"/>
        </w:rPr>
        <w:t>Programme</w:t>
      </w:r>
      <w:proofErr w:type="spellEnd"/>
      <w:r w:rsidRPr="00B46952">
        <w:rPr>
          <w:rFonts w:asciiTheme="minorHAnsi" w:hAnsiTheme="minorHAnsi" w:cstheme="minorHAnsi"/>
        </w:rPr>
        <w:t xml:space="preserve"> 2.</w:t>
      </w:r>
      <w:proofErr w:type="gramEnd"/>
    </w:p>
  </w:footnote>
  <w:footnote w:id="105">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106">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“David Talbot (2005), “</w:t>
      </w:r>
      <w:r w:rsidRPr="00B46952">
        <w:rPr>
          <w:rFonts w:asciiTheme="minorHAnsi" w:hAnsiTheme="minorHAnsi" w:cstheme="minorHAnsi"/>
          <w:i/>
          <w:iCs/>
        </w:rPr>
        <w:t>The Internet is broken”</w:t>
      </w:r>
      <w:proofErr w:type="gramStart"/>
      <w:r w:rsidRPr="00B46952">
        <w:rPr>
          <w:rFonts w:asciiTheme="minorHAnsi" w:hAnsiTheme="minorHAnsi" w:cstheme="minorHAnsi"/>
          <w:i/>
          <w:iCs/>
        </w:rPr>
        <w:t xml:space="preserve">,  </w:t>
      </w:r>
      <w:r w:rsidRPr="00B46952">
        <w:rPr>
          <w:rFonts w:asciiTheme="minorHAnsi" w:hAnsiTheme="minorHAnsi" w:cstheme="minorHAnsi"/>
        </w:rPr>
        <w:t>MIT</w:t>
      </w:r>
      <w:proofErr w:type="gramEnd"/>
      <w:r w:rsidRPr="00B46952">
        <w:rPr>
          <w:rFonts w:asciiTheme="minorHAnsi" w:hAnsiTheme="minorHAnsi" w:cstheme="minorHAnsi"/>
        </w:rPr>
        <w:t xml:space="preserve"> Technology Review; WG-WSIS-18/05*: ‘The 'future Internet'’ (V.3), at: </w:t>
      </w:r>
      <w:hyperlink r:id="rId103" w:history="1">
        <w:r w:rsidRPr="00B46952">
          <w:rPr>
            <w:rStyle w:val="Hyperlink"/>
            <w:rFonts w:asciiTheme="minorHAnsi" w:hAnsiTheme="minorHAnsi" w:cstheme="minorHAnsi"/>
          </w:rPr>
          <w:t>http://www.itu.int/md/S13-WTPF13REPORT-C-0005</w:t>
        </w:r>
      </w:hyperlink>
      <w:r w:rsidRPr="00B46952">
        <w:rPr>
          <w:rFonts w:asciiTheme="minorHAnsi" w:hAnsiTheme="minorHAnsi" w:cstheme="minorHAnsi"/>
        </w:rPr>
        <w:t>.</w:t>
      </w:r>
    </w:p>
  </w:footnote>
  <w:footnote w:id="107">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104" w:history="1">
        <w:proofErr w:type="spellStart"/>
        <w:r w:rsidRPr="00B46952">
          <w:rPr>
            <w:rStyle w:val="Hyperlink"/>
            <w:rFonts w:asciiTheme="minorHAnsi" w:hAnsiTheme="minorHAnsi"/>
          </w:rPr>
          <w:t>Paypal</w:t>
        </w:r>
        <w:proofErr w:type="spellEnd"/>
        <w:r w:rsidRPr="00B46952">
          <w:rPr>
            <w:rStyle w:val="Hyperlink"/>
            <w:rFonts w:asciiTheme="minorHAnsi" w:hAnsiTheme="minorHAnsi"/>
          </w:rPr>
          <w:t xml:space="preserve"> contribution</w:t>
        </w:r>
      </w:hyperlink>
      <w:r w:rsidRPr="00B46952">
        <w:rPr>
          <w:rFonts w:asciiTheme="minorHAnsi" w:hAnsiTheme="minorHAnsi"/>
        </w:rPr>
        <w:t xml:space="preserve"> (1 Feb 2013)</w:t>
      </w:r>
    </w:p>
  </w:footnote>
  <w:footnote w:id="108">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Note: The IANA contract references certain standards that must be followed or that must be considered, such as certain IETF RFCs and ISO Standards; by reference to PKI, it implicitly references Recommendation ITU-T X.509. See: </w:t>
      </w:r>
      <w:hyperlink r:id="rId105" w:history="1">
        <w:r w:rsidRPr="00B46952">
          <w:rPr>
            <w:rStyle w:val="Hyperlink"/>
            <w:rFonts w:asciiTheme="minorHAnsi" w:hAnsiTheme="minorHAnsi" w:cstheme="minorHAnsi"/>
          </w:rPr>
          <w:t>http://www.ntia.doc.gov/files/ntia/publications/sf_26_pg_1-2-final_award_and_sacs.pdf</w:t>
        </w:r>
      </w:hyperlink>
      <w:r w:rsidRPr="00B46952">
        <w:rPr>
          <w:rFonts w:asciiTheme="minorHAnsi" w:hAnsiTheme="minorHAnsi" w:cstheme="minorHAnsi"/>
        </w:rPr>
        <w:t>.</w:t>
      </w:r>
    </w:p>
  </w:footnote>
  <w:footnote w:id="109">
    <w:p w:rsidR="00B36CCD" w:rsidRPr="00B46952" w:rsidRDefault="00B36CCD" w:rsidP="00F9183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proofErr w:type="gramStart"/>
      <w:r w:rsidRPr="00B46952">
        <w:rPr>
          <w:rFonts w:asciiTheme="minorHAnsi" w:hAnsiTheme="minorHAnsi"/>
        </w:rPr>
        <w:t>RFC 2131.</w:t>
      </w:r>
      <w:proofErr w:type="gramEnd"/>
    </w:p>
  </w:footnote>
  <w:footnote w:id="110">
    <w:p w:rsidR="00B36CCD" w:rsidRPr="00B46952" w:rsidRDefault="00B36CCD" w:rsidP="00262200">
      <w:pPr>
        <w:pStyle w:val="FootnoteText"/>
        <w:rPr>
          <w:rFonts w:asciiTheme="minorHAnsi" w:hAnsiTheme="minorHAnsi"/>
        </w:rPr>
      </w:pPr>
      <w:r w:rsidRPr="00B46952">
        <w:rPr>
          <w:rStyle w:val="FootnoteReference"/>
          <w:rFonts w:asciiTheme="minorHAnsi" w:hAnsiTheme="minorHAnsi"/>
        </w:rPr>
        <w:footnoteRef/>
      </w:r>
      <w:r>
        <w:rPr>
          <w:rFonts w:asciiTheme="minorHAnsi" w:hAnsiTheme="minorHAnsi"/>
        </w:rPr>
        <w:tab/>
      </w:r>
      <w:hyperlink r:id="rId106" w:history="1">
        <w:proofErr w:type="gramStart"/>
        <w:r w:rsidRPr="00B46952">
          <w:rPr>
            <w:rStyle w:val="Hyperlink"/>
            <w:rFonts w:asciiTheme="minorHAnsi" w:hAnsiTheme="minorHAnsi"/>
          </w:rPr>
          <w:t>PayPal contribution</w:t>
        </w:r>
      </w:hyperlink>
      <w:r w:rsidRPr="00B46952">
        <w:rPr>
          <w:rFonts w:asciiTheme="minorHAnsi" w:hAnsiTheme="minorHAnsi"/>
        </w:rPr>
        <w:t xml:space="preserve"> (October 2012).</w:t>
      </w:r>
      <w:proofErr w:type="gramEnd"/>
    </w:p>
  </w:footnote>
  <w:footnote w:id="111">
    <w:p w:rsidR="00B36CCD" w:rsidRPr="00F97800" w:rsidRDefault="00B36CCD" w:rsidP="00262200">
      <w:pPr>
        <w:tabs>
          <w:tab w:val="left" w:pos="284"/>
        </w:tabs>
        <w:spacing w:after="0" w:line="240" w:lineRule="auto"/>
        <w:ind w:left="284" w:hanging="284"/>
        <w:rPr>
          <w:rFonts w:cstheme="minorHAnsi"/>
          <w:color w:val="31849B"/>
          <w:sz w:val="20"/>
          <w:szCs w:val="20"/>
        </w:rPr>
      </w:pPr>
      <w:r w:rsidRPr="00F97800">
        <w:rPr>
          <w:rStyle w:val="FootnoteReference"/>
          <w:rFonts w:cstheme="minorHAnsi"/>
          <w:sz w:val="20"/>
          <w:szCs w:val="20"/>
        </w:rPr>
        <w:footnoteRef/>
      </w:r>
      <w:r w:rsidRPr="00F97800">
        <w:rPr>
          <w:rFonts w:cstheme="minorHAnsi"/>
          <w:sz w:val="20"/>
          <w:szCs w:val="20"/>
        </w:rPr>
        <w:t xml:space="preserve"> </w:t>
      </w:r>
      <w:r>
        <w:rPr>
          <w:rFonts w:cstheme="minorHAnsi"/>
          <w:sz w:val="20"/>
          <w:szCs w:val="20"/>
        </w:rPr>
        <w:tab/>
      </w:r>
      <w:r w:rsidRPr="00F97800">
        <w:rPr>
          <w:rFonts w:cstheme="minorHAnsi"/>
          <w:sz w:val="20"/>
          <w:szCs w:val="20"/>
        </w:rPr>
        <w:t>The IANA is a set of technical functions related to the operations of the Internet. The IANA functions include: (1) the coordination of the assignment of technical IP parameters; (2) the administration of certain responsibilities associated with the Internet DNS root zone management; (3) the allocation o</w:t>
      </w:r>
      <w:r w:rsidRPr="00646247">
        <w:rPr>
          <w:rFonts w:cstheme="minorHAnsi"/>
          <w:sz w:val="20"/>
          <w:szCs w:val="20"/>
        </w:rPr>
        <w:t>f Internet numbering resources; and (4) other services related to the management of the ARPA and INT top-level domains (TLDs). Since February 2000, the IANA functions have been performed by ICANN under the contract with the US Department of Commerce (</w:t>
      </w:r>
      <w:proofErr w:type="spellStart"/>
      <w:r w:rsidRPr="00646247">
        <w:rPr>
          <w:rFonts w:cstheme="minorHAnsi"/>
          <w:sz w:val="20"/>
          <w:szCs w:val="20"/>
        </w:rPr>
        <w:t>DoC</w:t>
      </w:r>
      <w:proofErr w:type="spellEnd"/>
      <w:r w:rsidRPr="00646247">
        <w:rPr>
          <w:rFonts w:cstheme="minorHAnsi"/>
          <w:sz w:val="20"/>
          <w:szCs w:val="20"/>
        </w:rPr>
        <w:t>).</w:t>
      </w:r>
      <w:r w:rsidRPr="00B46952">
        <w:rPr>
          <w:rFonts w:cstheme="minorHAnsi"/>
          <w:sz w:val="20"/>
          <w:szCs w:val="20"/>
        </w:rPr>
        <w:t xml:space="preserve"> The current IANA contract expired on 30 September 2012, and ICANN will continue to perform the IANA function</w:t>
      </w:r>
      <w:r w:rsidRPr="005254D8">
        <w:rPr>
          <w:rFonts w:cstheme="minorHAnsi"/>
          <w:sz w:val="20"/>
          <w:szCs w:val="20"/>
        </w:rPr>
        <w:t>s for the new IANA contract dates from 1 October 2012 to 30 September 2015, with two separate two-year option periods for a total contract period o</w:t>
      </w:r>
      <w:r w:rsidRPr="00B46952">
        <w:rPr>
          <w:rFonts w:cstheme="minorHAnsi"/>
          <w:sz w:val="20"/>
          <w:szCs w:val="20"/>
        </w:rPr>
        <w:t>f seven years” (source: IANA Functions Contract, NTIA, the US Department of Commerce (</w:t>
      </w:r>
      <w:proofErr w:type="spellStart"/>
      <w:r w:rsidRPr="00B46952">
        <w:rPr>
          <w:rFonts w:cstheme="minorHAnsi"/>
          <w:sz w:val="20"/>
          <w:szCs w:val="20"/>
        </w:rPr>
        <w:t>DoC</w:t>
      </w:r>
      <w:proofErr w:type="spellEnd"/>
      <w:r w:rsidRPr="00B46952">
        <w:rPr>
          <w:rFonts w:cstheme="minorHAnsi"/>
          <w:sz w:val="20"/>
          <w:szCs w:val="20"/>
        </w:rPr>
        <w:t xml:space="preserve">), Available at </w:t>
      </w:r>
      <w:hyperlink r:id="rId107" w:history="1">
        <w:r w:rsidRPr="00B46952">
          <w:rPr>
            <w:rStyle w:val="Hyperlink"/>
            <w:rFonts w:eastAsia="Lucida Sans Unicode" w:cstheme="minorHAnsi"/>
            <w:sz w:val="20"/>
            <w:szCs w:val="20"/>
            <w:lang w:eastAsia="en-US" w:bidi="en-US"/>
          </w:rPr>
          <w:t>http://www.ntia.doc.gov/page/iana-functions-purchase-order</w:t>
        </w:r>
      </w:hyperlink>
      <w:r w:rsidRPr="00F97800">
        <w:rPr>
          <w:rFonts w:cstheme="minorHAnsi"/>
          <w:sz w:val="20"/>
          <w:szCs w:val="20"/>
        </w:rPr>
        <w:t>).</w:t>
      </w:r>
    </w:p>
  </w:footnote>
  <w:footnote w:id="112">
    <w:p w:rsidR="00B36CCD" w:rsidRPr="00B46952" w:rsidRDefault="00B36CCD" w:rsidP="00F91831">
      <w:pPr>
        <w:pStyle w:val="FootnoteText"/>
        <w:ind w:left="0" w:firstLine="0"/>
        <w:rPr>
          <w:rFonts w:asciiTheme="minorHAnsi" w:hAnsiTheme="minorHAnsi" w:cstheme="minorHAnsi"/>
        </w:rPr>
      </w:pPr>
      <w:r w:rsidRPr="00F97800">
        <w:rPr>
          <w:rStyle w:val="FootnoteReference"/>
          <w:rFonts w:asciiTheme="minorHAnsi" w:hAnsiTheme="minorHAnsi" w:cstheme="minorHAnsi"/>
        </w:rPr>
        <w:footnoteRef/>
      </w:r>
      <w:r w:rsidRPr="00F97800">
        <w:rPr>
          <w:rFonts w:asciiTheme="minorHAnsi" w:hAnsiTheme="minorHAnsi" w:cstheme="minorHAnsi"/>
        </w:rPr>
        <w:t xml:space="preserve"> IETF RFC 2460, available at: </w:t>
      </w:r>
      <w:hyperlink r:id="rId108" w:history="1">
        <w:r w:rsidRPr="00B46952">
          <w:rPr>
            <w:rStyle w:val="Hyperlink"/>
            <w:rFonts w:asciiTheme="minorHAnsi" w:hAnsiTheme="minorHAnsi" w:cstheme="minorHAnsi"/>
          </w:rPr>
          <w:t>http://tools.ietf.org/html/rfc2460</w:t>
        </w:r>
      </w:hyperlink>
      <w:r w:rsidRPr="00B46952">
        <w:rPr>
          <w:rFonts w:asciiTheme="minorHAnsi" w:hAnsiTheme="minorHAnsi" w:cstheme="minorHAnsi"/>
        </w:rPr>
        <w:t>.</w:t>
      </w:r>
    </w:p>
  </w:footnote>
  <w:footnote w:id="113">
    <w:p w:rsidR="00B36CCD" w:rsidRPr="00B46952" w:rsidRDefault="00B36CCD"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Number Resources, IANA, </w:t>
      </w:r>
      <w:hyperlink r:id="rId109" w:history="1">
        <w:r w:rsidRPr="00B46952">
          <w:rPr>
            <w:rStyle w:val="Hyperlink"/>
            <w:rFonts w:asciiTheme="minorHAnsi" w:hAnsiTheme="minorHAnsi" w:cstheme="minorHAnsi"/>
          </w:rPr>
          <w:t>http://www.iana.org/numbers</w:t>
        </w:r>
      </w:hyperlink>
      <w:r w:rsidRPr="00B46952">
        <w:rPr>
          <w:rFonts w:asciiTheme="minorHAnsi" w:hAnsiTheme="minorHAnsi" w:cstheme="minorHAnsi"/>
        </w:rPr>
        <w:t xml:space="preserve">.  </w:t>
      </w:r>
    </w:p>
  </w:footnote>
  <w:footnote w:id="114">
    <w:p w:rsidR="00B36CCD" w:rsidRPr="00B46952" w:rsidRDefault="00B36CCD"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B46952">
        <w:rPr>
          <w:rFonts w:asciiTheme="minorHAnsi" w:hAnsiTheme="minorHAnsi" w:cstheme="minorHAnsi"/>
        </w:rPr>
        <w:t xml:space="preserve">Initial IANA Delegation of IPv6 address space, </w:t>
      </w:r>
      <w:hyperlink r:id="rId110" w:history="1">
        <w:r w:rsidRPr="00B46952">
          <w:rPr>
            <w:rStyle w:val="Hyperlink"/>
            <w:rFonts w:asciiTheme="minorHAnsi" w:hAnsiTheme="minorHAnsi" w:cstheme="minorHAnsi"/>
          </w:rPr>
          <w:t>https://www.iana.org/reports/1999/ipv6-announcement.html</w:t>
        </w:r>
      </w:hyperlink>
      <w:r w:rsidRPr="00B46952">
        <w:rPr>
          <w:rFonts w:asciiTheme="minorHAnsi" w:hAnsiTheme="minorHAnsi" w:cstheme="minorHAnsi"/>
        </w:rPr>
        <w:t>.</w:t>
      </w:r>
      <w:proofErr w:type="gramEnd"/>
      <w:r w:rsidRPr="00B46952">
        <w:rPr>
          <w:rFonts w:asciiTheme="minorHAnsi" w:hAnsiTheme="minorHAnsi" w:cstheme="minorHAnsi"/>
        </w:rPr>
        <w:t xml:space="preserve"> </w:t>
      </w:r>
    </w:p>
  </w:footnote>
  <w:footnote w:id="115">
    <w:p w:rsidR="00B36CCD" w:rsidRPr="00B46952" w:rsidRDefault="00B36CCD"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B46952">
        <w:rPr>
          <w:rFonts w:asciiTheme="minorHAnsi" w:hAnsiTheme="minorHAnsi" w:cstheme="minorHAnsi"/>
        </w:rPr>
        <w:t>Ad Hoc Group discussion in first IEG meeting (June 2012).</w:t>
      </w:r>
      <w:proofErr w:type="gramEnd"/>
    </w:p>
  </w:footnote>
  <w:footnote w:id="116">
    <w:p w:rsidR="00B36CCD" w:rsidRPr="00B46952" w:rsidRDefault="00B36CCD" w:rsidP="00F9183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11" w:history="1">
        <w:proofErr w:type="gramStart"/>
        <w:r w:rsidRPr="00B46952">
          <w:rPr>
            <w:rStyle w:val="Hyperlink"/>
            <w:rFonts w:asciiTheme="minorHAnsi" w:hAnsiTheme="minorHAnsi" w:cstheme="minorHAnsi"/>
          </w:rPr>
          <w:t>ARIN contribution</w:t>
        </w:r>
      </w:hyperlink>
      <w:r w:rsidRPr="00B46952">
        <w:rPr>
          <w:rFonts w:asciiTheme="minorHAnsi" w:hAnsiTheme="minorHAnsi" w:cstheme="minorHAnsi"/>
        </w:rPr>
        <w:t xml:space="preserve"> (22 June 2012), </w:t>
      </w:r>
      <w:hyperlink r:id="rId112" w:history="1">
        <w:r w:rsidRPr="00B46952">
          <w:rPr>
            <w:rStyle w:val="Hyperlink"/>
            <w:rFonts w:asciiTheme="minorHAnsi" w:hAnsiTheme="minorHAnsi" w:cstheme="minorHAnsi"/>
          </w:rPr>
          <w:t>US contribution</w:t>
        </w:r>
      </w:hyperlink>
      <w:r w:rsidRPr="00B46952">
        <w:rPr>
          <w:rFonts w:asciiTheme="minorHAnsi" w:hAnsiTheme="minorHAnsi" w:cstheme="minorHAnsi"/>
        </w:rPr>
        <w:t xml:space="preserve"> (1 August 2012).</w:t>
      </w:r>
      <w:proofErr w:type="gramEnd"/>
      <w:r w:rsidRPr="00B46952">
        <w:rPr>
          <w:rFonts w:asciiTheme="minorHAnsi" w:hAnsiTheme="minorHAnsi" w:cstheme="minorHAnsi"/>
        </w:rPr>
        <w:t xml:space="preserve"> </w:t>
      </w:r>
    </w:p>
  </w:footnote>
  <w:footnote w:id="117">
    <w:p w:rsidR="00B36CCD" w:rsidRPr="00B46952" w:rsidRDefault="00B36CCD" w:rsidP="00F9183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13" w:history="1">
        <w:r w:rsidRPr="00B46952">
          <w:rPr>
            <w:rStyle w:val="Hyperlink"/>
            <w:rFonts w:asciiTheme="minorHAnsi" w:hAnsiTheme="minorHAnsi" w:cstheme="minorHAnsi"/>
          </w:rPr>
          <w:t>http://bgp.potaroo.net/v6/as2.0/</w:t>
        </w:r>
      </w:hyperlink>
      <w:r w:rsidRPr="00B46952">
        <w:rPr>
          <w:rFonts w:asciiTheme="minorHAnsi" w:hAnsiTheme="minorHAnsi" w:cstheme="minorHAnsi"/>
        </w:rPr>
        <w:t>.</w:t>
      </w:r>
    </w:p>
  </w:footnote>
  <w:footnote w:id="118">
    <w:p w:rsidR="00B36CCD" w:rsidRPr="00B46952" w:rsidRDefault="00B36CCD" w:rsidP="00F9183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14" w:history="1">
        <w:r w:rsidRPr="00B46952">
          <w:rPr>
            <w:rStyle w:val="Hyperlink"/>
            <w:rFonts w:asciiTheme="minorHAnsi" w:hAnsiTheme="minorHAnsi" w:cstheme="minorHAnsi"/>
          </w:rPr>
          <w:t>http://labs.apnic.net/dists/v6dcc.html</w:t>
        </w:r>
      </w:hyperlink>
      <w:r w:rsidRPr="00B46952">
        <w:rPr>
          <w:rFonts w:asciiTheme="minorHAnsi" w:hAnsiTheme="minorHAnsi" w:cstheme="minorHAnsi"/>
        </w:rPr>
        <w:t xml:space="preserve">. </w:t>
      </w:r>
    </w:p>
  </w:footnote>
  <w:footnote w:id="119">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The reasons stated range from technical issues to challenges faced by developing countries (</w:t>
      </w:r>
      <w:hyperlink r:id="rId115" w:history="1">
        <w:r w:rsidRPr="00B46952">
          <w:rPr>
            <w:rStyle w:val="Hyperlink"/>
            <w:rFonts w:asciiTheme="minorHAnsi" w:hAnsiTheme="minorHAnsi" w:cstheme="minorHAnsi"/>
          </w:rPr>
          <w:t>Algerian contribution</w:t>
        </w:r>
      </w:hyperlink>
      <w:r w:rsidRPr="00B46952">
        <w:rPr>
          <w:rFonts w:asciiTheme="minorHAnsi" w:hAnsiTheme="minorHAnsi" w:cstheme="minorHAnsi"/>
        </w:rPr>
        <w:t>, 2 August 2012) and other assertions, such as market failure.</w:t>
      </w:r>
    </w:p>
  </w:footnote>
  <w:footnote w:id="120">
    <w:p w:rsidR="00B36CCD" w:rsidRPr="00B46952" w:rsidRDefault="00B36CCD" w:rsidP="00F9183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16" w:history="1">
        <w:r w:rsidRPr="00B46952">
          <w:rPr>
            <w:rStyle w:val="Hyperlink"/>
            <w:rFonts w:asciiTheme="minorHAnsi" w:hAnsiTheme="minorHAnsi"/>
          </w:rPr>
          <w:t>ICANN, NRO contribution</w:t>
        </w:r>
      </w:hyperlink>
      <w:r w:rsidRPr="00B46952">
        <w:rPr>
          <w:rFonts w:asciiTheme="minorHAnsi" w:hAnsiTheme="minorHAnsi"/>
        </w:rPr>
        <w:t xml:space="preserve"> (1 Feb 2013)</w:t>
      </w:r>
    </w:p>
  </w:footnote>
  <w:footnote w:id="121">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TU’s related capacity-building efforts can be found at:  </w:t>
      </w:r>
      <w:hyperlink r:id="rId117" w:history="1">
        <w:r w:rsidRPr="00B46952">
          <w:rPr>
            <w:rStyle w:val="Hyperlink"/>
            <w:rFonts w:asciiTheme="minorHAnsi" w:hAnsiTheme="minorHAnsi" w:cstheme="minorHAnsi"/>
          </w:rPr>
          <w:t>http://www.itu.int/ITU-D/cyb/ip/index.html</w:t>
        </w:r>
      </w:hyperlink>
      <w:r w:rsidRPr="00B46952">
        <w:rPr>
          <w:rFonts w:asciiTheme="minorHAnsi" w:hAnsiTheme="minorHAnsi" w:cstheme="minorHAnsi"/>
        </w:rPr>
        <w:t xml:space="preserve">. One example of current initiatives to promote deployment of IPv6 is the </w:t>
      </w:r>
      <w:hyperlink r:id="rId118" w:history="1">
        <w:r w:rsidRPr="00B46952">
          <w:rPr>
            <w:rStyle w:val="Hyperlink"/>
            <w:rFonts w:asciiTheme="minorHAnsi" w:hAnsiTheme="minorHAnsi" w:cstheme="minorHAnsi"/>
          </w:rPr>
          <w:t>World IPv6 Launch Day</w:t>
        </w:r>
      </w:hyperlink>
      <w:r w:rsidRPr="00B46952">
        <w:rPr>
          <w:rFonts w:asciiTheme="minorHAnsi" w:hAnsiTheme="minorHAnsi" w:cstheme="minorHAnsi"/>
        </w:rPr>
        <w:t>.</w:t>
      </w:r>
    </w:p>
  </w:footnote>
  <w:footnote w:id="122">
    <w:p w:rsidR="00B36CCD" w:rsidRPr="00F97800" w:rsidRDefault="00B36CCD" w:rsidP="00262200">
      <w:pPr>
        <w:pStyle w:val="FootnoteText"/>
        <w:tabs>
          <w:tab w:val="left" w:pos="284"/>
        </w:tabs>
        <w:ind w:left="284" w:hanging="284"/>
        <w:rPr>
          <w:rFonts w:asciiTheme="minorHAnsi" w:hAnsiTheme="minorHAnsi" w:cstheme="minorHAnsi"/>
        </w:rPr>
      </w:pPr>
      <w:r w:rsidRPr="00F91831">
        <w:rPr>
          <w:rStyle w:val="FootnoteReference"/>
          <w:rFonts w:asciiTheme="minorHAnsi" w:hAnsiTheme="minorHAnsi" w:cstheme="minorHAnsi"/>
        </w:rPr>
        <w:footnoteRef/>
      </w:r>
      <w:r w:rsidRPr="00F91831">
        <w:rPr>
          <w:rFonts w:asciiTheme="minorHAnsi" w:hAnsiTheme="minorHAnsi" w:cstheme="minorHAnsi"/>
        </w:rPr>
        <w:t xml:space="preserve"> </w:t>
      </w:r>
      <w:r>
        <w:rPr>
          <w:rFonts w:asciiTheme="minorHAnsi" w:hAnsiTheme="minorHAnsi" w:cstheme="minorHAnsi"/>
        </w:rPr>
        <w:tab/>
      </w:r>
      <w:r w:rsidRPr="00F91831">
        <w:rPr>
          <w:rFonts w:asciiTheme="minorHAnsi" w:hAnsiTheme="minorHAnsi" w:cstheme="minorHAnsi"/>
        </w:rPr>
        <w:t>“Internet Protocol version 6”, Contribution from the Syrian Arab Republic to the IPv6 Group, available at:</w:t>
      </w:r>
      <w:r w:rsidRPr="00F91831">
        <w:rPr>
          <w:rFonts w:asciiTheme="minorHAnsi" w:hAnsiTheme="minorHAnsi"/>
        </w:rPr>
        <w:t xml:space="preserve"> </w:t>
      </w:r>
      <w:hyperlink r:id="rId119" w:history="1">
        <w:r w:rsidRPr="00B46952">
          <w:rPr>
            <w:rStyle w:val="Hyperlink"/>
            <w:rFonts w:asciiTheme="minorHAnsi" w:hAnsiTheme="minorHAnsi" w:cstheme="minorHAnsi"/>
          </w:rPr>
          <w:t>http://www.itu.int/md/S13-WTPF13REPORT-C-0008</w:t>
        </w:r>
      </w:hyperlink>
      <w:r w:rsidRPr="00F91831">
        <w:rPr>
          <w:rFonts w:asciiTheme="minorHAnsi" w:hAnsiTheme="minorHAnsi" w:cstheme="minorHAnsi"/>
        </w:rPr>
        <w:t>.</w:t>
      </w:r>
      <w:r w:rsidRPr="00F97800">
        <w:rPr>
          <w:rFonts w:asciiTheme="minorHAnsi" w:hAnsiTheme="minorHAnsi" w:cstheme="minorHAnsi"/>
        </w:rPr>
        <w:t xml:space="preserve">  </w:t>
      </w:r>
    </w:p>
  </w:footnote>
  <w:footnote w:id="123">
    <w:p w:rsidR="00B36CCD" w:rsidRPr="00B46952" w:rsidRDefault="00B36CCD" w:rsidP="00262200">
      <w:pPr>
        <w:pStyle w:val="FootnoteText"/>
        <w:tabs>
          <w:tab w:val="left" w:pos="284"/>
        </w:tabs>
        <w:ind w:left="284" w:hanging="284"/>
        <w:rPr>
          <w:rFonts w:asciiTheme="minorHAnsi" w:hAnsiTheme="minorHAnsi" w:cstheme="minorHAnsi"/>
        </w:rPr>
      </w:pPr>
      <w:r w:rsidRPr="00646247">
        <w:rPr>
          <w:rStyle w:val="FootnoteReference"/>
          <w:rFonts w:asciiTheme="minorHAnsi" w:hAnsiTheme="minorHAnsi" w:cstheme="minorHAnsi"/>
        </w:rPr>
        <w:footnoteRef/>
      </w:r>
      <w:r w:rsidRPr="00646247">
        <w:rPr>
          <w:rFonts w:asciiTheme="minorHAnsi" w:hAnsiTheme="minorHAnsi" w:cstheme="minorHAnsi"/>
        </w:rPr>
        <w:t xml:space="preserve"> </w:t>
      </w:r>
      <w:r>
        <w:rPr>
          <w:rFonts w:asciiTheme="minorHAnsi" w:hAnsiTheme="minorHAnsi" w:cstheme="minorHAnsi"/>
        </w:rPr>
        <w:tab/>
      </w:r>
      <w:r w:rsidRPr="00646247">
        <w:rPr>
          <w:rFonts w:asciiTheme="minorHAnsi" w:hAnsiTheme="minorHAnsi" w:cstheme="minorHAnsi"/>
        </w:rPr>
        <w:t xml:space="preserve">Some point out that that most of the legacy address allocations were allocated before the current address allocation system was in place. </w:t>
      </w:r>
      <w:proofErr w:type="gramStart"/>
      <w:r w:rsidRPr="00646247">
        <w:rPr>
          <w:rFonts w:asciiTheme="minorHAnsi" w:hAnsiTheme="minorHAnsi" w:cstheme="minorHAnsi"/>
        </w:rPr>
        <w:t xml:space="preserve">See </w:t>
      </w:r>
      <w:hyperlink r:id="rId120" w:history="1">
        <w:r w:rsidRPr="00B46952">
          <w:rPr>
            <w:rStyle w:val="Hyperlink"/>
            <w:rFonts w:asciiTheme="minorHAnsi" w:hAnsiTheme="minorHAnsi" w:cstheme="minorHAnsi"/>
          </w:rPr>
          <w:t>ARIN contribution</w:t>
        </w:r>
      </w:hyperlink>
      <w:r w:rsidRPr="00B46952">
        <w:rPr>
          <w:rFonts w:asciiTheme="minorHAnsi" w:hAnsiTheme="minorHAnsi" w:cstheme="minorHAnsi"/>
        </w:rPr>
        <w:t xml:space="preserve"> (22 June 2012) and </w:t>
      </w:r>
      <w:hyperlink r:id="rId121" w:history="1">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w:t>
      </w:r>
      <w:proofErr w:type="gramEnd"/>
    </w:p>
  </w:footnote>
  <w:footnote w:id="124">
    <w:p w:rsidR="00B36CCD" w:rsidRPr="00B46952" w:rsidRDefault="00B36CCD"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122"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(21 September 2012).</w:t>
      </w:r>
    </w:p>
  </w:footnote>
  <w:footnote w:id="125">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Note: According to an analysis by RIPE-NCC (Available at </w:t>
      </w:r>
      <w:hyperlink r:id="rId123" w:history="1">
        <w:r w:rsidRPr="00B46952">
          <w:rPr>
            <w:rStyle w:val="Hyperlink"/>
            <w:rFonts w:asciiTheme="minorHAnsi" w:hAnsiTheme="minorHAnsi" w:cstheme="minorHAnsi"/>
          </w:rPr>
          <w:t>https://labs.ripe.net/Members/emileaben/world-ipv6-launch-lasting-effect-on-content</w:t>
        </w:r>
      </w:hyperlink>
      <w:r w:rsidRPr="00B46952">
        <w:rPr>
          <w:rFonts w:asciiTheme="minorHAnsi" w:hAnsiTheme="minorHAnsi" w:cstheme="minorHAnsi"/>
        </w:rPr>
        <w:t xml:space="preserve">), less than 10% of top 1 million websites (as compiled by </w:t>
      </w:r>
      <w:proofErr w:type="spellStart"/>
      <w:r w:rsidRPr="00B46952">
        <w:rPr>
          <w:rFonts w:asciiTheme="minorHAnsi" w:hAnsiTheme="minorHAnsi" w:cstheme="minorHAnsi"/>
        </w:rPr>
        <w:t>Alexa</w:t>
      </w:r>
      <w:proofErr w:type="spellEnd"/>
      <w:r w:rsidRPr="00B46952">
        <w:rPr>
          <w:rFonts w:asciiTheme="minorHAnsi" w:hAnsiTheme="minorHAnsi" w:cstheme="minorHAnsi"/>
        </w:rPr>
        <w:t xml:space="preserve">) are IPv6-enabled. Many Content Delivery Networks (CDNs) enabled their networks for IPv6 before 6 June 2012 (World IPv6 Launch Day). </w:t>
      </w:r>
    </w:p>
  </w:footnote>
  <w:footnote w:id="126">
    <w:p w:rsidR="00B36CCD" w:rsidRPr="00B46952" w:rsidRDefault="00B36CCD" w:rsidP="00262200">
      <w:pPr>
        <w:pStyle w:val="FootnoteText"/>
        <w:tabs>
          <w:tab w:val="left" w:pos="284"/>
        </w:tabs>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24" w:history="1">
        <w:r w:rsidRPr="00B46952">
          <w:rPr>
            <w:rStyle w:val="Hyperlink"/>
            <w:rFonts w:asciiTheme="minorHAnsi" w:hAnsiTheme="minorHAnsi" w:cstheme="minorHAnsi"/>
          </w:rPr>
          <w:t>http://labs.apnic.net/dists/v6dcc.html</w:t>
        </w:r>
      </w:hyperlink>
      <w:r w:rsidRPr="00B46952">
        <w:rPr>
          <w:rFonts w:asciiTheme="minorHAnsi" w:hAnsiTheme="minorHAnsi" w:cstheme="minorHAnsi"/>
        </w:rPr>
        <w:t xml:space="preserve"> shows on 29 August 2012, 0.14% of Internet users are IPv6 users worldwide.</w:t>
      </w:r>
    </w:p>
  </w:footnote>
  <w:footnote w:id="127">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25" w:history="1">
        <w:proofErr w:type="gramStart"/>
        <w:r w:rsidRPr="00B46952">
          <w:rPr>
            <w:rStyle w:val="Hyperlink"/>
            <w:rFonts w:asciiTheme="minorHAnsi" w:hAnsiTheme="minorHAnsi"/>
          </w:rPr>
          <w:t>PayPal contribution</w:t>
        </w:r>
      </w:hyperlink>
      <w:r w:rsidRPr="00B46952">
        <w:rPr>
          <w:rFonts w:asciiTheme="minorHAnsi" w:hAnsiTheme="minorHAnsi"/>
        </w:rPr>
        <w:t xml:space="preserve"> (October 2012).</w:t>
      </w:r>
      <w:proofErr w:type="gramEnd"/>
    </w:p>
  </w:footnote>
  <w:footnote w:id="128">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26" w:history="1">
        <w:proofErr w:type="gramStart"/>
        <w:r w:rsidRPr="00B46952">
          <w:rPr>
            <w:rStyle w:val="Hyperlink"/>
            <w:rFonts w:asciiTheme="minorHAnsi" w:hAnsiTheme="minorHAnsi" w:cstheme="minorHAnsi"/>
          </w:rPr>
          <w:t>Cisco contribution</w:t>
        </w:r>
      </w:hyperlink>
      <w:r w:rsidRPr="00B46952">
        <w:rPr>
          <w:rFonts w:asciiTheme="minorHAnsi" w:hAnsiTheme="minorHAnsi" w:cstheme="minorHAnsi"/>
        </w:rPr>
        <w:t xml:space="preserve"> (25 June 2012), </w:t>
      </w:r>
      <w:hyperlink r:id="rId127"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 </w:t>
      </w:r>
      <w:hyperlink r:id="rId128" w:history="1">
        <w:r w:rsidRPr="00B46952">
          <w:rPr>
            <w:rStyle w:val="Hyperlink"/>
            <w:rFonts w:asciiTheme="minorHAnsi" w:hAnsiTheme="minorHAnsi" w:cstheme="minorHAnsi"/>
          </w:rPr>
          <w:t>ARIN contribution</w:t>
        </w:r>
      </w:hyperlink>
      <w:r w:rsidRPr="00B46952">
        <w:rPr>
          <w:rFonts w:asciiTheme="minorHAnsi" w:hAnsiTheme="minorHAnsi" w:cstheme="minorHAnsi"/>
        </w:rPr>
        <w:t xml:space="preserve"> (22 June 2012).</w:t>
      </w:r>
      <w:proofErr w:type="gramEnd"/>
    </w:p>
  </w:footnote>
  <w:footnote w:id="129">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29"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roofErr w:type="gramEnd"/>
    </w:p>
  </w:footnote>
  <w:footnote w:id="130">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proofErr w:type="gramStart"/>
      <w:r w:rsidRPr="00B46952">
        <w:rPr>
          <w:rFonts w:asciiTheme="minorHAnsi" w:hAnsiTheme="minorHAnsi" w:cstheme="minorHAnsi"/>
        </w:rPr>
        <w:t>ICANN contribution on the effectiveness of bottom-up policy making in IP address management.</w:t>
      </w:r>
      <w:proofErr w:type="gramEnd"/>
      <w:r w:rsidRPr="00B46952">
        <w:rPr>
          <w:rFonts w:asciiTheme="minorHAnsi" w:hAnsiTheme="minorHAnsi" w:cstheme="minorHAnsi"/>
        </w:rPr>
        <w:t xml:space="preserve"> ITU IPv6 Expert Group, June 2012.</w:t>
      </w:r>
    </w:p>
  </w:footnote>
  <w:footnote w:id="131">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30" w:history="1">
        <w:r w:rsidRPr="00B46952">
          <w:rPr>
            <w:rStyle w:val="Hyperlink"/>
            <w:rFonts w:asciiTheme="minorHAnsi" w:hAnsiTheme="minorHAnsi" w:cstheme="minorHAnsi"/>
          </w:rPr>
          <w:t>Co-chairs' report on the APNIC 29 Community Consultation: “IPv6 Address Management and ITU: Is an ‘additional parallel structure’ required</w:t>
        </w:r>
      </w:hyperlink>
      <w:r w:rsidRPr="00B46952">
        <w:rPr>
          <w:rFonts w:asciiTheme="minorHAnsi" w:hAnsiTheme="minorHAnsi" w:cstheme="minorHAnsi"/>
        </w:rPr>
        <w:t>?”</w:t>
      </w:r>
    </w:p>
  </w:footnote>
  <w:footnote w:id="132">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1" w:history="1">
        <w:proofErr w:type="gramStart"/>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roofErr w:type="gramEnd"/>
    </w:p>
  </w:footnote>
  <w:footnote w:id="133">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F91831">
        <w:rPr>
          <w:rFonts w:asciiTheme="minorHAnsi" w:hAnsiTheme="minorHAnsi"/>
        </w:rPr>
        <w:t>Stewardship and the Management of the Internet Protocol Addresses</w:t>
      </w:r>
      <w:proofErr w:type="gramStart"/>
      <w:r w:rsidRPr="00F97800">
        <w:rPr>
          <w:rFonts w:asciiTheme="minorHAnsi" w:hAnsiTheme="minorHAnsi" w:cstheme="minorHAnsi"/>
        </w:rPr>
        <w:t>,  Milton</w:t>
      </w:r>
      <w:proofErr w:type="gramEnd"/>
      <w:r w:rsidRPr="00F97800">
        <w:rPr>
          <w:rFonts w:asciiTheme="minorHAnsi" w:hAnsiTheme="minorHAnsi" w:cstheme="minorHAnsi"/>
        </w:rPr>
        <w:t xml:space="preserve"> Mueller, available at: </w:t>
      </w:r>
      <w:hyperlink r:id="rId132" w:history="1">
        <w:r w:rsidRPr="00B46952">
          <w:rPr>
            <w:rStyle w:val="Hyperlink"/>
            <w:rFonts w:asciiTheme="minorHAnsi" w:hAnsiTheme="minorHAnsi" w:cstheme="minorHAnsi"/>
          </w:rPr>
          <w:t>http://internetgovernance.org/pdf/CyberDialogue2012_Mueller.pdf</w:t>
        </w:r>
      </w:hyperlink>
      <w:r w:rsidRPr="00B46952">
        <w:rPr>
          <w:rFonts w:asciiTheme="minorHAnsi" w:hAnsiTheme="minorHAnsi" w:cstheme="minorHAnsi"/>
        </w:rPr>
        <w:t xml:space="preserve">. </w:t>
      </w:r>
    </w:p>
  </w:footnote>
  <w:footnote w:id="134">
    <w:p w:rsidR="00B36CCD" w:rsidRPr="00B46952" w:rsidRDefault="00B36CCD" w:rsidP="00262200">
      <w:pPr>
        <w:pStyle w:val="FootnoteText"/>
        <w:tabs>
          <w:tab w:val="left" w:pos="284"/>
        </w:tabs>
        <w:ind w:left="284" w:hanging="284"/>
        <w:rPr>
          <w:rFonts w:asciiTheme="minorHAnsi" w:hAnsiTheme="minorHAnsi" w:cstheme="minorHAnsi"/>
          <w:color w:val="0000FF"/>
          <w:u w:val="single"/>
        </w:rPr>
      </w:pPr>
      <w:r w:rsidRPr="00B46952">
        <w:rPr>
          <w:rFonts w:asciiTheme="minorHAnsi" w:hAnsiTheme="minorHAnsi" w:cstheme="minorHAnsi"/>
          <w:vertAlign w:val="superscript"/>
        </w:rPr>
        <w:footnoteRef/>
      </w:r>
      <w:r w:rsidRPr="00B46952">
        <w:rPr>
          <w:rFonts w:asciiTheme="minorHAnsi" w:hAnsiTheme="minorHAnsi" w:cstheme="minorHAnsi"/>
        </w:rPr>
        <w:t xml:space="preserve"> </w:t>
      </w:r>
      <w:r>
        <w:rPr>
          <w:rFonts w:asciiTheme="minorHAnsi" w:hAnsiTheme="minorHAnsi" w:cstheme="minorHAnsi"/>
        </w:rPr>
        <w:tab/>
      </w:r>
      <w:hyperlink r:id="rId133" w:history="1">
        <w:r w:rsidRPr="00B46952">
          <w:rPr>
            <w:rStyle w:val="Hyperlink"/>
            <w:rFonts w:asciiTheme="minorHAnsi" w:hAnsiTheme="minorHAnsi" w:cstheme="minorHAnsi"/>
          </w:rPr>
          <w:t>The Country Internet Registry (CIR) model</w:t>
        </w:r>
      </w:hyperlink>
      <w:r w:rsidRPr="00B46952">
        <w:rPr>
          <w:rFonts w:asciiTheme="minorHAnsi" w:hAnsiTheme="minorHAnsi" w:cstheme="minorHAnsi"/>
        </w:rPr>
        <w:t xml:space="preserve">: An alternative approach for the allocation and distribution of IPv6 Addresses. </w:t>
      </w:r>
      <w:proofErr w:type="spellStart"/>
      <w:r w:rsidRPr="00B46952">
        <w:rPr>
          <w:rFonts w:asciiTheme="minorHAnsi" w:hAnsiTheme="minorHAnsi" w:cstheme="minorHAnsi"/>
        </w:rPr>
        <w:t>Murugesan</w:t>
      </w:r>
      <w:proofErr w:type="spellEnd"/>
      <w:r w:rsidRPr="00B46952">
        <w:rPr>
          <w:rFonts w:asciiTheme="minorHAnsi" w:hAnsiTheme="minorHAnsi" w:cstheme="minorHAnsi"/>
        </w:rPr>
        <w:t xml:space="preserve"> et al. HONET'09, Proceedings of the 6th international conference on high-capacity optical networks and enabling technologies, Pages 216-</w:t>
      </w:r>
      <w:r w:rsidRPr="00B46952">
        <w:rPr>
          <w:rFonts w:asciiTheme="minorHAnsi" w:hAnsiTheme="minorHAnsi" w:cstheme="minorHAnsi"/>
          <w:color w:val="auto"/>
        </w:rPr>
        <w:t>2</w:t>
      </w:r>
      <w:r w:rsidRPr="00B46952">
        <w:rPr>
          <w:rStyle w:val="Hyperlink"/>
          <w:rFonts w:asciiTheme="minorHAnsi" w:hAnsiTheme="minorHAnsi" w:cstheme="minorHAnsi"/>
          <w:color w:val="auto"/>
          <w:u w:val="none"/>
        </w:rPr>
        <w:t>20, 2009.</w:t>
      </w:r>
    </w:p>
  </w:footnote>
  <w:footnote w:id="135">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4" w:history="1">
        <w:r w:rsidRPr="00B46952">
          <w:rPr>
            <w:rStyle w:val="Hyperlink"/>
            <w:rFonts w:asciiTheme="minorHAnsi" w:hAnsiTheme="minorHAnsi" w:cstheme="minorHAnsi"/>
          </w:rPr>
          <w:t>Report of the 4th meeting</w:t>
        </w:r>
      </w:hyperlink>
      <w:r w:rsidRPr="00B46952">
        <w:rPr>
          <w:rFonts w:asciiTheme="minorHAnsi" w:hAnsiTheme="minorHAnsi" w:cstheme="minorHAnsi"/>
        </w:rPr>
        <w:t xml:space="preserve"> of the IPv6 Group, Geneva, 12 June 2012;  Council 2012 document </w:t>
      </w:r>
      <w:hyperlink r:id="rId135" w:history="1">
        <w:r w:rsidRPr="00B46952">
          <w:rPr>
            <w:rStyle w:val="Hyperlink"/>
            <w:rFonts w:asciiTheme="minorHAnsi" w:hAnsiTheme="minorHAnsi" w:cstheme="minorHAnsi"/>
          </w:rPr>
          <w:t>C12/62</w:t>
        </w:r>
      </w:hyperlink>
      <w:r w:rsidRPr="00B46952">
        <w:rPr>
          <w:rFonts w:asciiTheme="minorHAnsi" w:hAnsiTheme="minorHAnsi" w:cstheme="minorHAnsi"/>
        </w:rPr>
        <w:t xml:space="preserve"> on the Report on the closure of the IPv6 Group.</w:t>
      </w:r>
    </w:p>
  </w:footnote>
  <w:footnote w:id="136">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6" w:history="1">
        <w:proofErr w:type="gramStart"/>
        <w:r w:rsidRPr="00B46952">
          <w:rPr>
            <w:rStyle w:val="Hyperlink"/>
            <w:rFonts w:asciiTheme="minorHAnsi" w:hAnsiTheme="minorHAnsi" w:cstheme="minorHAnsi"/>
          </w:rPr>
          <w:t>Russian contribution</w:t>
        </w:r>
      </w:hyperlink>
      <w:r w:rsidRPr="00B46952">
        <w:rPr>
          <w:rFonts w:asciiTheme="minorHAnsi" w:hAnsiTheme="minorHAnsi" w:cstheme="minorHAnsi"/>
        </w:rPr>
        <w:t xml:space="preserve"> (15 May 2012).</w:t>
      </w:r>
      <w:proofErr w:type="gramEnd"/>
      <w:r w:rsidRPr="00B46952">
        <w:rPr>
          <w:rFonts w:asciiTheme="minorHAnsi" w:hAnsiTheme="minorHAnsi" w:cstheme="minorHAnsi"/>
        </w:rPr>
        <w:t xml:space="preserve"> </w:t>
      </w:r>
      <w:hyperlink r:id="rId137" w:history="1">
        <w:proofErr w:type="gramStart"/>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roofErr w:type="gramEnd"/>
    </w:p>
  </w:footnote>
  <w:footnote w:id="137">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38"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w:t>
      </w:r>
      <w:proofErr w:type="gramStart"/>
      <w:r w:rsidRPr="00B46952">
        <w:rPr>
          <w:rFonts w:asciiTheme="minorHAnsi" w:hAnsiTheme="minorHAnsi" w:cstheme="minorHAnsi"/>
        </w:rPr>
        <w:t>June  2012</w:t>
      </w:r>
      <w:proofErr w:type="gramEnd"/>
      <w:r w:rsidRPr="00B46952">
        <w:rPr>
          <w:rFonts w:asciiTheme="minorHAnsi" w:hAnsiTheme="minorHAnsi" w:cstheme="minorHAnsi"/>
        </w:rPr>
        <w:t xml:space="preserve">) and </w:t>
      </w:r>
      <w:hyperlink r:id="rId139" w:history="1">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(21 September 2012).</w:t>
      </w:r>
    </w:p>
  </w:footnote>
  <w:footnote w:id="138">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140" w:history="1">
        <w:r w:rsidRPr="00B46952">
          <w:rPr>
            <w:rStyle w:val="Hyperlink"/>
            <w:rFonts w:asciiTheme="minorHAnsi" w:hAnsiTheme="minorHAnsi" w:cstheme="minorHAnsi"/>
          </w:rPr>
          <w:t>http://www.apnic.net/services/services-apnic-provides/resource-certification/RPKI</w:t>
        </w:r>
      </w:hyperlink>
      <w:r w:rsidRPr="00B46952">
        <w:rPr>
          <w:rFonts w:asciiTheme="minorHAnsi" w:hAnsiTheme="minorHAnsi" w:cstheme="minorHAnsi"/>
        </w:rPr>
        <w:t>.</w:t>
      </w:r>
    </w:p>
  </w:footnote>
  <w:footnote w:id="139">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ISOC RPKI White Paper: </w:t>
      </w:r>
      <w:hyperlink r:id="rId141" w:history="1">
        <w:r w:rsidRPr="00B46952">
          <w:rPr>
            <w:rStyle w:val="Hyperlink"/>
            <w:rFonts w:asciiTheme="minorHAnsi" w:hAnsiTheme="minorHAnsi"/>
          </w:rPr>
          <w:t>https://www.internetsociety.org/doc/technopolicy-primer-resource-public-key-infrastructure-rpki-0</w:t>
        </w:r>
      </w:hyperlink>
      <w:r w:rsidRPr="00B46952">
        <w:rPr>
          <w:rFonts w:asciiTheme="minorHAnsi" w:hAnsiTheme="minorHAnsi"/>
        </w:rPr>
        <w:t xml:space="preserve"> </w:t>
      </w:r>
    </w:p>
  </w:footnote>
  <w:footnote w:id="140">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proofErr w:type="gramStart"/>
      <w:r w:rsidRPr="00B46952">
        <w:rPr>
          <w:rFonts w:asciiTheme="minorHAnsi" w:hAnsiTheme="minorHAnsi"/>
        </w:rPr>
        <w:t>ISOC contribution (November 2012).</w:t>
      </w:r>
      <w:proofErr w:type="gramEnd"/>
    </w:p>
  </w:footnote>
  <w:footnote w:id="141">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Details included in </w:t>
      </w:r>
      <w:hyperlink r:id="rId142" w:history="1">
        <w:r w:rsidRPr="00B46952">
          <w:rPr>
            <w:rStyle w:val="Hyperlink"/>
            <w:rFonts w:asciiTheme="minorHAnsi" w:hAnsiTheme="minorHAnsi" w:cstheme="minorHAnsi"/>
          </w:rPr>
          <w:t xml:space="preserve">contribution from Nav6, University </w:t>
        </w:r>
        <w:proofErr w:type="spellStart"/>
        <w:r w:rsidRPr="00B46952">
          <w:rPr>
            <w:rStyle w:val="Hyperlink"/>
            <w:rFonts w:asciiTheme="minorHAnsi" w:hAnsiTheme="minorHAnsi" w:cstheme="minorHAnsi"/>
          </w:rPr>
          <w:t>Sains</w:t>
        </w:r>
        <w:proofErr w:type="spellEnd"/>
        <w:r w:rsidRPr="00B46952">
          <w:rPr>
            <w:rStyle w:val="Hyperlink"/>
            <w:rFonts w:asciiTheme="minorHAnsi" w:hAnsiTheme="minorHAnsi" w:cstheme="minorHAnsi"/>
          </w:rPr>
          <w:t xml:space="preserve"> Malaysia</w:t>
        </w:r>
      </w:hyperlink>
      <w:r w:rsidRPr="00B46952">
        <w:rPr>
          <w:rFonts w:asciiTheme="minorHAnsi" w:hAnsiTheme="minorHAnsi" w:cstheme="minorHAnsi"/>
        </w:rPr>
        <w:t>, “Resource Public Key Infrastructure (RPKI): A tradeoff between security and freedom”.</w:t>
      </w:r>
    </w:p>
  </w:footnote>
  <w:footnote w:id="142">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Ruling the Root part II: RPKI and the IP address space, available at: </w:t>
      </w:r>
      <w:hyperlink r:id="rId143" w:history="1">
        <w:r w:rsidRPr="00B46952">
          <w:rPr>
            <w:rStyle w:val="Hyperlink"/>
            <w:rFonts w:asciiTheme="minorHAnsi" w:hAnsiTheme="minorHAnsi" w:cstheme="minorHAnsi"/>
          </w:rPr>
          <w:t>http://blog.internetgovernance.org/blog/_archives/2010/3/13/4479658.html</w:t>
        </w:r>
      </w:hyperlink>
      <w:r w:rsidRPr="00B46952">
        <w:rPr>
          <w:rFonts w:asciiTheme="minorHAnsi" w:hAnsiTheme="minorHAnsi" w:cstheme="minorHAnsi"/>
        </w:rPr>
        <w:t xml:space="preserve">. </w:t>
      </w:r>
    </w:p>
  </w:footnote>
  <w:footnote w:id="143">
    <w:p w:rsidR="00B36CCD" w:rsidRPr="00B46952" w:rsidRDefault="00B36CCD" w:rsidP="00262200">
      <w:pPr>
        <w:pStyle w:val="FootnoteText"/>
        <w:tabs>
          <w:tab w:val="left" w:pos="284"/>
        </w:tabs>
        <w:ind w:left="0" w:firstLine="0"/>
        <w:rPr>
          <w:rFonts w:asciiTheme="minorHAnsi" w:hAnsiTheme="minorHAnsi" w:cstheme="minorHAnsi"/>
          <w:lang w:val="fr-CH"/>
        </w:rPr>
      </w:pPr>
      <w:r w:rsidRPr="00B46952">
        <w:rPr>
          <w:rStyle w:val="FootnoteReference"/>
          <w:rFonts w:asciiTheme="minorHAnsi" w:hAnsiTheme="minorHAnsi" w:cstheme="minorHAnsi"/>
        </w:rPr>
        <w:footnoteRef/>
      </w:r>
      <w:r w:rsidRPr="00B46952">
        <w:rPr>
          <w:rFonts w:asciiTheme="minorHAnsi" w:hAnsiTheme="minorHAnsi" w:cstheme="minorHAnsi"/>
          <w:lang w:val="fr-CH"/>
        </w:rPr>
        <w:t xml:space="preserve"> </w:t>
      </w:r>
      <w:hyperlink r:id="rId144" w:history="1">
        <w:r w:rsidRPr="00B46952">
          <w:rPr>
            <w:rStyle w:val="Hyperlink"/>
            <w:rFonts w:asciiTheme="minorHAnsi" w:hAnsiTheme="minorHAnsi" w:cstheme="minorHAnsi"/>
            <w:lang w:val="fr-CH"/>
          </w:rPr>
          <w:t>ARIN Contribution</w:t>
        </w:r>
      </w:hyperlink>
      <w:r w:rsidRPr="00B46952">
        <w:rPr>
          <w:rFonts w:asciiTheme="minorHAnsi" w:hAnsiTheme="minorHAnsi" w:cstheme="minorHAnsi"/>
          <w:lang w:val="fr-CH"/>
        </w:rPr>
        <w:t xml:space="preserve"> (22 </w:t>
      </w:r>
      <w:proofErr w:type="spellStart"/>
      <w:r w:rsidRPr="00B46952">
        <w:rPr>
          <w:rFonts w:asciiTheme="minorHAnsi" w:hAnsiTheme="minorHAnsi" w:cstheme="minorHAnsi"/>
          <w:lang w:val="fr-CH"/>
        </w:rPr>
        <w:t>June</w:t>
      </w:r>
      <w:proofErr w:type="spellEnd"/>
      <w:r w:rsidRPr="00B46952">
        <w:rPr>
          <w:rFonts w:asciiTheme="minorHAnsi" w:hAnsiTheme="minorHAnsi" w:cstheme="minorHAnsi"/>
          <w:lang w:val="fr-CH"/>
        </w:rPr>
        <w:t xml:space="preserve"> 2012); </w:t>
      </w:r>
      <w:hyperlink r:id="rId145" w:history="1">
        <w:r w:rsidRPr="00B46952">
          <w:rPr>
            <w:rStyle w:val="Hyperlink"/>
            <w:rFonts w:asciiTheme="minorHAnsi" w:hAnsiTheme="minorHAnsi" w:cstheme="minorHAnsi"/>
            <w:lang w:val="fr-CH"/>
          </w:rPr>
          <w:t>ISOC contribution</w:t>
        </w:r>
      </w:hyperlink>
      <w:r w:rsidRPr="00B46952">
        <w:rPr>
          <w:rFonts w:asciiTheme="minorHAnsi" w:hAnsiTheme="minorHAnsi" w:cstheme="minorHAnsi"/>
          <w:lang w:val="fr-CH"/>
        </w:rPr>
        <w:t xml:space="preserve"> (26 </w:t>
      </w:r>
      <w:proofErr w:type="spellStart"/>
      <w:r w:rsidRPr="00B46952">
        <w:rPr>
          <w:rFonts w:asciiTheme="minorHAnsi" w:hAnsiTheme="minorHAnsi" w:cstheme="minorHAnsi"/>
          <w:lang w:val="fr-CH"/>
        </w:rPr>
        <w:t>June</w:t>
      </w:r>
      <w:proofErr w:type="spellEnd"/>
      <w:r w:rsidRPr="00B46952">
        <w:rPr>
          <w:rFonts w:asciiTheme="minorHAnsi" w:hAnsiTheme="minorHAnsi" w:cstheme="minorHAnsi"/>
          <w:lang w:val="fr-CH"/>
        </w:rPr>
        <w:t xml:space="preserve"> 2012).</w:t>
      </w:r>
    </w:p>
  </w:footnote>
  <w:footnote w:id="144">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B46952">
        <w:rPr>
          <w:rFonts w:asciiTheme="minorHAnsi" w:hAnsiTheme="minorHAnsi" w:cstheme="minorHAnsi"/>
        </w:rPr>
        <w:t xml:space="preserve">WTDC-10 </w:t>
      </w:r>
      <w:proofErr w:type="spellStart"/>
      <w:r w:rsidRPr="00B46952">
        <w:rPr>
          <w:rFonts w:asciiTheme="minorHAnsi" w:hAnsiTheme="minorHAnsi" w:cstheme="minorHAnsi"/>
        </w:rPr>
        <w:t>Programme</w:t>
      </w:r>
      <w:proofErr w:type="spellEnd"/>
      <w:r w:rsidRPr="00B46952">
        <w:rPr>
          <w:rFonts w:asciiTheme="minorHAnsi" w:hAnsiTheme="minorHAnsi" w:cstheme="minorHAnsi"/>
        </w:rPr>
        <w:t xml:space="preserve"> 2.</w:t>
      </w:r>
      <w:proofErr w:type="gramEnd"/>
    </w:p>
  </w:footnote>
  <w:footnote w:id="145">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B46952">
        <w:rPr>
          <w:rFonts w:asciiTheme="minorHAnsi" w:hAnsiTheme="minorHAnsi" w:cstheme="minorHAnsi"/>
        </w:rPr>
        <w:t xml:space="preserve">Para 3.2., WTDC-10 </w:t>
      </w:r>
      <w:proofErr w:type="spellStart"/>
      <w:r w:rsidRPr="00B46952">
        <w:rPr>
          <w:rFonts w:asciiTheme="minorHAnsi" w:hAnsiTheme="minorHAnsi" w:cstheme="minorHAnsi"/>
        </w:rPr>
        <w:t>Programme</w:t>
      </w:r>
      <w:proofErr w:type="spellEnd"/>
      <w:r w:rsidRPr="00B46952">
        <w:rPr>
          <w:rFonts w:asciiTheme="minorHAnsi" w:hAnsiTheme="minorHAnsi" w:cstheme="minorHAnsi"/>
        </w:rPr>
        <w:t xml:space="preserve"> 2.</w:t>
      </w:r>
      <w:proofErr w:type="gramEnd"/>
    </w:p>
  </w:footnote>
  <w:footnote w:id="146">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See, for example, the </w:t>
      </w:r>
      <w:hyperlink r:id="rId146" w:history="1">
        <w:r w:rsidRPr="00B46952">
          <w:rPr>
            <w:rStyle w:val="Hyperlink"/>
            <w:rFonts w:asciiTheme="minorHAnsi" w:hAnsiTheme="minorHAnsi" w:cstheme="minorHAnsi"/>
          </w:rPr>
          <w:t>IGF workshop</w:t>
        </w:r>
      </w:hyperlink>
      <w:r w:rsidRPr="00B46952">
        <w:rPr>
          <w:rFonts w:asciiTheme="minorHAnsi" w:hAnsiTheme="minorHAnsi" w:cstheme="minorHAnsi"/>
        </w:rPr>
        <w:t xml:space="preserve"> on “Why do developing countries have a low participation in the Internet Governance Process?</w:t>
      </w:r>
      <w:proofErr w:type="gramStart"/>
      <w:r w:rsidRPr="00B46952">
        <w:rPr>
          <w:rFonts w:asciiTheme="minorHAnsi" w:hAnsiTheme="minorHAnsi" w:cstheme="minorHAnsi"/>
        </w:rPr>
        <w:t>”.</w:t>
      </w:r>
      <w:proofErr w:type="gramEnd"/>
    </w:p>
  </w:footnote>
  <w:footnote w:id="147">
    <w:p w:rsidR="00B36CCD" w:rsidRPr="00F97800" w:rsidRDefault="00B36CCD" w:rsidP="00262200">
      <w:pPr>
        <w:tabs>
          <w:tab w:val="left" w:pos="284"/>
        </w:tabs>
        <w:autoSpaceDE w:val="0"/>
        <w:autoSpaceDN w:val="0"/>
        <w:spacing w:after="0" w:line="240" w:lineRule="auto"/>
        <w:ind w:left="284" w:right="-142" w:hanging="284"/>
        <w:rPr>
          <w:sz w:val="20"/>
          <w:szCs w:val="20"/>
        </w:rPr>
      </w:pPr>
      <w:r w:rsidRPr="00F97800">
        <w:rPr>
          <w:rStyle w:val="FootnoteReference"/>
          <w:sz w:val="20"/>
          <w:szCs w:val="20"/>
        </w:rPr>
        <w:footnoteRef/>
      </w:r>
      <w:r w:rsidRPr="00F97800">
        <w:rPr>
          <w:sz w:val="20"/>
          <w:szCs w:val="20"/>
        </w:rPr>
        <w:t xml:space="preserve"> </w:t>
      </w:r>
      <w:r>
        <w:rPr>
          <w:sz w:val="20"/>
          <w:szCs w:val="20"/>
        </w:rPr>
        <w:tab/>
      </w:r>
      <w:r w:rsidRPr="00F97800">
        <w:rPr>
          <w:sz w:val="20"/>
          <w:szCs w:val="20"/>
        </w:rPr>
        <w:t xml:space="preserve">Some raise concerns regarding the </w:t>
      </w:r>
      <w:r w:rsidRPr="00F97800">
        <w:rPr>
          <w:rFonts w:eastAsia="SimSun" w:cs="Arial"/>
          <w:sz w:val="20"/>
          <w:szCs w:val="20"/>
        </w:rPr>
        <w:t xml:space="preserve">volume and degree of remote participation from developing and least developed countries, in particular, the availably of reliable telecommunication facilities to achieve that objective (see </w:t>
      </w:r>
      <w:hyperlink r:id="rId147" w:history="1">
        <w:r w:rsidRPr="00B46952">
          <w:rPr>
            <w:rStyle w:val="Hyperlink"/>
            <w:rFonts w:eastAsia="SimSun" w:cs="Arial"/>
            <w:color w:val="auto"/>
            <w:sz w:val="20"/>
            <w:szCs w:val="20"/>
          </w:rPr>
          <w:t>contribution from Iran</w:t>
        </w:r>
      </w:hyperlink>
      <w:r w:rsidRPr="00F97800">
        <w:rPr>
          <w:rFonts w:eastAsia="SimSun" w:cs="Arial"/>
          <w:sz w:val="20"/>
          <w:szCs w:val="20"/>
        </w:rPr>
        <w:t xml:space="preserve">, February 1, 2013). </w:t>
      </w:r>
    </w:p>
  </w:footnote>
  <w:footnote w:id="148">
    <w:p w:rsidR="00B36CCD" w:rsidRPr="00B46952" w:rsidRDefault="00B36CCD" w:rsidP="00262200">
      <w:pPr>
        <w:pStyle w:val="FootnoteText"/>
        <w:tabs>
          <w:tab w:val="left" w:pos="284"/>
        </w:tabs>
        <w:ind w:left="0" w:right="-142" w:firstLine="0"/>
        <w:rPr>
          <w:rFonts w:asciiTheme="minorHAnsi" w:hAnsiTheme="minorHAnsi"/>
        </w:rPr>
      </w:pPr>
      <w:r w:rsidRPr="00F97800">
        <w:rPr>
          <w:rStyle w:val="FootnoteReference"/>
          <w:rFonts w:asciiTheme="minorHAnsi" w:hAnsiTheme="minorHAnsi" w:cstheme="minorHAnsi"/>
        </w:rPr>
        <w:footnoteRef/>
      </w:r>
      <w:r w:rsidRPr="00F97800">
        <w:rPr>
          <w:rStyle w:val="FootnoteReference"/>
          <w:rFonts w:asciiTheme="minorHAnsi" w:hAnsiTheme="minorHAnsi" w:cstheme="minorHAnsi"/>
        </w:rPr>
        <w:t xml:space="preserve"> </w:t>
      </w:r>
      <w:hyperlink r:id="rId148"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149">
    <w:p w:rsidR="00B36CCD" w:rsidRPr="00B46952" w:rsidRDefault="00B36CCD" w:rsidP="00262200">
      <w:pPr>
        <w:pStyle w:val="FootnoteText"/>
        <w:tabs>
          <w:tab w:val="left" w:pos="284"/>
        </w:tabs>
        <w:ind w:left="0" w:right="-142"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149"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150">
    <w:p w:rsidR="00B36CCD" w:rsidRPr="00B46952" w:rsidRDefault="00B36CCD" w:rsidP="00262200">
      <w:pPr>
        <w:pStyle w:val="FootnoteText"/>
        <w:tabs>
          <w:tab w:val="left" w:pos="284"/>
        </w:tabs>
        <w:ind w:left="0" w:right="-142" w:firstLine="0"/>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150"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151">
    <w:p w:rsidR="00B36CCD" w:rsidRPr="00B46952" w:rsidRDefault="00B36CCD" w:rsidP="00262200">
      <w:pPr>
        <w:pStyle w:val="FootnoteText"/>
        <w:tabs>
          <w:tab w:val="left" w:pos="284"/>
        </w:tabs>
        <w:ind w:left="284" w:right="-142"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For example, ccTLD is a TLD with two characters for countries and territories based on the ISP 3166 list (i.e., “.</w:t>
      </w:r>
      <w:proofErr w:type="spellStart"/>
      <w:r w:rsidRPr="00B46952">
        <w:rPr>
          <w:rFonts w:asciiTheme="minorHAnsi" w:hAnsiTheme="minorHAnsi" w:cstheme="minorHAnsi"/>
        </w:rPr>
        <w:t>ch</w:t>
      </w:r>
      <w:proofErr w:type="spellEnd"/>
      <w:r w:rsidRPr="00B46952">
        <w:rPr>
          <w:rFonts w:asciiTheme="minorHAnsi" w:hAnsiTheme="minorHAnsi" w:cstheme="minorHAnsi"/>
        </w:rPr>
        <w:t xml:space="preserve">” for Switzerland) and so a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is a TLD which is not a ccTLD, such as “.com” or “.</w:t>
      </w:r>
      <w:proofErr w:type="spellStart"/>
      <w:r w:rsidRPr="00B46952">
        <w:rPr>
          <w:rFonts w:asciiTheme="minorHAnsi" w:hAnsiTheme="minorHAnsi" w:cstheme="minorHAnsi"/>
        </w:rPr>
        <w:t>int</w:t>
      </w:r>
      <w:proofErr w:type="spellEnd"/>
      <w:r w:rsidRPr="00B46952">
        <w:rPr>
          <w:rFonts w:asciiTheme="minorHAnsi" w:hAnsiTheme="minorHAnsi" w:cstheme="minorHAnsi"/>
        </w:rPr>
        <w:t>”.</w:t>
      </w:r>
    </w:p>
  </w:footnote>
  <w:footnote w:id="152">
    <w:p w:rsidR="00B36CCD" w:rsidRPr="00B46952" w:rsidRDefault="00B36CCD" w:rsidP="00262200">
      <w:pPr>
        <w:pStyle w:val="FootnoteText"/>
        <w:tabs>
          <w:tab w:val="left" w:pos="284"/>
        </w:tabs>
        <w:ind w:left="0" w:right="-142"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proofErr w:type="gramStart"/>
      <w:r w:rsidRPr="00B46952">
        <w:rPr>
          <w:rFonts w:asciiTheme="minorHAnsi" w:hAnsiTheme="minorHAnsi"/>
        </w:rPr>
        <w:t xml:space="preserve">About </w:t>
      </w:r>
      <w:proofErr w:type="spellStart"/>
      <w:r w:rsidRPr="00B46952">
        <w:rPr>
          <w:rFonts w:asciiTheme="minorHAnsi" w:hAnsiTheme="minorHAnsi"/>
        </w:rPr>
        <w:t>gTLDs</w:t>
      </w:r>
      <w:proofErr w:type="spellEnd"/>
      <w:r w:rsidRPr="00B46952">
        <w:rPr>
          <w:rFonts w:asciiTheme="minorHAnsi" w:hAnsiTheme="minorHAnsi"/>
        </w:rPr>
        <w:t xml:space="preserve">, ICANN, available at </w:t>
      </w:r>
      <w:hyperlink r:id="rId151" w:history="1">
        <w:r w:rsidRPr="00B46952">
          <w:rPr>
            <w:rStyle w:val="Hyperlink"/>
            <w:rFonts w:asciiTheme="minorHAnsi" w:hAnsiTheme="minorHAnsi"/>
          </w:rPr>
          <w:t>http://www.icann.org/en/resources/registries/about</w:t>
        </w:r>
      </w:hyperlink>
      <w:r w:rsidRPr="00B46952">
        <w:rPr>
          <w:rFonts w:asciiTheme="minorHAnsi" w:hAnsiTheme="minorHAnsi"/>
        </w:rPr>
        <w:t>.</w:t>
      </w:r>
      <w:proofErr w:type="gramEnd"/>
      <w:r w:rsidRPr="00B46952">
        <w:rPr>
          <w:rFonts w:asciiTheme="minorHAnsi" w:hAnsiTheme="minorHAnsi"/>
        </w:rPr>
        <w:t xml:space="preserve"> </w:t>
      </w:r>
    </w:p>
  </w:footnote>
  <w:footnote w:id="153">
    <w:p w:rsidR="00B36CCD" w:rsidRPr="00B46952" w:rsidRDefault="00B36CCD" w:rsidP="00262200">
      <w:pPr>
        <w:pStyle w:val="FootnoteText"/>
        <w:tabs>
          <w:tab w:val="left" w:pos="284"/>
        </w:tabs>
        <w:ind w:left="284" w:right="-142"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TLDs, Version 2012082101, last updated on August 22 07:07:02 2012 UTC, </w:t>
      </w:r>
      <w:hyperlink r:id="rId152" w:history="1">
        <w:r w:rsidRPr="00B46952">
          <w:rPr>
            <w:rStyle w:val="Hyperlink"/>
            <w:rFonts w:asciiTheme="minorHAnsi" w:hAnsiTheme="minorHAnsi" w:cstheme="minorHAnsi"/>
          </w:rPr>
          <w:t>http://data.iana.org/TLD/tlds-alpha-by-domain.txt</w:t>
        </w:r>
      </w:hyperlink>
      <w:r w:rsidRPr="00B46952">
        <w:rPr>
          <w:rFonts w:asciiTheme="minorHAnsi" w:hAnsiTheme="minorHAnsi" w:cstheme="minorHAnsi"/>
        </w:rPr>
        <w:t xml:space="preserve">.   </w:t>
      </w:r>
    </w:p>
  </w:footnote>
  <w:footnote w:id="154">
    <w:p w:rsidR="00B36CCD" w:rsidRPr="00B46952" w:rsidRDefault="00B36CCD" w:rsidP="00262200">
      <w:pPr>
        <w:pStyle w:val="HTMLPreformatted"/>
        <w:tabs>
          <w:tab w:val="left" w:pos="284"/>
        </w:tabs>
        <w:ind w:left="284" w:right="-142"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See IETF RFC 2916 (E.164 number and DNS); RFC 3761 (The E.164 to Uniform Resource Identifiers (URI) Dynamic Delegation Discovery System (DDDS) Application) (ENUM)</w:t>
      </w:r>
    </w:p>
  </w:footnote>
  <w:footnote w:id="155">
    <w:p w:rsidR="00B36CCD" w:rsidRPr="00B46952" w:rsidRDefault="00B36CCD" w:rsidP="00262200">
      <w:pPr>
        <w:pStyle w:val="FootnoteText"/>
        <w:tabs>
          <w:tab w:val="left" w:pos="284"/>
        </w:tabs>
        <w:ind w:left="284" w:right="-142"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More background information on ENUM is available at </w:t>
      </w:r>
      <w:hyperlink r:id="rId153" w:history="1">
        <w:r w:rsidRPr="00B46952">
          <w:rPr>
            <w:rStyle w:val="Hyperlink"/>
            <w:rFonts w:asciiTheme="minorHAnsi" w:hAnsiTheme="minorHAnsi"/>
          </w:rPr>
          <w:t>http://www.itu.int/en/ITU-T/inr/enum/Pages/default.aspx</w:t>
        </w:r>
      </w:hyperlink>
      <w:r w:rsidRPr="00B46952">
        <w:rPr>
          <w:rFonts w:asciiTheme="minorHAnsi" w:hAnsiTheme="minorHAnsi"/>
        </w:rPr>
        <w:t xml:space="preserve">; </w:t>
      </w:r>
      <w:proofErr w:type="spellStart"/>
      <w:r w:rsidRPr="00B46952">
        <w:rPr>
          <w:rFonts w:asciiTheme="minorHAnsi" w:hAnsiTheme="minorHAnsi"/>
        </w:rPr>
        <w:t>Klensin</w:t>
      </w:r>
      <w:proofErr w:type="spellEnd"/>
      <w:r w:rsidRPr="00B46952">
        <w:rPr>
          <w:rFonts w:asciiTheme="minorHAnsi" w:hAnsiTheme="minorHAnsi"/>
        </w:rPr>
        <w:t xml:space="preserve">, J., Ed., and IAB, "The History and Context of Telephone Number Mapping (ENUM) Operational Decisions: Informational Documents Contributed to ITU-T Study Group 2 (SG2)", RFC 3245, March 2002. </w:t>
      </w:r>
    </w:p>
  </w:footnote>
  <w:footnote w:id="156">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154" w:history="1">
        <w:r w:rsidRPr="00B46952">
          <w:rPr>
            <w:rStyle w:val="Hyperlink"/>
            <w:rFonts w:asciiTheme="minorHAnsi" w:hAnsiTheme="minorHAnsi"/>
          </w:rPr>
          <w:t>CISCO contribution</w:t>
        </w:r>
      </w:hyperlink>
      <w:r w:rsidRPr="00B46952">
        <w:rPr>
          <w:rFonts w:asciiTheme="minorHAnsi" w:hAnsiTheme="minorHAnsi"/>
        </w:rPr>
        <w:t xml:space="preserve"> (1 February 2013);</w:t>
      </w:r>
    </w:p>
  </w:footnote>
  <w:footnote w:id="157">
    <w:p w:rsidR="00B36CCD" w:rsidRPr="00B46952" w:rsidRDefault="00B36CCD" w:rsidP="00262200">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Pr>
          <w:rFonts w:asciiTheme="minorHAnsi" w:hAnsiTheme="minorHAnsi" w:cstheme="minorHAnsi"/>
        </w:rPr>
        <w:tab/>
      </w:r>
      <w:r w:rsidRPr="00B46952">
        <w:rPr>
          <w:rFonts w:asciiTheme="minorHAnsi" w:hAnsiTheme="minorHAnsi" w:cstheme="minorHAnsi"/>
        </w:rPr>
        <w:t xml:space="preserve">See </w:t>
      </w:r>
      <w:hyperlink r:id="rId155" w:history="1">
        <w:r w:rsidRPr="00B46952">
          <w:rPr>
            <w:rStyle w:val="Hyperlink"/>
            <w:rFonts w:asciiTheme="minorHAnsi" w:hAnsiTheme="minorHAnsi" w:cstheme="minorHAnsi"/>
          </w:rPr>
          <w:t>http://www.itu.int/en/ITU-T/inr/enum</w:t>
        </w:r>
      </w:hyperlink>
      <w:r w:rsidRPr="00B46952">
        <w:rPr>
          <w:rFonts w:asciiTheme="minorHAnsi" w:hAnsiTheme="minorHAnsi" w:cstheme="minorHAnsi"/>
        </w:rPr>
        <w:t>.</w:t>
      </w:r>
    </w:p>
  </w:footnote>
  <w:footnote w:id="158">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Fonts w:asciiTheme="minorHAnsi" w:hAnsiTheme="minorHAnsi" w:cstheme="minorHAnsi"/>
        </w:rPr>
        <w:tab/>
      </w:r>
      <w:hyperlink r:id="rId156"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 </w:t>
      </w:r>
      <w:hyperlink r:id="rId157" w:history="1">
        <w:r w:rsidRPr="00B46952">
          <w:rPr>
            <w:rStyle w:val="Hyperlink"/>
            <w:rFonts w:asciiTheme="minorHAnsi" w:hAnsiTheme="minorHAnsi" w:cstheme="minorHAnsi"/>
          </w:rPr>
          <w:t>ICANN, NRO contribution</w:t>
        </w:r>
      </w:hyperlink>
      <w:r w:rsidRPr="00B46952">
        <w:rPr>
          <w:rFonts w:asciiTheme="minorHAnsi" w:hAnsiTheme="minorHAnsi" w:cstheme="minorHAnsi"/>
        </w:rPr>
        <w:t xml:space="preserve"> (1 February 2013)</w:t>
      </w:r>
    </w:p>
  </w:footnote>
  <w:footnote w:id="159">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cstheme="minorHAnsi"/>
          <w:color w:val="auto"/>
        </w:rPr>
        <w:footnoteRef/>
      </w:r>
      <w:r>
        <w:rPr>
          <w:rStyle w:val="FootnoteReference"/>
          <w:rFonts w:asciiTheme="minorHAnsi" w:hAnsiTheme="minorHAnsi" w:cstheme="minorHAnsi"/>
          <w:color w:val="auto"/>
        </w:rPr>
        <w:tab/>
      </w:r>
      <w:hyperlink r:id="rId158"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r w:rsidRPr="00B46952">
        <w:rPr>
          <w:rFonts w:asciiTheme="minorHAnsi" w:hAnsiTheme="minorHAnsi" w:cstheme="minorHAnsi"/>
        </w:rPr>
        <w:t xml:space="preserve"> In addition, according to the NTIA, this type of change to the DNS is expected to enhance consumer trust and choice, and reinforce the global nature of the Internet: Testimony of Fiona M. Alexander, Associate Administrator, NTIA, US Department of Commerce (</w:t>
      </w:r>
      <w:proofErr w:type="spellStart"/>
      <w:r w:rsidRPr="00B46952">
        <w:rPr>
          <w:rFonts w:asciiTheme="minorHAnsi" w:hAnsiTheme="minorHAnsi" w:cstheme="minorHAnsi"/>
        </w:rPr>
        <w:t>DoC</w:t>
      </w:r>
      <w:proofErr w:type="spellEnd"/>
      <w:r w:rsidRPr="00B46952">
        <w:rPr>
          <w:rFonts w:asciiTheme="minorHAnsi" w:hAnsiTheme="minorHAnsi" w:cstheme="minorHAnsi"/>
        </w:rPr>
        <w:t xml:space="preserve">), Hearing on ICANN’s Expansion of Top Level Domains, 4 December 8, 2011; </w:t>
      </w:r>
      <w:hyperlink r:id="rId159" w:history="1">
        <w:r w:rsidRPr="00B46952">
          <w:rPr>
            <w:rStyle w:val="Hyperlink"/>
            <w:rFonts w:asciiTheme="minorHAnsi" w:hAnsiTheme="minorHAnsi" w:cstheme="minorHAnsi"/>
          </w:rPr>
          <w:t>http://www.ntia.doc.gov/speechtestimony/2011/testimony-associate-administrator-alexander-icann-s-expansion-top-level-domains</w:t>
        </w:r>
      </w:hyperlink>
      <w:r w:rsidRPr="00B46952">
        <w:rPr>
          <w:rFonts w:asciiTheme="minorHAnsi" w:hAnsiTheme="minorHAnsi" w:cstheme="minorHAnsi"/>
        </w:rPr>
        <w:t xml:space="preserve">.  </w:t>
      </w:r>
    </w:p>
  </w:footnote>
  <w:footnote w:id="160">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r>
        <w:rPr>
          <w:rFonts w:asciiTheme="minorHAnsi" w:hAnsiTheme="minorHAnsi" w:cstheme="minorHAnsi"/>
        </w:rPr>
        <w:tab/>
      </w:r>
      <w:hyperlink r:id="rId160"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161">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61" w:history="1">
        <w:r w:rsidRPr="00B46952">
          <w:rPr>
            <w:rStyle w:val="Hyperlink"/>
            <w:rFonts w:asciiTheme="minorHAnsi" w:hAnsiTheme="minorHAnsi" w:cstheme="minorHAnsi"/>
          </w:rPr>
          <w:t>Daniel L. Jaffe, Vice President, Association of National Advertisers (ANA), The US House Energy and Commerce Committee, December 14, 2011</w:t>
        </w:r>
      </w:hyperlink>
      <w:r w:rsidRPr="00B46952">
        <w:rPr>
          <w:rFonts w:asciiTheme="minorHAnsi" w:hAnsiTheme="minorHAnsi" w:cstheme="minorHAnsi"/>
        </w:rPr>
        <w:t xml:space="preserve">;  Jon </w:t>
      </w:r>
      <w:proofErr w:type="spellStart"/>
      <w:r w:rsidRPr="00B46952">
        <w:rPr>
          <w:rFonts w:asciiTheme="minorHAnsi" w:hAnsiTheme="minorHAnsi" w:cstheme="minorHAnsi"/>
        </w:rPr>
        <w:t>Leibowitz</w:t>
      </w:r>
      <w:proofErr w:type="spellEnd"/>
      <w:r w:rsidRPr="00B46952">
        <w:rPr>
          <w:rFonts w:asciiTheme="minorHAnsi" w:hAnsiTheme="minorHAnsi" w:cstheme="minorHAnsi"/>
        </w:rPr>
        <w:t xml:space="preserve">, The US Federal Trade Commission (FTC), Hearing  before the House Judiciary Subcommittee on Intellectual Property, Competition and the Internet, 7 December 2011. </w:t>
      </w:r>
    </w:p>
  </w:footnote>
  <w:footnote w:id="162">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62" w:history="1">
        <w:r w:rsidRPr="00B46952">
          <w:rPr>
            <w:rStyle w:val="Hyperlink"/>
            <w:rFonts w:asciiTheme="minorHAnsi" w:hAnsiTheme="minorHAnsi" w:cstheme="minorHAnsi"/>
          </w:rPr>
          <w:t xml:space="preserve">Consumer Protection Concerns Regarding </w:t>
        </w:r>
        <w:proofErr w:type="gramStart"/>
        <w:r w:rsidRPr="00B46952">
          <w:rPr>
            <w:rStyle w:val="Hyperlink"/>
            <w:rFonts w:asciiTheme="minorHAnsi" w:hAnsiTheme="minorHAnsi" w:cstheme="minorHAnsi"/>
          </w:rPr>
          <w:t>New</w:t>
        </w:r>
        <w:proofErr w:type="gramEnd"/>
        <w:r w:rsidRPr="00B46952">
          <w:rPr>
            <w:rStyle w:val="Hyperlink"/>
            <w:rFonts w:asciiTheme="minorHAnsi" w:hAnsiTheme="minorHAnsi" w:cstheme="minorHAnsi"/>
          </w:rPr>
          <w:t xml:space="preserve"> </w:t>
        </w:r>
        <w:proofErr w:type="spellStart"/>
        <w:r w:rsidRPr="00B46952">
          <w:rPr>
            <w:rStyle w:val="Hyperlink"/>
            <w:rFonts w:asciiTheme="minorHAnsi" w:hAnsiTheme="minorHAnsi" w:cstheme="minorHAnsi"/>
          </w:rPr>
          <w:t>gTLDs</w:t>
        </w:r>
        <w:proofErr w:type="spellEnd"/>
        <w:r w:rsidRPr="00B46952">
          <w:rPr>
            <w:rStyle w:val="Hyperlink"/>
            <w:rFonts w:asciiTheme="minorHAnsi" w:hAnsiTheme="minorHAnsi" w:cstheme="minorHAnsi"/>
          </w:rPr>
          <w:t>, the US Federal Trade Commission, December 16, 2011</w:t>
        </w:r>
      </w:hyperlink>
      <w:hyperlink r:id="rId163" w:history="1"/>
      <w:r w:rsidRPr="00F97800">
        <w:rPr>
          <w:rStyle w:val="HTMLCite"/>
          <w:rFonts w:asciiTheme="minorHAnsi" w:hAnsiTheme="minorHAnsi" w:cstheme="minorHAnsi"/>
        </w:rPr>
        <w:t xml:space="preserve">; </w:t>
      </w:r>
      <w:hyperlink r:id="rId164" w:history="1">
        <w:r w:rsidRPr="00B46952">
          <w:rPr>
            <w:rStyle w:val="Hyperlink"/>
            <w:rFonts w:asciiTheme="minorHAnsi" w:hAnsiTheme="minorHAnsi" w:cstheme="minorHAnsi"/>
          </w:rPr>
          <w:t xml:space="preserve">Concerns about the new </w:t>
        </w:r>
        <w:proofErr w:type="spellStart"/>
        <w:r w:rsidRPr="00B46952">
          <w:rPr>
            <w:rStyle w:val="Hyperlink"/>
            <w:rFonts w:asciiTheme="minorHAnsi" w:hAnsiTheme="minorHAnsi" w:cstheme="minorHAnsi"/>
          </w:rPr>
          <w:t>gTLD</w:t>
        </w:r>
        <w:proofErr w:type="spellEnd"/>
        <w:r w:rsidRPr="00B46952">
          <w:rPr>
            <w:rStyle w:val="Hyperlink"/>
            <w:rFonts w:asciiTheme="minorHAnsi" w:hAnsiTheme="minorHAnsi" w:cstheme="minorHAnsi"/>
          </w:rPr>
          <w:t xml:space="preserve"> Expansion, Congress of the United States, 7 August 2012</w:t>
        </w:r>
      </w:hyperlink>
      <w:r w:rsidRPr="00B46952">
        <w:rPr>
          <w:rFonts w:asciiTheme="minorHAnsi" w:hAnsiTheme="minorHAnsi" w:cstheme="minorHAnsi"/>
        </w:rPr>
        <w:t>.</w:t>
      </w:r>
    </w:p>
  </w:footnote>
  <w:footnote w:id="163">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65"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(1 February 2013).</w:t>
      </w:r>
      <w:proofErr w:type="gramEnd"/>
    </w:p>
  </w:footnote>
  <w:footnote w:id="164">
    <w:p w:rsidR="00B36CCD" w:rsidRPr="00F97800"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66" w:history="1">
        <w:r w:rsidRPr="00B46952">
          <w:rPr>
            <w:rStyle w:val="Hyperlink"/>
            <w:rFonts w:asciiTheme="minorHAnsi" w:hAnsiTheme="minorHAnsi"/>
          </w:rPr>
          <w:t>European Commission contribution</w:t>
        </w:r>
      </w:hyperlink>
      <w:r w:rsidRPr="00B46952">
        <w:rPr>
          <w:rFonts w:asciiTheme="minorHAnsi" w:hAnsiTheme="minorHAnsi"/>
        </w:rPr>
        <w:t xml:space="preserve"> (4 February 2013); See the GAC Communiqué,  Singapore (June 2011), </w:t>
      </w:r>
      <w:hyperlink r:id="rId167" w:history="1">
        <w:r w:rsidRPr="00F91831">
          <w:rPr>
            <w:rStyle w:val="Hyperlink"/>
            <w:rFonts w:asciiTheme="minorHAnsi" w:hAnsiTheme="minorHAnsi"/>
          </w:rPr>
          <w:t>https://gacweb.icann.org/display/gacweb/GAC41+Meeting+Singapore%2C+Republic+of+Singapore</w:t>
        </w:r>
      </w:hyperlink>
      <w:r w:rsidRPr="00F97800">
        <w:rPr>
          <w:rFonts w:asciiTheme="minorHAnsi" w:hAnsiTheme="minorHAnsi"/>
        </w:rPr>
        <w:t xml:space="preserve">  </w:t>
      </w:r>
    </w:p>
  </w:footnote>
  <w:footnote w:id="165">
    <w:p w:rsidR="00B36CCD" w:rsidRPr="00F91831" w:rsidRDefault="00B36CCD" w:rsidP="00262200">
      <w:pPr>
        <w:pStyle w:val="FootnoteText"/>
        <w:tabs>
          <w:tab w:val="left" w:pos="284"/>
        </w:tabs>
        <w:ind w:left="284" w:hanging="284"/>
        <w:rPr>
          <w:rStyle w:val="Hyperlink"/>
          <w:rFonts w:asciiTheme="minorHAnsi" w:hAnsiTheme="minorHAnsi" w:cstheme="minorHAnsi"/>
        </w:rPr>
      </w:pPr>
      <w:r w:rsidRPr="00646247">
        <w:rPr>
          <w:rStyle w:val="FootnoteReference"/>
          <w:rFonts w:asciiTheme="minorHAnsi" w:hAnsiTheme="minorHAnsi" w:cstheme="minorHAnsi"/>
        </w:rPr>
        <w:footnoteRef/>
      </w:r>
      <w:r w:rsidRPr="00646247">
        <w:rPr>
          <w:rFonts w:asciiTheme="minorHAnsi" w:hAnsiTheme="minorHAnsi" w:cstheme="minorHAnsi"/>
        </w:rPr>
        <w:t xml:space="preserve"> </w:t>
      </w:r>
      <w:r>
        <w:rPr>
          <w:rFonts w:asciiTheme="minorHAnsi" w:hAnsiTheme="minorHAnsi" w:cstheme="minorHAnsi"/>
        </w:rPr>
        <w:tab/>
      </w:r>
      <w:r w:rsidRPr="00646247">
        <w:rPr>
          <w:rFonts w:asciiTheme="minorHAnsi" w:hAnsiTheme="minorHAnsi" w:cstheme="minorHAnsi"/>
        </w:rPr>
        <w:t xml:space="preserve">During the root scaling discussion, it was agreed that ICANN would not delegate TLDs at a rate </w:t>
      </w:r>
      <w:r w:rsidRPr="00646247">
        <w:rPr>
          <w:rFonts w:asciiTheme="minorHAnsi" w:hAnsiTheme="minorHAnsi" w:cstheme="minorHAnsi"/>
          <w:color w:val="auto"/>
        </w:rPr>
        <w:t xml:space="preserve">greater than 1,000 per year. </w:t>
      </w:r>
      <w:hyperlink r:id="rId168" w:history="1">
        <w:r w:rsidRPr="00B46952">
          <w:rPr>
            <w:rStyle w:val="Hyperlink"/>
            <w:rFonts w:asciiTheme="minorHAnsi" w:hAnsiTheme="minorHAnsi" w:cstheme="minorHAnsi"/>
          </w:rPr>
          <w:t>http://newgtlds.icann.org/en/announcements-and-media/announcement-29jul12-en</w:t>
        </w:r>
      </w:hyperlink>
      <w:r w:rsidRPr="00B46952">
        <w:rPr>
          <w:rFonts w:asciiTheme="minorHAnsi" w:hAnsiTheme="minorHAnsi"/>
        </w:rPr>
        <w:t>.</w:t>
      </w:r>
      <w:r w:rsidRPr="00B46952">
        <w:rPr>
          <w:rStyle w:val="Hyperlink"/>
          <w:rFonts w:asciiTheme="minorHAnsi" w:hAnsiTheme="minorHAnsi" w:cstheme="minorHAnsi"/>
        </w:rPr>
        <w:t xml:space="preserve"> </w:t>
      </w:r>
    </w:p>
  </w:footnote>
  <w:footnote w:id="166">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169" w:history="1">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r w:rsidRPr="00B46952">
        <w:rPr>
          <w:rFonts w:asciiTheme="minorHAnsi" w:hAnsiTheme="minorHAnsi"/>
        </w:rPr>
        <w:t xml:space="preserve">ICANN staffs haves also stated that they believe the delegation rate will result in fewer than 1000 new </w:t>
      </w:r>
      <w:proofErr w:type="spellStart"/>
      <w:r w:rsidRPr="00B46952">
        <w:rPr>
          <w:rFonts w:asciiTheme="minorHAnsi" w:hAnsiTheme="minorHAnsi"/>
        </w:rPr>
        <w:t>gTLDs</w:t>
      </w:r>
      <w:proofErr w:type="spellEnd"/>
      <w:r w:rsidRPr="00B46952">
        <w:rPr>
          <w:rFonts w:asciiTheme="minorHAnsi" w:hAnsiTheme="minorHAnsi"/>
        </w:rPr>
        <w:t xml:space="preserve"> in the root per year; </w:t>
      </w:r>
      <w:hyperlink r:id="rId170" w:history="1">
        <w:r w:rsidRPr="00B46952">
          <w:rPr>
            <w:rStyle w:val="Hyperlink"/>
            <w:rFonts w:asciiTheme="minorHAnsi" w:hAnsiTheme="minorHAnsi"/>
          </w:rPr>
          <w:t>GAC-ICANN Board Meeting, ICANN 42, October 25, 2011</w:t>
        </w:r>
      </w:hyperlink>
      <w:r w:rsidRPr="00B46952">
        <w:rPr>
          <w:rFonts w:asciiTheme="minorHAnsi" w:hAnsiTheme="minorHAnsi"/>
        </w:rPr>
        <w:t xml:space="preserve">; </w:t>
      </w:r>
      <w:hyperlink r:id="rId171" w:history="1">
        <w:r w:rsidRPr="00B46952">
          <w:rPr>
            <w:rStyle w:val="Hyperlink"/>
            <w:rFonts w:asciiTheme="minorHAnsi" w:hAnsiTheme="minorHAnsi"/>
          </w:rPr>
          <w:t>GAC-ICANN Board Consultation, Root Zone Scaling, February 21, 2011</w:t>
        </w:r>
      </w:hyperlink>
      <w:r w:rsidRPr="00B46952">
        <w:rPr>
          <w:rFonts w:asciiTheme="minorHAnsi" w:hAnsiTheme="minorHAnsi"/>
        </w:rPr>
        <w:t xml:space="preserve">; </w:t>
      </w:r>
      <w:hyperlink r:id="rId172" w:history="1">
        <w:r w:rsidRPr="00B46952">
          <w:rPr>
            <w:rStyle w:val="Hyperlink"/>
            <w:rFonts w:asciiTheme="minorHAnsi" w:hAnsiTheme="minorHAnsi"/>
          </w:rPr>
          <w:t>“Scaling the Root Report on the Impact on the DNS Root System of Increasing the Size and Volatility of the Root Zone”, 31 August 2009</w:t>
        </w:r>
      </w:hyperlink>
      <w:r w:rsidRPr="00B46952">
        <w:rPr>
          <w:rFonts w:asciiTheme="minorHAnsi" w:hAnsiTheme="minorHAnsi"/>
        </w:rPr>
        <w:t xml:space="preserve">; and </w:t>
      </w:r>
      <w:hyperlink r:id="rId173" w:history="1">
        <w:r w:rsidRPr="00B46952">
          <w:rPr>
            <w:rStyle w:val="Hyperlink"/>
            <w:rFonts w:asciiTheme="minorHAnsi" w:hAnsiTheme="minorHAnsi"/>
          </w:rPr>
          <w:t>Summary of Impact of Root Zone Scaling, October 2010</w:t>
        </w:r>
      </w:hyperlink>
      <w:r w:rsidRPr="00B46952">
        <w:rPr>
          <w:rFonts w:asciiTheme="minorHAnsi" w:hAnsiTheme="minorHAnsi"/>
        </w:rPr>
        <w:t>.</w:t>
      </w:r>
    </w:p>
  </w:footnote>
  <w:footnote w:id="167">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color w:val="auto"/>
        </w:rPr>
        <w:footnoteRef/>
      </w:r>
      <w:r w:rsidRPr="00B46952">
        <w:rPr>
          <w:rFonts w:asciiTheme="minorHAnsi" w:hAnsiTheme="minorHAnsi" w:cstheme="minorHAnsi"/>
          <w:color w:val="auto"/>
        </w:rPr>
        <w:t xml:space="preserve"> </w:t>
      </w:r>
      <w:r>
        <w:rPr>
          <w:rFonts w:asciiTheme="minorHAnsi" w:hAnsiTheme="minorHAnsi" w:cstheme="minorHAnsi"/>
          <w:color w:val="auto"/>
        </w:rPr>
        <w:tab/>
      </w:r>
      <w:r w:rsidRPr="00B46952">
        <w:rPr>
          <w:rFonts w:asciiTheme="minorHAnsi" w:hAnsiTheme="minorHAnsi" w:cstheme="minorHAnsi"/>
        </w:rPr>
        <w:t xml:space="preserve">New </w:t>
      </w:r>
      <w:proofErr w:type="spellStart"/>
      <w:r w:rsidRPr="00B46952">
        <w:rPr>
          <w:rFonts w:asciiTheme="minorHAnsi" w:hAnsiTheme="minorHAnsi" w:cstheme="minorHAnsi"/>
        </w:rPr>
        <w:t>gTLDs</w:t>
      </w:r>
      <w:proofErr w:type="spellEnd"/>
      <w:r w:rsidRPr="00B46952">
        <w:rPr>
          <w:rFonts w:asciiTheme="minorHAnsi" w:hAnsiTheme="minorHAnsi" w:cstheme="minorHAnsi"/>
        </w:rPr>
        <w:t>: Competition or Concentration? Innovation or Domination</w:t>
      </w:r>
      <w:proofErr w:type="gramStart"/>
      <w:r w:rsidRPr="00B46952">
        <w:rPr>
          <w:rFonts w:asciiTheme="minorHAnsi" w:hAnsiTheme="minorHAnsi" w:cstheme="minorHAnsi"/>
        </w:rPr>
        <w:t>?,</w:t>
      </w:r>
      <w:proofErr w:type="gramEnd"/>
      <w:r w:rsidRPr="00B46952">
        <w:rPr>
          <w:rFonts w:asciiTheme="minorHAnsi" w:hAnsiTheme="minorHAnsi" w:cstheme="minorHAnsi"/>
        </w:rPr>
        <w:t xml:space="preserve"> Phil Corwin, 6 June 2012, available at: </w:t>
      </w:r>
      <w:hyperlink r:id="rId174" w:history="1">
        <w:r w:rsidRPr="00B46952">
          <w:rPr>
            <w:rStyle w:val="Hyperlink"/>
            <w:rFonts w:asciiTheme="minorHAnsi" w:hAnsiTheme="minorHAnsi" w:cstheme="minorHAnsi"/>
          </w:rPr>
          <w:t>www.domainnamenews.com/new-gtlds/new-gtlds-competition-or-concentration-innovation-or-domination/11833</w:t>
        </w:r>
      </w:hyperlink>
      <w:r w:rsidRPr="00B46952">
        <w:rPr>
          <w:rFonts w:asciiTheme="minorHAnsi" w:hAnsiTheme="minorHAnsi" w:cstheme="minorHAnsi"/>
          <w:color w:val="1F497D"/>
        </w:rPr>
        <w:t>.</w:t>
      </w:r>
    </w:p>
  </w:footnote>
  <w:footnote w:id="168">
    <w:p w:rsidR="00B36CCD" w:rsidRPr="00F97800" w:rsidRDefault="00B36CCD" w:rsidP="00262200">
      <w:pPr>
        <w:pStyle w:val="FootnoteText"/>
        <w:tabs>
          <w:tab w:val="left" w:pos="284"/>
        </w:tabs>
        <w:ind w:left="284" w:hanging="284"/>
        <w:rPr>
          <w:rFonts w:asciiTheme="minorHAnsi" w:hAnsiTheme="minorHAnsi" w:cstheme="minorHAnsi"/>
          <w:color w:val="0D0D0D" w:themeColor="text1" w:themeTint="F2"/>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Cross Ownership Issues, Letter from Lawrence </w:t>
      </w:r>
      <w:proofErr w:type="spellStart"/>
      <w:r w:rsidRPr="00B46952">
        <w:rPr>
          <w:rFonts w:asciiTheme="minorHAnsi" w:hAnsiTheme="minorHAnsi" w:cstheme="minorHAnsi"/>
        </w:rPr>
        <w:t>Strickling</w:t>
      </w:r>
      <w:proofErr w:type="spellEnd"/>
      <w:r w:rsidRPr="00B46952">
        <w:rPr>
          <w:rFonts w:asciiTheme="minorHAnsi" w:hAnsiTheme="minorHAnsi" w:cstheme="minorHAnsi"/>
        </w:rPr>
        <w:t xml:space="preserve"> (the US </w:t>
      </w:r>
      <w:proofErr w:type="spellStart"/>
      <w:r w:rsidRPr="00B46952">
        <w:rPr>
          <w:rFonts w:asciiTheme="minorHAnsi" w:hAnsiTheme="minorHAnsi" w:cstheme="minorHAnsi"/>
          <w:color w:val="0D0D0D" w:themeColor="text1" w:themeTint="F2"/>
        </w:rPr>
        <w:t>DoC</w:t>
      </w:r>
      <w:proofErr w:type="spellEnd"/>
      <w:r w:rsidRPr="00B46952">
        <w:rPr>
          <w:rFonts w:asciiTheme="minorHAnsi" w:hAnsiTheme="minorHAnsi" w:cstheme="minorHAnsi"/>
          <w:color w:val="0D0D0D" w:themeColor="text1" w:themeTint="F2"/>
        </w:rPr>
        <w:t xml:space="preserve">, NTIA) to ICANN, 16 June 2011, available at: </w:t>
      </w:r>
      <w:hyperlink r:id="rId175" w:history="1">
        <w:r w:rsidRPr="00B46952">
          <w:rPr>
            <w:rStyle w:val="Hyperlink"/>
            <w:rFonts w:asciiTheme="minorHAnsi" w:hAnsiTheme="minorHAnsi" w:cstheme="minorHAnsi"/>
            <w:color w:val="0D0D0D" w:themeColor="text1" w:themeTint="F2"/>
          </w:rPr>
          <w:t>http://www.icann.org/en/correspondence/strickling-to-dengate-thrush-16jun11-en.pdf</w:t>
        </w:r>
      </w:hyperlink>
      <w:r w:rsidRPr="00B46952">
        <w:rPr>
          <w:rFonts w:asciiTheme="minorHAnsi" w:hAnsiTheme="minorHAnsi"/>
          <w:color w:val="0D0D0D" w:themeColor="text1" w:themeTint="F2"/>
        </w:rPr>
        <w:t xml:space="preserve">; </w:t>
      </w:r>
      <w:r w:rsidRPr="00B46952">
        <w:rPr>
          <w:rFonts w:asciiTheme="minorHAnsi" w:hAnsiTheme="minorHAnsi" w:cs="Calibri"/>
          <w:color w:val="0D0D0D" w:themeColor="text1" w:themeTint="F2"/>
        </w:rPr>
        <w:t xml:space="preserve">Letter from the European Commission to ICANN, 17 June 2011,  </w:t>
      </w:r>
      <w:hyperlink r:id="rId176" w:history="1">
        <w:r w:rsidRPr="00F91831">
          <w:rPr>
            <w:rStyle w:val="Hyperlink"/>
            <w:rFonts w:asciiTheme="minorHAnsi" w:hAnsiTheme="minorHAnsi"/>
          </w:rPr>
          <w:t>http://www.icann.org/en/correspondence/eu-to-icann-17jun11-en.pdf</w:t>
        </w:r>
      </w:hyperlink>
      <w:r w:rsidRPr="00F97800">
        <w:rPr>
          <w:rFonts w:asciiTheme="minorHAnsi" w:hAnsiTheme="minorHAnsi" w:cs="Calibri"/>
          <w:color w:val="0D0D0D" w:themeColor="text1" w:themeTint="F2"/>
        </w:rPr>
        <w:t>.</w:t>
      </w:r>
    </w:p>
  </w:footnote>
  <w:footnote w:id="169">
    <w:p w:rsidR="00B36CCD" w:rsidRPr="00B46952" w:rsidRDefault="00B36CCD" w:rsidP="00262200">
      <w:pPr>
        <w:pStyle w:val="FootnoteText"/>
        <w:tabs>
          <w:tab w:val="left" w:pos="284"/>
        </w:tabs>
        <w:ind w:left="284" w:hanging="284"/>
        <w:rPr>
          <w:rFonts w:asciiTheme="minorHAnsi" w:hAnsiTheme="minorHAnsi" w:cstheme="minorHAnsi"/>
        </w:rPr>
      </w:pPr>
      <w:r w:rsidRPr="00646247">
        <w:rPr>
          <w:rStyle w:val="FootnoteReference"/>
          <w:rFonts w:asciiTheme="minorHAnsi" w:hAnsiTheme="minorHAnsi" w:cstheme="minorHAnsi"/>
          <w:color w:val="0D0D0D" w:themeColor="text1" w:themeTint="F2"/>
        </w:rPr>
        <w:footnoteRef/>
      </w:r>
      <w:r w:rsidRPr="00646247">
        <w:rPr>
          <w:rFonts w:asciiTheme="minorHAnsi" w:hAnsiTheme="minorHAnsi" w:cstheme="minorHAnsi"/>
          <w:color w:val="0D0D0D" w:themeColor="text1" w:themeTint="F2"/>
        </w:rPr>
        <w:t xml:space="preserve"> </w:t>
      </w:r>
      <w:r>
        <w:rPr>
          <w:rFonts w:asciiTheme="minorHAnsi" w:hAnsiTheme="minorHAnsi" w:cstheme="minorHAnsi"/>
          <w:color w:val="0D0D0D" w:themeColor="text1" w:themeTint="F2"/>
        </w:rPr>
        <w:tab/>
      </w:r>
      <w:r w:rsidRPr="00646247">
        <w:rPr>
          <w:rFonts w:asciiTheme="minorHAnsi" w:hAnsiTheme="minorHAnsi" w:cstheme="minorHAnsi"/>
          <w:color w:val="0D0D0D" w:themeColor="text1" w:themeTint="F2"/>
        </w:rPr>
        <w:t>Rationale for Board Decision on Economics Studies Associated with the</w:t>
      </w:r>
      <w:r w:rsidRPr="00646247">
        <w:rPr>
          <w:rFonts w:asciiTheme="minorHAnsi" w:hAnsiTheme="minorHAnsi" w:cstheme="minorHAnsi"/>
        </w:rPr>
        <w:t xml:space="preserve"> </w:t>
      </w:r>
      <w:proofErr w:type="gramStart"/>
      <w:r w:rsidRPr="00646247">
        <w:rPr>
          <w:rFonts w:asciiTheme="minorHAnsi" w:hAnsiTheme="minorHAnsi" w:cstheme="minorHAnsi"/>
        </w:rPr>
        <w:t>New</w:t>
      </w:r>
      <w:proofErr w:type="gramEnd"/>
      <w:r w:rsidRPr="00646247">
        <w:rPr>
          <w:rFonts w:asciiTheme="minorHAnsi" w:hAnsiTheme="minorHAnsi" w:cstheme="minorHAnsi"/>
        </w:rPr>
        <w:t xml:space="preserve"> </w:t>
      </w:r>
      <w:proofErr w:type="spellStart"/>
      <w:r w:rsidRPr="00646247">
        <w:rPr>
          <w:rFonts w:asciiTheme="minorHAnsi" w:hAnsiTheme="minorHAnsi" w:cstheme="minorHAnsi"/>
        </w:rPr>
        <w:t>gTLD</w:t>
      </w:r>
      <w:proofErr w:type="spellEnd"/>
      <w:r w:rsidRPr="00646247">
        <w:rPr>
          <w:rFonts w:asciiTheme="minorHAnsi" w:hAnsiTheme="minorHAnsi" w:cstheme="minorHAnsi"/>
        </w:rPr>
        <w:t xml:space="preserve"> Program, ICANN, 21 March 2011, available at: </w:t>
      </w:r>
      <w:hyperlink r:id="rId177" w:history="1">
        <w:r w:rsidRPr="00B46952">
          <w:rPr>
            <w:rStyle w:val="Hyperlink"/>
            <w:rFonts w:asciiTheme="minorHAnsi" w:hAnsiTheme="minorHAnsi" w:cstheme="minorHAnsi"/>
          </w:rPr>
          <w:t>http://www.icann.org/en/groups/board/documents/rationale-economic-studies-21mar11-en</w:t>
        </w:r>
      </w:hyperlink>
      <w:r w:rsidRPr="00B46952">
        <w:rPr>
          <w:rFonts w:asciiTheme="minorHAnsi" w:hAnsiTheme="minorHAnsi"/>
        </w:rPr>
        <w:t>.</w:t>
      </w:r>
      <w:r w:rsidRPr="00B46952">
        <w:rPr>
          <w:rFonts w:asciiTheme="minorHAnsi" w:hAnsiTheme="minorHAnsi" w:cstheme="minorHAnsi"/>
        </w:rPr>
        <w:t xml:space="preserve"> </w:t>
      </w:r>
    </w:p>
  </w:footnote>
  <w:footnote w:id="170">
    <w:p w:rsidR="00B36CCD" w:rsidRPr="00F97800" w:rsidRDefault="00B36CCD" w:rsidP="00262200">
      <w:pPr>
        <w:tabs>
          <w:tab w:val="left" w:pos="284"/>
        </w:tabs>
        <w:spacing w:after="0" w:line="240" w:lineRule="auto"/>
        <w:ind w:left="284" w:hanging="284"/>
        <w:rPr>
          <w:rStyle w:val="Hyperlink"/>
          <w:rFonts w:eastAsia="Lucida Sans Unicode" w:cstheme="minorHAnsi"/>
          <w:sz w:val="20"/>
          <w:szCs w:val="20"/>
          <w:lang w:eastAsia="en-US" w:bidi="en-US"/>
        </w:rPr>
      </w:pPr>
      <w:r w:rsidRPr="00F97800">
        <w:rPr>
          <w:rStyle w:val="FootnoteReference"/>
          <w:rFonts w:cstheme="minorHAnsi"/>
          <w:sz w:val="20"/>
          <w:szCs w:val="20"/>
        </w:rPr>
        <w:footnoteRef/>
      </w:r>
      <w:r w:rsidRPr="00F97800">
        <w:rPr>
          <w:rFonts w:cstheme="minorHAnsi"/>
          <w:sz w:val="20"/>
          <w:szCs w:val="20"/>
        </w:rPr>
        <w:t xml:space="preserve"> </w:t>
      </w:r>
      <w:r>
        <w:rPr>
          <w:rFonts w:cstheme="minorHAnsi"/>
          <w:sz w:val="20"/>
          <w:szCs w:val="20"/>
        </w:rPr>
        <w:tab/>
      </w:r>
      <w:r w:rsidRPr="00F97800">
        <w:rPr>
          <w:rFonts w:cstheme="minorHAnsi"/>
          <w:sz w:val="20"/>
          <w:szCs w:val="20"/>
        </w:rPr>
        <w:t xml:space="preserve">ICANN’s Escape from Antitrust Liability, Justin T. </w:t>
      </w:r>
      <w:proofErr w:type="spellStart"/>
      <w:r w:rsidRPr="00F97800">
        <w:rPr>
          <w:rFonts w:cstheme="minorHAnsi"/>
          <w:sz w:val="20"/>
          <w:szCs w:val="20"/>
        </w:rPr>
        <w:t>Lepp</w:t>
      </w:r>
      <w:proofErr w:type="spellEnd"/>
      <w:r w:rsidRPr="00F97800">
        <w:rPr>
          <w:rFonts w:cstheme="minorHAnsi"/>
          <w:sz w:val="20"/>
          <w:szCs w:val="20"/>
        </w:rPr>
        <w:t xml:space="preserve">, 89 Wash. U. L. Rev. 931 (2012), available at: </w:t>
      </w:r>
      <w:hyperlink r:id="rId178" w:history="1">
        <w:r w:rsidRPr="00B46952">
          <w:rPr>
            <w:rStyle w:val="Hyperlink"/>
            <w:rFonts w:eastAsia="Lucida Sans Unicode" w:cstheme="minorHAnsi"/>
            <w:sz w:val="20"/>
            <w:szCs w:val="20"/>
            <w:lang w:eastAsia="en-US" w:bidi="en-US"/>
          </w:rPr>
          <w:t>http://lawreview.wustl.edu/in-print/icanns-escape-from-antitrust-liability/</w:t>
        </w:r>
      </w:hyperlink>
      <w:r w:rsidRPr="00F97800">
        <w:rPr>
          <w:rStyle w:val="Hyperlink"/>
          <w:rFonts w:eastAsia="Lucida Sans Unicode" w:cstheme="minorHAnsi"/>
          <w:sz w:val="20"/>
          <w:szCs w:val="20"/>
          <w:lang w:eastAsia="en-US" w:bidi="en-US"/>
        </w:rPr>
        <w:t>.</w:t>
      </w:r>
    </w:p>
  </w:footnote>
  <w:footnote w:id="171">
    <w:p w:rsidR="00B36CCD" w:rsidRPr="00B46952" w:rsidRDefault="00B36CCD" w:rsidP="00262200">
      <w:pPr>
        <w:pStyle w:val="FootnoteText"/>
        <w:tabs>
          <w:tab w:val="left" w:pos="284"/>
        </w:tabs>
        <w:ind w:left="284" w:hanging="284"/>
        <w:rPr>
          <w:rFonts w:asciiTheme="minorHAnsi" w:hAnsiTheme="minorHAnsi"/>
        </w:rPr>
      </w:pPr>
      <w:r w:rsidRPr="00F97800">
        <w:rPr>
          <w:rStyle w:val="FootnoteReference"/>
          <w:rFonts w:asciiTheme="minorHAnsi" w:hAnsiTheme="minorHAnsi"/>
        </w:rPr>
        <w:footnoteRef/>
      </w:r>
      <w:r w:rsidRPr="00F97800">
        <w:rPr>
          <w:rFonts w:asciiTheme="minorHAnsi" w:hAnsiTheme="minorHAnsi"/>
        </w:rPr>
        <w:t xml:space="preserve"> </w:t>
      </w:r>
      <w:r>
        <w:rPr>
          <w:rFonts w:asciiTheme="minorHAnsi" w:hAnsiTheme="minorHAnsi"/>
        </w:rPr>
        <w:tab/>
      </w:r>
      <w:hyperlink r:id="rId179" w:history="1">
        <w:r w:rsidRPr="00B46952">
          <w:rPr>
            <w:rStyle w:val="Hyperlink"/>
            <w:rFonts w:asciiTheme="minorHAnsi" w:hAnsiTheme="minorHAnsi"/>
          </w:rPr>
          <w:t>Economic Framework for the Analysis of the Expansion of Generic Top-Level Domain Names</w:t>
        </w:r>
      </w:hyperlink>
      <w:r w:rsidRPr="00B46952">
        <w:rPr>
          <w:rFonts w:asciiTheme="minorHAnsi" w:hAnsiTheme="minorHAnsi"/>
        </w:rPr>
        <w:t xml:space="preserve"> (June 2010); </w:t>
      </w:r>
      <w:r w:rsidRPr="00B46952">
        <w:rPr>
          <w:rStyle w:val="Emphasis"/>
          <w:rFonts w:asciiTheme="minorHAnsi" w:hAnsiTheme="minorHAnsi"/>
          <w:i w:val="0"/>
          <w:iCs w:val="0"/>
        </w:rPr>
        <w:t xml:space="preserve"> </w:t>
      </w:r>
      <w:r w:rsidRPr="00B46952">
        <w:rPr>
          <w:rFonts w:asciiTheme="minorHAnsi" w:hAnsiTheme="minorHAnsi"/>
        </w:rPr>
        <w:t xml:space="preserve"> </w:t>
      </w:r>
      <w:hyperlink r:id="rId180" w:history="1">
        <w:r w:rsidRPr="00B46952">
          <w:rPr>
            <w:rStyle w:val="Emphasis"/>
            <w:rFonts w:asciiTheme="minorHAnsi" w:hAnsiTheme="minorHAnsi"/>
            <w:i w:val="0"/>
            <w:iCs w:val="0"/>
            <w:color w:val="0000FF"/>
            <w:u w:val="single"/>
          </w:rPr>
          <w:t>Economic Considerations in the Expansion of Generic Top-Level Domain Names, Phase II Report: Case Studies</w:t>
        </w:r>
        <w:r w:rsidRPr="00B46952">
          <w:rPr>
            <w:rStyle w:val="Hyperlink"/>
            <w:rFonts w:asciiTheme="minorHAnsi" w:hAnsiTheme="minorHAnsi"/>
          </w:rPr>
          <w:t xml:space="preserve"> (Phase II Report)</w:t>
        </w:r>
      </w:hyperlink>
      <w:r w:rsidRPr="00B46952">
        <w:rPr>
          <w:rFonts w:asciiTheme="minorHAnsi" w:hAnsiTheme="minorHAnsi"/>
        </w:rPr>
        <w:t xml:space="preserve">; and also see </w:t>
      </w:r>
      <w:hyperlink r:id="rId181" w:history="1">
        <w:r w:rsidRPr="00B46952">
          <w:rPr>
            <w:rStyle w:val="Hyperlink"/>
            <w:rFonts w:asciiTheme="minorHAnsi" w:hAnsiTheme="minorHAnsi"/>
          </w:rPr>
          <w:t xml:space="preserve">Rationale for Board Decision on Economic Studies Associated with the New </w:t>
        </w:r>
        <w:proofErr w:type="spellStart"/>
        <w:r w:rsidRPr="00B46952">
          <w:rPr>
            <w:rStyle w:val="Hyperlink"/>
            <w:rFonts w:asciiTheme="minorHAnsi" w:hAnsiTheme="minorHAnsi"/>
          </w:rPr>
          <w:t>gTLD</w:t>
        </w:r>
        <w:proofErr w:type="spellEnd"/>
        <w:r w:rsidRPr="00B46952">
          <w:rPr>
            <w:rStyle w:val="Hyperlink"/>
            <w:rFonts w:asciiTheme="minorHAnsi" w:hAnsiTheme="minorHAnsi"/>
          </w:rPr>
          <w:t xml:space="preserve"> Program, 21 March, 2011</w:t>
        </w:r>
      </w:hyperlink>
      <w:r w:rsidRPr="00B46952">
        <w:rPr>
          <w:rFonts w:asciiTheme="minorHAnsi" w:hAnsiTheme="minorHAnsi"/>
        </w:rPr>
        <w:t xml:space="preserve">; </w:t>
      </w:r>
      <w:r w:rsidRPr="00B46952">
        <w:rPr>
          <w:rFonts w:asciiTheme="minorHAnsi" w:hAnsiTheme="minorHAnsi" w:cs="Times New Roman"/>
        </w:rPr>
        <w:t xml:space="preserve">ICANN has now committed to further study of the impacts of the new </w:t>
      </w:r>
      <w:proofErr w:type="spellStart"/>
      <w:r w:rsidRPr="00B46952">
        <w:rPr>
          <w:rFonts w:asciiTheme="minorHAnsi" w:hAnsiTheme="minorHAnsi" w:cs="Times New Roman"/>
        </w:rPr>
        <w:t>gTLD</w:t>
      </w:r>
      <w:proofErr w:type="spellEnd"/>
      <w:r w:rsidRPr="00B46952">
        <w:rPr>
          <w:rFonts w:asciiTheme="minorHAnsi" w:hAnsiTheme="minorHAnsi" w:cs="Times New Roman"/>
        </w:rPr>
        <w:t xml:space="preserve"> program [source: </w:t>
      </w:r>
      <w:hyperlink r:id="rId182" w:history="1">
        <w:r w:rsidRPr="00B46952">
          <w:rPr>
            <w:rStyle w:val="Hyperlink"/>
            <w:rFonts w:asciiTheme="minorHAnsi" w:hAnsiTheme="minorHAnsi" w:cs="Times New Roman"/>
          </w:rPr>
          <w:t>U.S.A.</w:t>
        </w:r>
      </w:hyperlink>
      <w:r w:rsidRPr="00B46952">
        <w:rPr>
          <w:rFonts w:asciiTheme="minorHAnsi" w:hAnsiTheme="minorHAnsi" w:cs="Times New Roman"/>
        </w:rPr>
        <w:t xml:space="preserve">]. </w:t>
      </w:r>
    </w:p>
  </w:footnote>
  <w:footnote w:id="172">
    <w:p w:rsidR="00B36CCD" w:rsidRPr="00B46952" w:rsidRDefault="00B36CCD" w:rsidP="00262200">
      <w:pPr>
        <w:pStyle w:val="FootnoteText"/>
        <w:tabs>
          <w:tab w:val="left" w:pos="284"/>
        </w:tabs>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183"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173">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84" w:history="1">
        <w:proofErr w:type="gramStart"/>
        <w:r w:rsidRPr="00B46952">
          <w:rPr>
            <w:rStyle w:val="Hyperlink"/>
            <w:rFonts w:asciiTheme="minorHAnsi" w:hAnsiTheme="minorHAnsi" w:cstheme="minorHAnsi"/>
          </w:rPr>
          <w:t xml:space="preserve">Defensive Registrations for New </w:t>
        </w:r>
        <w:proofErr w:type="spellStart"/>
        <w:r w:rsidRPr="00B46952">
          <w:rPr>
            <w:rStyle w:val="Hyperlink"/>
            <w:rFonts w:asciiTheme="minorHAnsi" w:hAnsiTheme="minorHAnsi" w:cstheme="minorHAnsi"/>
          </w:rPr>
          <w:t>gTLDS</w:t>
        </w:r>
        <w:proofErr w:type="spellEnd"/>
        <w:r w:rsidRPr="00B46952">
          <w:rPr>
            <w:rStyle w:val="Hyperlink"/>
            <w:rFonts w:asciiTheme="minorHAnsi" w:hAnsiTheme="minorHAnsi" w:cstheme="minorHAnsi"/>
          </w:rPr>
          <w:t>, ANA, 7 May 2012</w:t>
        </w:r>
      </w:hyperlink>
      <w:r w:rsidRPr="00B46952">
        <w:rPr>
          <w:rFonts w:asciiTheme="minorHAnsi" w:hAnsiTheme="minorHAnsi" w:cstheme="minorHAnsi"/>
        </w:rPr>
        <w:t xml:space="preserve">; </w:t>
      </w:r>
      <w:hyperlink r:id="rId185" w:history="1">
        <w:r w:rsidRPr="00B46952">
          <w:rPr>
            <w:rStyle w:val="Hyperlink"/>
            <w:rFonts w:asciiTheme="minorHAnsi" w:hAnsiTheme="minorHAnsi" w:cstheme="minorHAnsi"/>
          </w:rPr>
          <w:t>Mallory Duncan, Vice President, National Retail Federation, 21 October 2011</w:t>
        </w:r>
      </w:hyperlink>
      <w:r w:rsidRPr="00B46952">
        <w:rPr>
          <w:rFonts w:asciiTheme="minorHAnsi" w:hAnsiTheme="minorHAnsi" w:cstheme="minorHAnsi"/>
        </w:rPr>
        <w:t>.</w:t>
      </w:r>
      <w:proofErr w:type="gramEnd"/>
      <w:r w:rsidRPr="00B46952">
        <w:rPr>
          <w:rFonts w:asciiTheme="minorHAnsi" w:hAnsiTheme="minorHAnsi" w:cstheme="minorHAnsi"/>
        </w:rPr>
        <w:t xml:space="preserve">  </w:t>
      </w:r>
    </w:p>
  </w:footnote>
  <w:footnote w:id="174">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“Why The New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Program Remains of Concern to Business, Intellectual Property Owners Association”,</w:t>
      </w:r>
      <w:hyperlink r:id="rId186" w:history="1">
        <w:r w:rsidRPr="00B46952">
          <w:rPr>
            <w:rStyle w:val="Hyperlink"/>
            <w:rFonts w:asciiTheme="minorHAnsi" w:hAnsiTheme="minorHAnsi" w:cstheme="minorHAnsi"/>
          </w:rPr>
          <w:t>www.bakerlaw.com/files/Uploads/Documents/News/Articles/INTELLECTUAL%20PROPERTY/2011/IPO_Comments_Einhorn-3-2011.pdf</w:t>
        </w:r>
      </w:hyperlink>
      <w:r w:rsidRPr="00B46952">
        <w:rPr>
          <w:rFonts w:asciiTheme="minorHAnsi" w:hAnsiTheme="minorHAnsi" w:cstheme="minorHAnsi"/>
        </w:rPr>
        <w:t xml:space="preserve">; New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and IDNs for development: Importance and Obstacles, IGF 2010 (Session 61), </w:t>
      </w:r>
      <w:hyperlink r:id="rId187" w:history="1">
        <w:r w:rsidRPr="00B46952">
          <w:rPr>
            <w:rStyle w:val="Hyperlink"/>
            <w:rFonts w:asciiTheme="minorHAnsi" w:hAnsiTheme="minorHAnsi" w:cstheme="minorHAnsi"/>
          </w:rPr>
          <w:t>www.intgovforum.org/cms/component/content/article/102-transcripts2010/634-61</w:t>
        </w:r>
      </w:hyperlink>
      <w:r w:rsidRPr="00B46952">
        <w:rPr>
          <w:rFonts w:asciiTheme="minorHAnsi" w:hAnsiTheme="minorHAnsi" w:cstheme="minorHAnsi"/>
        </w:rPr>
        <w:t xml:space="preserve">; WIPO Arbitration &amp; Mediation Center observations on ICANN’s April 2011 Discussion Draft of New </w:t>
      </w:r>
      <w:proofErr w:type="spellStart"/>
      <w:r w:rsidRPr="00B46952">
        <w:rPr>
          <w:rFonts w:asciiTheme="minorHAnsi" w:hAnsiTheme="minorHAnsi" w:cstheme="minorHAnsi"/>
        </w:rPr>
        <w:t>gTLD</w:t>
      </w:r>
      <w:proofErr w:type="spellEnd"/>
      <w:r w:rsidRPr="00B46952">
        <w:rPr>
          <w:rFonts w:asciiTheme="minorHAnsi" w:hAnsiTheme="minorHAnsi" w:cstheme="minorHAnsi"/>
        </w:rPr>
        <w:t xml:space="preserve"> Applicant Guidebook, WIPO Arbitration &amp; Mediation Center: </w:t>
      </w:r>
      <w:hyperlink r:id="rId188" w:history="1">
        <w:r w:rsidRPr="00B46952">
          <w:rPr>
            <w:rStyle w:val="Hyperlink"/>
            <w:rFonts w:asciiTheme="minorHAnsi" w:hAnsiTheme="minorHAnsi" w:cstheme="minorHAnsi"/>
          </w:rPr>
          <w:t>www.icann.org/en/correspondence/wilbers-to-beckstrom-13may11-en.pdf</w:t>
        </w:r>
      </w:hyperlink>
      <w:r w:rsidRPr="00B46952">
        <w:rPr>
          <w:rFonts w:asciiTheme="minorHAnsi" w:hAnsiTheme="minorHAnsi" w:cstheme="minorHAnsi"/>
        </w:rPr>
        <w:t xml:space="preserve">.     </w:t>
      </w:r>
    </w:p>
  </w:footnote>
  <w:footnote w:id="175">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Pr>
          <w:rFonts w:asciiTheme="minorHAnsi" w:hAnsiTheme="minorHAnsi" w:cstheme="minorHAnsi"/>
        </w:rPr>
        <w:tab/>
      </w:r>
      <w:r w:rsidRPr="00B46952">
        <w:rPr>
          <w:rStyle w:val="FootnoteReference"/>
          <w:rFonts w:asciiTheme="minorHAnsi" w:hAnsiTheme="minorHAnsi" w:cstheme="minorHAnsi"/>
        </w:rPr>
        <w:t xml:space="preserve"> </w:t>
      </w:r>
      <w:proofErr w:type="gramStart"/>
      <w:r w:rsidRPr="00B46952">
        <w:rPr>
          <w:rFonts w:asciiTheme="minorHAnsi" w:hAnsiTheme="minorHAnsi" w:cstheme="minorHAnsi"/>
        </w:rPr>
        <w:t xml:space="preserve">ICANN New </w:t>
      </w:r>
      <w:proofErr w:type="spellStart"/>
      <w:r w:rsidRPr="00B46952">
        <w:rPr>
          <w:rFonts w:asciiTheme="minorHAnsi" w:hAnsiTheme="minorHAnsi" w:cstheme="minorHAnsi"/>
        </w:rPr>
        <w:t>gTLDs</w:t>
      </w:r>
      <w:proofErr w:type="spellEnd"/>
      <w:r w:rsidRPr="00B46952">
        <w:rPr>
          <w:rFonts w:asciiTheme="minorHAnsi" w:hAnsiTheme="minorHAnsi" w:cstheme="minorHAnsi"/>
        </w:rPr>
        <w:t xml:space="preserve"> </w:t>
      </w:r>
      <w:r w:rsidRPr="00B46952">
        <w:rPr>
          <w:rFonts w:asciiTheme="minorHAnsi" w:hAnsiTheme="minorHAnsi"/>
        </w:rPr>
        <w:t xml:space="preserve">Applicant Guidebook, </w:t>
      </w:r>
      <w:hyperlink r:id="rId189" w:history="1">
        <w:r w:rsidRPr="00B46952">
          <w:rPr>
            <w:rStyle w:val="Hyperlink"/>
            <w:rFonts w:asciiTheme="minorHAnsi" w:hAnsiTheme="minorHAnsi"/>
          </w:rPr>
          <w:t>http://newgtlds.icann.org/en/applicants/agb</w:t>
        </w:r>
      </w:hyperlink>
      <w:r w:rsidRPr="00B46952">
        <w:rPr>
          <w:rFonts w:asciiTheme="minorHAnsi" w:hAnsiTheme="minorHAnsi"/>
        </w:rPr>
        <w:t>.</w:t>
      </w:r>
      <w:proofErr w:type="gramEnd"/>
      <w:r w:rsidRPr="00B46952">
        <w:rPr>
          <w:rFonts w:asciiTheme="minorHAnsi" w:hAnsiTheme="minorHAnsi"/>
        </w:rPr>
        <w:t xml:space="preserve"> </w:t>
      </w:r>
    </w:p>
  </w:footnote>
  <w:footnote w:id="176">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hyperlink r:id="rId190"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177">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91" w:history="1">
        <w:r w:rsidRPr="00B46952">
          <w:rPr>
            <w:rStyle w:val="Hyperlink"/>
            <w:rFonts w:asciiTheme="minorHAnsi" w:hAnsiTheme="minorHAnsi" w:cstheme="minorHAnsi"/>
          </w:rPr>
          <w:t xml:space="preserve">Concerns about the new </w:t>
        </w:r>
        <w:proofErr w:type="spellStart"/>
        <w:r w:rsidRPr="00B46952">
          <w:rPr>
            <w:rStyle w:val="Hyperlink"/>
            <w:rFonts w:asciiTheme="minorHAnsi" w:hAnsiTheme="minorHAnsi" w:cstheme="minorHAnsi"/>
          </w:rPr>
          <w:t>gTLD</w:t>
        </w:r>
        <w:proofErr w:type="spellEnd"/>
        <w:r w:rsidRPr="00B46952">
          <w:rPr>
            <w:rStyle w:val="Hyperlink"/>
            <w:rFonts w:asciiTheme="minorHAnsi" w:hAnsiTheme="minorHAnsi" w:cstheme="minorHAnsi"/>
          </w:rPr>
          <w:t xml:space="preserve"> Expansion, Congress of the United States,  August 7, 2012</w:t>
        </w:r>
      </w:hyperlink>
      <w:r w:rsidRPr="00B46952">
        <w:rPr>
          <w:rFonts w:asciiTheme="minorHAnsi" w:hAnsiTheme="minorHAnsi" w:cstheme="minorHAnsi"/>
        </w:rPr>
        <w:t xml:space="preserve">; </w:t>
      </w:r>
      <w:hyperlink r:id="rId192" w:history="1">
        <w:r w:rsidRPr="00B46952">
          <w:rPr>
            <w:rStyle w:val="Hyperlink"/>
            <w:rFonts w:asciiTheme="minorHAnsi" w:hAnsiTheme="minorHAnsi" w:cstheme="minorHAnsi"/>
          </w:rPr>
          <w:t xml:space="preserve">Why the New </w:t>
        </w:r>
        <w:proofErr w:type="spellStart"/>
        <w:r w:rsidRPr="00B46952">
          <w:rPr>
            <w:rStyle w:val="Hyperlink"/>
            <w:rFonts w:asciiTheme="minorHAnsi" w:hAnsiTheme="minorHAnsi" w:cstheme="minorHAnsi"/>
          </w:rPr>
          <w:t>gTLD</w:t>
        </w:r>
        <w:proofErr w:type="spellEnd"/>
        <w:r w:rsidRPr="00B46952">
          <w:rPr>
            <w:rStyle w:val="Hyperlink"/>
            <w:rFonts w:asciiTheme="minorHAnsi" w:hAnsiTheme="minorHAnsi" w:cstheme="minorHAnsi"/>
          </w:rPr>
          <w:t xml:space="preserve"> Program Remains of Concern to Businesses, Intellectual Property Owners Association (Appendix)</w:t>
        </w:r>
      </w:hyperlink>
      <w:r w:rsidRPr="00B46952">
        <w:rPr>
          <w:rFonts w:asciiTheme="minorHAnsi" w:hAnsiTheme="minorHAnsi" w:cstheme="minorHAnsi"/>
        </w:rPr>
        <w:t>.</w:t>
      </w:r>
    </w:p>
  </w:footnote>
  <w:footnote w:id="178">
    <w:p w:rsidR="00B36CCD" w:rsidRPr="00B46952" w:rsidRDefault="00B36CCD" w:rsidP="00262200">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193"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(3 February 2013).</w:t>
      </w:r>
      <w:proofErr w:type="gramEnd"/>
    </w:p>
  </w:footnote>
  <w:footnote w:id="179">
    <w:p w:rsidR="00B36CCD" w:rsidRPr="00B46952" w:rsidRDefault="00B36CCD" w:rsidP="00262200">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hyperlink r:id="rId194" w:history="1">
        <w:r w:rsidRPr="00B46952">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B46952">
        <w:rPr>
          <w:rFonts w:asciiTheme="minorHAnsi" w:hAnsiTheme="minorHAnsi" w:cstheme="minorHAnsi"/>
        </w:rPr>
        <w:t xml:space="preserve">; </w:t>
      </w:r>
      <w:hyperlink r:id="rId195" w:history="1">
        <w:r w:rsidRPr="00B46952">
          <w:rPr>
            <w:rStyle w:val="Hyperlink"/>
            <w:rFonts w:asciiTheme="minorHAnsi" w:hAnsiTheme="minorHAnsi" w:cstheme="minorHAnsi"/>
          </w:rPr>
          <w:t xml:space="preserve">Letter from T. </w:t>
        </w:r>
        <w:proofErr w:type="spellStart"/>
        <w:r w:rsidRPr="00B46952">
          <w:rPr>
            <w:rStyle w:val="Hyperlink"/>
            <w:rFonts w:asciiTheme="minorHAnsi" w:hAnsiTheme="minorHAnsi" w:cstheme="minorHAnsi"/>
          </w:rPr>
          <w:t>Stelzer</w:t>
        </w:r>
        <w:proofErr w:type="spellEnd"/>
        <w:r w:rsidRPr="00B46952">
          <w:rPr>
            <w:rStyle w:val="Hyperlink"/>
            <w:rFonts w:asciiTheme="minorHAnsi" w:hAnsiTheme="minorHAnsi" w:cstheme="minorHAnsi"/>
          </w:rPr>
          <w:t xml:space="preserve"> (Secretary of CEB) to Akram </w:t>
        </w:r>
        <w:proofErr w:type="spellStart"/>
        <w:r w:rsidRPr="00B46952">
          <w:rPr>
            <w:rStyle w:val="Hyperlink"/>
            <w:rFonts w:asciiTheme="minorHAnsi" w:hAnsiTheme="minorHAnsi" w:cstheme="minorHAnsi"/>
          </w:rPr>
          <w:t>Atallah</w:t>
        </w:r>
        <w:proofErr w:type="spellEnd"/>
        <w:r w:rsidRPr="00B46952">
          <w:rPr>
            <w:rStyle w:val="Hyperlink"/>
            <w:rFonts w:asciiTheme="minorHAnsi" w:hAnsiTheme="minorHAnsi" w:cstheme="minorHAnsi"/>
          </w:rPr>
          <w:t>, United Nations, July 11, 2012</w:t>
        </w:r>
      </w:hyperlink>
      <w:r w:rsidRPr="00B46952">
        <w:rPr>
          <w:rFonts w:asciiTheme="minorHAnsi" w:hAnsiTheme="minorHAnsi" w:cstheme="minorHAnsi"/>
        </w:rPr>
        <w:t xml:space="preserve">; </w:t>
      </w:r>
      <w:hyperlink r:id="rId196" w:history="1">
        <w:r w:rsidRPr="00B46952">
          <w:rPr>
            <w:rStyle w:val="Hyperlink"/>
            <w:rFonts w:asciiTheme="minorHAnsi" w:hAnsiTheme="minorHAnsi" w:cstheme="minorHAnsi"/>
          </w:rPr>
          <w:t xml:space="preserve">GAC Principles regarding new </w:t>
        </w:r>
        <w:proofErr w:type="spellStart"/>
        <w:r w:rsidRPr="00B46952">
          <w:rPr>
            <w:rStyle w:val="Hyperlink"/>
            <w:rFonts w:asciiTheme="minorHAnsi" w:hAnsiTheme="minorHAnsi" w:cstheme="minorHAnsi"/>
          </w:rPr>
          <w:t>gTLDs</w:t>
        </w:r>
        <w:proofErr w:type="spellEnd"/>
        <w:r w:rsidRPr="00B46952">
          <w:rPr>
            <w:rStyle w:val="Hyperlink"/>
            <w:rFonts w:asciiTheme="minorHAnsi" w:hAnsiTheme="minorHAnsi" w:cstheme="minorHAnsi"/>
          </w:rPr>
          <w:t xml:space="preserve"> (28 March 2007)</w:t>
        </w:r>
      </w:hyperlink>
      <w:r w:rsidRPr="00B46952">
        <w:rPr>
          <w:rFonts w:asciiTheme="minorHAnsi" w:hAnsiTheme="minorHAnsi" w:cstheme="minorHAnsi"/>
        </w:rPr>
        <w:t>.</w:t>
      </w:r>
    </w:p>
  </w:footnote>
  <w:footnote w:id="180">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Affirmation of Commitments (</w:t>
      </w:r>
      <w:proofErr w:type="spellStart"/>
      <w:r w:rsidRPr="00B46952">
        <w:rPr>
          <w:rFonts w:asciiTheme="minorHAnsi" w:hAnsiTheme="minorHAnsi"/>
        </w:rPr>
        <w:t>AoC</w:t>
      </w:r>
      <w:proofErr w:type="spellEnd"/>
      <w:r w:rsidRPr="00B46952">
        <w:rPr>
          <w:rFonts w:asciiTheme="minorHAnsi" w:hAnsiTheme="minorHAnsi"/>
        </w:rPr>
        <w:t>) by the U.S. Department of Commerce and ICANN</w:t>
      </w:r>
      <w:proofErr w:type="gramStart"/>
      <w:r w:rsidRPr="00B46952">
        <w:rPr>
          <w:rFonts w:asciiTheme="minorHAnsi" w:hAnsiTheme="minorHAnsi"/>
        </w:rPr>
        <w:t>,  30</w:t>
      </w:r>
      <w:proofErr w:type="gramEnd"/>
      <w:r w:rsidRPr="00B46952">
        <w:rPr>
          <w:rFonts w:asciiTheme="minorHAnsi" w:hAnsiTheme="minorHAnsi"/>
        </w:rPr>
        <w:t xml:space="preserve"> September 2009, available at: </w:t>
      </w:r>
      <w:hyperlink r:id="rId197" w:history="1">
        <w:r w:rsidRPr="00B46952">
          <w:rPr>
            <w:rStyle w:val="Hyperlink"/>
            <w:rFonts w:asciiTheme="minorHAnsi" w:hAnsiTheme="minorHAnsi"/>
          </w:rPr>
          <w:t>http://www.ntia.doc.gov/files/ntia/publications/affirmation_of_commitments_2009.pdf</w:t>
        </w:r>
      </w:hyperlink>
      <w:r w:rsidRPr="00B46952">
        <w:rPr>
          <w:rFonts w:asciiTheme="minorHAnsi" w:hAnsiTheme="minorHAnsi"/>
        </w:rPr>
        <w:t xml:space="preserve">. </w:t>
      </w:r>
    </w:p>
  </w:footnote>
  <w:footnote w:id="181">
    <w:p w:rsidR="00B36CCD" w:rsidRPr="00B46952" w:rsidRDefault="00B36CCD" w:rsidP="00FB5C79">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Affirmation of Commitments (</w:t>
      </w:r>
      <w:proofErr w:type="spellStart"/>
      <w:r w:rsidRPr="00B46952">
        <w:rPr>
          <w:rFonts w:asciiTheme="minorHAnsi" w:hAnsiTheme="minorHAnsi"/>
        </w:rPr>
        <w:t>AoC</w:t>
      </w:r>
      <w:proofErr w:type="spellEnd"/>
      <w:r w:rsidRPr="00B46952">
        <w:rPr>
          <w:rFonts w:asciiTheme="minorHAnsi" w:hAnsiTheme="minorHAnsi"/>
        </w:rPr>
        <w:t>) by the U.S. Department of Commerce and ICANN</w:t>
      </w:r>
      <w:proofErr w:type="gramStart"/>
      <w:r w:rsidRPr="00B46952">
        <w:rPr>
          <w:rFonts w:asciiTheme="minorHAnsi" w:hAnsiTheme="minorHAnsi"/>
        </w:rPr>
        <w:t>,  30</w:t>
      </w:r>
      <w:proofErr w:type="gramEnd"/>
      <w:r w:rsidRPr="00B46952">
        <w:rPr>
          <w:rFonts w:asciiTheme="minorHAnsi" w:hAnsiTheme="minorHAnsi"/>
        </w:rPr>
        <w:t xml:space="preserve"> September 2009, available at: </w:t>
      </w:r>
      <w:hyperlink r:id="rId198" w:history="1">
        <w:r w:rsidRPr="00B46952">
          <w:rPr>
            <w:rStyle w:val="Hyperlink"/>
            <w:rFonts w:asciiTheme="minorHAnsi" w:hAnsiTheme="minorHAnsi"/>
          </w:rPr>
          <w:t>http://www.ntia.doc.gov/files/ntia/publications/affirmation_of_commitments_2009.pdf</w:t>
        </w:r>
      </w:hyperlink>
      <w:r w:rsidRPr="00B46952">
        <w:rPr>
          <w:rFonts w:asciiTheme="minorHAnsi" w:hAnsiTheme="minorHAnsi"/>
        </w:rPr>
        <w:t>..</w:t>
      </w:r>
    </w:p>
  </w:footnote>
  <w:footnote w:id="182">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Affirmation of Commitments by the U.S. Department of Commerce and ICANN, 30 September 2009, available at: </w:t>
      </w:r>
      <w:hyperlink r:id="rId199" w:history="1">
        <w:r w:rsidRPr="00B46952">
          <w:rPr>
            <w:rStyle w:val="Hyperlink"/>
            <w:rFonts w:asciiTheme="minorHAnsi" w:hAnsiTheme="minorHAnsi"/>
          </w:rPr>
          <w:t>http://www.ntia.doc.gov/files/ntia/publications/affirmation_of_commitments_2009.pdf</w:t>
        </w:r>
      </w:hyperlink>
      <w:r w:rsidRPr="00B46952">
        <w:rPr>
          <w:rFonts w:asciiTheme="minorHAnsi" w:hAnsiTheme="minorHAnsi"/>
        </w:rPr>
        <w:t xml:space="preserve">. </w:t>
      </w:r>
    </w:p>
  </w:footnote>
  <w:footnote w:id="183">
    <w:p w:rsidR="00B36CCD" w:rsidRPr="00B46952" w:rsidRDefault="00B36CCD" w:rsidP="00A33E9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00"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184">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RFC1591 Domain Name System Structure and Delegation (March, 1999) introduce the ccTLD operating List by using the ISO 3166 List. “The selection of the ISO 3166 list as a basis for country code top-level domain names was made with the knowledge that ISO has a procedure for determining which entities should be and should not be on that list.” </w:t>
      </w:r>
      <w:hyperlink r:id="rId201" w:history="1">
        <w:r w:rsidRPr="00B46952">
          <w:rPr>
            <w:rStyle w:val="Hyperlink"/>
            <w:rFonts w:asciiTheme="minorHAnsi" w:hAnsiTheme="minorHAnsi"/>
          </w:rPr>
          <w:t>http://www.ietf.org/rfc/rfc1591.txt</w:t>
        </w:r>
      </w:hyperlink>
      <w:r w:rsidRPr="00B46952">
        <w:rPr>
          <w:rFonts w:asciiTheme="minorHAnsi" w:hAnsiTheme="minorHAnsi"/>
        </w:rPr>
        <w:t xml:space="preserve">; </w:t>
      </w:r>
      <w:hyperlink r:id="rId202" w:history="1">
        <w:r w:rsidRPr="00B46952">
          <w:rPr>
            <w:rStyle w:val="Hyperlink"/>
            <w:rFonts w:asciiTheme="minorHAnsi" w:hAnsiTheme="minorHAnsi"/>
          </w:rPr>
          <w:t>US Contribution</w:t>
        </w:r>
      </w:hyperlink>
      <w:r w:rsidRPr="00B46952">
        <w:rPr>
          <w:rFonts w:asciiTheme="minorHAnsi" w:hAnsiTheme="minorHAnsi"/>
        </w:rPr>
        <w:t xml:space="preserve"> (4 October 2012).</w:t>
      </w:r>
    </w:p>
  </w:footnote>
  <w:footnote w:id="185">
    <w:p w:rsidR="00B36CCD" w:rsidRPr="00B46952" w:rsidRDefault="00B36CCD" w:rsidP="00262200">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sidRPr="00B46952">
        <w:rPr>
          <w:rFonts w:asciiTheme="minorHAnsi" w:hAnsiTheme="minorHAnsi" w:cstheme="minorHAnsi"/>
        </w:rPr>
        <w:t xml:space="preserve">Understanding the ccTLD Delegation and </w:t>
      </w:r>
      <w:proofErr w:type="spellStart"/>
      <w:r w:rsidRPr="00B46952">
        <w:rPr>
          <w:rFonts w:asciiTheme="minorHAnsi" w:hAnsiTheme="minorHAnsi" w:cstheme="minorHAnsi"/>
        </w:rPr>
        <w:t>Redelegation</w:t>
      </w:r>
      <w:proofErr w:type="spellEnd"/>
      <w:r w:rsidRPr="00B46952">
        <w:rPr>
          <w:rFonts w:asciiTheme="minorHAnsi" w:hAnsiTheme="minorHAnsi" w:cstheme="minorHAnsi"/>
        </w:rPr>
        <w:t xml:space="preserve"> Procedure, IANA: </w:t>
      </w:r>
      <w:hyperlink r:id="rId203" w:history="1">
        <w:r w:rsidRPr="00B46952">
          <w:rPr>
            <w:rStyle w:val="Hyperlink"/>
            <w:rFonts w:asciiTheme="minorHAnsi" w:hAnsiTheme="minorHAnsi" w:cstheme="minorHAnsi"/>
          </w:rPr>
          <w:t>www.iana.org/domains/root/delegation-guide/</w:t>
        </w:r>
      </w:hyperlink>
      <w:r w:rsidRPr="00B46952">
        <w:rPr>
          <w:rStyle w:val="Hyperlink"/>
          <w:rFonts w:asciiTheme="minorHAnsi" w:hAnsiTheme="minorHAnsi" w:cstheme="minorHAnsi"/>
          <w:color w:val="0D0D0D" w:themeColor="text1" w:themeTint="F2"/>
          <w:u w:val="none"/>
        </w:rPr>
        <w:t xml:space="preserve">. Also note that </w:t>
      </w:r>
      <w:r w:rsidRPr="00B46952">
        <w:rPr>
          <w:rFonts w:asciiTheme="minorHAnsi" w:hAnsiTheme="minorHAnsi"/>
          <w:color w:val="0D0D0D" w:themeColor="text1" w:themeTint="F2"/>
        </w:rPr>
        <w:t>under the new IANA contract (July 2012), the IANA contractor (currently ICANN) shall apply existing policy frameworks</w:t>
      </w:r>
      <w:r w:rsidRPr="00B46952">
        <w:rPr>
          <w:rFonts w:asciiTheme="minorHAnsi" w:hAnsiTheme="minorHAnsi"/>
        </w:rPr>
        <w:t xml:space="preserve"> in processing requests related to the delegation and </w:t>
      </w:r>
      <w:proofErr w:type="spellStart"/>
      <w:r w:rsidRPr="00B46952">
        <w:rPr>
          <w:rFonts w:asciiTheme="minorHAnsi" w:hAnsiTheme="minorHAnsi"/>
        </w:rPr>
        <w:t>redelegation</w:t>
      </w:r>
      <w:proofErr w:type="spellEnd"/>
      <w:r w:rsidRPr="00B46952">
        <w:rPr>
          <w:rFonts w:asciiTheme="minorHAnsi" w:hAnsiTheme="minorHAnsi"/>
        </w:rPr>
        <w:t xml:space="preserve"> of a ccTLD, such as RFC 1591, the GAC Principles And Guidelines For The Delegation And Administration Of Country Code Top-Level Domains, and any further clarification of these policies by interested and affected parties: </w:t>
      </w:r>
      <w:hyperlink r:id="rId204" w:history="1">
        <w:r w:rsidRPr="00B46952">
          <w:rPr>
            <w:rStyle w:val="Hyperlink"/>
            <w:rFonts w:asciiTheme="minorHAnsi" w:hAnsiTheme="minorHAnsi"/>
          </w:rPr>
          <w:t>www.ntia.doc.gov/files/ntia/publications/sf_26_pg_1-2-final_award_and_sacs.pdf</w:t>
        </w:r>
      </w:hyperlink>
      <w:r w:rsidRPr="00B46952">
        <w:rPr>
          <w:rFonts w:asciiTheme="minorHAnsi" w:hAnsiTheme="minorHAnsi"/>
        </w:rPr>
        <w:t>.</w:t>
      </w:r>
    </w:p>
  </w:footnote>
  <w:footnote w:id="186">
    <w:p w:rsidR="00B36CCD" w:rsidRPr="00B46952" w:rsidRDefault="00B36CCD" w:rsidP="00EC44D8">
      <w:pPr>
        <w:pStyle w:val="FootnoteText"/>
        <w:rPr>
          <w:rFonts w:asciiTheme="minorHAnsi" w:hAnsiTheme="minorHAnsi" w:cstheme="minorHAnsi"/>
        </w:rPr>
      </w:pPr>
      <w:r w:rsidRPr="00B46952">
        <w:rPr>
          <w:rStyle w:val="FootnoteReference"/>
          <w:rFonts w:asciiTheme="minorHAnsi" w:hAnsiTheme="minorHAnsi" w:cstheme="minorHAnsi"/>
        </w:rPr>
        <w:footnoteRef/>
      </w:r>
      <w:r>
        <w:rPr>
          <w:rFonts w:asciiTheme="minorHAnsi" w:hAnsiTheme="minorHAnsi" w:cstheme="minorHAnsi"/>
        </w:rPr>
        <w:tab/>
      </w:r>
      <w:r w:rsidRPr="00B46952">
        <w:rPr>
          <w:rFonts w:asciiTheme="minorHAnsi" w:hAnsiTheme="minorHAnsi" w:cstheme="minorHAnsi"/>
        </w:rPr>
        <w:t xml:space="preserve">The </w:t>
      </w:r>
      <w:hyperlink r:id="rId205" w:history="1">
        <w:r w:rsidRPr="00B46952">
          <w:rPr>
            <w:rStyle w:val="Hyperlink"/>
            <w:rFonts w:asciiTheme="minorHAnsi" w:hAnsiTheme="minorHAnsi" w:cstheme="minorHAnsi"/>
          </w:rPr>
          <w:t>Ad Hoc Group convened by Verizon and ARIN</w:t>
        </w:r>
      </w:hyperlink>
      <w:r w:rsidRPr="00B46952">
        <w:rPr>
          <w:rFonts w:asciiTheme="minorHAnsi" w:hAnsiTheme="minorHAnsi" w:cstheme="minorHAnsi"/>
        </w:rPr>
        <w:t>, Second IEG meeting, October 2012.</w:t>
      </w:r>
    </w:p>
  </w:footnote>
  <w:footnote w:id="187">
    <w:p w:rsidR="00B36CCD" w:rsidRPr="00B46952" w:rsidRDefault="00B36CCD"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Issue Paper Selection of IDN </w:t>
      </w:r>
      <w:proofErr w:type="spellStart"/>
      <w:r w:rsidRPr="00B46952">
        <w:rPr>
          <w:rFonts w:asciiTheme="minorHAnsi" w:hAnsiTheme="minorHAnsi" w:cstheme="minorHAnsi"/>
        </w:rPr>
        <w:t>ccTLDs</w:t>
      </w:r>
      <w:proofErr w:type="spellEnd"/>
      <w:r w:rsidRPr="00B46952">
        <w:rPr>
          <w:rFonts w:asciiTheme="minorHAnsi" w:hAnsiTheme="minorHAnsi" w:cstheme="minorHAnsi"/>
        </w:rPr>
        <w:t xml:space="preserve"> associated with THE </w:t>
      </w:r>
      <w:proofErr w:type="spellStart"/>
      <w:r w:rsidRPr="00B46952">
        <w:rPr>
          <w:rFonts w:asciiTheme="minorHAnsi" w:hAnsiTheme="minorHAnsi" w:cstheme="minorHAnsi"/>
        </w:rPr>
        <w:t>iso</w:t>
      </w:r>
      <w:proofErr w:type="spellEnd"/>
      <w:r w:rsidRPr="00B46952">
        <w:rPr>
          <w:rFonts w:asciiTheme="minorHAnsi" w:hAnsiTheme="minorHAnsi" w:cstheme="minorHAnsi"/>
        </w:rPr>
        <w:t xml:space="preserve"> 3166-1 two letter codes, ICANN, 9 July 2007, at: </w:t>
      </w:r>
      <w:hyperlink r:id="rId206" w:history="1">
        <w:r w:rsidRPr="00B46952">
          <w:rPr>
            <w:rStyle w:val="Hyperlink"/>
            <w:rFonts w:asciiTheme="minorHAnsi" w:hAnsiTheme="minorHAnsi" w:cstheme="minorHAnsi"/>
          </w:rPr>
          <w:t>http://www.icann.org/en/resources/idn/ccnso-gac-idn-issues-report-09jul07-en.pdf</w:t>
        </w:r>
      </w:hyperlink>
      <w:r w:rsidRPr="00B46952">
        <w:rPr>
          <w:rFonts w:asciiTheme="minorHAnsi" w:hAnsiTheme="minorHAnsi" w:cstheme="minorHAnsi"/>
        </w:rPr>
        <w:t xml:space="preserve">.   </w:t>
      </w:r>
    </w:p>
  </w:footnote>
  <w:footnote w:id="188">
    <w:p w:rsidR="00B36CCD" w:rsidRPr="00B46952" w:rsidRDefault="00B36CCD" w:rsidP="00633409">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B46952">
        <w:rPr>
          <w:rFonts w:asciiTheme="minorHAnsi" w:hAnsiTheme="minorHAnsi" w:cstheme="minorHAnsi"/>
        </w:rPr>
        <w:t xml:space="preserve">Exceptionally reserved code elements, ISO 3166-1 decoding table, </w:t>
      </w:r>
      <w:hyperlink r:id="rId207" w:history="1">
        <w:r w:rsidRPr="00B46952">
          <w:rPr>
            <w:rStyle w:val="Hyperlink"/>
            <w:rFonts w:asciiTheme="minorHAnsi" w:hAnsiTheme="minorHAnsi" w:cstheme="minorHAnsi"/>
          </w:rPr>
          <w:t>http://www.iso.org/iso/country_codes</w:t>
        </w:r>
      </w:hyperlink>
      <w:r w:rsidRPr="00B46952">
        <w:rPr>
          <w:rFonts w:asciiTheme="minorHAnsi" w:hAnsiTheme="minorHAnsi" w:cstheme="minorHAnsi"/>
        </w:rPr>
        <w:t>.</w:t>
      </w:r>
      <w:proofErr w:type="gramEnd"/>
    </w:p>
  </w:footnote>
  <w:footnote w:id="189">
    <w:p w:rsidR="00B36CCD" w:rsidRPr="00B46952" w:rsidRDefault="00B36CCD" w:rsidP="00A33E9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08"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roofErr w:type="gramEnd"/>
    </w:p>
  </w:footnote>
  <w:footnote w:id="190">
    <w:p w:rsidR="00B36CCD" w:rsidRPr="00B46952" w:rsidRDefault="00B36CCD"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Sovereign Domains: A Declaration of Independence of </w:t>
      </w:r>
      <w:proofErr w:type="spellStart"/>
      <w:r w:rsidRPr="00B46952">
        <w:rPr>
          <w:rFonts w:asciiTheme="minorHAnsi" w:hAnsiTheme="minorHAnsi" w:cstheme="minorHAnsi"/>
        </w:rPr>
        <w:t>ccTLDs</w:t>
      </w:r>
      <w:proofErr w:type="spellEnd"/>
      <w:r w:rsidRPr="00B46952">
        <w:rPr>
          <w:rFonts w:asciiTheme="minorHAnsi" w:hAnsiTheme="minorHAnsi" w:cstheme="minorHAnsi"/>
        </w:rPr>
        <w:t xml:space="preserve"> from Foreign Control, Kim G. von </w:t>
      </w:r>
      <w:proofErr w:type="spellStart"/>
      <w:r w:rsidRPr="00B46952">
        <w:rPr>
          <w:rFonts w:asciiTheme="minorHAnsi" w:hAnsiTheme="minorHAnsi" w:cstheme="minorHAnsi"/>
        </w:rPr>
        <w:t>Arx</w:t>
      </w:r>
      <w:proofErr w:type="spellEnd"/>
      <w:r w:rsidRPr="00B46952">
        <w:rPr>
          <w:rFonts w:asciiTheme="minorHAnsi" w:hAnsiTheme="minorHAnsi" w:cstheme="minorHAnsi"/>
        </w:rPr>
        <w:t xml:space="preserve"> and Gregory R. Hagen, 9 RICH. J.L. &amp; TECH. 4 (Fall 2002) at </w:t>
      </w:r>
      <w:hyperlink r:id="rId209" w:anchor="_edn87" w:history="1">
        <w:r w:rsidRPr="00B46952">
          <w:rPr>
            <w:rStyle w:val="Hyperlink"/>
            <w:rFonts w:asciiTheme="minorHAnsi" w:hAnsiTheme="minorHAnsi" w:cstheme="minorHAnsi"/>
          </w:rPr>
          <w:t>http://jolt.richmond.edu/v9i1/article4.html#_edn87</w:t>
        </w:r>
      </w:hyperlink>
      <w:r w:rsidRPr="00B46952">
        <w:rPr>
          <w:rFonts w:asciiTheme="minorHAnsi" w:hAnsiTheme="minorHAnsi" w:cstheme="minorHAnsi"/>
        </w:rPr>
        <w:t xml:space="preserve">; The National ccTLD Disputes: Between State actors and non-state actors, Y. J. Park, International Journal of Communications Law &amp; Policy, Winter 2009, </w:t>
      </w:r>
      <w:hyperlink r:id="rId210" w:history="1">
        <w:r w:rsidRPr="00B46952">
          <w:rPr>
            <w:rStyle w:val="Hyperlink"/>
            <w:rFonts w:asciiTheme="minorHAnsi" w:hAnsiTheme="minorHAnsi" w:cstheme="minorHAnsi"/>
          </w:rPr>
          <w:t>http://ijclp.net/files/ijclp_web-doc_10-13-2009.pdf</w:t>
        </w:r>
      </w:hyperlink>
      <w:r w:rsidRPr="00B46952">
        <w:rPr>
          <w:rFonts w:asciiTheme="minorHAnsi" w:hAnsiTheme="minorHAnsi" w:cstheme="minorHAnsi"/>
        </w:rPr>
        <w:t>.</w:t>
      </w:r>
    </w:p>
  </w:footnote>
  <w:footnote w:id="191">
    <w:p w:rsidR="00B36CCD" w:rsidRPr="00B46952" w:rsidRDefault="00B36CCD"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IANA Report on the </w:t>
      </w:r>
      <w:proofErr w:type="spellStart"/>
      <w:r w:rsidRPr="00B46952">
        <w:rPr>
          <w:rFonts w:asciiTheme="minorHAnsi" w:hAnsiTheme="minorHAnsi" w:cstheme="minorHAnsi"/>
        </w:rPr>
        <w:t>Redelegation</w:t>
      </w:r>
      <w:proofErr w:type="spellEnd"/>
      <w:r w:rsidRPr="00B46952">
        <w:rPr>
          <w:rFonts w:asciiTheme="minorHAnsi" w:hAnsiTheme="minorHAnsi" w:cstheme="minorHAnsi"/>
        </w:rPr>
        <w:t xml:space="preserve"> of the .SO Top-Level Domain</w:t>
      </w:r>
      <w:proofErr w:type="gramStart"/>
      <w:r w:rsidRPr="00B46952">
        <w:rPr>
          <w:rFonts w:asciiTheme="minorHAnsi" w:hAnsiTheme="minorHAnsi" w:cstheme="minorHAnsi"/>
        </w:rPr>
        <w:t xml:space="preserve">,  </w:t>
      </w:r>
      <w:proofErr w:type="gramEnd"/>
      <w:r>
        <w:fldChar w:fldCharType="begin"/>
      </w:r>
      <w:r>
        <w:instrText xml:space="preserve"> HYPERLINK "http://www.iana.org/reports/2009/so-report-03feb2009.html" </w:instrText>
      </w:r>
      <w:r>
        <w:fldChar w:fldCharType="separate"/>
      </w:r>
      <w:r w:rsidRPr="00B46952">
        <w:rPr>
          <w:rStyle w:val="Hyperlink"/>
          <w:rFonts w:asciiTheme="minorHAnsi" w:hAnsiTheme="minorHAnsi" w:cstheme="minorHAnsi"/>
        </w:rPr>
        <w:t>http://www.iana.org/reports/2009/so-report-03feb2009.html</w:t>
      </w:r>
      <w:r>
        <w:rPr>
          <w:rStyle w:val="Hyperlink"/>
          <w:rFonts w:asciiTheme="minorHAnsi" w:hAnsiTheme="minorHAnsi" w:cstheme="minorHAnsi"/>
        </w:rPr>
        <w:fldChar w:fldCharType="end"/>
      </w:r>
      <w:r w:rsidRPr="00B46952">
        <w:rPr>
          <w:rFonts w:asciiTheme="minorHAnsi" w:hAnsiTheme="minorHAnsi" w:cstheme="minorHAnsi"/>
        </w:rPr>
        <w:t>.</w:t>
      </w:r>
    </w:p>
  </w:footnote>
  <w:footnote w:id="192">
    <w:p w:rsidR="00B36CCD" w:rsidRPr="00B46952" w:rsidRDefault="00B36CCD" w:rsidP="00A33E9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B46952">
        <w:rPr>
          <w:rFonts w:asciiTheme="minorHAnsi" w:hAnsiTheme="minorHAnsi" w:cstheme="minorHAnsi"/>
        </w:rPr>
        <w:t>Resolution 102 (Rev. Guadalajara, 2010).</w:t>
      </w:r>
      <w:proofErr w:type="gramEnd"/>
      <w:r w:rsidRPr="00B46952">
        <w:rPr>
          <w:rFonts w:asciiTheme="minorHAnsi" w:hAnsiTheme="minorHAnsi" w:cstheme="minorHAnsi"/>
        </w:rPr>
        <w:t xml:space="preserve"> </w:t>
      </w:r>
    </w:p>
  </w:footnote>
  <w:footnote w:id="193">
    <w:p w:rsidR="00B36CCD" w:rsidRPr="00B46952" w:rsidRDefault="00B36CCD" w:rsidP="006216D7">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sidRPr="00B46952">
        <w:rPr>
          <w:rFonts w:asciiTheme="minorHAnsi" w:hAnsiTheme="minorHAnsi" w:cstheme="minorHAnsi"/>
        </w:rPr>
        <w:t xml:space="preserve">The </w:t>
      </w:r>
      <w:hyperlink r:id="rId211" w:history="1">
        <w:r w:rsidRPr="00B46952">
          <w:rPr>
            <w:rStyle w:val="Hyperlink"/>
            <w:rFonts w:asciiTheme="minorHAnsi" w:hAnsiTheme="minorHAnsi" w:cstheme="minorHAnsi"/>
          </w:rPr>
          <w:t>Ad Hoc Group convened by Verizon and ARIN</w:t>
        </w:r>
      </w:hyperlink>
      <w:r w:rsidRPr="00B46952">
        <w:rPr>
          <w:rFonts w:asciiTheme="minorHAnsi" w:hAnsiTheme="minorHAnsi" w:cstheme="minorHAnsi"/>
        </w:rPr>
        <w:t>, Second IEG meeting, October 2012.</w:t>
      </w:r>
    </w:p>
  </w:footnote>
  <w:footnote w:id="194">
    <w:p w:rsidR="00B36CCD" w:rsidRPr="00B46952"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12" w:history="1">
        <w:r w:rsidRPr="00B46952">
          <w:rPr>
            <w:rStyle w:val="Hyperlink"/>
            <w:rFonts w:asciiTheme="minorHAnsi" w:hAnsiTheme="minorHAnsi"/>
          </w:rPr>
          <w:t>U.S.A. contribution</w:t>
        </w:r>
      </w:hyperlink>
      <w:r w:rsidRPr="00B46952">
        <w:rPr>
          <w:rFonts w:asciiTheme="minorHAnsi" w:hAnsiTheme="minorHAnsi"/>
        </w:rPr>
        <w:t xml:space="preserve"> (1 February 2013)</w:t>
      </w:r>
    </w:p>
  </w:footnote>
  <w:footnote w:id="195">
    <w:p w:rsidR="00B36CCD" w:rsidRPr="00B46952" w:rsidRDefault="00B36CCD">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213"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196">
    <w:p w:rsidR="00B36CCD" w:rsidRPr="00B46952"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14" w:history="1">
        <w:r w:rsidRPr="00B46952">
          <w:rPr>
            <w:rStyle w:val="Hyperlink"/>
            <w:rFonts w:asciiTheme="minorHAnsi" w:hAnsiTheme="minorHAnsi"/>
          </w:rPr>
          <w:t>Telecom Italia contribution</w:t>
        </w:r>
      </w:hyperlink>
      <w:r w:rsidRPr="00B46952">
        <w:rPr>
          <w:rFonts w:asciiTheme="minorHAnsi" w:hAnsiTheme="minorHAnsi"/>
        </w:rPr>
        <w:t xml:space="preserve"> (1 February, 2013)</w:t>
      </w:r>
    </w:p>
  </w:footnote>
  <w:footnote w:id="197">
    <w:p w:rsidR="00B36CCD" w:rsidRPr="00B46952" w:rsidRDefault="00B36CCD" w:rsidP="00B26CC5">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DNSSEC Protocol RFC (IETF): RFC 4033, RFC 4034, and RFC 4035.</w:t>
      </w:r>
    </w:p>
  </w:footnote>
  <w:footnote w:id="198">
    <w:p w:rsidR="00B36CCD" w:rsidRPr="00B46952" w:rsidRDefault="00B36CCD" w:rsidP="00247553">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r>
        <w:rPr>
          <w:rFonts w:asciiTheme="minorHAnsi" w:hAnsiTheme="minorHAnsi"/>
        </w:rPr>
        <w:tab/>
      </w:r>
      <w:hyperlink r:id="rId215"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199">
    <w:p w:rsidR="00B36CCD" w:rsidRPr="00B46952" w:rsidRDefault="00B36CCD"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See more, Results of the DNSSEC survey conducted by </w:t>
      </w:r>
      <w:proofErr w:type="spellStart"/>
      <w:r w:rsidRPr="00B46952">
        <w:rPr>
          <w:rFonts w:asciiTheme="minorHAnsi" w:hAnsiTheme="minorHAnsi" w:cstheme="minorHAnsi"/>
        </w:rPr>
        <w:t>ccNSO</w:t>
      </w:r>
      <w:proofErr w:type="spellEnd"/>
      <w:r w:rsidRPr="00B46952">
        <w:rPr>
          <w:rFonts w:asciiTheme="minorHAnsi" w:hAnsiTheme="minorHAnsi" w:cstheme="minorHAnsi"/>
        </w:rPr>
        <w:t xml:space="preserve"> Secretariat (first conducted in 2007, then re-launched in 2009). All ccTLD operators were invited to participate (for details see ICANN Policy Update | Volume 09, Issue 07 – July 2009 - </w:t>
      </w:r>
      <w:hyperlink r:id="rId216" w:history="1">
        <w:r w:rsidRPr="00B46952">
          <w:rPr>
            <w:rStyle w:val="Hyperlink"/>
            <w:rFonts w:asciiTheme="minorHAnsi" w:hAnsiTheme="minorHAnsi" w:cstheme="minorHAnsi"/>
          </w:rPr>
          <w:t>http://www.icann.org/en/resources/policy/update/update-jul09-en.htm</w:t>
        </w:r>
      </w:hyperlink>
      <w:r w:rsidRPr="00B46952">
        <w:rPr>
          <w:rStyle w:val="Hyperlink"/>
          <w:rFonts w:asciiTheme="minorHAnsi" w:hAnsiTheme="minorHAnsi" w:cstheme="minorHAnsi"/>
        </w:rPr>
        <w:t>)</w:t>
      </w:r>
    </w:p>
  </w:footnote>
  <w:footnote w:id="200">
    <w:p w:rsidR="00B36CCD" w:rsidRPr="00B46952" w:rsidRDefault="00B36CCD" w:rsidP="00B26CC5">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17" w:history="1">
        <w:r w:rsidRPr="00B46952">
          <w:rPr>
            <w:rStyle w:val="Hyperlink"/>
            <w:rFonts w:asciiTheme="minorHAnsi" w:hAnsiTheme="minorHAnsi" w:cstheme="minorHAnsi"/>
          </w:rPr>
          <w:t>http://www.internetgovernance.org/2008/02/15/eeny-meeny-miny-moe-will-verisign-control-the-root/</w:t>
        </w:r>
      </w:hyperlink>
      <w:r w:rsidRPr="00B46952">
        <w:rPr>
          <w:rFonts w:asciiTheme="minorHAnsi" w:hAnsiTheme="minorHAnsi" w:cstheme="minorHAnsi"/>
        </w:rPr>
        <w:t>.</w:t>
      </w:r>
    </w:p>
  </w:footnote>
  <w:footnote w:id="201">
    <w:p w:rsidR="00B36CCD" w:rsidRPr="00B46952" w:rsidRDefault="00B36CCD"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18" w:history="1">
        <w:r w:rsidRPr="00B46952">
          <w:rPr>
            <w:rStyle w:val="Hyperlink"/>
            <w:rFonts w:asciiTheme="minorHAnsi" w:hAnsiTheme="minorHAnsi" w:cstheme="minorHAnsi"/>
          </w:rPr>
          <w:t>http://www.internetgovernance.org/2009/06/12/former-principal-scientist-at-verisign-blasts-us-control-of-dnssec-root-signing/</w:t>
        </w:r>
      </w:hyperlink>
      <w:r w:rsidRPr="00B46952">
        <w:rPr>
          <w:rFonts w:asciiTheme="minorHAnsi" w:hAnsiTheme="minorHAnsi" w:cstheme="minorHAnsi"/>
        </w:rPr>
        <w:t>.</w:t>
      </w:r>
    </w:p>
  </w:footnote>
  <w:footnote w:id="202">
    <w:p w:rsidR="00B36CCD" w:rsidRPr="00B46952" w:rsidRDefault="00B36CCD" w:rsidP="00241A75">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19"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 </w:t>
      </w:r>
      <w:hyperlink r:id="rId220" w:history="1">
        <w:r w:rsidRPr="00B46952">
          <w:rPr>
            <w:rStyle w:val="Hyperlink"/>
            <w:rFonts w:asciiTheme="minorHAnsi" w:hAnsiTheme="minorHAnsi" w:cstheme="minorHAnsi"/>
          </w:rPr>
          <w:t>ISOC contribution</w:t>
        </w:r>
      </w:hyperlink>
      <w:r w:rsidRPr="00B46952">
        <w:rPr>
          <w:rFonts w:asciiTheme="minorHAnsi" w:hAnsiTheme="minorHAnsi" w:cstheme="minorHAnsi"/>
        </w:rPr>
        <w:t xml:space="preserve"> (26 June 2012).</w:t>
      </w:r>
      <w:proofErr w:type="gramEnd"/>
    </w:p>
  </w:footnote>
  <w:footnote w:id="203">
    <w:p w:rsidR="00B36CCD" w:rsidRPr="00B46952" w:rsidRDefault="00B36CCD" w:rsidP="00697C60">
      <w:pPr>
        <w:pStyle w:val="FootnoteText"/>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221"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204">
    <w:p w:rsidR="00B36CCD" w:rsidRPr="00B46952" w:rsidRDefault="00B36CCD" w:rsidP="00A33E9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proofErr w:type="gramStart"/>
      <w:r w:rsidRPr="00B46952">
        <w:rPr>
          <w:rFonts w:asciiTheme="minorHAnsi" w:hAnsiTheme="minorHAnsi" w:cstheme="minorHAnsi"/>
        </w:rPr>
        <w:t>Resolution 133 (Rev. Guadalajara, 2010).</w:t>
      </w:r>
      <w:proofErr w:type="gramEnd"/>
    </w:p>
  </w:footnote>
  <w:footnote w:id="205">
    <w:p w:rsidR="00B36CCD" w:rsidRPr="00B46952" w:rsidRDefault="00B36CCD" w:rsidP="00A33E9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22"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roofErr w:type="gramEnd"/>
    </w:p>
  </w:footnote>
  <w:footnote w:id="206">
    <w:p w:rsidR="00B36CCD" w:rsidRPr="00B46952" w:rsidRDefault="00B36CCD" w:rsidP="00A33E91">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23" w:history="1">
        <w:proofErr w:type="gramStart"/>
        <w:r w:rsidRPr="00B46952">
          <w:rPr>
            <w:rStyle w:val="Hyperlink"/>
            <w:rFonts w:asciiTheme="minorHAnsi" w:hAnsiTheme="minorHAnsi" w:cstheme="minorHAnsi"/>
          </w:rPr>
          <w:t>Saudi Arabia and Sudan contribution</w:t>
        </w:r>
      </w:hyperlink>
      <w:r w:rsidRPr="00B46952">
        <w:rPr>
          <w:rFonts w:asciiTheme="minorHAnsi" w:hAnsiTheme="minorHAnsi" w:cstheme="minorHAnsi"/>
        </w:rPr>
        <w:t xml:space="preserve"> (1 August 2012), </w:t>
      </w:r>
      <w:hyperlink r:id="rId224" w:history="1">
        <w:r w:rsidRPr="00B46952">
          <w:rPr>
            <w:rStyle w:val="Hyperlink"/>
            <w:rFonts w:asciiTheme="minorHAnsi" w:hAnsiTheme="minorHAnsi" w:cstheme="minorHAnsi"/>
          </w:rPr>
          <w:t>Algerian contribution</w:t>
        </w:r>
      </w:hyperlink>
      <w:r w:rsidRPr="00B46952">
        <w:rPr>
          <w:rFonts w:asciiTheme="minorHAnsi" w:hAnsiTheme="minorHAnsi" w:cstheme="minorHAnsi"/>
        </w:rPr>
        <w:t xml:space="preserve"> (2 August 2012).</w:t>
      </w:r>
      <w:proofErr w:type="gramEnd"/>
      <w:r w:rsidRPr="00B46952">
        <w:rPr>
          <w:rFonts w:asciiTheme="minorHAnsi" w:hAnsiTheme="minorHAnsi" w:cstheme="minorHAnsi"/>
        </w:rPr>
        <w:t xml:space="preserve">      </w:t>
      </w:r>
    </w:p>
  </w:footnote>
  <w:footnote w:id="207">
    <w:p w:rsidR="00B36CCD" w:rsidRPr="00B46952" w:rsidRDefault="00B36CCD" w:rsidP="00BD2827">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Version 1.0 of the Unicode Standard was published in October 1991, but the first data files simplifying implementation and enhancing interoperability did not appear until Version 2.0 in July 1996. By this time, the Internet was more than well-established and the World Wide Web was recognized as an important technological development.</w:t>
      </w:r>
    </w:p>
  </w:footnote>
  <w:footnote w:id="208">
    <w:p w:rsidR="00B36CCD" w:rsidRPr="00B46952" w:rsidRDefault="00B36CCD" w:rsidP="00BD2827">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25"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209">
    <w:p w:rsidR="00B36CCD" w:rsidRPr="00B46952" w:rsidRDefault="00B36CCD" w:rsidP="00BD2827">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26" w:history="1">
        <w:proofErr w:type="gramStart"/>
        <w:r w:rsidRPr="00B46952">
          <w:rPr>
            <w:rStyle w:val="Hyperlink"/>
            <w:rFonts w:asciiTheme="minorHAnsi" w:hAnsiTheme="minorHAnsi"/>
          </w:rPr>
          <w:t>PayPal contribution</w:t>
        </w:r>
      </w:hyperlink>
      <w:r w:rsidRPr="00B46952">
        <w:rPr>
          <w:rFonts w:asciiTheme="minorHAnsi" w:hAnsiTheme="minorHAnsi"/>
        </w:rPr>
        <w:t xml:space="preserve"> (October 2012).</w:t>
      </w:r>
      <w:proofErr w:type="gramEnd"/>
    </w:p>
  </w:footnote>
  <w:footnote w:id="210">
    <w:p w:rsidR="00B36CCD" w:rsidRPr="00B46952" w:rsidRDefault="00B36CCD"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IDN Variant TLD </w:t>
      </w:r>
      <w:proofErr w:type="gramStart"/>
      <w:r w:rsidRPr="00B46952">
        <w:rPr>
          <w:rFonts w:asciiTheme="minorHAnsi" w:hAnsiTheme="minorHAnsi" w:cstheme="minorHAnsi"/>
        </w:rPr>
        <w:t>program ,</w:t>
      </w:r>
      <w:proofErr w:type="gramEnd"/>
      <w:r w:rsidRPr="00B46952">
        <w:rPr>
          <w:rFonts w:asciiTheme="minorHAnsi" w:hAnsiTheme="minorHAnsi" w:cstheme="minorHAnsi"/>
        </w:rPr>
        <w:t xml:space="preserve"> ICANN, (4 May, 2012),  </w:t>
      </w:r>
      <w:hyperlink r:id="rId227" w:history="1">
        <w:r w:rsidRPr="00B46952">
          <w:rPr>
            <w:rStyle w:val="Hyperlink"/>
            <w:rFonts w:asciiTheme="minorHAnsi" w:hAnsiTheme="minorHAnsi" w:cstheme="minorHAnsi"/>
          </w:rPr>
          <w:t>http://www.icann.org/en/news/public-comment/idn-variant-tld-revised-program-plan-04may12-en.htm</w:t>
        </w:r>
      </w:hyperlink>
      <w:r w:rsidRPr="00B46952">
        <w:rPr>
          <w:rFonts w:asciiTheme="minorHAnsi" w:hAnsiTheme="minorHAnsi" w:cstheme="minorHAnsi"/>
        </w:rPr>
        <w:t>. </w:t>
      </w:r>
    </w:p>
  </w:footnote>
  <w:footnote w:id="211">
    <w:p w:rsidR="00B36CCD" w:rsidRPr="00B46952" w:rsidRDefault="00B36CCD" w:rsidP="00BD2827">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Information on the status of IDN ccTLD implementations in different scripts can be found at: </w:t>
      </w:r>
      <w:hyperlink r:id="rId228" w:history="1">
        <w:r w:rsidRPr="00B46952">
          <w:rPr>
            <w:rStyle w:val="Hyperlink"/>
            <w:rFonts w:asciiTheme="minorHAnsi" w:hAnsiTheme="minorHAnsi" w:cstheme="minorHAnsi"/>
          </w:rPr>
          <w:t>http://www.icann.org/en/resources/idn/announcements</w:t>
        </w:r>
      </w:hyperlink>
      <w:r w:rsidRPr="00B46952">
        <w:rPr>
          <w:rFonts w:asciiTheme="minorHAnsi" w:hAnsiTheme="minorHAnsi" w:cstheme="minorHAnsi"/>
        </w:rPr>
        <w:t>.  </w:t>
      </w:r>
    </w:p>
  </w:footnote>
  <w:footnote w:id="212">
    <w:p w:rsidR="00B36CCD" w:rsidRPr="00B46952" w:rsidRDefault="00B36CCD" w:rsidP="00BD2827">
      <w:pPr>
        <w:pStyle w:val="FootnoteText"/>
        <w:rPr>
          <w:rFonts w:asciiTheme="minorHAnsi" w:hAnsiTheme="minorHAnsi" w:cstheme="minorHAnsi"/>
          <w:lang w:val="en-GB"/>
        </w:rPr>
      </w:pPr>
      <w:r w:rsidRPr="00B46952">
        <w:rPr>
          <w:rStyle w:val="FootnoteReference"/>
          <w:rFonts w:asciiTheme="minorHAnsi" w:hAnsiTheme="minorHAnsi" w:cstheme="minorHAnsi"/>
        </w:rPr>
        <w:footnoteRef/>
      </w:r>
      <w:r w:rsidRPr="00B46952">
        <w:rPr>
          <w:rFonts w:asciiTheme="minorHAnsi" w:hAnsiTheme="minorHAnsi" w:cstheme="minorHAnsi"/>
        </w:rPr>
        <w:t xml:space="preserve"> Details of root server deployment can be found at </w:t>
      </w:r>
      <w:hyperlink r:id="rId229" w:history="1">
        <w:r w:rsidRPr="00B46952">
          <w:rPr>
            <w:rStyle w:val="Hyperlink"/>
            <w:rFonts w:asciiTheme="minorHAnsi" w:hAnsiTheme="minorHAnsi" w:cstheme="minorHAnsi"/>
          </w:rPr>
          <w:t>http://www.root-servers.org/</w:t>
        </w:r>
      </w:hyperlink>
      <w:r w:rsidRPr="00B46952">
        <w:rPr>
          <w:rFonts w:asciiTheme="minorHAnsi" w:hAnsiTheme="minorHAnsi" w:cstheme="minorHAnsi"/>
        </w:rPr>
        <w:t xml:space="preserve">. </w:t>
      </w:r>
    </w:p>
  </w:footnote>
  <w:footnote w:id="213">
    <w:p w:rsidR="00B36CCD" w:rsidRPr="00B46952" w:rsidRDefault="00B36CCD" w:rsidP="00BD2827">
      <w:pPr>
        <w:pStyle w:val="FootnoteText"/>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For more information on the uneven distribution of DNS root servers on the Internet, see:  </w:t>
      </w:r>
      <w:hyperlink r:id="rId230"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cstheme="minorHAnsi"/>
        </w:rPr>
        <w:t>.</w:t>
      </w:r>
    </w:p>
  </w:footnote>
  <w:footnote w:id="214">
    <w:p w:rsidR="00B36CCD" w:rsidRPr="00B46952" w:rsidRDefault="00B36CCD" w:rsidP="00BD2827">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31"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215">
    <w:p w:rsidR="00B36CCD" w:rsidRPr="00B46952" w:rsidRDefault="00B36CCD" w:rsidP="00A33E91">
      <w:pPr>
        <w:pStyle w:val="FootnoteText"/>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32" w:history="1">
        <w:proofErr w:type="spellStart"/>
        <w:proofErr w:type="gramStart"/>
        <w:r w:rsidRPr="00B46952">
          <w:rPr>
            <w:rStyle w:val="Hyperlink"/>
            <w:rFonts w:asciiTheme="minorHAnsi" w:hAnsiTheme="minorHAnsi" w:cstheme="minorHAnsi"/>
          </w:rPr>
          <w:t>Nominet</w:t>
        </w:r>
        <w:proofErr w:type="spellEnd"/>
        <w:r w:rsidRPr="00B46952">
          <w:rPr>
            <w:rStyle w:val="Hyperlink"/>
            <w:rFonts w:asciiTheme="minorHAnsi" w:hAnsiTheme="minorHAnsi" w:cstheme="minorHAnsi"/>
          </w:rPr>
          <w:t xml:space="preserve"> contribution</w:t>
        </w:r>
      </w:hyperlink>
      <w:r w:rsidRPr="00B46952">
        <w:rPr>
          <w:rFonts w:asciiTheme="minorHAnsi" w:hAnsiTheme="minorHAnsi" w:cstheme="minorHAnsi"/>
        </w:rPr>
        <w:t xml:space="preserve"> (30 September 2012).</w:t>
      </w:r>
      <w:proofErr w:type="gramEnd"/>
    </w:p>
  </w:footnote>
  <w:footnote w:id="216">
    <w:p w:rsidR="00B36CCD" w:rsidRPr="00B46952" w:rsidRDefault="00B36CCD" w:rsidP="00805E93">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33" w:history="1">
        <w:proofErr w:type="gramStart"/>
        <w:r w:rsidRPr="00B46952">
          <w:rPr>
            <w:rStyle w:val="Hyperlink"/>
            <w:rFonts w:asciiTheme="minorHAnsi" w:hAnsiTheme="minorHAnsi" w:cstheme="minorHAnsi"/>
          </w:rPr>
          <w:t>UK contribution</w:t>
        </w:r>
      </w:hyperlink>
      <w:r w:rsidRPr="00B46952">
        <w:rPr>
          <w:rFonts w:asciiTheme="minorHAnsi" w:hAnsiTheme="minorHAnsi" w:cstheme="minorHAnsi"/>
        </w:rPr>
        <w:t xml:space="preserve"> (25 June 2012).</w:t>
      </w:r>
      <w:proofErr w:type="gramEnd"/>
      <w:r w:rsidRPr="00B46952">
        <w:rPr>
          <w:rFonts w:asciiTheme="minorHAnsi" w:hAnsiTheme="minorHAnsi" w:cstheme="minorHAnsi"/>
        </w:rPr>
        <w:t xml:space="preserve"> </w:t>
      </w:r>
    </w:p>
  </w:footnote>
  <w:footnote w:id="217">
    <w:p w:rsidR="00B36CCD" w:rsidRPr="00B46952" w:rsidRDefault="00B36CCD" w:rsidP="00A33E91">
      <w:pPr>
        <w:pStyle w:val="FootnoteText"/>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34" w:history="1">
        <w:r w:rsidRPr="00B46952">
          <w:rPr>
            <w:rStyle w:val="Hyperlink"/>
            <w:rFonts w:asciiTheme="minorHAnsi" w:hAnsiTheme="minorHAnsi" w:cstheme="minorHAnsi"/>
          </w:rPr>
          <w:t>http://royal.pingdom.com/2012/05/07/the-very-uneven-distribution-of-dns-root-servers-on-the-internet/</w:t>
        </w:r>
      </w:hyperlink>
      <w:r w:rsidRPr="00B46952">
        <w:rPr>
          <w:rFonts w:asciiTheme="minorHAnsi" w:hAnsiTheme="minorHAnsi"/>
        </w:rPr>
        <w:t>.</w:t>
      </w:r>
    </w:p>
  </w:footnote>
  <w:footnote w:id="218">
    <w:p w:rsidR="00B36CCD" w:rsidRPr="00B46952" w:rsidRDefault="00B36CCD" w:rsidP="00A33E91">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35" w:history="1">
        <w:r w:rsidRPr="00B46952">
          <w:rPr>
            <w:rStyle w:val="Hyperlink"/>
            <w:rFonts w:asciiTheme="minorHAnsi" w:hAnsiTheme="minorHAnsi"/>
          </w:rPr>
          <w:t>http://root-servers.org/</w:t>
        </w:r>
      </w:hyperlink>
      <w:r w:rsidRPr="00B46952">
        <w:rPr>
          <w:rFonts w:asciiTheme="minorHAnsi" w:hAnsiTheme="minorHAnsi"/>
        </w:rPr>
        <w:t xml:space="preserve">. </w:t>
      </w:r>
    </w:p>
  </w:footnote>
  <w:footnote w:id="219">
    <w:p w:rsidR="00B36CCD" w:rsidRPr="00B46952" w:rsidRDefault="00B36CCD" w:rsidP="009459EA">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Pr>
          <w:rFonts w:asciiTheme="minorHAnsi" w:hAnsiTheme="minorHAnsi" w:cstheme="minorHAnsi"/>
        </w:rPr>
        <w:tab/>
      </w:r>
      <w:r w:rsidRPr="00B46952">
        <w:rPr>
          <w:rFonts w:asciiTheme="minorHAnsi" w:hAnsiTheme="minorHAnsi" w:cstheme="minorHAnsi"/>
        </w:rPr>
        <w:t xml:space="preserve"> “About the GAC”, available at: </w:t>
      </w:r>
      <w:hyperlink r:id="rId236" w:history="1">
        <w:r w:rsidRPr="00B46952">
          <w:rPr>
            <w:rStyle w:val="Hyperlink"/>
            <w:rFonts w:asciiTheme="minorHAnsi" w:hAnsiTheme="minorHAnsi" w:cstheme="minorHAnsi"/>
          </w:rPr>
          <w:t>https://gacweb.icann.org/display/gacweb/About+The+GAC</w:t>
        </w:r>
      </w:hyperlink>
      <w:r w:rsidRPr="00B46952">
        <w:rPr>
          <w:rFonts w:asciiTheme="minorHAnsi" w:hAnsiTheme="minorHAnsi" w:cstheme="minorHAnsi"/>
        </w:rPr>
        <w:t>.</w:t>
      </w:r>
    </w:p>
  </w:footnote>
  <w:footnote w:id="220">
    <w:p w:rsidR="00B36CCD" w:rsidRPr="00B46952" w:rsidRDefault="00B36CCD" w:rsidP="009459EA">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The GAC and the ICANN Board will then try, in good faith and in a timely and efficient manner, to find a mutually acceptable solution, ICANN Bylaws (March 2012) - Article XI: Advisory Committees, </w:t>
      </w:r>
      <w:hyperlink r:id="rId237" w:history="1">
        <w:r w:rsidRPr="00B46952">
          <w:rPr>
            <w:rStyle w:val="Hyperlink"/>
            <w:rFonts w:asciiTheme="minorHAnsi" w:hAnsiTheme="minorHAnsi" w:cstheme="minorHAnsi"/>
          </w:rPr>
          <w:t>www.icann.org/en/about/governance/bylaws</w:t>
        </w:r>
      </w:hyperlink>
      <w:r w:rsidRPr="00B46952">
        <w:rPr>
          <w:rFonts w:asciiTheme="minorHAnsi" w:hAnsiTheme="minorHAnsi" w:cstheme="minorHAnsi"/>
        </w:rPr>
        <w:t xml:space="preserve">. </w:t>
      </w:r>
    </w:p>
  </w:footnote>
  <w:footnote w:id="221">
    <w:p w:rsidR="00B36CCD" w:rsidRPr="00B46952" w:rsidRDefault="00B36CCD" w:rsidP="009459EA">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38" w:history="1">
        <w:r w:rsidRPr="00B46952">
          <w:rPr>
            <w:rStyle w:val="Hyperlink"/>
            <w:rFonts w:asciiTheme="minorHAnsi" w:hAnsiTheme="minorHAnsi"/>
          </w:rPr>
          <w:t>U.S.A. Contribution</w:t>
        </w:r>
      </w:hyperlink>
      <w:r w:rsidRPr="00B46952">
        <w:rPr>
          <w:rFonts w:asciiTheme="minorHAnsi" w:hAnsiTheme="minorHAnsi"/>
        </w:rPr>
        <w:t xml:space="preserve"> (4 October 2012). </w:t>
      </w:r>
    </w:p>
  </w:footnote>
  <w:footnote w:id="222">
    <w:p w:rsidR="00B36CCD" w:rsidRPr="00B46952" w:rsidRDefault="00B36CCD" w:rsidP="009459EA">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39" w:history="1">
        <w:proofErr w:type="gramStart"/>
        <w:r w:rsidRPr="00B46952">
          <w:rPr>
            <w:rStyle w:val="Hyperlink"/>
            <w:rFonts w:asciiTheme="minorHAnsi" w:hAnsiTheme="minorHAnsi" w:cstheme="minorHAnsi"/>
            <w:lang w:val="en-GB"/>
          </w:rPr>
          <w:t>UK contribution</w:t>
        </w:r>
      </w:hyperlink>
      <w:r w:rsidRPr="00B46952">
        <w:rPr>
          <w:rFonts w:asciiTheme="minorHAnsi" w:hAnsiTheme="minorHAnsi" w:cstheme="minorHAnsi"/>
          <w:lang w:val="en-GB"/>
        </w:rPr>
        <w:t xml:space="preserve"> (21 September 2012).</w:t>
      </w:r>
      <w:proofErr w:type="gramEnd"/>
    </w:p>
  </w:footnote>
  <w:footnote w:id="223">
    <w:p w:rsidR="00B36CCD" w:rsidRPr="00B46952" w:rsidRDefault="00B36CCD" w:rsidP="009459EA">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GAC Members (as of 12 December, 2012), see: </w:t>
      </w:r>
      <w:hyperlink r:id="rId240" w:history="1">
        <w:r w:rsidRPr="00B46952">
          <w:rPr>
            <w:rStyle w:val="Hyperlink"/>
            <w:rFonts w:asciiTheme="minorHAnsi" w:hAnsiTheme="minorHAnsi" w:cstheme="minorHAnsi"/>
          </w:rPr>
          <w:t>https://gacweb.icann.org/display/gacweb/GAC+Members</w:t>
        </w:r>
      </w:hyperlink>
      <w:r w:rsidRPr="00B46952">
        <w:rPr>
          <w:rFonts w:asciiTheme="minorHAnsi" w:hAnsiTheme="minorHAnsi"/>
        </w:rPr>
        <w:t>.</w:t>
      </w:r>
      <w:r w:rsidRPr="00B46952">
        <w:rPr>
          <w:rFonts w:asciiTheme="minorHAnsi" w:hAnsiTheme="minorHAnsi" w:cstheme="minorHAnsi"/>
        </w:rPr>
        <w:t xml:space="preserve">  </w:t>
      </w:r>
    </w:p>
  </w:footnote>
  <w:footnote w:id="224">
    <w:p w:rsidR="00B36CCD" w:rsidRPr="00B46952" w:rsidRDefault="00B36CCD" w:rsidP="009459EA">
      <w:pPr>
        <w:pStyle w:val="FootnoteText"/>
        <w:tabs>
          <w:tab w:val="left" w:pos="284"/>
        </w:tabs>
        <w:ind w:left="0" w:firstLine="0"/>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hyperlink r:id="rId241" w:history="1">
        <w:r w:rsidRPr="00B46952">
          <w:rPr>
            <w:rStyle w:val="Hyperlink"/>
            <w:rFonts w:asciiTheme="minorHAnsi" w:hAnsiTheme="minorHAnsi"/>
          </w:rPr>
          <w:t>UK Contribution</w:t>
        </w:r>
      </w:hyperlink>
      <w:r w:rsidRPr="00B46952">
        <w:rPr>
          <w:rFonts w:asciiTheme="minorHAnsi" w:hAnsiTheme="minorHAnsi"/>
        </w:rPr>
        <w:t xml:space="preserve"> (21 September, 2012).</w:t>
      </w:r>
    </w:p>
  </w:footnote>
  <w:footnote w:id="225">
    <w:p w:rsidR="00B36CCD" w:rsidRPr="00B46952" w:rsidRDefault="00B36CCD" w:rsidP="009459EA">
      <w:pPr>
        <w:pStyle w:val="FootnoteText"/>
        <w:tabs>
          <w:tab w:val="left" w:pos="284"/>
        </w:tabs>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42" w:history="1">
        <w:r w:rsidRPr="00B46952">
          <w:rPr>
            <w:rStyle w:val="Hyperlink"/>
            <w:rFonts w:asciiTheme="minorHAnsi" w:hAnsiTheme="minorHAnsi"/>
          </w:rPr>
          <w:t>U.S.A. Contribution</w:t>
        </w:r>
      </w:hyperlink>
      <w:r w:rsidRPr="00B46952">
        <w:rPr>
          <w:rFonts w:asciiTheme="minorHAnsi" w:hAnsiTheme="minorHAnsi"/>
        </w:rPr>
        <w:t xml:space="preserve"> (4 October, 2012).</w:t>
      </w:r>
    </w:p>
  </w:footnote>
  <w:footnote w:id="226">
    <w:p w:rsidR="00B36CCD" w:rsidRPr="00B46952" w:rsidRDefault="00B36CCD" w:rsidP="009459EA">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rPr>
        <w:t xml:space="preserve">“ICANN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B46952">
        <w:rPr>
          <w:rFonts w:asciiTheme="minorHAnsi" w:eastAsia="SimSun" w:hAnsiTheme="minorHAnsi" w:cstheme="minorHAnsi"/>
          <w:lang w:eastAsia="zh-CN"/>
        </w:rPr>
        <w:t>GAC comments on the Applicant Guidebook (15 April 2011 version).</w:t>
      </w:r>
    </w:p>
  </w:footnote>
  <w:footnote w:id="227">
    <w:p w:rsidR="00B36CCD" w:rsidRPr="00B46952" w:rsidRDefault="00B36CCD" w:rsidP="009459EA">
      <w:pPr>
        <w:pStyle w:val="FootnoteText"/>
        <w:tabs>
          <w:tab w:val="left" w:pos="284"/>
        </w:tabs>
        <w:ind w:left="284" w:hanging="284"/>
        <w:rPr>
          <w:rFonts w:asciiTheme="minorHAnsi" w:hAnsiTheme="minorHAnsi" w:cstheme="minorHAnsi"/>
        </w:rPr>
      </w:pPr>
      <w:r w:rsidRPr="00B46952">
        <w:rPr>
          <w:rStyle w:val="FootnoteReference"/>
          <w:rFonts w:asciiTheme="minorHAnsi" w:hAnsiTheme="minorHAnsi" w:cstheme="minorHAnsi"/>
        </w:rPr>
        <w:footnoteRef/>
      </w:r>
      <w:r w:rsidRPr="00B46952">
        <w:rPr>
          <w:rFonts w:asciiTheme="minorHAnsi" w:hAnsiTheme="minorHAnsi" w:cstheme="minorHAnsi"/>
        </w:rPr>
        <w:t xml:space="preserve"> </w:t>
      </w:r>
      <w:r>
        <w:rPr>
          <w:rFonts w:asciiTheme="minorHAnsi" w:hAnsiTheme="minorHAnsi" w:cstheme="minorHAnsi"/>
        </w:rPr>
        <w:tab/>
      </w:r>
      <w:r w:rsidRPr="00B46952">
        <w:rPr>
          <w:rFonts w:asciiTheme="minorHAnsi" w:hAnsiTheme="minorHAnsi" w:cstheme="minorHAnsi"/>
          <w:lang w:val="en-GB"/>
        </w:rPr>
        <w:t xml:space="preserve">Report issued by the Joint Working Group (JWG) of the ICANN Board and the GAC, June 2011. Available at: </w:t>
      </w:r>
      <w:hyperlink r:id="rId243" w:history="1">
        <w:r w:rsidRPr="00B46952">
          <w:rPr>
            <w:rStyle w:val="Hyperlink"/>
            <w:rFonts w:asciiTheme="minorHAnsi" w:hAnsiTheme="minorHAnsi" w:cstheme="minorHAnsi"/>
          </w:rPr>
          <w:t>http://archive.icann.org/en/committees/board-gac-2009/board-gac-jwg-final-report-19jun11-en.pdf</w:t>
        </w:r>
      </w:hyperlink>
      <w:r w:rsidRPr="00B46952">
        <w:rPr>
          <w:rFonts w:asciiTheme="minorHAnsi" w:hAnsiTheme="minorHAnsi" w:cstheme="minorHAnsi"/>
        </w:rPr>
        <w:t>.</w:t>
      </w:r>
    </w:p>
  </w:footnote>
  <w:footnote w:id="228">
    <w:p w:rsidR="00B36CCD" w:rsidRPr="00B46952" w:rsidRDefault="00B36CCD" w:rsidP="009459EA">
      <w:pPr>
        <w:pStyle w:val="FootnoteText"/>
        <w:tabs>
          <w:tab w:val="left" w:pos="284"/>
        </w:tabs>
        <w:rPr>
          <w:rFonts w:asciiTheme="minorHAnsi" w:hAnsiTheme="minorHAnsi"/>
        </w:rPr>
      </w:pPr>
      <w:r w:rsidRPr="00B46952">
        <w:rPr>
          <w:rStyle w:val="FootnoteReference"/>
          <w:rFonts w:asciiTheme="minorHAnsi" w:hAnsiTheme="minorHAnsi" w:cstheme="minorHAnsi"/>
        </w:rPr>
        <w:footnoteRef/>
      </w:r>
      <w:r w:rsidRPr="00B46952">
        <w:rPr>
          <w:rFonts w:asciiTheme="minorHAnsi" w:hAnsiTheme="minorHAnsi"/>
        </w:rPr>
        <w:t xml:space="preserve"> </w:t>
      </w:r>
      <w:hyperlink r:id="rId244" w:history="1">
        <w:r w:rsidRPr="00B46952">
          <w:rPr>
            <w:rStyle w:val="Hyperlink"/>
            <w:rFonts w:asciiTheme="minorHAnsi" w:hAnsiTheme="minorHAnsi" w:cstheme="minorHAnsi"/>
          </w:rPr>
          <w:t>http://archive.icann.org/en/committees/board-gac-2009/board-gac-jwg-final-report-19jun11-en.pdf</w:t>
        </w:r>
      </w:hyperlink>
      <w:r w:rsidRPr="00B46952">
        <w:rPr>
          <w:rStyle w:val="Hyperlink"/>
          <w:rFonts w:asciiTheme="minorHAnsi" w:hAnsiTheme="minorHAnsi"/>
        </w:rPr>
        <w:t>.</w:t>
      </w:r>
    </w:p>
  </w:footnote>
  <w:footnote w:id="229">
    <w:p w:rsidR="00B36CCD" w:rsidRPr="00B46952" w:rsidRDefault="00B36CCD" w:rsidP="009459EA">
      <w:pPr>
        <w:pStyle w:val="FootnoteText"/>
        <w:tabs>
          <w:tab w:val="left" w:pos="284"/>
        </w:tabs>
        <w:ind w:left="0" w:firstLine="0"/>
        <w:rPr>
          <w:rFonts w:asciiTheme="minorHAnsi" w:hAnsiTheme="minorHAnsi"/>
        </w:rPr>
      </w:pPr>
      <w:r w:rsidRPr="00B46952">
        <w:rPr>
          <w:rStyle w:val="FootnoteReference"/>
          <w:rFonts w:asciiTheme="minorHAnsi" w:hAnsiTheme="minorHAnsi" w:cstheme="minorHAnsi"/>
        </w:rPr>
        <w:footnoteRef/>
      </w:r>
      <w:r w:rsidRPr="00B46952">
        <w:rPr>
          <w:rStyle w:val="FootnoteReference"/>
          <w:rFonts w:asciiTheme="minorHAnsi" w:hAnsiTheme="minorHAnsi" w:cstheme="minorHAnsi"/>
        </w:rPr>
        <w:t xml:space="preserve"> </w:t>
      </w:r>
      <w:hyperlink r:id="rId245" w:history="1">
        <w:proofErr w:type="gramStart"/>
        <w:r w:rsidRPr="00B46952">
          <w:rPr>
            <w:rStyle w:val="Hyperlink"/>
            <w:rFonts w:asciiTheme="minorHAnsi" w:hAnsiTheme="minorHAnsi" w:cstheme="minorHAnsi"/>
          </w:rPr>
          <w:t>U.S.A. contribution</w:t>
        </w:r>
      </w:hyperlink>
      <w:r w:rsidRPr="00B46952">
        <w:rPr>
          <w:rFonts w:asciiTheme="minorHAnsi" w:hAnsiTheme="minorHAnsi" w:cstheme="minorHAnsi"/>
        </w:rPr>
        <w:t xml:space="preserve"> (2 October 2012).</w:t>
      </w:r>
      <w:proofErr w:type="gramEnd"/>
    </w:p>
  </w:footnote>
  <w:footnote w:id="230">
    <w:p w:rsidR="00B36CCD" w:rsidRPr="00B46952" w:rsidRDefault="00B36CCD" w:rsidP="009459EA">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 </w:t>
      </w:r>
      <w:r w:rsidRPr="00B46952">
        <w:rPr>
          <w:rFonts w:asciiTheme="minorHAnsi" w:hAnsiTheme="minorHAns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46" w:history="1">
        <w:r w:rsidRPr="00B46952">
          <w:rPr>
            <w:rStyle w:val="Hyperlink"/>
            <w:rFonts w:asciiTheme="minorHAnsi" w:hAnsiTheme="minorHAnsi"/>
          </w:rPr>
          <w:t>U.S.A.</w:t>
        </w:r>
      </w:hyperlink>
      <w:r w:rsidRPr="00B46952">
        <w:rPr>
          <w:rFonts w:asciiTheme="minorHAnsi" w:hAnsiTheme="minorHAnsi"/>
        </w:rPr>
        <w:t>].</w:t>
      </w:r>
      <w:r w:rsidRPr="00B46952">
        <w:rPr>
          <w:rFonts w:asciiTheme="minorHAnsi" w:hAnsiTheme="minorHAnsi" w:cs="Times New Roman"/>
        </w:rPr>
        <w:t xml:space="preserve"> </w:t>
      </w:r>
    </w:p>
  </w:footnote>
  <w:footnote w:id="231">
    <w:p w:rsidR="00B36CCD" w:rsidRPr="00B46952" w:rsidRDefault="00B36CCD">
      <w:pPr>
        <w:pStyle w:val="FootnoteText"/>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hyperlink r:id="rId247" w:history="1">
        <w:r w:rsidRPr="00B46952">
          <w:rPr>
            <w:rStyle w:val="Hyperlink"/>
            <w:rFonts w:asciiTheme="minorHAnsi" w:hAnsiTheme="minorHAnsi"/>
          </w:rPr>
          <w:t>U.S.A. contribution</w:t>
        </w:r>
      </w:hyperlink>
      <w:r w:rsidRPr="00B46952">
        <w:rPr>
          <w:rFonts w:asciiTheme="minorHAnsi" w:hAnsiTheme="minorHAnsi"/>
        </w:rPr>
        <w:t xml:space="preserve"> (1 February 2013) </w:t>
      </w:r>
    </w:p>
  </w:footnote>
  <w:footnote w:id="232">
    <w:p w:rsidR="00B36CCD" w:rsidRPr="00B46952" w:rsidRDefault="00B36CCD" w:rsidP="00106F3D">
      <w:pPr>
        <w:pStyle w:val="FootnoteText"/>
        <w:spacing w:after="120"/>
        <w:ind w:left="0" w:firstLine="0"/>
        <w:rPr>
          <w:rFonts w:asciiTheme="minorHAnsi" w:hAnsiTheme="minorHAnsi" w:cs="Arial"/>
          <w:lang w:val="en-GB"/>
        </w:rPr>
      </w:pPr>
      <w:r w:rsidRPr="00B46952">
        <w:rPr>
          <w:rStyle w:val="FootnoteReference"/>
          <w:rFonts w:asciiTheme="minorHAnsi" w:hAnsiTheme="minorHAnsi"/>
        </w:rPr>
        <w:footnoteRef/>
      </w:r>
      <w:r w:rsidRPr="00B46952">
        <w:rPr>
          <w:rFonts w:asciiTheme="minorHAnsi" w:hAnsiTheme="minorHAnsi"/>
        </w:rPr>
        <w:t xml:space="preserve"> The relationship between local content, Internet development and access prices (OECD, UNESCO, Internet Society) (2011)</w:t>
      </w:r>
    </w:p>
  </w:footnote>
  <w:footnote w:id="233">
    <w:p w:rsidR="00B36CCD" w:rsidRPr="00F91831" w:rsidRDefault="00B36CCD" w:rsidP="00106F3D">
      <w:pPr>
        <w:pStyle w:val="FootnoteText"/>
        <w:spacing w:after="120"/>
        <w:ind w:left="0" w:firstLine="0"/>
        <w:rPr>
          <w:rFonts w:asciiTheme="minorHAnsi" w:hAnsiTheme="minorHAnsi"/>
          <w:lang w:val="en-GB"/>
        </w:rPr>
      </w:pPr>
      <w:r w:rsidRPr="00B46952">
        <w:rPr>
          <w:rStyle w:val="FootnoteReference"/>
          <w:rFonts w:asciiTheme="minorHAnsi" w:hAnsiTheme="minorHAnsi"/>
        </w:rPr>
        <w:footnoteRef/>
      </w:r>
      <w:r w:rsidRPr="00B46952">
        <w:rPr>
          <w:rFonts w:asciiTheme="minorHAnsi" w:hAnsiTheme="minorHAnsi"/>
        </w:rPr>
        <w:t xml:space="preserve"> The State of Broadband 2012 (ITU and UNESCO, 2012) </w:t>
      </w:r>
    </w:p>
  </w:footnote>
  <w:footnote w:id="234">
    <w:p w:rsidR="00B36CCD" w:rsidRPr="00B46952" w:rsidRDefault="00B36CCD" w:rsidP="009459EA">
      <w:pPr>
        <w:pStyle w:val="FootnoteText"/>
        <w:tabs>
          <w:tab w:val="left" w:pos="284"/>
        </w:tabs>
        <w:ind w:left="284" w:hanging="284"/>
        <w:rPr>
          <w:rFonts w:asciiTheme="minorHAnsi" w:hAnsiTheme="minorHAnsi" w:cs="Times New Roman"/>
        </w:rPr>
      </w:pPr>
      <w:r w:rsidRPr="00F97800">
        <w:rPr>
          <w:rStyle w:val="FootnoteReference"/>
          <w:rFonts w:asciiTheme="minorHAnsi" w:hAnsiTheme="minorHAnsi" w:cs="Times New Roman"/>
        </w:rPr>
        <w:footnoteRef/>
      </w:r>
      <w:r w:rsidRPr="00F97800">
        <w:rPr>
          <w:rFonts w:asciiTheme="minorHAnsi" w:hAnsiTheme="minorHAnsi" w:cs="Times New Roman"/>
        </w:rPr>
        <w:t xml:space="preserve"> </w:t>
      </w:r>
      <w:r>
        <w:rPr>
          <w:rFonts w:asciiTheme="minorHAnsi" w:hAnsiTheme="minorHAnsi" w:cs="Times New Roman"/>
        </w:rPr>
        <w:tab/>
      </w:r>
      <w:r w:rsidRPr="00F97800">
        <w:rPr>
          <w:rFonts w:asciiTheme="minorHAnsi" w:hAnsiTheme="minorHAnsi" w:cs="Times New Roman"/>
        </w:rPr>
        <w:t xml:space="preserve">“Broadband: A Platform for Progress”. A Report by the Broadband Commission for Digital Development, September 2010. </w:t>
      </w:r>
      <w:proofErr w:type="gramStart"/>
      <w:r w:rsidRPr="00F97800">
        <w:rPr>
          <w:rFonts w:asciiTheme="minorHAnsi" w:hAnsiTheme="minorHAnsi" w:cs="Times New Roman"/>
        </w:rPr>
        <w:t xml:space="preserve">(Available at </w:t>
      </w:r>
      <w:hyperlink r:id="rId248" w:history="1">
        <w:r w:rsidRPr="00B46952">
          <w:rPr>
            <w:rStyle w:val="Hyperlink"/>
            <w:rFonts w:asciiTheme="minorHAnsi" w:hAnsiTheme="minorHAnsi" w:cs="Times New Roman"/>
          </w:rPr>
          <w:t>http://www.broadbandcommission.org/Reports/Report_2.pdf</w:t>
        </w:r>
      </w:hyperlink>
      <w:r w:rsidRPr="00B46952">
        <w:rPr>
          <w:rFonts w:asciiTheme="minorHAnsi" w:hAnsiTheme="minorHAnsi" w:cs="Times New Roman"/>
        </w:rPr>
        <w:t>).</w:t>
      </w:r>
      <w:proofErr w:type="gramEnd"/>
    </w:p>
  </w:footnote>
  <w:footnote w:id="235">
    <w:p w:rsidR="00B36CCD" w:rsidRPr="00F91831" w:rsidRDefault="00B36CCD" w:rsidP="009459EA">
      <w:pPr>
        <w:pStyle w:val="FootnoteText"/>
        <w:tabs>
          <w:tab w:val="left" w:pos="284"/>
        </w:tabs>
        <w:ind w:left="284" w:hanging="284"/>
        <w:rPr>
          <w:rFonts w:asciiTheme="minorHAnsi" w:hAnsiTheme="minorHAnsi" w:cs="Times New Roman"/>
        </w:rPr>
      </w:pPr>
      <w:r w:rsidRPr="00B46952">
        <w:rPr>
          <w:rStyle w:val="FootnoteReference"/>
          <w:rFonts w:asciiTheme="minorHAnsi" w:hAnsiTheme="minorHAnsi" w:cs="Times New Roman"/>
        </w:rPr>
        <w:footnoteRef/>
      </w:r>
      <w:r w:rsidRPr="00B46952">
        <w:rPr>
          <w:rFonts w:asciiTheme="minorHAnsi" w:hAnsiTheme="minorHAnsi" w:cs="Times New Roman"/>
        </w:rPr>
        <w:t xml:space="preserve"> </w:t>
      </w:r>
      <w:r>
        <w:rPr>
          <w:rFonts w:asciiTheme="minorHAnsi" w:hAnsiTheme="minorHAnsi" w:cs="Times New Roman"/>
        </w:rPr>
        <w:tab/>
      </w:r>
      <w:r w:rsidRPr="00B46952">
        <w:rPr>
          <w:rFonts w:asciiTheme="minorHAnsi" w:hAnsiTheme="minorHAnsi" w:cs="Times New Roman"/>
        </w:rPr>
        <w:t xml:space="preserve">“The State of Broadband 2012: Achieving Digital Inclusion for All”. A Report by the Broadband Commission for Digital Development, September, 2012. </w:t>
      </w:r>
      <w:proofErr w:type="gramStart"/>
      <w:r w:rsidRPr="00B46952">
        <w:rPr>
          <w:rFonts w:asciiTheme="minorHAnsi" w:hAnsiTheme="minorHAnsi" w:cs="Times New Roman"/>
        </w:rPr>
        <w:t xml:space="preserve">(Available at </w:t>
      </w:r>
      <w:hyperlink r:id="rId249" w:history="1">
        <w:r w:rsidRPr="00B46952">
          <w:rPr>
            <w:rStyle w:val="Hyperlink"/>
            <w:rFonts w:asciiTheme="minorHAnsi" w:hAnsiTheme="minorHAnsi" w:cs="Times New Roman"/>
          </w:rPr>
          <w:t>http://www.broadbandcommission.org/Documents/bb-annualreport2012.pdf</w:t>
        </w:r>
      </w:hyperlink>
      <w:r w:rsidRPr="00B46952">
        <w:rPr>
          <w:rFonts w:asciiTheme="minorHAnsi" w:hAnsiTheme="minorHAnsi"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CD" w:rsidRPr="00F903D7" w:rsidRDefault="00B36CCD" w:rsidP="009B11AD">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40201F">
      <w:rPr>
        <w:noProof/>
        <w:sz w:val="18"/>
        <w:szCs w:val="18"/>
      </w:rPr>
      <w:t>54</w:t>
    </w:r>
    <w:r w:rsidRPr="00F903D7">
      <w:rPr>
        <w:noProof/>
        <w:sz w:val="18"/>
        <w:szCs w:val="18"/>
      </w:rPr>
      <w:fldChar w:fldCharType="end"/>
    </w:r>
  </w:p>
  <w:p w:rsidR="00B36CCD" w:rsidRDefault="00B36CCD" w:rsidP="0040201F">
    <w:pPr>
      <w:pStyle w:val="Header"/>
      <w:jc w:val="center"/>
      <w:rPr>
        <w:sz w:val="20"/>
        <w:szCs w:val="20"/>
      </w:rPr>
    </w:pPr>
    <w:r w:rsidRPr="00F903D7">
      <w:rPr>
        <w:sz w:val="20"/>
        <w:szCs w:val="20"/>
      </w:rPr>
      <w:t>WTPF-13/</w:t>
    </w:r>
    <w:r w:rsidR="0040201F">
      <w:rPr>
        <w:sz w:val="20"/>
        <w:szCs w:val="20"/>
      </w:rPr>
      <w:t>4</w:t>
    </w:r>
    <w:r w:rsidRPr="00F903D7">
      <w:rPr>
        <w:sz w:val="20"/>
        <w:szCs w:val="20"/>
      </w:rPr>
      <w:t>-E</w:t>
    </w:r>
  </w:p>
  <w:p w:rsidR="00B36CCD" w:rsidRPr="00F903D7" w:rsidRDefault="00B36CCD" w:rsidP="009B11A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BDEEC814"/>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308D32">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2">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4">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6">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7C1879"/>
    <w:multiLevelType w:val="hybridMultilevel"/>
    <w:tmpl w:val="E13C4038"/>
    <w:lvl w:ilvl="0" w:tplc="38DC9F9A">
      <w:start w:val="1"/>
      <w:numFmt w:val="lowerRoman"/>
      <w:lvlText w:val="%1."/>
      <w:lvlJc w:val="righ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69B4407"/>
    <w:multiLevelType w:val="hybridMultilevel"/>
    <w:tmpl w:val="959E4EC6"/>
    <w:lvl w:ilvl="0" w:tplc="F3800094">
      <w:start w:val="1"/>
      <w:numFmt w:val="lowerLetter"/>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634237E3"/>
    <w:multiLevelType w:val="hybridMultilevel"/>
    <w:tmpl w:val="E0B8B500"/>
    <w:lvl w:ilvl="0" w:tplc="5AD412DE">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A5796"/>
    <w:multiLevelType w:val="hybridMultilevel"/>
    <w:tmpl w:val="3224ECF4"/>
    <w:lvl w:ilvl="0" w:tplc="0E505B88">
      <w:start w:val="1"/>
      <w:numFmt w:val="lowerLetter"/>
      <w:lvlText w:val="%1)"/>
      <w:lvlJc w:val="left"/>
      <w:pPr>
        <w:ind w:left="360" w:hanging="360"/>
      </w:pPr>
      <w:rPr>
        <w:rFonts w:hint="default"/>
        <w:b w:val="0"/>
        <w:bCs w:val="0"/>
        <w:color w:val="auto"/>
      </w:rPr>
    </w:lvl>
    <w:lvl w:ilvl="1" w:tplc="EF9019E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680A1E2F"/>
    <w:multiLevelType w:val="hybridMultilevel"/>
    <w:tmpl w:val="0728D362"/>
    <w:lvl w:ilvl="0" w:tplc="0AD60252">
      <w:start w:val="4"/>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7"/>
  </w:num>
  <w:num w:numId="2">
    <w:abstractNumId w:val="37"/>
  </w:num>
  <w:num w:numId="3">
    <w:abstractNumId w:val="30"/>
  </w:num>
  <w:num w:numId="4">
    <w:abstractNumId w:val="0"/>
  </w:num>
  <w:num w:numId="5">
    <w:abstractNumId w:val="23"/>
  </w:num>
  <w:num w:numId="6">
    <w:abstractNumId w:val="34"/>
  </w:num>
  <w:num w:numId="7">
    <w:abstractNumId w:val="16"/>
  </w:num>
  <w:num w:numId="8">
    <w:abstractNumId w:val="6"/>
  </w:num>
  <w:num w:numId="9">
    <w:abstractNumId w:val="41"/>
  </w:num>
  <w:num w:numId="10">
    <w:abstractNumId w:val="17"/>
  </w:num>
  <w:num w:numId="11">
    <w:abstractNumId w:val="24"/>
  </w:num>
  <w:num w:numId="12">
    <w:abstractNumId w:val="18"/>
  </w:num>
  <w:num w:numId="13">
    <w:abstractNumId w:val="8"/>
  </w:num>
  <w:num w:numId="14">
    <w:abstractNumId w:val="20"/>
  </w:num>
  <w:num w:numId="15">
    <w:abstractNumId w:val="3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4"/>
  </w:num>
  <w:num w:numId="19">
    <w:abstractNumId w:val="36"/>
  </w:num>
  <w:num w:numId="20">
    <w:abstractNumId w:val="19"/>
  </w:num>
  <w:num w:numId="21">
    <w:abstractNumId w:val="26"/>
  </w:num>
  <w:num w:numId="22">
    <w:abstractNumId w:val="43"/>
  </w:num>
  <w:num w:numId="23">
    <w:abstractNumId w:val="3"/>
  </w:num>
  <w:num w:numId="24">
    <w:abstractNumId w:val="9"/>
  </w:num>
  <w:num w:numId="25">
    <w:abstractNumId w:val="35"/>
  </w:num>
  <w:num w:numId="26">
    <w:abstractNumId w:val="3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2"/>
  </w:num>
  <w:num w:numId="43">
    <w:abstractNumId w:val="4"/>
  </w:num>
  <w:num w:numId="4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2F7C"/>
    <w:rsid w:val="000734F9"/>
    <w:rsid w:val="00073509"/>
    <w:rsid w:val="00074F4C"/>
    <w:rsid w:val="000753A0"/>
    <w:rsid w:val="00076027"/>
    <w:rsid w:val="000763DC"/>
    <w:rsid w:val="0007648A"/>
    <w:rsid w:val="00080A98"/>
    <w:rsid w:val="000811AC"/>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2FE8"/>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0289"/>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225E"/>
    <w:rsid w:val="002A2A98"/>
    <w:rsid w:val="002A3C43"/>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511"/>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2D8F"/>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01F"/>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47EC0"/>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33A"/>
    <w:rsid w:val="00457A96"/>
    <w:rsid w:val="004601BB"/>
    <w:rsid w:val="0046029A"/>
    <w:rsid w:val="00460400"/>
    <w:rsid w:val="00460687"/>
    <w:rsid w:val="00460A7E"/>
    <w:rsid w:val="00460F4A"/>
    <w:rsid w:val="0046102E"/>
    <w:rsid w:val="00462075"/>
    <w:rsid w:val="004627D4"/>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909"/>
    <w:rsid w:val="004A693F"/>
    <w:rsid w:val="004A6D18"/>
    <w:rsid w:val="004A6E13"/>
    <w:rsid w:val="004A76F0"/>
    <w:rsid w:val="004A7777"/>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2D48"/>
    <w:rsid w:val="004D2D78"/>
    <w:rsid w:val="004D3FDD"/>
    <w:rsid w:val="004D41AF"/>
    <w:rsid w:val="004D5B68"/>
    <w:rsid w:val="004D5D5F"/>
    <w:rsid w:val="004D67F2"/>
    <w:rsid w:val="004D68D7"/>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961"/>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CE"/>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2B1"/>
    <w:rsid w:val="005C5BFE"/>
    <w:rsid w:val="005C63DA"/>
    <w:rsid w:val="005C69F9"/>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DA4"/>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23C0"/>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7314"/>
    <w:rsid w:val="006D7321"/>
    <w:rsid w:val="006D73A0"/>
    <w:rsid w:val="006E00B3"/>
    <w:rsid w:val="006E0675"/>
    <w:rsid w:val="006E0843"/>
    <w:rsid w:val="006E087A"/>
    <w:rsid w:val="006E0D30"/>
    <w:rsid w:val="006E1301"/>
    <w:rsid w:val="006E18CA"/>
    <w:rsid w:val="006E1956"/>
    <w:rsid w:val="006E1A92"/>
    <w:rsid w:val="006E2540"/>
    <w:rsid w:val="006E3358"/>
    <w:rsid w:val="006E418D"/>
    <w:rsid w:val="006E47C1"/>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711"/>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5614"/>
    <w:rsid w:val="007E598F"/>
    <w:rsid w:val="007E5DBB"/>
    <w:rsid w:val="007E6774"/>
    <w:rsid w:val="007E74E1"/>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2E73"/>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55BD"/>
    <w:rsid w:val="0092734F"/>
    <w:rsid w:val="009300D4"/>
    <w:rsid w:val="0093040C"/>
    <w:rsid w:val="0093150D"/>
    <w:rsid w:val="00931A1C"/>
    <w:rsid w:val="00932C83"/>
    <w:rsid w:val="00932CCE"/>
    <w:rsid w:val="0093302C"/>
    <w:rsid w:val="009337C2"/>
    <w:rsid w:val="00933819"/>
    <w:rsid w:val="00933F60"/>
    <w:rsid w:val="00935446"/>
    <w:rsid w:val="009354ED"/>
    <w:rsid w:val="009357FA"/>
    <w:rsid w:val="00935DE4"/>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A88"/>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08BC"/>
    <w:rsid w:val="00A31BBC"/>
    <w:rsid w:val="00A31D76"/>
    <w:rsid w:val="00A3251D"/>
    <w:rsid w:val="00A33491"/>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1C39"/>
    <w:rsid w:val="00AE2D29"/>
    <w:rsid w:val="00AE358C"/>
    <w:rsid w:val="00AE3A08"/>
    <w:rsid w:val="00AE5EE7"/>
    <w:rsid w:val="00AE64DB"/>
    <w:rsid w:val="00AE6A9C"/>
    <w:rsid w:val="00AE703E"/>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3172"/>
    <w:rsid w:val="00B135FD"/>
    <w:rsid w:val="00B1383F"/>
    <w:rsid w:val="00B14168"/>
    <w:rsid w:val="00B14AEB"/>
    <w:rsid w:val="00B14BC5"/>
    <w:rsid w:val="00B15607"/>
    <w:rsid w:val="00B162BC"/>
    <w:rsid w:val="00B16DB7"/>
    <w:rsid w:val="00B16EC1"/>
    <w:rsid w:val="00B1736D"/>
    <w:rsid w:val="00B1746E"/>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6CCD"/>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2E87"/>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1B48"/>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BA0"/>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4DB2"/>
    <w:rsid w:val="00DE5372"/>
    <w:rsid w:val="00DE5FE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6C8"/>
    <w:rsid w:val="00E11DF3"/>
    <w:rsid w:val="00E1314F"/>
    <w:rsid w:val="00E136A0"/>
    <w:rsid w:val="00E136F8"/>
    <w:rsid w:val="00E13965"/>
    <w:rsid w:val="00E13AF0"/>
    <w:rsid w:val="00E14E5A"/>
    <w:rsid w:val="00E152EB"/>
    <w:rsid w:val="00E155D3"/>
    <w:rsid w:val="00E15866"/>
    <w:rsid w:val="00E15E5E"/>
    <w:rsid w:val="00E15F6F"/>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0C4"/>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7C0"/>
    <w:rsid w:val="00EB4EC5"/>
    <w:rsid w:val="00EB5704"/>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13AC"/>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09E7"/>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9A1"/>
    <w:rsid w:val="00F502B3"/>
    <w:rsid w:val="00F50595"/>
    <w:rsid w:val="00F51A97"/>
    <w:rsid w:val="00F51AB8"/>
    <w:rsid w:val="00F51B8B"/>
    <w:rsid w:val="00F51CF1"/>
    <w:rsid w:val="00F526E1"/>
    <w:rsid w:val="00F5283E"/>
    <w:rsid w:val="00F52AB5"/>
    <w:rsid w:val="00F52FF1"/>
    <w:rsid w:val="00F535FD"/>
    <w:rsid w:val="00F53E63"/>
    <w:rsid w:val="00F54102"/>
    <w:rsid w:val="00F54241"/>
    <w:rsid w:val="00F54471"/>
    <w:rsid w:val="00F544DC"/>
    <w:rsid w:val="00F55769"/>
    <w:rsid w:val="00F55887"/>
    <w:rsid w:val="00F55CB8"/>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4EE"/>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itu.int/wsis/wgig/docs/wgig-background-report.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5" Type="http://schemas.openxmlformats.org/officeDocument/2006/relationships/settings" Target="settings.xml"/><Relationship Id="rId15" Type="http://schemas.openxmlformats.org/officeDocument/2006/relationships/hyperlink" Target="http://cgi.br/" TargetMode="External"/><Relationship Id="rId23" Type="http://schemas.openxmlformats.org/officeDocument/2006/relationships/theme" Target="theme/theme1.xml"/><Relationship Id="rId10" Type="http://schemas.openxmlformats.org/officeDocument/2006/relationships/hyperlink" Target="http://www.itu.int/md/S11-CL-C-0099/en"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hitehouse.gov/sites/default/files/rss_viewer/international_strategy_for_cyberspac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ITU-D/cyb/ip/index.html"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un.org/en/documents/udhr/index.shtml" TargetMode="External"/><Relationship Id="rId63" Type="http://schemas.openxmlformats.org/officeDocument/2006/relationships/hyperlink" Target="http://www.itu.int/md/S12-WTPF13PREP-C-0021/en" TargetMode="External"/><Relationship Id="rId84" Type="http://schemas.openxmlformats.org/officeDocument/2006/relationships/hyperlink" Target="http://www.itu.int/md/S13-WTPF13REPORT-C-0005" TargetMode="External"/><Relationship Id="rId138" Type="http://schemas.openxmlformats.org/officeDocument/2006/relationships/hyperlink" Target="http://www.itu.int/md/S12-WTPF13PREP-C-0013/en" TargetMode="External"/><Relationship Id="rId159" Type="http://schemas.openxmlformats.org/officeDocument/2006/relationships/hyperlink" Target="http://www.ntia.doc.gov/speechtestimony/2011/testimony-associate-administrator-alexander-icann-s-expansion-top-level-domains" TargetMode="External"/><Relationship Id="rId170" Type="http://schemas.openxmlformats.org/officeDocument/2006/relationships/hyperlink" Target="http://dakar42.icann.org/node/26925" TargetMode="External"/><Relationship Id="rId191" Type="http://schemas.openxmlformats.org/officeDocument/2006/relationships/hyperlink" Target="http://www.icann.org/en/news/correspondence/leahy-et-al-to-atallah-07aug12-en" TargetMode="External"/><Relationship Id="rId205" Type="http://schemas.openxmlformats.org/officeDocument/2006/relationships/hyperlink" Target="http://www.itu.int/md/S12-WTPF13PREP-C-0040/en" TargetMode="External"/><Relationship Id="rId226" Type="http://schemas.openxmlformats.org/officeDocument/2006/relationships/hyperlink" Target="http://www.itu.int/md/S12-WTPF13PREP-C-0039/en" TargetMode="External"/><Relationship Id="rId247" Type="http://schemas.openxmlformats.org/officeDocument/2006/relationships/hyperlink" Target="http://www.itu.int/md/S13-WTPF13IEG3-C-0019/en" TargetMode="External"/><Relationship Id="rId107" Type="http://schemas.openxmlformats.org/officeDocument/2006/relationships/hyperlink" Target="http://www.ntia.doc.gov/page/iana-functions-purchase-order" TargetMode="External"/><Relationship Id="rId11" Type="http://schemas.openxmlformats.org/officeDocument/2006/relationships/hyperlink" Target="http://www.itu.int/md/S12-WTPF13PREP-C-0033/en" TargetMode="External"/><Relationship Id="rId32" Type="http://schemas.openxmlformats.org/officeDocument/2006/relationships/hyperlink" Target="http://www.itu.int/md/S12-WTPF13PREP-C-0033/en" TargetMode="External"/><Relationship Id="rId53" Type="http://schemas.openxmlformats.org/officeDocument/2006/relationships/hyperlink" Target="http://www.circleid.com/posts/us_european_union_to_support_icann_but_demand_reform/" TargetMode="External"/><Relationship Id="rId74" Type="http://schemas.openxmlformats.org/officeDocument/2006/relationships/hyperlink" Target="http://www.itu.int/md/S12-WTPF13PREP-C-0015/en" TargetMode="External"/><Relationship Id="rId128" Type="http://schemas.openxmlformats.org/officeDocument/2006/relationships/hyperlink" Target="http://www.itu.int/md/S12-WTPF13PREP-C-0012/en"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tu.int/md/S13-WTPF13IEG3-C-0019/en" TargetMode="External"/><Relationship Id="rId160" Type="http://schemas.openxmlformats.org/officeDocument/2006/relationships/hyperlink" Target="http://www.itu.int/md/S12-WTPF13PREP-C-0024/en" TargetMode="External"/><Relationship Id="rId181" Type="http://schemas.openxmlformats.org/officeDocument/2006/relationships/hyperlink" Target="http://www.icann.org/en/groups/board/documents/rationale-economic-studies-21mar11-en" TargetMode="External"/><Relationship Id="rId216" Type="http://schemas.openxmlformats.org/officeDocument/2006/relationships/hyperlink" Target="http://www.icann.org/en/resources/policy/update/update-jul09-en.htm" TargetMode="External"/><Relationship Id="rId237" Type="http://schemas.openxmlformats.org/officeDocument/2006/relationships/hyperlink" Target="http://www.icann.org/en/about/governance/bylaws" TargetMode="External"/><Relationship Id="rId22" Type="http://schemas.openxmlformats.org/officeDocument/2006/relationships/hyperlink" Target="http://www.itu.int/md/S12-WTPF13PREP-C-0017/en" TargetMode="External"/><Relationship Id="rId43" Type="http://schemas.openxmlformats.org/officeDocument/2006/relationships/hyperlink" Target="http://www.oecd.org/dataoecd/11/58/49258588.pdf" TargetMode="External"/><Relationship Id="rId64" Type="http://schemas.openxmlformats.org/officeDocument/2006/relationships/hyperlink" Target="http://www.itu.int/md/S13-WTPF13IEG3-C-0020/en" TargetMode="External"/><Relationship Id="rId118" Type="http://schemas.openxmlformats.org/officeDocument/2006/relationships/hyperlink" Target="http://www.worldipv6launch.org/" TargetMode="External"/><Relationship Id="rId139" Type="http://schemas.openxmlformats.org/officeDocument/2006/relationships/hyperlink" Target="http://www.itu.int/md/S12-WTPF13PREP-C-0023/en" TargetMode="External"/><Relationship Id="rId85" Type="http://schemas.openxmlformats.org/officeDocument/2006/relationships/hyperlink" Target="http://files.hisashikobayashi.com/articles/20080623_Kenynote_NICT_slide.pdf" TargetMode="External"/><Relationship Id="rId150" Type="http://schemas.openxmlformats.org/officeDocument/2006/relationships/hyperlink" Target="http://www.itu.int/md/S12-WTPF13PREP-C-0033/en" TargetMode="External"/><Relationship Id="rId171" Type="http://schemas.openxmlformats.org/officeDocument/2006/relationships/hyperlink" Target="http://archive.icann.org/en/topics/new-gtlds/gac-board-root-zone-scaling-21feb11-en.pdf" TargetMode="External"/><Relationship Id="rId192" Type="http://schemas.openxmlformats.org/officeDocument/2006/relationships/hyperlink" Target="http://www.bakerlaw.com/files/Uploads/Documents/News/Articles/INTELLECTUAL%20PROPERTY/2011/IPO_Comments_Einhorn-3-2011.pdf" TargetMode="External"/><Relationship Id="rId206"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27" Type="http://schemas.openxmlformats.org/officeDocument/2006/relationships/hyperlink" Target="http://www.icann.org/en/news/public-comment/idn-variant-tld-revised-program-plan-04may12-en.htm" TargetMode="External"/><Relationship Id="rId248" Type="http://schemas.openxmlformats.org/officeDocument/2006/relationships/hyperlink" Target="http://www.broadbandcommission.org/Reports/Report_2.pdf" TargetMode="External"/><Relationship Id="rId12" Type="http://schemas.openxmlformats.org/officeDocument/2006/relationships/hyperlink" Target="http://www.itu.int/md/S12-WTPF13PREP-C-0033/en" TargetMode="External"/><Relationship Id="rId17" Type="http://schemas.openxmlformats.org/officeDocument/2006/relationships/hyperlink" Target="http://www.justice.gov/criminal/ceos/downloads/G8MinistersDeclaration20090530.pdf" TargetMode="External"/><Relationship Id="rId33" Type="http://schemas.openxmlformats.org/officeDocument/2006/relationships/hyperlink" Target="http://academy.itu.int/index.php/topics/item/967-internet-exchange-points" TargetMode="External"/><Relationship Id="rId38" Type="http://schemas.openxmlformats.org/officeDocument/2006/relationships/hyperlink" Target="http://www.internetworldstats.com/stats7.htm" TargetMode="External"/><Relationship Id="rId59" Type="http://schemas.openxmlformats.org/officeDocument/2006/relationships/hyperlink" Target="http://www.itu.int/md/S12-WTPF13PREP-C-0023/en" TargetMode="External"/><Relationship Id="rId103" Type="http://schemas.openxmlformats.org/officeDocument/2006/relationships/hyperlink" Target="http://www.itu.int/md/S13-WTPF13REPORT-C-0005" TargetMode="External"/><Relationship Id="rId108" Type="http://schemas.openxmlformats.org/officeDocument/2006/relationships/hyperlink" Target="http://tools.ietf.org/html/rfc2460" TargetMode="External"/><Relationship Id="rId124" Type="http://schemas.openxmlformats.org/officeDocument/2006/relationships/hyperlink" Target="http://labs.apnic.net/dists/v6dcc.html" TargetMode="External"/><Relationship Id="rId129" Type="http://schemas.openxmlformats.org/officeDocument/2006/relationships/hyperlink" Target="http://www.itu.int/md/S12-WTPF13PREP-C-0013/en" TargetMode="External"/><Relationship Id="rId54" Type="http://schemas.openxmlformats.org/officeDocument/2006/relationships/hyperlink" Target="http://www.itu.int/md/S12-WTPF13PREP-C-0014/en" TargetMode="External"/><Relationship Id="rId70" Type="http://schemas.openxmlformats.org/officeDocument/2006/relationships/hyperlink" Target="http://www.itu.int/md/S13-WTPF13IEG3-C-0019/en" TargetMode="External"/><Relationship Id="rId75" Type="http://schemas.openxmlformats.org/officeDocument/2006/relationships/hyperlink" Target="http://www.itu.int/en/membership/Pages/default.aspx" TargetMode="External"/><Relationship Id="rId91" Type="http://schemas.openxmlformats.org/officeDocument/2006/relationships/hyperlink" Target="http://www.itu.int/en/wcit-12/Documents/final-acts-wcit-12.pdf" TargetMode="External"/><Relationship Id="rId96" Type="http://schemas.openxmlformats.org/officeDocument/2006/relationships/hyperlink" Target="http://www.itu.int/md/S13-WTPF13REPORT-C-0004" TargetMode="External"/><Relationship Id="rId140" Type="http://schemas.openxmlformats.org/officeDocument/2006/relationships/hyperlink" Target="http://www.apnic.net/services/services-apnic-provides/resource-certification/RPKI" TargetMode="External"/><Relationship Id="rId145" Type="http://schemas.openxmlformats.org/officeDocument/2006/relationships/hyperlink" Target="http://www.itu.int/md/S12-WTPF13PREP-C-0015/en" TargetMode="External"/><Relationship Id="rId161" Type="http://schemas.openxmlformats.org/officeDocument/2006/relationships/hyperlink" Target="http://www.ana.net/getfile/17073" TargetMode="External"/><Relationship Id="rId166" Type="http://schemas.openxmlformats.org/officeDocument/2006/relationships/hyperlink" Target="http://www.itu.int/md/S13-WTPF13IEG3-C-0027/en" TargetMode="External"/><Relationship Id="rId182" Type="http://schemas.openxmlformats.org/officeDocument/2006/relationships/hyperlink" Target="http://www.itu.int/md/S12-WTPF13PREP-C-0033/en" TargetMode="External"/><Relationship Id="rId187" Type="http://schemas.openxmlformats.org/officeDocument/2006/relationships/hyperlink" Target="http://www.intgovforum.org/cms/component/content/article/102-transcripts2010/634-61" TargetMode="External"/><Relationship Id="rId217" Type="http://schemas.openxmlformats.org/officeDocument/2006/relationships/hyperlink" Target="http://www.internetgovernance.org/2008/02/15/eeny-meeny-miny-moe-will-verisign-control-the-root/"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tu.int/md/S13-WTPF13IEG3-C-0019/en" TargetMode="External"/><Relationship Id="rId233" Type="http://schemas.openxmlformats.org/officeDocument/2006/relationships/hyperlink" Target="http://www.itu.int/md/S12-WTPF13PREP-C-0013/en" TargetMode="External"/><Relationship Id="rId238" Type="http://schemas.openxmlformats.org/officeDocument/2006/relationships/hyperlink" Target="http://www.itu.int/md/S12-WTPF13PREP-C-0033/en" TargetMode="External"/><Relationship Id="rId23" Type="http://schemas.openxmlformats.org/officeDocument/2006/relationships/hyperlink" Target="http://www.internetsociety.org/localcontent/" TargetMode="External"/><Relationship Id="rId28" Type="http://schemas.openxmlformats.org/officeDocument/2006/relationships/hyperlink" Target="http://www.itu.int/newsarchive/press/WTPF98/TradeInTelecomsExSum.html" TargetMode="External"/><Relationship Id="rId49" Type="http://schemas.openxmlformats.org/officeDocument/2006/relationships/hyperlink" Target="http://www.itu.int/md/S13-WTPF13IEG3-C-0019/en" TargetMode="External"/><Relationship Id="rId114" Type="http://schemas.openxmlformats.org/officeDocument/2006/relationships/hyperlink" Target="http://labs.apnic.net/dists/v6dcc.html" TargetMode="External"/><Relationship Id="rId119" Type="http://schemas.openxmlformats.org/officeDocument/2006/relationships/hyperlink" Target="http://www.itu.int/md/S13-WTPF13REPORT-C-0008" TargetMode="External"/><Relationship Id="rId44" Type="http://schemas.openxmlformats.org/officeDocument/2006/relationships/hyperlink" Target="http://www.itu.int/md/S12-WTPF13PREP-C-0019/en" TargetMode="External"/><Relationship Id="rId60" Type="http://schemas.openxmlformats.org/officeDocument/2006/relationships/hyperlink" Target="http://www.itu.int/md/S13-WTPF13IEG3-C-0019/en" TargetMode="External"/><Relationship Id="rId65" Type="http://schemas.openxmlformats.org/officeDocument/2006/relationships/hyperlink" Target="http://www.itu.int/md/S13-WTPF13IEG3-C-0029/en" TargetMode="External"/><Relationship Id="rId81" Type="http://schemas.openxmlformats.org/officeDocument/2006/relationships/hyperlink" Target="http://berec.europa.eu/eng/document_register/subject_matter/berec/reports/?doc=1094" TargetMode="External"/><Relationship Id="rId86" Type="http://schemas.openxmlformats.org/officeDocument/2006/relationships/hyperlink" Target="http://www.itu.int/md/S12-WTPF13PREP-C-0013/en" TargetMode="External"/><Relationship Id="rId130" Type="http://schemas.openxmlformats.org/officeDocument/2006/relationships/hyperlink" Target="http://www.itu.int/md/S13-WTPF13REPORT-C-0006" TargetMode="External"/><Relationship Id="rId135" Type="http://schemas.openxmlformats.org/officeDocument/2006/relationships/hyperlink" Target="http://www.itu.int/md/S13-WTPF13REPORT-C-0003" TargetMode="External"/><Relationship Id="rId151" Type="http://schemas.openxmlformats.org/officeDocument/2006/relationships/hyperlink" Target="http://www.icann.org/en/resources/registries/about" TargetMode="External"/><Relationship Id="rId156" Type="http://schemas.openxmlformats.org/officeDocument/2006/relationships/hyperlink" Target="http://www.itu.int/md/S12-WTPF13PREP-C-0033/en" TargetMode="External"/><Relationship Id="rId177" Type="http://schemas.openxmlformats.org/officeDocument/2006/relationships/hyperlink" Target="http://www.icann.org/en/groups/board/documents/rationale-economic-studies-21mar11-en" TargetMode="External"/><Relationship Id="rId198" Type="http://schemas.openxmlformats.org/officeDocument/2006/relationships/hyperlink" Target="http://www.ntia.doc.gov/files/ntia/publications/affirmation_of_commitments_2009.pdf" TargetMode="External"/><Relationship Id="rId172" Type="http://schemas.openxmlformats.org/officeDocument/2006/relationships/hyperlink" Target="http://www.icann.org/en/committees/security/sac046.pdf" TargetMode="External"/><Relationship Id="rId193" Type="http://schemas.openxmlformats.org/officeDocument/2006/relationships/hyperlink" Target="http://www.itu.int/md/S13-WTPF13IEG3-C-0019/en" TargetMode="External"/><Relationship Id="rId202" Type="http://schemas.openxmlformats.org/officeDocument/2006/relationships/hyperlink" Target="http://www.itu.int/md/S12-WTPF13PREP-C-0033/en" TargetMode="External"/><Relationship Id="rId207" Type="http://schemas.openxmlformats.org/officeDocument/2006/relationships/hyperlink" Target="http://www.iso.org/iso/country_codes" TargetMode="External"/><Relationship Id="rId223" Type="http://schemas.openxmlformats.org/officeDocument/2006/relationships/hyperlink" Target="http://www.itu.int/md/S12-WTPF13PREP-C-0017/en" TargetMode="External"/><Relationship Id="rId228" Type="http://schemas.openxmlformats.org/officeDocument/2006/relationships/hyperlink" Target="http://www.icann.org/en/resources/idn/announcements" TargetMode="External"/><Relationship Id="rId244" Type="http://schemas.openxmlformats.org/officeDocument/2006/relationships/hyperlink" Target="http://archive.icann.org/en/committees/board-gac-2009/board-gac-jwg-final-report-19jun11-en.pdf" TargetMode="External"/><Relationship Id="rId249" Type="http://schemas.openxmlformats.org/officeDocument/2006/relationships/hyperlink" Target="http://www.broadbandcommission.org/Documents/bb-annualreport2012.pdf" TargetMode="External"/><Relationship Id="rId13" Type="http://schemas.openxmlformats.org/officeDocument/2006/relationships/hyperlink" Target="http://www.isoc.org/inet2000/cdproceedings/8e/8e_1.htm" TargetMode="External"/><Relationship Id="rId18" Type="http://schemas.openxmlformats.org/officeDocument/2006/relationships/hyperlink" Target="http://www.symanteccloud.com/en/us/globalthreats/" TargetMode="External"/><Relationship Id="rId39" Type="http://schemas.openxmlformats.org/officeDocument/2006/relationships/hyperlink" Target="http://www.itu.int/ITU-D/ict/publications/idi/index.html" TargetMode="External"/><Relationship Id="rId109" Type="http://schemas.openxmlformats.org/officeDocument/2006/relationships/hyperlink" Target="http://www.iana.org/numbers" TargetMode="External"/><Relationship Id="rId34" Type="http://schemas.openxmlformats.org/officeDocument/2006/relationships/hyperlink" Target="http://www.itu.int/ITU-D/cyb/ip/index.html" TargetMode="External"/><Relationship Id="rId50" Type="http://schemas.openxmlformats.org/officeDocument/2006/relationships/hyperlink" Target="http://www.whitehouse.gov/sites/default/files/rss_viewer/international_strategy_for_cyberspace.pdf" TargetMode="External"/><Relationship Id="rId55" Type="http://schemas.openxmlformats.org/officeDocument/2006/relationships/hyperlink" Target="http://www.itu.int/md/S12-WTPF13PREP-C-0007/en" TargetMode="External"/><Relationship Id="rId76" Type="http://schemas.openxmlformats.org/officeDocument/2006/relationships/hyperlink" Target="http://www.itu.int/en/membership/Pages/default.aspx" TargetMode="External"/><Relationship Id="rId97" Type="http://schemas.openxmlformats.org/officeDocument/2006/relationships/hyperlink" Target="http://www.itu.int/md/S12-WTPF13PREP-C-0013/en" TargetMode="External"/><Relationship Id="rId104" Type="http://schemas.openxmlformats.org/officeDocument/2006/relationships/hyperlink" Target="http://www.itu.int/md/S13-WTPF13IEG3-C-0018/en" TargetMode="External"/><Relationship Id="rId120" Type="http://schemas.openxmlformats.org/officeDocument/2006/relationships/hyperlink" Target="http://www.itu.int/md/S12-WTPF13PREP-C-0012/en" TargetMode="External"/><Relationship Id="rId125" Type="http://schemas.openxmlformats.org/officeDocument/2006/relationships/hyperlink" Target="http://www.itu.int/md/S12-WTPF13PREP-C-0039/en" TargetMode="External"/><Relationship Id="rId141" Type="http://schemas.openxmlformats.org/officeDocument/2006/relationships/hyperlink" Target="https://www.internetsociety.org/doc/technopolicy-primer-resource-public-key-infrastructure-rpki-0" TargetMode="External"/><Relationship Id="rId146" Type="http://schemas.openxmlformats.org/officeDocument/2006/relationships/hyperlink" Target="http://wsms1.intgovforum.org/content/no69-teaching-internet-governance-developing-countries" TargetMode="External"/><Relationship Id="rId167" Type="http://schemas.openxmlformats.org/officeDocument/2006/relationships/hyperlink" Target="https://gacweb.icann.org/display/gacweb/GAC41+Meeting+Singapore%2C+Republic+of+Singapore" TargetMode="External"/><Relationship Id="rId188" Type="http://schemas.openxmlformats.org/officeDocument/2006/relationships/hyperlink" Target="http://www.icann.org/en/correspondence/wilbers-to-beckstrom-13may11-en.pdf" TargetMode="External"/><Relationship Id="rId7" Type="http://schemas.openxmlformats.org/officeDocument/2006/relationships/hyperlink" Target="http://www.itu.int/md/S12-WTPF13PREP-C-0018/en" TargetMode="External"/><Relationship Id="rId71" Type="http://schemas.openxmlformats.org/officeDocument/2006/relationships/hyperlink" Target="http://www.itu.int/md/S12-WTPF13PREP-C-0017/en" TargetMode="External"/><Relationship Id="rId92" Type="http://schemas.openxmlformats.org/officeDocument/2006/relationships/hyperlink" Target="http://www.itu.int/md/S12-WTPF13PREP-C-0023/en" TargetMode="External"/><Relationship Id="rId162" Type="http://schemas.openxmlformats.org/officeDocument/2006/relationships/hyperlink" Target="http://www.ftc.gov/os/closings/publicltrs/111216letter-to-icann.pdf" TargetMode="External"/><Relationship Id="rId183" Type="http://schemas.openxmlformats.org/officeDocument/2006/relationships/hyperlink" Target="http://www.itu.int/md/S12-WTPF13PREP-C-0033/en" TargetMode="External"/><Relationship Id="rId213" Type="http://schemas.openxmlformats.org/officeDocument/2006/relationships/hyperlink" Target="http://www.itu.int/md/S12-WTPF13PREP-C-0024/en" TargetMode="External"/><Relationship Id="rId218" Type="http://schemas.openxmlformats.org/officeDocument/2006/relationships/hyperlink" Target="http://www.internetgovernance.org/2009/06/12/former-principal-scientist-at-verisign-blasts-us-control-of-dnssec-root-signing/" TargetMode="External"/><Relationship Id="rId234" Type="http://schemas.openxmlformats.org/officeDocument/2006/relationships/hyperlink" Target="http://royal.pingdom.com/2012/05/07/the-very-uneven-distribution-of-dns-root-servers-on-the-internet/" TargetMode="External"/><Relationship Id="rId239" Type="http://schemas.openxmlformats.org/officeDocument/2006/relationships/hyperlink" Target="http://www.itu.int/md/S12-WTPF13PREP-C-0023/en"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ict/publications/wtdr_02" TargetMode="External"/><Relationship Id="rId24" Type="http://schemas.openxmlformats.org/officeDocument/2006/relationships/hyperlink" Target="http://www.itu.int/md/S12-WTPF13PREP-C-0033/en" TargetMode="External"/><Relationship Id="rId40" Type="http://schemas.openxmlformats.org/officeDocument/2006/relationships/hyperlink" Target="http://www.itu.int/md/S12-WTPF13PREP-C-0033/en" TargetMode="External"/><Relationship Id="rId45" Type="http://schemas.openxmlformats.org/officeDocument/2006/relationships/hyperlink" Target="http://www.itu.int/wsis/docs2/tunis/off/6rev1.html" TargetMode="External"/><Relationship Id="rId66" Type="http://schemas.openxmlformats.org/officeDocument/2006/relationships/hyperlink" Target="http://unctad.org/en/Pages/MeetingDetails.aspx?meetingid=61" TargetMode="External"/><Relationship Id="rId87" Type="http://schemas.openxmlformats.org/officeDocument/2006/relationships/hyperlink" Target="http://www.itu.int/md/S13-WTPF13IEG3-C-0019/en" TargetMode="External"/><Relationship Id="rId110" Type="http://schemas.openxmlformats.org/officeDocument/2006/relationships/hyperlink" Target="https://www.iana.org/reports/1999/ipv6-announcement.html" TargetMode="External"/><Relationship Id="rId115" Type="http://schemas.openxmlformats.org/officeDocument/2006/relationships/hyperlink" Target="http://www.itu.int/md/S12-WTPF13PREP-C-0021/en" TargetMode="External"/><Relationship Id="rId131" Type="http://schemas.openxmlformats.org/officeDocument/2006/relationships/hyperlink" Target="http://www.itu.int/md/S12-WTPF13PREP-C-0021/en" TargetMode="External"/><Relationship Id="rId136" Type="http://schemas.openxmlformats.org/officeDocument/2006/relationships/hyperlink" Target="http://www.itu.int/md/S12-WTPF13PREP-C-0010/en" TargetMode="External"/><Relationship Id="rId157" Type="http://schemas.openxmlformats.org/officeDocument/2006/relationships/hyperlink" Target="http://www.itu.int/md/S13-WTPF13IEG3-C-0022/en" TargetMode="External"/><Relationship Id="rId178" Type="http://schemas.openxmlformats.org/officeDocument/2006/relationships/hyperlink" Target="http://lawreview.wustl.edu/in-print/icanns-escape-from-antitrust-liability/" TargetMode="External"/><Relationship Id="rId61" Type="http://schemas.openxmlformats.org/officeDocument/2006/relationships/hyperlink" Target="http://articles.timesofindia.indiatimes.com/2012-07-30/edit-page/32924041_1_internet-governance-internet-corporation-root-servers" TargetMode="External"/><Relationship Id="rId82" Type="http://schemas.openxmlformats.org/officeDocument/2006/relationships/hyperlink" Target="http://www.itu.int/md/S13-WTPF13IEG3-C-0027/en" TargetMode="External"/><Relationship Id="rId152" Type="http://schemas.openxmlformats.org/officeDocument/2006/relationships/hyperlink" Target="http://data.iana.org/TLD/tlds-alpha-by-domain.txt" TargetMode="External"/><Relationship Id="rId173" Type="http://schemas.openxmlformats.org/officeDocument/2006/relationships/hyperlink" Target="http://archive.icann.org/en/topics/new-gtlds/summary-of-impact-root-zone-scaling-06oct10-en.pdf" TargetMode="External"/><Relationship Id="rId194" Type="http://schemas.openxmlformats.org/officeDocument/2006/relationships/hyperlink" Target="http://www.icann.org/en/news/correspondence/igo-counsels-to-beckstrom-et-al-13dec11-en.pdf" TargetMode="External"/><Relationship Id="rId199" Type="http://schemas.openxmlformats.org/officeDocument/2006/relationships/hyperlink" Target="http://www.ntia.doc.gov/files/ntia/publications/affirmation_of_commitments_2009.pdf" TargetMode="External"/><Relationship Id="rId203" Type="http://schemas.openxmlformats.org/officeDocument/2006/relationships/hyperlink" Target="http://www.iana.org/domains/root/delegation-guide/" TargetMode="External"/><Relationship Id="rId208" Type="http://schemas.openxmlformats.org/officeDocument/2006/relationships/hyperlink" Target="http://www.itu.int/md/S12-WTPF13PREP-C-0013/en" TargetMode="External"/><Relationship Id="rId229" Type="http://schemas.openxmlformats.org/officeDocument/2006/relationships/hyperlink" Target="http://www.root-servers.org/" TargetMode="External"/><Relationship Id="rId19" Type="http://schemas.openxmlformats.org/officeDocument/2006/relationships/hyperlink" Target="http://www.cisco.com/en/US/prod/collateral/vpndevc/security_annual_report_2011.pdf" TargetMode="External"/><Relationship Id="rId224" Type="http://schemas.openxmlformats.org/officeDocument/2006/relationships/hyperlink" Target="http://www.itu.int/md/S12-WTPF13PREP-C-0021/en" TargetMode="External"/><Relationship Id="rId240" Type="http://schemas.openxmlformats.org/officeDocument/2006/relationships/hyperlink" Target="https://gacweb.icann.org/display/gacweb/GAC+Members" TargetMode="External"/><Relationship Id="rId245" Type="http://schemas.openxmlformats.org/officeDocument/2006/relationships/hyperlink" Target="http://www.itu.int/md/S12-WTPF13PREP-C-0033/en" TargetMode="External"/><Relationship Id="rId14" Type="http://schemas.openxmlformats.org/officeDocument/2006/relationships/hyperlink" Target="http://www.valueoftheweb.com" TargetMode="External"/><Relationship Id="rId30" Type="http://schemas.openxmlformats.org/officeDocument/2006/relationships/hyperlink" Target="http://www.itu.int/ITU-D/ict/publications/wtdr_02" TargetMode="External"/><Relationship Id="rId35" Type="http://schemas.openxmlformats.org/officeDocument/2006/relationships/hyperlink" Target="http://www.internetsociety.org/ixpimpact" TargetMode="External"/><Relationship Id="rId56" Type="http://schemas.openxmlformats.org/officeDocument/2006/relationships/hyperlink" Target="http://www.itu.int/md/S13-WTPF13IEG3-C-0019/en" TargetMode="External"/><Relationship Id="rId77" Type="http://schemas.openxmlformats.org/officeDocument/2006/relationships/hyperlink" Target="http://www.itu.int/md/S12-WTPF13PREP-C-0024/en" TargetMode="External"/><Relationship Id="rId100" Type="http://schemas.openxmlformats.org/officeDocument/2006/relationships/hyperlink" Target="http://www.telegeography.com" TargetMode="External"/><Relationship Id="rId105" Type="http://schemas.openxmlformats.org/officeDocument/2006/relationships/hyperlink" Target="http://www.ntia.doc.gov/files/ntia/publications/sf_26_pg_1-2-final_award_and_sacs.pdf" TargetMode="External"/><Relationship Id="rId126" Type="http://schemas.openxmlformats.org/officeDocument/2006/relationships/hyperlink" Target="http://www.itu.int/md/S12-WTPF13PREP-C-0014/en" TargetMode="External"/><Relationship Id="rId147" Type="http://schemas.openxmlformats.org/officeDocument/2006/relationships/hyperlink" Target="http://www.itu.int/md/S13-WTPF13IEG3-C-0005/en" TargetMode="External"/><Relationship Id="rId168" Type="http://schemas.openxmlformats.org/officeDocument/2006/relationships/hyperlink" Target="http://newgtlds.icann.org/en/announcements-and-media/announcement-29jul12-en" TargetMode="External"/><Relationship Id="rId8" Type="http://schemas.openxmlformats.org/officeDocument/2006/relationships/hyperlink" Target="http://www.itu.int/md/S12-WTPF13PREP-C-0015/en" TargetMode="External"/><Relationship Id="rId51" Type="http://schemas.openxmlformats.org/officeDocument/2006/relationships/hyperlink" Target="http://cgi.br/" TargetMode="External"/><Relationship Id="rId72" Type="http://schemas.openxmlformats.org/officeDocument/2006/relationships/hyperlink" Target="http://www.itu.int/md/S12-WTPF13PREP-C-0021/en" TargetMode="External"/><Relationship Id="rId93" Type="http://schemas.openxmlformats.org/officeDocument/2006/relationships/hyperlink" Target="http://www.itu.int/md/S13-WTPF13IEG3-C-0019/en" TargetMode="External"/><Relationship Id="rId98" Type="http://schemas.openxmlformats.org/officeDocument/2006/relationships/hyperlink" Target="http://www.itu.int/md/S12-WTPF13PREP-C-0024/en" TargetMode="External"/><Relationship Id="rId121" Type="http://schemas.openxmlformats.org/officeDocument/2006/relationships/hyperlink" Target="http://www.itu.int/md/S12-WTPF13PREP-C-0014/en" TargetMode="External"/><Relationship Id="rId142" Type="http://schemas.openxmlformats.org/officeDocument/2006/relationships/hyperlink" Target="http://www.itu.int/md/S12-WTPF13PREP-C-0016/en" TargetMode="External"/><Relationship Id="rId163" Type="http://schemas.openxmlformats.org/officeDocument/2006/relationships/hyperlink" Target="http://www.ftc.gov/os/.../111216letter-to-icann.pdf" TargetMode="External"/><Relationship Id="rId184" Type="http://schemas.openxmlformats.org/officeDocument/2006/relationships/hyperlink" Target="http://www.icann.org/en/news/correspondence/jaffe-to-beckstrom-07may12-en.pdf" TargetMode="External"/><Relationship Id="rId189" Type="http://schemas.openxmlformats.org/officeDocument/2006/relationships/hyperlink" Target="http://newgtlds.icann.org/en/applicants/agb" TargetMode="External"/><Relationship Id="rId219" Type="http://schemas.openxmlformats.org/officeDocument/2006/relationships/hyperlink" Target="http://www.itu.int/md/S12-WTPF13PREP-C-0013/en"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itu.int/md/S13-WTPF13IEG3-C-0029/en" TargetMode="External"/><Relationship Id="rId230" Type="http://schemas.openxmlformats.org/officeDocument/2006/relationships/hyperlink" Target="http://royal.pingdom.com/2012/05/07/the-very-uneven-distribution-of-dns-root-servers-on-the-internet/" TargetMode="External"/><Relationship Id="rId235" Type="http://schemas.openxmlformats.org/officeDocument/2006/relationships/hyperlink" Target="http://root-servers.org/" TargetMode="External"/><Relationship Id="rId25" Type="http://schemas.openxmlformats.org/officeDocument/2006/relationships/hyperlink" Target="http://www.itu.int/broadband/" TargetMode="External"/><Relationship Id="rId46" Type="http://schemas.openxmlformats.org/officeDocument/2006/relationships/hyperlink" Target="http://www.wgig.org/members.html" TargetMode="External"/><Relationship Id="rId67" Type="http://schemas.openxmlformats.org/officeDocument/2006/relationships/hyperlink" Target="http://unctad.org/meetings/en/SessionalDocuments/a66d77_en.pdf" TargetMode="External"/><Relationship Id="rId116" Type="http://schemas.openxmlformats.org/officeDocument/2006/relationships/hyperlink" Target="http://www.itu.int/md/S13-WTPF13IEG3-C-0022/en" TargetMode="External"/><Relationship Id="rId137" Type="http://schemas.openxmlformats.org/officeDocument/2006/relationships/hyperlink" Target="http://www.itu.int/md/S12-WTPF13PREP-C-0021/en" TargetMode="External"/><Relationship Id="rId158" Type="http://schemas.openxmlformats.org/officeDocument/2006/relationships/hyperlink" Target="http://www.itu.int/md/S12-WTPF13PREP-C-0033/en" TargetMode="External"/><Relationship Id="rId20" Type="http://schemas.openxmlformats.org/officeDocument/2006/relationships/hyperlink" Target="http://www.itu.int/md/S12-WTPF13PREP-C-0032/en" TargetMode="External"/><Relationship Id="rId41" Type="http://schemas.openxmlformats.org/officeDocument/2006/relationships/hyperlink" Target="http://cgt.columbia.edu/files/papers/1999_Knowledge_as_Global_Public_Good_stiglitz.pdf" TargetMode="External"/><Relationship Id="rId62" Type="http://schemas.openxmlformats.org/officeDocument/2006/relationships/hyperlink" Target="http://www.itu.int/md/S12-WTPF13PREP-C-0017/en" TargetMode="External"/><Relationship Id="rId83" Type="http://schemas.openxmlformats.org/officeDocument/2006/relationships/hyperlink" Target="http://www.itu.int/dms_pub/itu-t/oth/23/01/T230100000A0001PDFE.pdf" TargetMode="External"/><Relationship Id="rId88" Type="http://schemas.openxmlformats.org/officeDocument/2006/relationships/hyperlink" Target="http://www.itu.int/ITU-T/worksem/apportionment/201201/index.html" TargetMode="External"/><Relationship Id="rId111" Type="http://schemas.openxmlformats.org/officeDocument/2006/relationships/hyperlink" Target="http://www.itu.int/md/S12-WTPF13PREP-C-0012/en" TargetMode="External"/><Relationship Id="rId132" Type="http://schemas.openxmlformats.org/officeDocument/2006/relationships/hyperlink" Target="http://internetgovernance.org/pdf/CyberDialogue2012_Mueller.pdf" TargetMode="External"/><Relationship Id="rId153" Type="http://schemas.openxmlformats.org/officeDocument/2006/relationships/hyperlink" Target="http://www.itu.int/en/ITU-T/inr/enum/Pages/default.aspx" TargetMode="External"/><Relationship Id="rId174" Type="http://schemas.openxmlformats.org/officeDocument/2006/relationships/hyperlink" Target="http://www.domainnamenews.com/new-gtlds/new-gtlds-competition-or-concentration-innovation-or-domination/11833" TargetMode="External"/><Relationship Id="rId179" Type="http://schemas.openxmlformats.org/officeDocument/2006/relationships/hyperlink" Target="http://www.icann.org/en/topics/new-gtlds/economic-analysis-of-new-gtlds-16jun10-en.pdf" TargetMode="External"/><Relationship Id="rId195" Type="http://schemas.openxmlformats.org/officeDocument/2006/relationships/hyperlink" Target="http://www.icann.org/en/news/correspondence/stelzer-to-atallah-11jul12-en" TargetMode="External"/><Relationship Id="rId209" Type="http://schemas.openxmlformats.org/officeDocument/2006/relationships/hyperlink" Target="http://jolt.richmond.edu/v9i1/article4.html" TargetMode="External"/><Relationship Id="rId190" Type="http://schemas.openxmlformats.org/officeDocument/2006/relationships/hyperlink" Target="http://www.itu.int/md/S12-WTPF13PREP-C-0033/en" TargetMode="External"/><Relationship Id="rId204" Type="http://schemas.openxmlformats.org/officeDocument/2006/relationships/hyperlink" Target="http://www.ntia.doc.gov/files/ntia/publications/sf_26_pg_1-2-final_award_and_sacs.pdf" TargetMode="External"/><Relationship Id="rId220" Type="http://schemas.openxmlformats.org/officeDocument/2006/relationships/hyperlink" Target="http://www.itu.int/md/S12-WTPF13PREP-C-0015/en" TargetMode="External"/><Relationship Id="rId225" Type="http://schemas.openxmlformats.org/officeDocument/2006/relationships/hyperlink" Target="http://www.itu.int/md/S12-WTPF13PREP-C-0024/en" TargetMode="External"/><Relationship Id="rId241" Type="http://schemas.openxmlformats.org/officeDocument/2006/relationships/hyperlink" Target="http://www.itu.int/md/S12-WTPF13PREP-C-0023/en" TargetMode="External"/><Relationship Id="rId246" Type="http://schemas.openxmlformats.org/officeDocument/2006/relationships/hyperlink" Target="http://www.itu.int/md/S12-WTPF13PREP-C-0033/en" TargetMode="External"/><Relationship Id="rId15" Type="http://schemas.openxmlformats.org/officeDocument/2006/relationships/hyperlink" Target="http://www.symantec.com/about/news/release/article.jsp?prid=20110524_02" TargetMode="External"/><Relationship Id="rId36" Type="http://schemas.openxmlformats.org/officeDocument/2006/relationships/hyperlink" Target="http://point-topic.com/dslanalysis.php" TargetMode="External"/><Relationship Id="rId57" Type="http://schemas.openxmlformats.org/officeDocument/2006/relationships/hyperlink" Target="http://www.itu.int/md/S12-WTPF13PREP-C-0015/en" TargetMode="External"/><Relationship Id="rId106" Type="http://schemas.openxmlformats.org/officeDocument/2006/relationships/hyperlink" Target="http://www.itu.int/md/S12-WTPF13PREP-C-0039/en" TargetMode="External"/><Relationship Id="rId127" Type="http://schemas.openxmlformats.org/officeDocument/2006/relationships/hyperlink" Target="http://www.itu.int/md/S12-WTPF13PREP-C-0015/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ITU-D/treg/publications/trends07.html" TargetMode="External"/><Relationship Id="rId52" Type="http://schemas.openxmlformats.org/officeDocument/2006/relationships/hyperlink" Target="http://eur-lex.europa.eu/LexUriServ/LexUriServ.do?uri=COM:2009:0277:FIN:EN:PDF" TargetMode="External"/><Relationship Id="rId73" Type="http://schemas.openxmlformats.org/officeDocument/2006/relationships/hyperlink" Target="http://www.itu.int/md/S12-WTPF13PREP-C-0014/en" TargetMode="External"/><Relationship Id="rId78" Type="http://schemas.openxmlformats.org/officeDocument/2006/relationships/hyperlink" Target="http://www.itu.int/md/S12-WTPF13PREP-C-0024/en" TargetMode="External"/><Relationship Id="rId94" Type="http://schemas.openxmlformats.org/officeDocument/2006/relationships/hyperlink" Target="http://www.internetsociety.org/qos-emperors-wardrobe-geoff-huston-isp-column" TargetMode="External"/><Relationship Id="rId99" Type="http://schemas.openxmlformats.org/officeDocument/2006/relationships/hyperlink" Target="http://blog.telegeography.com/post/32390008437" TargetMode="External"/><Relationship Id="rId101" Type="http://schemas.openxmlformats.org/officeDocument/2006/relationships/hyperlink" Target="http://www.atkearney.com/index.php/Publications/a-viable-future-model-for-the-internet.html" TargetMode="External"/><Relationship Id="rId122" Type="http://schemas.openxmlformats.org/officeDocument/2006/relationships/hyperlink" Target="http://www.itu.int/md/S12-WTPF13PREP-C-0023/en" TargetMode="External"/><Relationship Id="rId143" Type="http://schemas.openxmlformats.org/officeDocument/2006/relationships/hyperlink" Target="http://blog.internetgovernance.org/blog/_archives/2010/3/13/4479658.html" TargetMode="External"/><Relationship Id="rId148" Type="http://schemas.openxmlformats.org/officeDocument/2006/relationships/hyperlink" Target="http://www.itu.int/md/S12-WTPF13PREP-C-0024/en" TargetMode="External"/><Relationship Id="rId164" Type="http://schemas.openxmlformats.org/officeDocument/2006/relationships/hyperlink" Target="http://www.icann.org/en/news/correspondence/leahy-et-al-to-atallah-07aug12-en" TargetMode="External"/><Relationship Id="rId169" Type="http://schemas.openxmlformats.org/officeDocument/2006/relationships/hyperlink" Target="http://www.itu.int/md/S12-WTPF13PREP-C-0033/en" TargetMode="External"/><Relationship Id="rId185" Type="http://schemas.openxmlformats.org/officeDocument/2006/relationships/hyperlink" Target="http://www.ana.net/getfile/16997"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cann.org/en/topics/new-gtlds/phase-two-economic-considerations-03dec10-en.pdf" TargetMode="External"/><Relationship Id="rId210" Type="http://schemas.openxmlformats.org/officeDocument/2006/relationships/hyperlink" Target="http://ijclp.net/files/ijclp_web-doc_10-13-2009.pdf" TargetMode="External"/><Relationship Id="rId215" Type="http://schemas.openxmlformats.org/officeDocument/2006/relationships/hyperlink" Target="http://www.itu.int/md/S12-WTPF13PREP-C-0033/en" TargetMode="External"/><Relationship Id="rId236" Type="http://schemas.openxmlformats.org/officeDocument/2006/relationships/hyperlink" Target="https://gacweb.icann.org/display/gacweb/About+The+GAC" TargetMode="External"/><Relationship Id="rId26" Type="http://schemas.openxmlformats.org/officeDocument/2006/relationships/hyperlink" Target="http://www.itu.int/ITU-D/ict/publications/wtdr_02/" TargetMode="External"/><Relationship Id="rId231" Type="http://schemas.openxmlformats.org/officeDocument/2006/relationships/hyperlink" Target="http://www.itu.int/md/S12-WTPF13PREP-C-0024/en" TargetMode="External"/><Relationship Id="rId47" Type="http://schemas.openxmlformats.org/officeDocument/2006/relationships/hyperlink" Target="http://www.itu.int/md/S12-WTPF13PREP-C-0037/en" TargetMode="External"/><Relationship Id="rId68" Type="http://schemas.openxmlformats.org/officeDocument/2006/relationships/hyperlink" Target="http://www.unpan.org/DPADM/EGovernment/WSISImplementationMechanism/CommentsonWSISFollowup/tabid/1448/language/en-US/Default.aspx" TargetMode="External"/><Relationship Id="rId89" Type="http://schemas.openxmlformats.org/officeDocument/2006/relationships/hyperlink" Target="http://www.itu.int/md/S12-WTPF13PREP-C-0031/en" TargetMode="External"/><Relationship Id="rId112" Type="http://schemas.openxmlformats.org/officeDocument/2006/relationships/hyperlink" Target="http://www.itu.int/md/S12-WTPF13PREP-C-0019/en" TargetMode="External"/><Relationship Id="rId133" Type="http://schemas.openxmlformats.org/officeDocument/2006/relationships/hyperlink" Target="http://ieeexplore.ieee.org/xpl/articleDetails.jsp?reload=true&amp;arnumber=5423069&amp;contentType=Conference+Publications" TargetMode="External"/><Relationship Id="rId154" Type="http://schemas.openxmlformats.org/officeDocument/2006/relationships/hyperlink" Target="http://www.itu.int/md/S13-WTPF13IEG3-C-0023/en" TargetMode="External"/><Relationship Id="rId175" Type="http://schemas.openxmlformats.org/officeDocument/2006/relationships/hyperlink" Target="http://www.icann.org/en/correspondence/strickling-to-dengate-thrush-16jun11-en.pdf" TargetMode="External"/><Relationship Id="rId196" Type="http://schemas.openxmlformats.org/officeDocument/2006/relationships/hyperlink" Target="http://archive.icann.org/en/topics/new-gtlds/gac-principles-regarding-new-gtlds-28mar07-en.pdf" TargetMode="External"/><Relationship Id="rId200" Type="http://schemas.openxmlformats.org/officeDocument/2006/relationships/hyperlink" Target="http://www.itu.int/md/S12-WTPF13PREP-C-0033/en" TargetMode="External"/><Relationship Id="rId16" Type="http://schemas.openxmlformats.org/officeDocument/2006/relationships/hyperlink" Target="http://www.itu.int/osg/csd/cybersecurity/gca/cop/" TargetMode="External"/><Relationship Id="rId221" Type="http://schemas.openxmlformats.org/officeDocument/2006/relationships/hyperlink" Target="http://www.itu.int/md/S12-WTPF13PREP-C-0033/en" TargetMode="External"/><Relationship Id="rId242" Type="http://schemas.openxmlformats.org/officeDocument/2006/relationships/hyperlink" Target="http://www.itu.int/md/S12-WTPF13PREP-C-0033/en" TargetMode="External"/><Relationship Id="rId37" Type="http://schemas.openxmlformats.org/officeDocument/2006/relationships/hyperlink" Target="http://www.itu.int/ITU-D/ict/statistics/at_glance/KeyTelecom.html" TargetMode="External"/><Relationship Id="rId58" Type="http://schemas.openxmlformats.org/officeDocument/2006/relationships/hyperlink" Target="http://www.itu.int/md/S12-WTPF13PREP-C-0013/en" TargetMode="External"/><Relationship Id="rId79" Type="http://schemas.openxmlformats.org/officeDocument/2006/relationships/hyperlink" Target="http://www.itu.int/md/S12-WTPF13PREP-C-0033/en" TargetMode="External"/><Relationship Id="rId102" Type="http://schemas.openxmlformats.org/officeDocument/2006/relationships/hyperlink" Target="http://www.itu.int/md/S13-WTPF13REPORT-C-0005" TargetMode="External"/><Relationship Id="rId123" Type="http://schemas.openxmlformats.org/officeDocument/2006/relationships/hyperlink" Target="https://labs.ripe.net/Members/emileaben/world-ipv6-launch-lasting-effect-on-content" TargetMode="External"/><Relationship Id="rId144" Type="http://schemas.openxmlformats.org/officeDocument/2006/relationships/hyperlink" Target="http://www.itu.int/md/S12-WTPF13PREP-C-0012/en" TargetMode="External"/><Relationship Id="rId90" Type="http://schemas.openxmlformats.org/officeDocument/2006/relationships/hyperlink" Target="http://www.itu.int/ITU-T/worksem/apportionment/201201/index.html" TargetMode="External"/><Relationship Id="rId165" Type="http://schemas.openxmlformats.org/officeDocument/2006/relationships/hyperlink" Target="http://www.itu.int/md/S13-WTPF13IEG3-C-0019/en" TargetMode="External"/><Relationship Id="rId186" Type="http://schemas.openxmlformats.org/officeDocument/2006/relationships/hyperlink" Target="http://www.bakerlaw.com/files/Uploads/Documents/News/Articles/INTELLECTUAL%20PROPERTY/2011/IPO_Comments_Einhorn-3-2011.pdf" TargetMode="External"/><Relationship Id="rId211" Type="http://schemas.openxmlformats.org/officeDocument/2006/relationships/hyperlink" Target="http://www.itu.int/md/S12-WTPF13PREP-C-0040/en" TargetMode="External"/><Relationship Id="rId232" Type="http://schemas.openxmlformats.org/officeDocument/2006/relationships/hyperlink" Target="http://www.itu.int/md/S12-WTPF13PREP-C-0024/en" TargetMode="External"/><Relationship Id="rId27" Type="http://schemas.openxmlformats.org/officeDocument/2006/relationships/hyperlink" Target="http://www.itu.int/newsarchive/press/WTPF98/TradeInTelecomsExSum.html" TargetMode="External"/><Relationship Id="rId48" Type="http://schemas.openxmlformats.org/officeDocument/2006/relationships/hyperlink" Target="http://www.itu.int/md/S12-WTPF13PREP-C-0009/en" TargetMode="External"/><Relationship Id="rId69" Type="http://schemas.openxmlformats.org/officeDocument/2006/relationships/hyperlink" Target="http://www.itu.int/md/S12-WTPF13PREP-C-0013/en" TargetMode="External"/><Relationship Id="rId113" Type="http://schemas.openxmlformats.org/officeDocument/2006/relationships/hyperlink" Target="http://bgp.potaroo.net/v6/as2.0/" TargetMode="External"/><Relationship Id="rId134" Type="http://schemas.openxmlformats.org/officeDocument/2006/relationships/hyperlink" Target="http://www.itu.int/md/S13-WTPF13REPORT-C-0007" TargetMode="External"/><Relationship Id="rId80" Type="http://schemas.openxmlformats.org/officeDocument/2006/relationships/hyperlink" Target="http://www.itu.int/md/S12-WTPF13PREP-C-0037/en" TargetMode="External"/><Relationship Id="rId155" Type="http://schemas.openxmlformats.org/officeDocument/2006/relationships/hyperlink" Target="http://www.itu.int/en/ITU-T/inr/enum" TargetMode="External"/><Relationship Id="rId176" Type="http://schemas.openxmlformats.org/officeDocument/2006/relationships/hyperlink" Target="http://www.icann.org/en/correspondence/eu-to-icann-17jun11-en.pdf" TargetMode="External"/><Relationship Id="rId197" Type="http://schemas.openxmlformats.org/officeDocument/2006/relationships/hyperlink" Target="http://www.ntia.doc.gov/files/ntia/publications/affirmation_of_commitments_2009.pdf" TargetMode="External"/><Relationship Id="rId201" Type="http://schemas.openxmlformats.org/officeDocument/2006/relationships/hyperlink" Target="http://www.ietf.org/rfc/rfc1591.txt" TargetMode="External"/><Relationship Id="rId222" Type="http://schemas.openxmlformats.org/officeDocument/2006/relationships/hyperlink" Target="http://www.itu.int/md/S12-WTPF13PREP-C-0013/en" TargetMode="External"/><Relationship Id="rId243" Type="http://schemas.openxmlformats.org/officeDocument/2006/relationships/hyperlink" Target="http://archive.icann.org/en/committees/board-gac-2009/board-gac-jwg-final-report-19jun1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1F13-17BB-4507-87FF-AEC36D87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19297</Words>
  <Characters>109993</Characters>
  <Application>Microsoft Office Word</Application>
  <DocSecurity>0</DocSecurity>
  <Lines>916</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129032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2013-04-24T12:23:00Z</dcterms:created>
  <dcterms:modified xsi:type="dcterms:W3CDTF">2013-04-24T15:16:00Z</dcterms:modified>
</cp:coreProperties>
</file>