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74A75">
        <w:trPr>
          <w:cantSplit/>
        </w:trPr>
        <w:tc>
          <w:tcPr>
            <w:tcW w:w="6580" w:type="dxa"/>
            <w:vAlign w:val="center"/>
          </w:tcPr>
          <w:p w:rsidR="00F74A75" w:rsidRPr="00D8032B" w:rsidRDefault="00F74A75"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F74A75" w:rsidRDefault="00F97882" w:rsidP="00343CE7">
            <w:pPr>
              <w:shd w:val="solid" w:color="FFFFFF" w:fill="FFFFFF"/>
              <w:spacing w:before="0" w:line="240" w:lineRule="atLeast"/>
            </w:pPr>
            <w:bookmarkStart w:id="1" w:name="ditulogo"/>
            <w:bookmarkEnd w:id="1"/>
            <w:r>
              <w:rPr>
                <w:noProof/>
                <w:lang w:val="en-US" w:eastAsia="zh-CN"/>
              </w:rPr>
              <w:drawing>
                <wp:inline distT="0" distB="0" distL="0" distR="0" wp14:anchorId="027EC946" wp14:editId="54FC335B">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F74A75" w:rsidRPr="0051782D">
        <w:trPr>
          <w:cantSplit/>
        </w:trPr>
        <w:tc>
          <w:tcPr>
            <w:tcW w:w="6580" w:type="dxa"/>
            <w:tcBorders>
              <w:bottom w:val="single" w:sz="12" w:space="0" w:color="auto"/>
            </w:tcBorders>
          </w:tcPr>
          <w:p w:rsidR="00F74A75" w:rsidRPr="0051782D" w:rsidRDefault="00F74A75"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74A75" w:rsidRPr="0051782D" w:rsidRDefault="00F74A75" w:rsidP="00A5173C">
            <w:pPr>
              <w:shd w:val="solid" w:color="FFFFFF" w:fill="FFFFFF"/>
              <w:spacing w:before="0" w:after="48" w:line="240" w:lineRule="atLeast"/>
              <w:rPr>
                <w:szCs w:val="22"/>
                <w:lang w:val="en-US"/>
              </w:rPr>
            </w:pPr>
          </w:p>
        </w:tc>
      </w:tr>
      <w:tr w:rsidR="00F74A75">
        <w:trPr>
          <w:cantSplit/>
        </w:trPr>
        <w:tc>
          <w:tcPr>
            <w:tcW w:w="6580" w:type="dxa"/>
            <w:tcBorders>
              <w:top w:val="single" w:sz="12" w:space="0" w:color="auto"/>
            </w:tcBorders>
          </w:tcPr>
          <w:p w:rsidR="00F74A75" w:rsidRPr="0051782D" w:rsidRDefault="00F74A75"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74A75" w:rsidRPr="00710D66" w:rsidRDefault="00F74A75" w:rsidP="00A5173C">
            <w:pPr>
              <w:shd w:val="solid" w:color="FFFFFF" w:fill="FFFFFF"/>
              <w:spacing w:before="0" w:after="48" w:line="240" w:lineRule="atLeast"/>
              <w:rPr>
                <w:lang w:val="en-US"/>
              </w:rPr>
            </w:pPr>
          </w:p>
        </w:tc>
      </w:tr>
      <w:tr w:rsidR="00F74A75">
        <w:trPr>
          <w:cantSplit/>
        </w:trPr>
        <w:tc>
          <w:tcPr>
            <w:tcW w:w="6580" w:type="dxa"/>
            <w:vMerge w:val="restart"/>
          </w:tcPr>
          <w:p w:rsidR="00F74A75" w:rsidRPr="00367E76" w:rsidRDefault="00F74A75" w:rsidP="00367E76">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t xml:space="preserve"> </w:t>
            </w:r>
            <w:hyperlink r:id="rId10" w:history="1">
              <w:r w:rsidRPr="00367E76">
                <w:rPr>
                  <w:rStyle w:val="Hyperlink"/>
                  <w:rFonts w:ascii="Verdana" w:hAnsi="Verdana"/>
                  <w:sz w:val="20"/>
                </w:rPr>
                <w:t>Annex 9</w:t>
              </w:r>
            </w:hyperlink>
            <w:r w:rsidRPr="00367E76">
              <w:rPr>
                <w:rFonts w:ascii="Verdana" w:hAnsi="Verdana"/>
                <w:sz w:val="20"/>
              </w:rPr>
              <w:t xml:space="preserve"> to</w:t>
            </w:r>
            <w:r>
              <w:rPr>
                <w:rFonts w:ascii="Verdana" w:hAnsi="Verdana"/>
                <w:sz w:val="20"/>
              </w:rPr>
              <w:t xml:space="preserve"> </w:t>
            </w:r>
            <w:hyperlink r:id="rId11" w:history="1">
              <w:r w:rsidRPr="00367E76">
                <w:rPr>
                  <w:rStyle w:val="Hyperlink"/>
                  <w:rFonts w:ascii="Verdana" w:hAnsi="Verdana"/>
                  <w:sz w:val="20"/>
                </w:rPr>
                <w:t>Document 5B/62</w:t>
              </w:r>
            </w:hyperlink>
          </w:p>
        </w:tc>
        <w:tc>
          <w:tcPr>
            <w:tcW w:w="3451" w:type="dxa"/>
          </w:tcPr>
          <w:p w:rsidR="00F74A75" w:rsidRPr="00343CE7" w:rsidRDefault="00F74A75" w:rsidP="00D85C73">
            <w:pPr>
              <w:shd w:val="solid" w:color="FFFFFF" w:fill="FFFFFF"/>
              <w:spacing w:before="0" w:line="240" w:lineRule="atLeast"/>
              <w:rPr>
                <w:rFonts w:ascii="Verdana" w:hAnsi="Verdana"/>
                <w:sz w:val="20"/>
                <w:lang w:eastAsia="zh-CN"/>
              </w:rPr>
            </w:pPr>
            <w:r>
              <w:rPr>
                <w:rFonts w:ascii="Verdana" w:hAnsi="Verdana"/>
                <w:b/>
                <w:sz w:val="20"/>
                <w:lang w:eastAsia="zh-CN"/>
              </w:rPr>
              <w:t>Annex 8 to</w:t>
            </w:r>
            <w:r>
              <w:rPr>
                <w:rFonts w:ascii="Verdana" w:hAnsi="Verdana"/>
                <w:b/>
                <w:sz w:val="20"/>
                <w:lang w:eastAsia="zh-CN"/>
              </w:rPr>
              <w:br/>
              <w:t>Document 5A/79-E</w:t>
            </w:r>
          </w:p>
        </w:tc>
      </w:tr>
      <w:tr w:rsidR="00F74A75">
        <w:trPr>
          <w:cantSplit/>
        </w:trPr>
        <w:tc>
          <w:tcPr>
            <w:tcW w:w="6580" w:type="dxa"/>
            <w:vMerge/>
          </w:tcPr>
          <w:p w:rsidR="00F74A75" w:rsidRDefault="00F74A75" w:rsidP="00A5173C">
            <w:pPr>
              <w:spacing w:before="60"/>
              <w:jc w:val="center"/>
              <w:rPr>
                <w:b/>
                <w:smallCaps/>
                <w:sz w:val="32"/>
                <w:lang w:eastAsia="zh-CN"/>
              </w:rPr>
            </w:pPr>
            <w:bookmarkStart w:id="4" w:name="ddate" w:colFirst="1" w:colLast="1"/>
            <w:bookmarkEnd w:id="3"/>
          </w:p>
        </w:tc>
        <w:tc>
          <w:tcPr>
            <w:tcW w:w="3451" w:type="dxa"/>
          </w:tcPr>
          <w:p w:rsidR="00F74A75" w:rsidRPr="00343CE7" w:rsidRDefault="004F15C0" w:rsidP="00E83937">
            <w:pPr>
              <w:shd w:val="solid" w:color="FFFFFF" w:fill="FFFFFF"/>
              <w:spacing w:before="0" w:line="240" w:lineRule="atLeast"/>
              <w:rPr>
                <w:rFonts w:ascii="Verdana" w:hAnsi="Verdana"/>
                <w:sz w:val="20"/>
                <w:lang w:eastAsia="zh-CN"/>
              </w:rPr>
            </w:pPr>
            <w:r>
              <w:rPr>
                <w:rFonts w:ascii="Verdana" w:hAnsi="Verdana"/>
                <w:b/>
                <w:sz w:val="20"/>
                <w:lang w:eastAsia="zh-CN"/>
              </w:rPr>
              <w:t>5</w:t>
            </w:r>
            <w:r w:rsidR="00F74A75">
              <w:rPr>
                <w:rFonts w:ascii="Verdana" w:hAnsi="Verdana"/>
                <w:b/>
                <w:sz w:val="20"/>
                <w:lang w:eastAsia="zh-CN"/>
              </w:rPr>
              <w:t xml:space="preserve"> June 2012</w:t>
            </w:r>
          </w:p>
        </w:tc>
      </w:tr>
      <w:tr w:rsidR="00F74A75">
        <w:trPr>
          <w:cantSplit/>
        </w:trPr>
        <w:tc>
          <w:tcPr>
            <w:tcW w:w="6580" w:type="dxa"/>
            <w:vMerge/>
          </w:tcPr>
          <w:p w:rsidR="00F74A75" w:rsidRDefault="00F74A75" w:rsidP="00A5173C">
            <w:pPr>
              <w:spacing w:before="60"/>
              <w:jc w:val="center"/>
              <w:rPr>
                <w:b/>
                <w:smallCaps/>
                <w:sz w:val="32"/>
                <w:lang w:eastAsia="zh-CN"/>
              </w:rPr>
            </w:pPr>
            <w:bookmarkStart w:id="5" w:name="dorlang" w:colFirst="1" w:colLast="1"/>
            <w:bookmarkEnd w:id="4"/>
          </w:p>
        </w:tc>
        <w:tc>
          <w:tcPr>
            <w:tcW w:w="3451" w:type="dxa"/>
          </w:tcPr>
          <w:p w:rsidR="00F74A75" w:rsidRPr="00343CE7" w:rsidRDefault="00F74A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74A75">
        <w:trPr>
          <w:cantSplit/>
        </w:trPr>
        <w:tc>
          <w:tcPr>
            <w:tcW w:w="10031" w:type="dxa"/>
            <w:gridSpan w:val="2"/>
          </w:tcPr>
          <w:p w:rsidR="00F74A75" w:rsidRDefault="00F74A75" w:rsidP="002F5C9B">
            <w:pPr>
              <w:pStyle w:val="Source"/>
              <w:spacing w:before="600"/>
              <w:rPr>
                <w:lang w:eastAsia="zh-CN"/>
              </w:rPr>
            </w:pPr>
            <w:bookmarkStart w:id="6" w:name="dsource" w:colFirst="0" w:colLast="0"/>
            <w:bookmarkEnd w:id="5"/>
            <w:r w:rsidRPr="00A7792D">
              <w:rPr>
                <w:lang w:val="en-US" w:eastAsia="ja-JP"/>
              </w:rPr>
              <w:t xml:space="preserve">Annex </w:t>
            </w:r>
            <w:r>
              <w:rPr>
                <w:lang w:val="en-US" w:eastAsia="ja-JP"/>
              </w:rPr>
              <w:t>8</w:t>
            </w:r>
            <w:r w:rsidRPr="00A7792D">
              <w:rPr>
                <w:lang w:val="en-US" w:eastAsia="ja-JP"/>
              </w:rPr>
              <w:t xml:space="preserve"> to Working Party 5A Chairman’s Report</w:t>
            </w:r>
            <w:r w:rsidR="005B1FE4">
              <w:rPr>
                <w:lang w:val="en-US" w:eastAsia="ja-JP"/>
              </w:rPr>
              <w:br/>
            </w:r>
            <w:r w:rsidR="005B1FE4">
              <w:rPr>
                <w:lang w:val="en-US" w:eastAsia="ja-JP"/>
              </w:rPr>
              <w:br/>
              <w:t>Working Parties 5A and 5B</w:t>
            </w:r>
          </w:p>
        </w:tc>
      </w:tr>
      <w:tr w:rsidR="00F74A75">
        <w:trPr>
          <w:cantSplit/>
        </w:trPr>
        <w:tc>
          <w:tcPr>
            <w:tcW w:w="10031" w:type="dxa"/>
            <w:gridSpan w:val="2"/>
          </w:tcPr>
          <w:p w:rsidR="00F74A75" w:rsidRPr="003C2BC6" w:rsidRDefault="00F74A75" w:rsidP="00E83937">
            <w:pPr>
              <w:pStyle w:val="Title1"/>
              <w:rPr>
                <w:bCs/>
                <w:lang w:eastAsia="zh-CN"/>
              </w:rPr>
            </w:pPr>
            <w:bookmarkStart w:id="7" w:name="drec" w:colFirst="0" w:colLast="0"/>
            <w:bookmarkEnd w:id="6"/>
            <w:r w:rsidRPr="0079202A">
              <w:t xml:space="preserve">DRAFT </w:t>
            </w:r>
            <w:r w:rsidRPr="004B658A">
              <w:t>OUTLINE</w:t>
            </w:r>
            <w:r w:rsidRPr="0079202A">
              <w:t xml:space="preserve"> </w:t>
            </w:r>
            <w:r>
              <w:t>OF</w:t>
            </w:r>
            <w:r w:rsidRPr="0079202A">
              <w:t xml:space="preserve"> CPM TEXT FOR WRC-15 AGENDA ITEM 1.18</w:t>
            </w:r>
          </w:p>
        </w:tc>
      </w:tr>
    </w:tbl>
    <w:p w:rsidR="00F74A75" w:rsidRDefault="00F74A75" w:rsidP="00AD64DA">
      <w:bookmarkStart w:id="8" w:name="dbreak"/>
      <w:bookmarkEnd w:id="7"/>
      <w:bookmarkEnd w:id="8"/>
    </w:p>
    <w:p w:rsidR="00F74A75" w:rsidRPr="00EC3189" w:rsidRDefault="00F74A75" w:rsidP="004B658A">
      <w:pPr>
        <w:pStyle w:val="Heading1"/>
        <w:rPr>
          <w:rFonts w:eastAsia="Batang"/>
        </w:rPr>
      </w:pPr>
      <w:r w:rsidRPr="00EC3189">
        <w:rPr>
          <w:rFonts w:eastAsia="Batang"/>
        </w:rPr>
        <w:t>1</w:t>
      </w:r>
      <w:r w:rsidRPr="00EC3189">
        <w:rPr>
          <w:rFonts w:eastAsia="Batang"/>
        </w:rPr>
        <w:tab/>
        <w:t>Introduction</w:t>
      </w:r>
    </w:p>
    <w:p w:rsidR="00F74A75" w:rsidRPr="001A1E45" w:rsidRDefault="00F74A75" w:rsidP="004B658A">
      <w:r>
        <w:rPr>
          <w:lang w:eastAsia="ja-JP"/>
        </w:rPr>
        <w:t xml:space="preserve">Working Party 5B is the group responsible for the development of CPM text for WRC-15 Agenda item 1.18. </w:t>
      </w:r>
      <w:r w:rsidRPr="00456D30">
        <w:rPr>
          <w:lang w:val="en-US"/>
        </w:rPr>
        <w:t xml:space="preserve">Agenda item 1.18 calls </w:t>
      </w:r>
      <w:r>
        <w:rPr>
          <w:lang w:val="en-US"/>
        </w:rPr>
        <w:t>for</w:t>
      </w:r>
      <w:r w:rsidRPr="00456D30">
        <w:rPr>
          <w:lang w:val="en-US"/>
        </w:rPr>
        <w:t xml:space="preserve"> consider</w:t>
      </w:r>
      <w:r>
        <w:rPr>
          <w:lang w:val="en-US"/>
        </w:rPr>
        <w:t>ation</w:t>
      </w:r>
      <w:r w:rsidRPr="00456D30">
        <w:rPr>
          <w:lang w:val="en-US"/>
        </w:rPr>
        <w:t xml:space="preserve"> </w:t>
      </w:r>
      <w:r>
        <w:rPr>
          <w:lang w:val="en-US"/>
        </w:rPr>
        <w:t xml:space="preserve">of </w:t>
      </w:r>
      <w:r w:rsidRPr="00456D30">
        <w:rPr>
          <w:lang w:val="en-US"/>
        </w:rPr>
        <w:t xml:space="preserve">a primary allocation to the radiolocation service for automotive </w:t>
      </w:r>
      <w:r>
        <w:rPr>
          <w:lang w:val="en-US"/>
        </w:rPr>
        <w:t xml:space="preserve">radar </w:t>
      </w:r>
      <w:r w:rsidRPr="00456D30">
        <w:rPr>
          <w:lang w:val="en-US"/>
        </w:rPr>
        <w:t>applications in the 77.5-78.0 GHz frequency band in accordance with</w:t>
      </w:r>
      <w:r w:rsidRPr="00456D30">
        <w:rPr>
          <w:b/>
          <w:bCs/>
          <w:lang w:val="en-US"/>
        </w:rPr>
        <w:t xml:space="preserve"> </w:t>
      </w:r>
      <w:r w:rsidRPr="00456D30">
        <w:rPr>
          <w:lang w:val="en-US"/>
        </w:rPr>
        <w:t xml:space="preserve">Resolution </w:t>
      </w:r>
      <w:r w:rsidRPr="00456D30">
        <w:rPr>
          <w:b/>
          <w:bCs/>
          <w:lang w:val="en-US"/>
        </w:rPr>
        <w:t>654</w:t>
      </w:r>
      <w:r>
        <w:rPr>
          <w:b/>
          <w:bCs/>
          <w:lang w:val="en-US"/>
        </w:rPr>
        <w:t xml:space="preserve"> (WRC-12)</w:t>
      </w:r>
      <w:r w:rsidRPr="008A2825">
        <w:rPr>
          <w:bCs/>
          <w:lang w:val="en-US"/>
        </w:rPr>
        <w:t>.</w:t>
      </w:r>
    </w:p>
    <w:p w:rsidR="00F74A75" w:rsidRDefault="00F74A75" w:rsidP="004B658A">
      <w:pPr>
        <w:rPr>
          <w:color w:val="000000"/>
          <w:lang w:val="en-US" w:eastAsia="ja-JP"/>
        </w:rPr>
      </w:pPr>
      <w:r>
        <w:rPr>
          <w:lang w:eastAsia="ja-JP"/>
        </w:rPr>
        <w:t xml:space="preserve">Resolution </w:t>
      </w:r>
      <w:r w:rsidRPr="00D670C9">
        <w:rPr>
          <w:b/>
          <w:bCs/>
          <w:lang w:eastAsia="ja-JP"/>
        </w:rPr>
        <w:t>6</w:t>
      </w:r>
      <w:r>
        <w:rPr>
          <w:b/>
          <w:bCs/>
          <w:lang w:eastAsia="ja-JP"/>
        </w:rPr>
        <w:t>54</w:t>
      </w:r>
      <w:r>
        <w:rPr>
          <w:lang w:eastAsia="ja-JP"/>
        </w:rPr>
        <w:t xml:space="preserve"> </w:t>
      </w:r>
      <w:r w:rsidRPr="00D670C9">
        <w:rPr>
          <w:b/>
          <w:bCs/>
        </w:rPr>
        <w:t>(WRC</w:t>
      </w:r>
      <w:r>
        <w:rPr>
          <w:b/>
          <w:bCs/>
        </w:rPr>
        <w:t>-</w:t>
      </w:r>
      <w:r w:rsidRPr="00D670C9">
        <w:rPr>
          <w:b/>
          <w:bCs/>
        </w:rPr>
        <w:t>12)</w:t>
      </w:r>
      <w:r w:rsidRPr="00BC5B30">
        <w:t xml:space="preserve"> </w:t>
      </w:r>
      <w:r>
        <w:t>(</w:t>
      </w:r>
      <w:r w:rsidRPr="00F33901">
        <w:t>Allocation of the band 77.5-78 GHz to the radiolocation service to support automotive short-range high-resolution radar</w:t>
      </w:r>
      <w:r w:rsidRPr="00F33901">
        <w:rPr>
          <w:lang w:eastAsia="ja-JP"/>
        </w:rPr>
        <w:t xml:space="preserve"> </w:t>
      </w:r>
      <w:r w:rsidRPr="00F33901">
        <w:t>operations</w:t>
      </w:r>
      <w:r>
        <w:t>),</w:t>
      </w:r>
    </w:p>
    <w:p w:rsidR="00F74A75" w:rsidRDefault="00F74A75" w:rsidP="004B658A">
      <w:pPr>
        <w:pStyle w:val="Call"/>
      </w:pPr>
      <w:r w:rsidRPr="00682CC7">
        <w:t>invites ITU-R</w:t>
      </w:r>
      <w:r>
        <w:t xml:space="preserve"> </w:t>
      </w:r>
    </w:p>
    <w:p w:rsidR="00F74A75" w:rsidRPr="004C023B" w:rsidRDefault="00F74A75" w:rsidP="004B658A">
      <w:pPr>
        <w:tabs>
          <w:tab w:val="clear" w:pos="1134"/>
          <w:tab w:val="clear" w:pos="1871"/>
          <w:tab w:val="clear" w:pos="2268"/>
        </w:tabs>
        <w:rPr>
          <w:i/>
          <w:lang w:eastAsia="ja-JP"/>
        </w:rPr>
      </w:pPr>
      <w:r w:rsidRPr="004C023B">
        <w:rPr>
          <w:i/>
        </w:rPr>
        <w:t>“</w:t>
      </w:r>
      <w:r w:rsidRPr="004C023B">
        <w:rPr>
          <w:i/>
          <w:lang w:eastAsia="ja-JP"/>
        </w:rPr>
        <w:t>to conduct, as a matter of urgency, and in time for consideration by WRC</w:t>
      </w:r>
      <w:r w:rsidRPr="004C023B">
        <w:rPr>
          <w:i/>
          <w:lang w:eastAsia="ja-JP"/>
        </w:rPr>
        <w:noBreakHyphen/>
        <w:t>15, the appropriate technical, operational and regulatory studies, including:</w:t>
      </w:r>
    </w:p>
    <w:p w:rsidR="00F74A75" w:rsidRPr="004B658A" w:rsidRDefault="00F74A75" w:rsidP="004B658A">
      <w:pPr>
        <w:ind w:left="1134" w:hanging="1134"/>
        <w:rPr>
          <w:i/>
          <w:iCs/>
          <w:lang w:val="en-US"/>
        </w:rPr>
      </w:pPr>
      <w:r>
        <w:rPr>
          <w:i/>
          <w:iCs/>
          <w:lang w:val="en-US"/>
        </w:rPr>
        <w:t>i)</w:t>
      </w:r>
      <w:r w:rsidRPr="004B658A">
        <w:rPr>
          <w:i/>
          <w:iCs/>
          <w:lang w:val="en-US"/>
        </w:rPr>
        <w:tab/>
        <w:t>sharing studies and regulatory solutions to consider a primary allocation to the radiolocation service in the band 77.5-78 GHz, taking into account incumbent services and existing uses of the band;</w:t>
      </w:r>
    </w:p>
    <w:p w:rsidR="00F74A75" w:rsidRPr="004B658A" w:rsidRDefault="00F74A75" w:rsidP="004B658A">
      <w:pPr>
        <w:ind w:left="1134" w:hanging="1134"/>
        <w:rPr>
          <w:i/>
          <w:iCs/>
          <w:lang w:val="en-US"/>
        </w:rPr>
      </w:pPr>
      <w:r>
        <w:rPr>
          <w:i/>
          <w:iCs/>
          <w:lang w:val="en-US"/>
        </w:rPr>
        <w:t>ii)</w:t>
      </w:r>
      <w:r w:rsidRPr="004B658A">
        <w:rPr>
          <w:i/>
          <w:iCs/>
          <w:lang w:val="en-US"/>
        </w:rPr>
        <w:tab/>
        <w:t>compatibility studies in the band 77.5-78 GHz with services operating in the adjacent bands 76-77.5 GHz and 78-81 GHz;</w:t>
      </w:r>
    </w:p>
    <w:p w:rsidR="00F74A75" w:rsidRPr="004B658A" w:rsidRDefault="00F74A75" w:rsidP="004B658A">
      <w:pPr>
        <w:ind w:left="1134" w:hanging="1134"/>
        <w:rPr>
          <w:i/>
          <w:iCs/>
          <w:color w:val="000000"/>
          <w:lang w:val="en-US" w:eastAsia="ja-JP"/>
        </w:rPr>
      </w:pPr>
      <w:r>
        <w:rPr>
          <w:i/>
          <w:iCs/>
          <w:lang w:val="en-US"/>
        </w:rPr>
        <w:t>iii)</w:t>
      </w:r>
      <w:r w:rsidRPr="004B658A">
        <w:rPr>
          <w:i/>
          <w:iCs/>
          <w:lang w:val="en-US"/>
        </w:rPr>
        <w:tab/>
        <w:t>spectrum requirements, operational characteristics and evaluation of ITS safety-related applications that would benefit from global or regional harmonization.</w:t>
      </w:r>
    </w:p>
    <w:p w:rsidR="00F74A75" w:rsidRDefault="00F74A75" w:rsidP="00D85C73">
      <w:pPr>
        <w:spacing w:before="240"/>
      </w:pPr>
      <w:r>
        <w:t xml:space="preserve">It is noted that the band </w:t>
      </w:r>
      <w:r w:rsidRPr="00F33901">
        <w:t>77.5-78 GHz</w:t>
      </w:r>
      <w:r>
        <w:t xml:space="preserve"> is allocated to the amateur and amateur satellite services on a primary basis, and to space research and radio astronomy services on a secondary basis. </w:t>
      </w:r>
    </w:p>
    <w:p w:rsidR="00F74A75" w:rsidRPr="00EC3189" w:rsidRDefault="00F74A75" w:rsidP="004B658A">
      <w:pPr>
        <w:pStyle w:val="Heading1"/>
        <w:rPr>
          <w:rFonts w:eastAsia="Batang"/>
        </w:rPr>
      </w:pPr>
      <w:r w:rsidRPr="00EC3189">
        <w:rPr>
          <w:rFonts w:eastAsia="Batang"/>
        </w:rPr>
        <w:t>2</w:t>
      </w:r>
      <w:r w:rsidRPr="00EC3189">
        <w:rPr>
          <w:rFonts w:eastAsia="Batang"/>
        </w:rPr>
        <w:tab/>
        <w:t>Proposal</w:t>
      </w:r>
    </w:p>
    <w:p w:rsidR="00F74A75" w:rsidRDefault="00F74A75" w:rsidP="00D85C73">
      <w:pPr>
        <w:pStyle w:val="Note"/>
        <w:spacing w:before="240"/>
        <w:rPr>
          <w:lang w:eastAsia="ja-JP"/>
        </w:rPr>
      </w:pPr>
      <w:bookmarkStart w:id="9" w:name="dtitle2"/>
      <w:r>
        <w:rPr>
          <w:lang w:eastAsia="ja-JP"/>
        </w:rPr>
        <w:t>Working Group 5B-1</w:t>
      </w:r>
      <w:r>
        <w:t xml:space="preserve"> </w:t>
      </w:r>
      <w:r>
        <w:rPr>
          <w:lang w:eastAsia="ja-JP"/>
        </w:rPr>
        <w:t>considered and agreed</w:t>
      </w:r>
      <w:r>
        <w:t xml:space="preserve"> </w:t>
      </w:r>
      <w:bookmarkEnd w:id="9"/>
      <w:r>
        <w:rPr>
          <w:lang w:eastAsia="ja-JP"/>
        </w:rPr>
        <w:t xml:space="preserve">on Attachment, </w:t>
      </w:r>
      <w:r>
        <w:t>draft outline of CPM Text for WRC</w:t>
      </w:r>
      <w:r>
        <w:noBreakHyphen/>
        <w:t>15 Agenda item 1.18</w:t>
      </w:r>
      <w:r>
        <w:rPr>
          <w:lang w:eastAsia="ja-JP"/>
        </w:rPr>
        <w:t xml:space="preserve"> as a preliminary draft for further consideration at the forthcoming meetings.</w:t>
      </w:r>
    </w:p>
    <w:p w:rsidR="002F5C9B" w:rsidRDefault="002F5C9B" w:rsidP="00D85C73">
      <w:pPr>
        <w:pStyle w:val="Note"/>
        <w:spacing w:before="240"/>
        <w:rPr>
          <w:color w:val="000000"/>
          <w:lang w:val="en-US"/>
        </w:rPr>
      </w:pPr>
    </w:p>
    <w:p w:rsidR="00F74A75" w:rsidRPr="004B658A" w:rsidRDefault="00F74A75" w:rsidP="002F5C9B">
      <w:pPr>
        <w:tabs>
          <w:tab w:val="clear" w:pos="1871"/>
          <w:tab w:val="left" w:pos="1560"/>
        </w:tabs>
        <w:rPr>
          <w:lang w:val="en-US" w:eastAsia="ja-JP"/>
        </w:rPr>
      </w:pPr>
      <w:r>
        <w:rPr>
          <w:b/>
          <w:bCs/>
          <w:lang w:val="en-US" w:eastAsia="ja-JP"/>
        </w:rPr>
        <w:t>Attachment:</w:t>
      </w:r>
      <w:r w:rsidR="002F5C9B">
        <w:rPr>
          <w:lang w:val="en-US" w:eastAsia="ja-JP"/>
        </w:rPr>
        <w:tab/>
      </w:r>
      <w:r>
        <w:rPr>
          <w:lang w:val="en-US" w:eastAsia="ja-JP"/>
        </w:rPr>
        <w:t>1</w:t>
      </w:r>
    </w:p>
    <w:p w:rsidR="00F74A75" w:rsidRPr="0079202A" w:rsidRDefault="00F74A75" w:rsidP="004B658A">
      <w:pPr>
        <w:pStyle w:val="AppendixNo"/>
      </w:pPr>
      <w:r>
        <w:lastRenderedPageBreak/>
        <w:t>Attachment</w:t>
      </w:r>
    </w:p>
    <w:p w:rsidR="00F74A75" w:rsidRDefault="00F74A75" w:rsidP="004B658A">
      <w:pPr>
        <w:pStyle w:val="Appendixtitle"/>
      </w:pPr>
      <w:r w:rsidRPr="0079202A">
        <w:t xml:space="preserve">Draft outline </w:t>
      </w:r>
      <w:r>
        <w:t>of</w:t>
      </w:r>
      <w:r w:rsidRPr="0079202A">
        <w:t xml:space="preserve"> CPM text for WRC-15 Agenda item 1.18</w:t>
      </w:r>
    </w:p>
    <w:p w:rsidR="00F74A75" w:rsidRDefault="00F74A75" w:rsidP="004B658A"/>
    <w:p w:rsidR="00F74A75" w:rsidRPr="004B658A" w:rsidRDefault="00F74A75" w:rsidP="004B658A">
      <w:pPr>
        <w:rPr>
          <w:i/>
          <w:iCs/>
        </w:rPr>
      </w:pPr>
      <w:r w:rsidRPr="00367E76">
        <w:rPr>
          <w:i/>
          <w:iCs/>
          <w:lang w:val="en-US"/>
        </w:rPr>
        <w:t>1.18</w:t>
      </w:r>
      <w:r w:rsidRPr="00367E76">
        <w:rPr>
          <w:i/>
          <w:iCs/>
          <w:lang w:val="en-US"/>
        </w:rPr>
        <w:tab/>
        <w:t>to consider a primary allocation to the radiolocation service for automotive applications in the 77.5-78.0 GHz frequency band in accordance with Resolution COM6/23 (WRC</w:t>
      </w:r>
      <w:r w:rsidRPr="00367E76">
        <w:rPr>
          <w:i/>
          <w:iCs/>
          <w:lang w:val="en-US"/>
        </w:rPr>
        <w:noBreakHyphen/>
        <w:t>12)</w:t>
      </w:r>
      <w:r w:rsidRPr="004B658A">
        <w:rPr>
          <w:i/>
          <w:iCs/>
        </w:rPr>
        <w:t xml:space="preserve">; </w:t>
      </w:r>
    </w:p>
    <w:p w:rsidR="00F74A75" w:rsidRPr="0079202A" w:rsidRDefault="00F74A75" w:rsidP="004B658A">
      <w:pPr>
        <w:rPr>
          <w:b/>
          <w:szCs w:val="24"/>
        </w:rPr>
      </w:pPr>
      <w:r>
        <w:t xml:space="preserve">Resolution </w:t>
      </w:r>
      <w:r>
        <w:rPr>
          <w:rFonts w:ascii="Times New Roman Bold" w:hAnsi="Times New Roman Bold" w:cs="Times New Roman Bold"/>
          <w:b/>
          <w:bCs/>
        </w:rPr>
        <w:t xml:space="preserve">654 </w:t>
      </w:r>
      <w:r>
        <w:rPr>
          <w:b/>
          <w:bCs/>
        </w:rPr>
        <w:t>(WRC</w:t>
      </w:r>
      <w:r>
        <w:rPr>
          <w:b/>
          <w:bCs/>
        </w:rPr>
        <w:noBreakHyphen/>
        <w:t>12)</w:t>
      </w:r>
      <w:r>
        <w:t xml:space="preserve">:  </w:t>
      </w:r>
      <w:r w:rsidRPr="004C023B">
        <w:t>Allocation of the band 77.5-78 GHz to the radiolocation service to support automotive short-range high-resolution radar operations</w:t>
      </w:r>
      <w:r>
        <w:t>.</w:t>
      </w:r>
    </w:p>
    <w:p w:rsidR="00F74A75" w:rsidRDefault="00F74A75" w:rsidP="004B658A">
      <w:pPr>
        <w:pStyle w:val="Heading3"/>
        <w:rPr>
          <w:lang w:eastAsia="ja-JP"/>
        </w:rPr>
      </w:pPr>
      <w:r>
        <w:rPr>
          <w:rFonts w:eastAsia="Batang"/>
        </w:rPr>
        <w:t>3/1.18/2</w:t>
      </w:r>
      <w:r>
        <w:rPr>
          <w:rFonts w:eastAsia="Batang"/>
        </w:rPr>
        <w:tab/>
      </w:r>
      <w:r w:rsidRPr="006910CC">
        <w:rPr>
          <w:rFonts w:eastAsia="Batang"/>
        </w:rPr>
        <w:t>Executive summary</w:t>
      </w:r>
    </w:p>
    <w:p w:rsidR="00F74A75" w:rsidRPr="004C023B" w:rsidRDefault="00F74A75" w:rsidP="004B658A">
      <w:pPr>
        <w:rPr>
          <w:szCs w:val="24"/>
        </w:rPr>
      </w:pPr>
      <w:r w:rsidRPr="004C023B">
        <w:rPr>
          <w:lang w:eastAsia="ja-JP"/>
        </w:rPr>
        <w:t>[TBD]</w:t>
      </w:r>
    </w:p>
    <w:p w:rsidR="00F74A75" w:rsidRPr="006910CC" w:rsidRDefault="00F74A75" w:rsidP="004B658A">
      <w:pPr>
        <w:pStyle w:val="Heading3"/>
        <w:rPr>
          <w:rFonts w:eastAsia="Batang"/>
        </w:rPr>
      </w:pPr>
      <w:r>
        <w:rPr>
          <w:rFonts w:eastAsia="Batang"/>
        </w:rPr>
        <w:t>3/1.18/</w:t>
      </w:r>
      <w:r w:rsidRPr="006910CC">
        <w:rPr>
          <w:rFonts w:eastAsia="Batang"/>
        </w:rPr>
        <w:t>3</w:t>
      </w:r>
      <w:r w:rsidRPr="006910CC">
        <w:rPr>
          <w:rFonts w:eastAsia="Batang"/>
        </w:rPr>
        <w:tab/>
        <w:t>Background</w:t>
      </w:r>
    </w:p>
    <w:p w:rsidR="00F74A75" w:rsidRDefault="00F74A75" w:rsidP="004B658A">
      <w:pPr>
        <w:rPr>
          <w:szCs w:val="24"/>
        </w:rPr>
      </w:pPr>
      <w:r w:rsidRPr="004C023B">
        <w:rPr>
          <w:lang w:eastAsia="ja-JP"/>
        </w:rPr>
        <w:t>[TBD]</w:t>
      </w:r>
    </w:p>
    <w:p w:rsidR="00F74A75" w:rsidRDefault="00F74A75" w:rsidP="004B658A">
      <w:pPr>
        <w:pStyle w:val="Heading3"/>
      </w:pPr>
      <w:r w:rsidRPr="006762BE">
        <w:t>3/1.18/4</w:t>
      </w:r>
      <w:r w:rsidRPr="00883CFC">
        <w:tab/>
      </w:r>
      <w:r w:rsidRPr="006762BE">
        <w:t>Summary of the technical and operational studies, i</w:t>
      </w:r>
      <w:r>
        <w:t>ncluding a list of relevant ITU</w:t>
      </w:r>
      <w:r>
        <w:noBreakHyphen/>
      </w:r>
      <w:r w:rsidRPr="006762BE">
        <w:t>R Recommendations</w:t>
      </w:r>
    </w:p>
    <w:p w:rsidR="00F74A75" w:rsidRPr="00883CFC" w:rsidRDefault="00F74A75" w:rsidP="004B658A">
      <w:pPr>
        <w:rPr>
          <w:szCs w:val="24"/>
        </w:rPr>
      </w:pPr>
      <w:r w:rsidRPr="004C023B">
        <w:rPr>
          <w:lang w:eastAsia="ja-JP"/>
        </w:rPr>
        <w:t>[TBD]</w:t>
      </w:r>
    </w:p>
    <w:p w:rsidR="00F74A75" w:rsidRPr="00883CFC" w:rsidRDefault="00F74A75" w:rsidP="004B658A">
      <w:pPr>
        <w:pStyle w:val="Heading3"/>
      </w:pPr>
      <w:r w:rsidRPr="006762BE">
        <w:t>3/1.18/5</w:t>
      </w:r>
      <w:r w:rsidRPr="006762BE">
        <w:tab/>
        <w:t>Analysis of the results of studies relating to the possible methods of satisfying the agenda item</w:t>
      </w:r>
    </w:p>
    <w:p w:rsidR="00F74A75" w:rsidRPr="00883CFC" w:rsidRDefault="00F74A75" w:rsidP="004B658A">
      <w:pPr>
        <w:rPr>
          <w:szCs w:val="24"/>
        </w:rPr>
      </w:pPr>
      <w:r w:rsidRPr="004C023B">
        <w:rPr>
          <w:lang w:eastAsia="ja-JP"/>
        </w:rPr>
        <w:t>[TBD]</w:t>
      </w:r>
    </w:p>
    <w:p w:rsidR="00F74A75" w:rsidRPr="00883CFC" w:rsidRDefault="00F74A75" w:rsidP="004B658A">
      <w:pPr>
        <w:pStyle w:val="Heading3"/>
      </w:pPr>
      <w:r w:rsidRPr="006762BE">
        <w:t>3/1.18/6</w:t>
      </w:r>
      <w:r w:rsidRPr="006762BE">
        <w:tab/>
        <w:t>Method(s) to satisfy the agenda item for consideration by the WRC-15 and the advantages and disadvantages of each method</w:t>
      </w:r>
    </w:p>
    <w:p w:rsidR="00F74A75" w:rsidRPr="00883CFC" w:rsidRDefault="00F74A75" w:rsidP="004B658A">
      <w:pPr>
        <w:rPr>
          <w:szCs w:val="24"/>
        </w:rPr>
      </w:pPr>
      <w:r w:rsidRPr="004C023B">
        <w:rPr>
          <w:lang w:eastAsia="ja-JP"/>
        </w:rPr>
        <w:t>[TBD]</w:t>
      </w:r>
    </w:p>
    <w:p w:rsidR="00F74A75" w:rsidRDefault="00F74A75" w:rsidP="004B658A">
      <w:pPr>
        <w:pStyle w:val="Heading3"/>
      </w:pPr>
      <w:r w:rsidRPr="006762BE">
        <w:t>3/1.18/7</w:t>
      </w:r>
      <w:r w:rsidRPr="006762BE">
        <w:tab/>
        <w:t>Regulatory and procedural considerations</w:t>
      </w:r>
    </w:p>
    <w:p w:rsidR="00F74A75" w:rsidRDefault="00F74A75" w:rsidP="004B658A">
      <w:pPr>
        <w:rPr>
          <w:bCs/>
          <w:szCs w:val="24"/>
          <w:lang w:val="en-US"/>
        </w:rPr>
      </w:pPr>
      <w:r w:rsidRPr="00190DC5">
        <w:rPr>
          <w:lang w:val="en-US"/>
        </w:rPr>
        <w:t>Table 1 below is an extract of Article 5 o</w:t>
      </w:r>
      <w:r>
        <w:rPr>
          <w:lang w:val="en-US"/>
        </w:rPr>
        <w:t>f the RR in the frequency band 7</w:t>
      </w:r>
      <w:r w:rsidRPr="00190DC5">
        <w:rPr>
          <w:lang w:val="en-US"/>
        </w:rPr>
        <w:t>6-81 GHz and the related footnotes.</w:t>
      </w:r>
    </w:p>
    <w:p w:rsidR="00F74A75" w:rsidRDefault="00F74A75" w:rsidP="004B658A">
      <w:pPr>
        <w:rPr>
          <w:bCs/>
          <w:szCs w:val="24"/>
          <w:lang w:val="en-US"/>
        </w:rPr>
      </w:pPr>
    </w:p>
    <w:p w:rsidR="00F74A75" w:rsidRDefault="00F74A75">
      <w:pPr>
        <w:tabs>
          <w:tab w:val="clear" w:pos="1134"/>
          <w:tab w:val="clear" w:pos="1871"/>
          <w:tab w:val="clear" w:pos="2268"/>
        </w:tabs>
        <w:overflowPunct/>
        <w:autoSpaceDE/>
        <w:autoSpaceDN/>
        <w:adjustRightInd/>
        <w:spacing w:before="0"/>
        <w:textAlignment w:val="auto"/>
        <w:rPr>
          <w:caps/>
          <w:sz w:val="20"/>
          <w:lang w:val="en-US"/>
        </w:rPr>
      </w:pPr>
      <w:r>
        <w:rPr>
          <w:lang w:val="en-US"/>
        </w:rPr>
        <w:br w:type="page"/>
      </w:r>
    </w:p>
    <w:p w:rsidR="00F74A75" w:rsidRDefault="00F74A75" w:rsidP="004B658A">
      <w:pPr>
        <w:pStyle w:val="TableNo"/>
        <w:rPr>
          <w:lang w:val="en-US"/>
        </w:rPr>
      </w:pPr>
      <w:r>
        <w:rPr>
          <w:lang w:val="en-US"/>
        </w:rPr>
        <w:lastRenderedPageBreak/>
        <w:t>Table 1</w:t>
      </w:r>
    </w:p>
    <w:p w:rsidR="00F74A75" w:rsidRPr="00190DC5" w:rsidRDefault="00F74A75" w:rsidP="004B658A">
      <w:pPr>
        <w:pStyle w:val="Tabletitle"/>
        <w:rPr>
          <w:lang w:val="en-US"/>
        </w:rPr>
      </w:pPr>
      <w:r>
        <w:rPr>
          <w:lang w:val="en-US"/>
        </w:rPr>
        <w:t>Existing allocations in the frequency band 7</w:t>
      </w:r>
      <w:r w:rsidRPr="00190DC5">
        <w:rPr>
          <w:lang w:val="en-US"/>
        </w:rPr>
        <w:t>6-81 GHz</w:t>
      </w:r>
    </w:p>
    <w:p w:rsidR="00F74A75" w:rsidRPr="00190DC5" w:rsidRDefault="00F74A75" w:rsidP="004B658A">
      <w:pPr>
        <w:pStyle w:val="Tabletitle"/>
        <w:rPr>
          <w:lang w:val="en-AU"/>
        </w:rPr>
      </w:pPr>
      <w:r>
        <w:rPr>
          <w:lang w:val="es-ES_tradnl"/>
        </w:rPr>
        <w:t>7</w:t>
      </w:r>
      <w:r w:rsidRPr="00190DC5">
        <w:rPr>
          <w:lang w:val="es-ES_tradnl"/>
        </w:rPr>
        <w:t>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F74A75" w:rsidRPr="00190DC5" w:rsidTr="00350484">
        <w:trPr>
          <w:cantSplit/>
          <w:jc w:val="center"/>
        </w:trPr>
        <w:tc>
          <w:tcPr>
            <w:tcW w:w="9303" w:type="dxa"/>
            <w:gridSpan w:val="3"/>
          </w:tcPr>
          <w:p w:rsidR="00F74A75" w:rsidRPr="00190DC5" w:rsidRDefault="00F74A75" w:rsidP="00350484">
            <w:pPr>
              <w:pStyle w:val="Tablehead"/>
              <w:framePr w:hSpace="181" w:wrap="around" w:vAnchor="text" w:hAnchor="margin" w:xAlign="center" w:y="1"/>
              <w:rPr>
                <w:color w:val="000000"/>
                <w:lang w:val="en-AU"/>
              </w:rPr>
            </w:pPr>
            <w:r w:rsidRPr="00190DC5">
              <w:rPr>
                <w:color w:val="000000"/>
                <w:lang w:val="en-AU"/>
              </w:rPr>
              <w:t>Allocation to services</w:t>
            </w:r>
          </w:p>
        </w:tc>
      </w:tr>
      <w:tr w:rsidR="00F74A75" w:rsidRPr="00190DC5" w:rsidTr="00350484">
        <w:trPr>
          <w:cantSplit/>
          <w:jc w:val="center"/>
        </w:trPr>
        <w:tc>
          <w:tcPr>
            <w:tcW w:w="3101" w:type="dxa"/>
          </w:tcPr>
          <w:p w:rsidR="00F74A75" w:rsidRPr="00190DC5" w:rsidRDefault="00F74A75" w:rsidP="00350484">
            <w:pPr>
              <w:pStyle w:val="Tablehead"/>
              <w:framePr w:hSpace="181" w:wrap="around" w:vAnchor="text" w:hAnchor="margin" w:xAlign="center" w:y="1"/>
              <w:rPr>
                <w:color w:val="000000"/>
                <w:lang w:val="en-AU"/>
              </w:rPr>
            </w:pPr>
            <w:r w:rsidRPr="00190DC5">
              <w:rPr>
                <w:color w:val="000000"/>
                <w:lang w:val="en-AU"/>
              </w:rPr>
              <w:t>Region 1</w:t>
            </w:r>
          </w:p>
        </w:tc>
        <w:tc>
          <w:tcPr>
            <w:tcW w:w="3101" w:type="dxa"/>
          </w:tcPr>
          <w:p w:rsidR="00F74A75" w:rsidRPr="00190DC5" w:rsidRDefault="00F74A75" w:rsidP="00350484">
            <w:pPr>
              <w:pStyle w:val="Tablehead"/>
              <w:framePr w:hSpace="181" w:wrap="around" w:vAnchor="text" w:hAnchor="margin" w:xAlign="center" w:y="1"/>
              <w:rPr>
                <w:color w:val="000000"/>
                <w:lang w:val="en-AU"/>
              </w:rPr>
            </w:pPr>
            <w:r w:rsidRPr="00190DC5">
              <w:rPr>
                <w:color w:val="000000"/>
                <w:lang w:val="en-AU"/>
              </w:rPr>
              <w:t>Region 2</w:t>
            </w:r>
          </w:p>
        </w:tc>
        <w:tc>
          <w:tcPr>
            <w:tcW w:w="3101" w:type="dxa"/>
          </w:tcPr>
          <w:p w:rsidR="00F74A75" w:rsidRPr="00190DC5" w:rsidRDefault="00F74A75" w:rsidP="00350484">
            <w:pPr>
              <w:pStyle w:val="Tablehead"/>
              <w:framePr w:hSpace="181" w:wrap="around" w:vAnchor="text" w:hAnchor="margin" w:xAlign="center" w:y="1"/>
              <w:rPr>
                <w:color w:val="000000"/>
                <w:lang w:val="en-AU"/>
              </w:rPr>
            </w:pPr>
            <w:r w:rsidRPr="00190DC5">
              <w:rPr>
                <w:color w:val="000000"/>
                <w:lang w:val="en-AU"/>
              </w:rPr>
              <w:t>Region 3</w:t>
            </w:r>
          </w:p>
        </w:tc>
      </w:tr>
      <w:tr w:rsidR="00F74A75" w:rsidRPr="00190DC5" w:rsidTr="00350484">
        <w:trPr>
          <w:cantSplit/>
          <w:jc w:val="center"/>
        </w:trPr>
        <w:tc>
          <w:tcPr>
            <w:tcW w:w="9303" w:type="dxa"/>
            <w:gridSpan w:val="3"/>
          </w:tcPr>
          <w:p w:rsidR="00F74A75" w:rsidRPr="00456D30" w:rsidRDefault="00F74A75" w:rsidP="00350484">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sidRPr="00190DC5">
              <w:rPr>
                <w:rStyle w:val="Tablefreq"/>
                <w:color w:val="000000"/>
                <w:lang w:val="en-US"/>
              </w:rPr>
              <w:t>…</w:t>
            </w:r>
          </w:p>
        </w:tc>
      </w:tr>
      <w:tr w:rsidR="00F74A75" w:rsidRPr="00190DC5" w:rsidTr="00350484">
        <w:trPr>
          <w:cantSplit/>
          <w:jc w:val="center"/>
        </w:trPr>
        <w:tc>
          <w:tcPr>
            <w:tcW w:w="9303" w:type="dxa"/>
            <w:gridSpan w:val="3"/>
          </w:tcPr>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76-77.5</w:t>
            </w:r>
            <w:r w:rsidRPr="00C40715">
              <w:rPr>
                <w:color w:val="000000"/>
                <w:lang w:val="fr-CH"/>
              </w:rPr>
              <w:tab/>
            </w:r>
            <w:r w:rsidRPr="00C40715">
              <w:rPr>
                <w:color w:val="000000"/>
                <w:lang w:val="fr-CH"/>
              </w:rPr>
              <w:tab/>
              <w:t>RADIO ASTRONOMY</w:t>
            </w:r>
          </w:p>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F74A75" w:rsidRPr="00C40715" w:rsidRDefault="00F74A75" w:rsidP="00350484">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F74A75" w:rsidRPr="00190DC5" w:rsidRDefault="00F74A75" w:rsidP="00350484">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F74A75" w:rsidRPr="00190DC5" w:rsidTr="00350484">
        <w:trPr>
          <w:cantSplit/>
          <w:jc w:val="center"/>
        </w:trPr>
        <w:tc>
          <w:tcPr>
            <w:tcW w:w="9303" w:type="dxa"/>
            <w:gridSpan w:val="3"/>
          </w:tcPr>
          <w:p w:rsidR="00F74A75" w:rsidRPr="00C40715" w:rsidRDefault="00F74A75" w:rsidP="00350484">
            <w:pPr>
              <w:pStyle w:val="TableTextS5"/>
              <w:framePr w:hSpace="181" w:wrap="around" w:vAnchor="text" w:hAnchor="margin" w:xAlign="center" w:y="1"/>
              <w:spacing w:before="30" w:after="30" w:line="200" w:lineRule="exact"/>
              <w:rPr>
                <w:color w:val="000000"/>
                <w:lang w:val="en-US"/>
              </w:rPr>
            </w:pPr>
            <w:r w:rsidRPr="00190DC5">
              <w:rPr>
                <w:rStyle w:val="Tablefreq"/>
                <w:color w:val="000000"/>
                <w:lang w:val="en-US"/>
              </w:rPr>
              <w:t>77.5-78</w:t>
            </w:r>
            <w:r w:rsidRPr="00C40715">
              <w:rPr>
                <w:color w:val="000000"/>
                <w:lang w:val="en-US"/>
              </w:rPr>
              <w:tab/>
            </w:r>
            <w:r w:rsidRPr="00C40715">
              <w:rPr>
                <w:color w:val="000000"/>
                <w:lang w:val="en-US"/>
              </w:rPr>
              <w:tab/>
            </w:r>
            <w:r w:rsidRPr="00190DC5">
              <w:rPr>
                <w:color w:val="000000"/>
                <w:lang w:val="en-US"/>
              </w:rPr>
              <w:t>AMATEUR</w:t>
            </w:r>
          </w:p>
          <w:p w:rsidR="00F74A75" w:rsidRPr="00C40715" w:rsidRDefault="00F74A75" w:rsidP="00350484">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lang w:val="en-US"/>
              </w:rPr>
              <w:t>AMATEUR-SATELLITE</w:t>
            </w:r>
          </w:p>
          <w:p w:rsidR="00F74A75" w:rsidRPr="00C40715" w:rsidRDefault="00F74A75" w:rsidP="00350484">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lang w:val="en-US"/>
              </w:rPr>
              <w:t>Radio astronomy</w:t>
            </w:r>
          </w:p>
          <w:p w:rsidR="00F74A75" w:rsidRPr="00C40715" w:rsidRDefault="00F74A75" w:rsidP="00350484">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rPr>
              <w:t>Space research (space-to-Earth)</w:t>
            </w:r>
          </w:p>
          <w:p w:rsidR="00F74A75" w:rsidRPr="00190DC5" w:rsidRDefault="00F74A75" w:rsidP="00350484">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F74A75" w:rsidRPr="00190DC5" w:rsidTr="00350484">
        <w:trPr>
          <w:cantSplit/>
          <w:jc w:val="center"/>
        </w:trPr>
        <w:tc>
          <w:tcPr>
            <w:tcW w:w="9303" w:type="dxa"/>
            <w:gridSpan w:val="3"/>
          </w:tcPr>
          <w:p w:rsidR="00F74A75" w:rsidRPr="00D03C71" w:rsidRDefault="00F74A75" w:rsidP="00350484">
            <w:pPr>
              <w:pStyle w:val="TableTextS5"/>
              <w:framePr w:hSpace="181" w:wrap="around" w:vAnchor="text" w:hAnchor="margin" w:xAlign="center" w:y="1"/>
              <w:spacing w:before="30" w:after="30" w:line="200" w:lineRule="exact"/>
              <w:rPr>
                <w:color w:val="000000"/>
                <w:lang w:val="fr-CH"/>
              </w:rPr>
            </w:pPr>
            <w:r w:rsidRPr="00D03C71">
              <w:rPr>
                <w:rStyle w:val="Tablefreq"/>
                <w:color w:val="000000"/>
                <w:lang w:val="fr-CH"/>
              </w:rPr>
              <w:t>78-79</w:t>
            </w:r>
            <w:r w:rsidRPr="00D03C71">
              <w:rPr>
                <w:color w:val="000000"/>
                <w:lang w:val="fr-CH"/>
              </w:rPr>
              <w:tab/>
            </w:r>
            <w:r w:rsidRPr="00D03C71">
              <w:rPr>
                <w:color w:val="000000"/>
                <w:lang w:val="fr-CH"/>
              </w:rPr>
              <w:tab/>
            </w:r>
            <w:r w:rsidRPr="00D03C71">
              <w:rPr>
                <w:color w:val="000000"/>
                <w:lang w:val="fr-CH"/>
              </w:rPr>
              <w:tab/>
              <w:t>RADIOLOCATION</w:t>
            </w:r>
          </w:p>
          <w:p w:rsidR="00F74A75" w:rsidRPr="00D03C71" w:rsidRDefault="00F74A75" w:rsidP="00350484">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w:t>
            </w:r>
          </w:p>
          <w:p w:rsidR="00F74A75" w:rsidRPr="00D03C71" w:rsidRDefault="00F74A75" w:rsidP="00350484">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Amateur-satellite</w:t>
            </w:r>
          </w:p>
          <w:p w:rsidR="00F74A75" w:rsidRPr="00D03C71" w:rsidRDefault="00F74A75" w:rsidP="00350484">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Radio astronomy</w:t>
            </w:r>
          </w:p>
          <w:p w:rsidR="00F74A75" w:rsidRPr="00190DC5" w:rsidRDefault="00F74A75" w:rsidP="00350484">
            <w:pPr>
              <w:pStyle w:val="TableTextS5"/>
              <w:framePr w:hSpace="181" w:wrap="around" w:vAnchor="text" w:hAnchor="margin" w:xAlign="center" w:y="1"/>
              <w:spacing w:before="30" w:after="30" w:line="200" w:lineRule="exact"/>
              <w:rPr>
                <w:color w:val="000000"/>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r>
            <w:r w:rsidRPr="00190DC5">
              <w:rPr>
                <w:color w:val="000000"/>
              </w:rPr>
              <w:t>Space research (space-to-Earth)</w:t>
            </w:r>
          </w:p>
          <w:p w:rsidR="00F74A75" w:rsidRPr="00190DC5" w:rsidRDefault="00F74A75" w:rsidP="00350484">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r w:rsidRPr="00190DC5">
              <w:rPr>
                <w:color w:val="000000"/>
              </w:rPr>
              <w:t xml:space="preserve">  </w:t>
            </w:r>
            <w:r w:rsidRPr="00190DC5">
              <w:rPr>
                <w:rStyle w:val="Artref"/>
                <w:color w:val="000000"/>
              </w:rPr>
              <w:t>5.560</w:t>
            </w:r>
          </w:p>
        </w:tc>
      </w:tr>
      <w:tr w:rsidR="00F74A75" w:rsidRPr="00190DC5" w:rsidTr="00350484">
        <w:trPr>
          <w:cantSplit/>
          <w:jc w:val="center"/>
        </w:trPr>
        <w:tc>
          <w:tcPr>
            <w:tcW w:w="9303" w:type="dxa"/>
            <w:gridSpan w:val="3"/>
          </w:tcPr>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rStyle w:val="Tablefreq"/>
                <w:color w:val="000000"/>
                <w:lang w:val="fr-CH"/>
              </w:rPr>
              <w:t>79-81</w:t>
            </w:r>
            <w:r w:rsidRPr="00C40715">
              <w:rPr>
                <w:color w:val="000000"/>
                <w:lang w:val="fr-CH"/>
              </w:rPr>
              <w:tab/>
            </w:r>
            <w:r w:rsidRPr="00C40715">
              <w:rPr>
                <w:color w:val="000000"/>
                <w:lang w:val="fr-CH"/>
              </w:rPr>
              <w:tab/>
            </w:r>
            <w:r w:rsidRPr="00C40715">
              <w:rPr>
                <w:color w:val="000000"/>
                <w:lang w:val="fr-CH"/>
              </w:rPr>
              <w:tab/>
              <w:t>RADIO ASTRONOMY</w:t>
            </w:r>
          </w:p>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RADIOLOCATION</w:t>
            </w:r>
          </w:p>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F74A75" w:rsidRPr="00C40715" w:rsidRDefault="00F74A75" w:rsidP="00350484">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F74A75" w:rsidRPr="00C40715" w:rsidRDefault="00F74A75" w:rsidP="00350484">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F74A75" w:rsidRPr="00190DC5" w:rsidRDefault="00F74A75" w:rsidP="00350484">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p>
        </w:tc>
      </w:tr>
    </w:tbl>
    <w:p w:rsidR="00F74A75" w:rsidRPr="00190DC5" w:rsidRDefault="00F74A75" w:rsidP="004B658A">
      <w:pPr>
        <w:pStyle w:val="Tablefin"/>
        <w:rPr>
          <w:color w:val="000000"/>
          <w:lang w:val="es-ES_tradnl"/>
        </w:rPr>
      </w:pPr>
    </w:p>
    <w:p w:rsidR="00F74A75" w:rsidRDefault="00F74A75" w:rsidP="004B658A">
      <w:pPr>
        <w:pStyle w:val="Note"/>
        <w:spacing w:before="120"/>
        <w:rPr>
          <w:rStyle w:val="Artdef"/>
          <w:color w:val="000000"/>
          <w:lang w:val="en-AU"/>
        </w:rPr>
      </w:pPr>
    </w:p>
    <w:p w:rsidR="00F74A75" w:rsidRPr="00190DC5" w:rsidRDefault="00F74A75" w:rsidP="004B658A">
      <w:pPr>
        <w:pStyle w:val="Note"/>
        <w:spacing w:before="120"/>
        <w:rPr>
          <w:color w:val="000000"/>
          <w:lang w:val="en-AU"/>
        </w:rPr>
      </w:pPr>
      <w:r w:rsidRPr="00190DC5">
        <w:rPr>
          <w:rStyle w:val="Artdef"/>
          <w:color w:val="000000"/>
          <w:lang w:val="en-AU"/>
        </w:rPr>
        <w:t>5.560</w:t>
      </w:r>
      <w:r w:rsidRPr="00190DC5">
        <w:rPr>
          <w:rStyle w:val="Artdef"/>
          <w:color w:val="000000"/>
          <w:lang w:val="en-AU"/>
        </w:rPr>
        <w:tab/>
      </w:r>
      <w:r w:rsidRPr="00190DC5">
        <w:rPr>
          <w:color w:val="000000"/>
          <w:lang w:val="en-AU"/>
        </w:rPr>
        <w:t>In the band 78</w:t>
      </w:r>
      <w:r w:rsidRPr="00190DC5">
        <w:rPr>
          <w:color w:val="000000"/>
          <w:spacing w:val="-5"/>
          <w:lang w:val="en-AU"/>
        </w:rPr>
        <w:t>-</w:t>
      </w:r>
      <w:r w:rsidRPr="00190DC5">
        <w:rPr>
          <w:color w:val="000000"/>
          <w:lang w:val="en-AU"/>
        </w:rPr>
        <w:t>79 GHz radars located on space stations may be operated on a primary basis in the Earth exploration-satellite service and in the space research service.</w:t>
      </w:r>
    </w:p>
    <w:p w:rsidR="00F74A75" w:rsidRDefault="00F74A75" w:rsidP="004B658A">
      <w:pPr>
        <w:ind w:left="1"/>
        <w:rPr>
          <w:color w:val="000000"/>
          <w:sz w:val="20"/>
          <w:lang w:val="en-US" w:eastAsia="ja-JP"/>
        </w:rPr>
      </w:pPr>
      <w:r w:rsidRPr="00190DC5">
        <w:rPr>
          <w:rStyle w:val="Artdef"/>
          <w:color w:val="000000"/>
          <w:lang w:val="en-US"/>
        </w:rPr>
        <w:t>5.149</w:t>
      </w:r>
      <w:r w:rsidRPr="00190DC5">
        <w:rPr>
          <w:rStyle w:val="Artdef"/>
          <w:color w:val="000000"/>
          <w:lang w:val="en-US"/>
        </w:rPr>
        <w:tab/>
      </w:r>
      <w:r w:rsidRPr="00190DC5">
        <w:rPr>
          <w:color w:val="000000"/>
          <w:lang w:val="en-US"/>
        </w:rPr>
        <w:t xml:space="preserve">In making assignments to stations of other services to which the band [76-86 GHz] </w:t>
      </w:r>
      <w:r w:rsidRPr="00190DC5">
        <w:rPr>
          <w:iCs/>
        </w:rPr>
        <w:t>are</w:t>
      </w:r>
      <w:r>
        <w:t> </w:t>
      </w:r>
      <w:r w:rsidRPr="00190DC5">
        <w:t>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190DC5">
        <w:rPr>
          <w:rStyle w:val="Artref"/>
          <w:b/>
          <w:bCs/>
          <w:color w:val="000000"/>
        </w:rPr>
        <w:t xml:space="preserve">4.5 </w:t>
      </w:r>
      <w:r w:rsidRPr="00190DC5">
        <w:t xml:space="preserve">and </w:t>
      </w:r>
      <w:r w:rsidRPr="00190DC5">
        <w:rPr>
          <w:rStyle w:val="Artref"/>
          <w:b/>
          <w:bCs/>
          <w:color w:val="000000"/>
        </w:rPr>
        <w:t xml:space="preserve">4.6 </w:t>
      </w:r>
      <w:r w:rsidRPr="00190DC5">
        <w:t>and Article </w:t>
      </w:r>
      <w:r w:rsidRPr="00190DC5">
        <w:rPr>
          <w:rStyle w:val="Artref"/>
          <w:b/>
          <w:bCs/>
          <w:color w:val="000000"/>
        </w:rPr>
        <w:t>29</w:t>
      </w:r>
      <w:r w:rsidRPr="00190DC5">
        <w:t>).</w:t>
      </w:r>
      <w:r w:rsidRPr="00190DC5">
        <w:rPr>
          <w:sz w:val="16"/>
          <w:szCs w:val="16"/>
        </w:rPr>
        <w:t>     (WRC</w:t>
      </w:r>
      <w:r w:rsidRPr="00190DC5">
        <w:rPr>
          <w:sz w:val="16"/>
          <w:szCs w:val="16"/>
        </w:rPr>
        <w:noBreakHyphen/>
        <w:t>07)</w:t>
      </w:r>
    </w:p>
    <w:p w:rsidR="00F74A75" w:rsidRDefault="00F74A75" w:rsidP="004B658A">
      <w:pPr>
        <w:rPr>
          <w:lang w:val="en-US" w:eastAsia="ja-JP"/>
        </w:rPr>
      </w:pPr>
    </w:p>
    <w:p w:rsidR="00F74A75" w:rsidRDefault="00F74A75" w:rsidP="00AD64DA"/>
    <w:sectPr w:rsidR="00F74A75"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75" w:rsidRDefault="00F74A75">
      <w:r>
        <w:separator/>
      </w:r>
    </w:p>
  </w:endnote>
  <w:endnote w:type="continuationSeparator" w:id="0">
    <w:p w:rsidR="00F74A75" w:rsidRDefault="00F7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0" w:rsidRPr="004F15C0" w:rsidRDefault="004F15C0" w:rsidP="004F15C0">
    <w:pPr>
      <w:pStyle w:val="Footer"/>
      <w:rPr>
        <w:lang w:val="en-US"/>
      </w:rPr>
    </w:pPr>
    <w:r>
      <w:fldChar w:fldCharType="begin"/>
    </w:r>
    <w:r>
      <w:instrText xml:space="preserve"> FILENAME  \p  \* MERGEFORMAT </w:instrText>
    </w:r>
    <w:r>
      <w:fldChar w:fldCharType="separate"/>
    </w:r>
    <w:r>
      <w:t>M:\BRSGD\TEXT2012\SG05\WP5A\000\079\079N08e.docx</w:t>
    </w:r>
    <w:r>
      <w:fldChar w:fldCharType="end"/>
    </w:r>
    <w:r>
      <w:tab/>
    </w:r>
    <w:r w:rsidRPr="004F15C0">
      <w:rPr>
        <w:lang w:val="en-US"/>
      </w:rPr>
      <w:t>05.06.12</w:t>
    </w:r>
    <w:r>
      <w:rPr>
        <w:lang w:val="en-US"/>
      </w:rPr>
      <w:tab/>
    </w:r>
    <w:r w:rsidRPr="004F15C0">
      <w:rPr>
        <w:lang w:val="en-US"/>
      </w:rPr>
      <w:t>05.06.12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7B" w:rsidRPr="004F15C0" w:rsidRDefault="004F15C0">
    <w:pPr>
      <w:pStyle w:val="Footer"/>
      <w:rPr>
        <w:lang w:val="en-US"/>
      </w:rPr>
    </w:pPr>
    <w:fldSimple w:instr=" FILENAME  \p  \* MERGEFORMAT ">
      <w:r>
        <w:t>M:\BRSGD\TEXT2012\SG05\WP5A\000\079\079N08e.docx</w:t>
      </w:r>
    </w:fldSimple>
    <w:r>
      <w:tab/>
    </w:r>
    <w:r w:rsidRPr="004F15C0">
      <w:rPr>
        <w:lang w:val="en-US"/>
      </w:rPr>
      <w:t>05.06.12</w:t>
    </w:r>
    <w:r>
      <w:rPr>
        <w:lang w:val="en-US"/>
      </w:rPr>
      <w:tab/>
    </w:r>
    <w:r w:rsidRPr="004F15C0">
      <w:rPr>
        <w:lang w:val="en-US"/>
      </w:rPr>
      <w:t>05.06.12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75" w:rsidRDefault="00F74A75">
      <w:r>
        <w:t>____________________</w:t>
      </w:r>
    </w:p>
  </w:footnote>
  <w:footnote w:type="continuationSeparator" w:id="0">
    <w:p w:rsidR="00F74A75" w:rsidRDefault="00F74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75" w:rsidRDefault="00F74A7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F5C9B">
      <w:rPr>
        <w:rStyle w:val="PageNumber"/>
        <w:noProof/>
      </w:rPr>
      <w:t>3</w:t>
    </w:r>
    <w:r>
      <w:rPr>
        <w:rStyle w:val="PageNumber"/>
      </w:rPr>
      <w:fldChar w:fldCharType="end"/>
    </w:r>
    <w:r>
      <w:rPr>
        <w:rStyle w:val="PageNumber"/>
      </w:rPr>
      <w:t xml:space="preserve"> -</w:t>
    </w:r>
  </w:p>
  <w:p w:rsidR="00F74A75" w:rsidRDefault="00F74A75" w:rsidP="00EB756B">
    <w:pPr>
      <w:pStyle w:val="Header"/>
      <w:rPr>
        <w:lang w:val="en-US"/>
      </w:rPr>
    </w:pPr>
    <w:r>
      <w:rPr>
        <w:lang w:val="en-US"/>
      </w:rPr>
      <w:t>5A/79</w:t>
    </w:r>
    <w:r w:rsidR="004F15C0">
      <w:rPr>
        <w:lang w:val="en-US"/>
      </w:rPr>
      <w:t xml:space="preserve"> </w:t>
    </w:r>
    <w:r>
      <w:rPr>
        <w:lang w:val="en-US"/>
      </w:rPr>
      <w:t>(Annex 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742"/>
    <w:multiLevelType w:val="hybridMultilevel"/>
    <w:tmpl w:val="21E827A4"/>
    <w:lvl w:ilvl="0" w:tplc="B9D010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C857F02"/>
    <w:multiLevelType w:val="hybridMultilevel"/>
    <w:tmpl w:val="4BBCE4DA"/>
    <w:lvl w:ilvl="0" w:tplc="49D4AAD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FA59C5"/>
    <w:multiLevelType w:val="hybridMultilevel"/>
    <w:tmpl w:val="6526CA7E"/>
    <w:lvl w:ilvl="0" w:tplc="EBCC9C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F0E19AF"/>
    <w:multiLevelType w:val="hybridMultilevel"/>
    <w:tmpl w:val="BC28C16E"/>
    <w:lvl w:ilvl="0" w:tplc="6D502D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30765F78"/>
    <w:multiLevelType w:val="hybridMultilevel"/>
    <w:tmpl w:val="4676AD38"/>
    <w:lvl w:ilvl="0" w:tplc="EBCC9C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1027622"/>
    <w:multiLevelType w:val="hybridMultilevel"/>
    <w:tmpl w:val="93C8ED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12701E3"/>
    <w:multiLevelType w:val="hybridMultilevel"/>
    <w:tmpl w:val="6526CA7E"/>
    <w:lvl w:ilvl="0" w:tplc="EBCC9C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566D4FCF"/>
    <w:multiLevelType w:val="hybridMultilevel"/>
    <w:tmpl w:val="E91461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569725FB"/>
    <w:multiLevelType w:val="hybridMultilevel"/>
    <w:tmpl w:val="83F248C4"/>
    <w:lvl w:ilvl="0" w:tplc="6B9820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9107C68"/>
    <w:multiLevelType w:val="hybridMultilevel"/>
    <w:tmpl w:val="139CBF26"/>
    <w:lvl w:ilvl="0" w:tplc="EBCC9C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B256309"/>
    <w:multiLevelType w:val="hybridMultilevel"/>
    <w:tmpl w:val="5B8C7F6A"/>
    <w:lvl w:ilvl="0" w:tplc="ED124B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61DA29FF"/>
    <w:multiLevelType w:val="hybridMultilevel"/>
    <w:tmpl w:val="C0D8A14A"/>
    <w:lvl w:ilvl="0" w:tplc="121401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969105A"/>
    <w:multiLevelType w:val="hybridMultilevel"/>
    <w:tmpl w:val="DA76696C"/>
    <w:lvl w:ilvl="0" w:tplc="0409000F">
      <w:start w:val="1"/>
      <w:numFmt w:val="decimal"/>
      <w:lvlText w:val="%1."/>
      <w:lvlJc w:val="left"/>
      <w:pPr>
        <w:ind w:left="1070" w:hanging="360"/>
      </w:pPr>
      <w:rPr>
        <w:rFonts w:cs="Times New Roman"/>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num w:numId="1">
    <w:abstractNumId w:val="3"/>
  </w:num>
  <w:num w:numId="2">
    <w:abstractNumId w:val="1"/>
  </w:num>
  <w:num w:numId="3">
    <w:abstractNumId w:val="11"/>
  </w:num>
  <w:num w:numId="4">
    <w:abstractNumId w:val="10"/>
  </w:num>
  <w:num w:numId="5">
    <w:abstractNumId w:val="8"/>
  </w:num>
  <w:num w:numId="6">
    <w:abstractNumId w:val="0"/>
  </w:num>
  <w:num w:numId="7">
    <w:abstractNumId w:val="2"/>
  </w:num>
  <w:num w:numId="8">
    <w:abstractNumId w:val="6"/>
  </w:num>
  <w:num w:numId="9">
    <w:abstractNumId w:val="4"/>
  </w:num>
  <w:num w:numId="10">
    <w:abstractNumId w:val="9"/>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E7"/>
    <w:rsid w:val="000069D4"/>
    <w:rsid w:val="000174AD"/>
    <w:rsid w:val="000A7D55"/>
    <w:rsid w:val="000C2E8E"/>
    <w:rsid w:val="000E0E7C"/>
    <w:rsid w:val="000F1B4B"/>
    <w:rsid w:val="0012744F"/>
    <w:rsid w:val="00156F66"/>
    <w:rsid w:val="00182528"/>
    <w:rsid w:val="0018500B"/>
    <w:rsid w:val="00190DC5"/>
    <w:rsid w:val="00196A19"/>
    <w:rsid w:val="001A1E45"/>
    <w:rsid w:val="001C7963"/>
    <w:rsid w:val="001E0DC5"/>
    <w:rsid w:val="00202DC1"/>
    <w:rsid w:val="002116EE"/>
    <w:rsid w:val="002309D8"/>
    <w:rsid w:val="00232807"/>
    <w:rsid w:val="00232F95"/>
    <w:rsid w:val="00246AD3"/>
    <w:rsid w:val="002A7FE2"/>
    <w:rsid w:val="002E1B4F"/>
    <w:rsid w:val="002F2E67"/>
    <w:rsid w:val="002F5C9B"/>
    <w:rsid w:val="00315546"/>
    <w:rsid w:val="00330567"/>
    <w:rsid w:val="00343CE7"/>
    <w:rsid w:val="00350484"/>
    <w:rsid w:val="00367E76"/>
    <w:rsid w:val="00386A9D"/>
    <w:rsid w:val="00391081"/>
    <w:rsid w:val="003B2789"/>
    <w:rsid w:val="003C13CE"/>
    <w:rsid w:val="003C2BC6"/>
    <w:rsid w:val="003D2473"/>
    <w:rsid w:val="003E2518"/>
    <w:rsid w:val="00456D30"/>
    <w:rsid w:val="004B1EF7"/>
    <w:rsid w:val="004B3FAD"/>
    <w:rsid w:val="004B4435"/>
    <w:rsid w:val="004B658A"/>
    <w:rsid w:val="004C023B"/>
    <w:rsid w:val="004F15C0"/>
    <w:rsid w:val="00501DCA"/>
    <w:rsid w:val="00513A47"/>
    <w:rsid w:val="0051782D"/>
    <w:rsid w:val="00534D82"/>
    <w:rsid w:val="005408DF"/>
    <w:rsid w:val="00573344"/>
    <w:rsid w:val="00583F9B"/>
    <w:rsid w:val="005B1FE4"/>
    <w:rsid w:val="005E5C10"/>
    <w:rsid w:val="005F2C78"/>
    <w:rsid w:val="006144E4"/>
    <w:rsid w:val="00650299"/>
    <w:rsid w:val="00655FC5"/>
    <w:rsid w:val="006762BE"/>
    <w:rsid w:val="00682CC7"/>
    <w:rsid w:val="006910CC"/>
    <w:rsid w:val="00710D66"/>
    <w:rsid w:val="0077482F"/>
    <w:rsid w:val="0079202A"/>
    <w:rsid w:val="007E0596"/>
    <w:rsid w:val="008142D0"/>
    <w:rsid w:val="00822581"/>
    <w:rsid w:val="008309DD"/>
    <w:rsid w:val="0083227A"/>
    <w:rsid w:val="00834067"/>
    <w:rsid w:val="00864937"/>
    <w:rsid w:val="00866900"/>
    <w:rsid w:val="00881BA1"/>
    <w:rsid w:val="00883CFC"/>
    <w:rsid w:val="008A2825"/>
    <w:rsid w:val="008A6E40"/>
    <w:rsid w:val="008B61AD"/>
    <w:rsid w:val="008C26B8"/>
    <w:rsid w:val="008F5C26"/>
    <w:rsid w:val="00982084"/>
    <w:rsid w:val="00995963"/>
    <w:rsid w:val="009B61EB"/>
    <w:rsid w:val="009C2064"/>
    <w:rsid w:val="009D1697"/>
    <w:rsid w:val="00A014F8"/>
    <w:rsid w:val="00A5173C"/>
    <w:rsid w:val="00A61AEF"/>
    <w:rsid w:val="00A7792D"/>
    <w:rsid w:val="00AD64DA"/>
    <w:rsid w:val="00AF173A"/>
    <w:rsid w:val="00B066A4"/>
    <w:rsid w:val="00B07A13"/>
    <w:rsid w:val="00B25C68"/>
    <w:rsid w:val="00B4279B"/>
    <w:rsid w:val="00B45FC9"/>
    <w:rsid w:val="00B47B44"/>
    <w:rsid w:val="00BC5B30"/>
    <w:rsid w:val="00BC7CCF"/>
    <w:rsid w:val="00BE3255"/>
    <w:rsid w:val="00BE470B"/>
    <w:rsid w:val="00BF47B1"/>
    <w:rsid w:val="00C40715"/>
    <w:rsid w:val="00C47A86"/>
    <w:rsid w:val="00C57A91"/>
    <w:rsid w:val="00C81D47"/>
    <w:rsid w:val="00CC01C2"/>
    <w:rsid w:val="00CF21F2"/>
    <w:rsid w:val="00D02712"/>
    <w:rsid w:val="00D03C71"/>
    <w:rsid w:val="00D214D0"/>
    <w:rsid w:val="00D267DE"/>
    <w:rsid w:val="00D6546B"/>
    <w:rsid w:val="00D670C9"/>
    <w:rsid w:val="00D8032B"/>
    <w:rsid w:val="00D85C73"/>
    <w:rsid w:val="00DD4BED"/>
    <w:rsid w:val="00DE39F0"/>
    <w:rsid w:val="00DF0AF3"/>
    <w:rsid w:val="00E27D7E"/>
    <w:rsid w:val="00E42E13"/>
    <w:rsid w:val="00E6257C"/>
    <w:rsid w:val="00E63C59"/>
    <w:rsid w:val="00E83937"/>
    <w:rsid w:val="00EB756B"/>
    <w:rsid w:val="00EC3189"/>
    <w:rsid w:val="00F33901"/>
    <w:rsid w:val="00F74A75"/>
    <w:rsid w:val="00F97882"/>
    <w:rsid w:val="00FA124A"/>
    <w:rsid w:val="00FA7186"/>
    <w:rsid w:val="00FC08DD"/>
    <w:rsid w:val="00FC2316"/>
    <w:rsid w:val="00FC2B96"/>
    <w:rsid w:val="00FC2CFD"/>
    <w:rsid w:val="00FC317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uiPriority w:val="9"/>
    <w:rsid w:val="00522A3C"/>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Heading1Char1"/>
    <w:link w:val="Heading2"/>
    <w:uiPriority w:val="99"/>
    <w:locked/>
    <w:rsid w:val="00E83937"/>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522A3C"/>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522A3C"/>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522A3C"/>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522A3C"/>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522A3C"/>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522A3C"/>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522A3C"/>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83937"/>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522A3C"/>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E83937"/>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C2BC6"/>
    <w:rPr>
      <w:rFonts w:cs="Times New Roman"/>
      <w:color w:val="0000FF"/>
      <w:u w:val="single"/>
    </w:rPr>
  </w:style>
  <w:style w:type="character" w:customStyle="1" w:styleId="Title1Char">
    <w:name w:val="Title 1 Char"/>
    <w:basedOn w:val="DefaultParagraphFont"/>
    <w:link w:val="Title1"/>
    <w:uiPriority w:val="99"/>
    <w:locked/>
    <w:rsid w:val="00BE3255"/>
    <w:rPr>
      <w:rFonts w:ascii="Times New Roman" w:hAnsi="Times New Roman" w:cs="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link w:val="Heading1"/>
    <w:uiPriority w:val="99"/>
    <w:locked/>
    <w:rsid w:val="00E83937"/>
    <w:rPr>
      <w:rFonts w:ascii="Times New Roman" w:hAnsi="Times New Roman" w:cs="Times New Roman"/>
      <w:b/>
      <w:sz w:val="28"/>
      <w:lang w:val="en-GB" w:eastAsia="en-US"/>
    </w:rPr>
  </w:style>
  <w:style w:type="paragraph" w:styleId="BodyText">
    <w:name w:val="Body Text"/>
    <w:basedOn w:val="Normal"/>
    <w:link w:val="BodyTextChar"/>
    <w:uiPriority w:val="99"/>
    <w:rsid w:val="00E83937"/>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uiPriority w:val="99"/>
    <w:locked/>
    <w:rsid w:val="00E83937"/>
    <w:rPr>
      <w:rFonts w:ascii="Times New Roman" w:eastAsia="SimSun" w:hAnsi="Times New Roman" w:cs="Times New Roman"/>
      <w:b/>
      <w:smallCaps/>
      <w:sz w:val="24"/>
      <w:lang w:val="en-GB" w:eastAsia="en-US"/>
    </w:rPr>
  </w:style>
  <w:style w:type="character" w:customStyle="1" w:styleId="enumlev1Char">
    <w:name w:val="enumlev1 Char"/>
    <w:basedOn w:val="DefaultParagraphFont"/>
    <w:link w:val="enumlev1"/>
    <w:uiPriority w:val="99"/>
    <w:locked/>
    <w:rsid w:val="00E83937"/>
    <w:rPr>
      <w:rFonts w:ascii="Times New Roman" w:hAnsi="Times New Roman" w:cs="Times New Roman"/>
      <w:sz w:val="24"/>
      <w:lang w:val="en-GB" w:eastAsia="en-US"/>
    </w:rPr>
  </w:style>
  <w:style w:type="paragraph" w:styleId="NormalWeb">
    <w:name w:val="Normal (Web)"/>
    <w:basedOn w:val="Normal"/>
    <w:uiPriority w:val="99"/>
    <w:rsid w:val="00E8393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character" w:styleId="Strong">
    <w:name w:val="Strong"/>
    <w:basedOn w:val="DefaultParagraphFont"/>
    <w:uiPriority w:val="99"/>
    <w:qFormat/>
    <w:rsid w:val="00E83937"/>
    <w:rPr>
      <w:rFonts w:cs="Times New Roman"/>
      <w:b/>
      <w:bCs/>
    </w:rPr>
  </w:style>
  <w:style w:type="paragraph" w:styleId="ListParagraph">
    <w:name w:val="List Paragraph"/>
    <w:basedOn w:val="Normal"/>
    <w:uiPriority w:val="99"/>
    <w:qFormat/>
    <w:rsid w:val="00E83937"/>
    <w:pPr>
      <w:tabs>
        <w:tab w:val="clear" w:pos="1134"/>
        <w:tab w:val="clear" w:pos="1871"/>
        <w:tab w:val="clear" w:pos="2268"/>
      </w:tabs>
      <w:overflowPunct/>
      <w:autoSpaceDE/>
      <w:autoSpaceDN/>
      <w:adjustRightInd/>
      <w:spacing w:before="0"/>
      <w:ind w:left="720"/>
      <w:contextualSpacing/>
      <w:textAlignment w:val="auto"/>
    </w:pPr>
    <w:rPr>
      <w:rFonts w:ascii="Arial" w:hAnsi="Arial" w:cs="Calibri"/>
      <w:sz w:val="22"/>
      <w:szCs w:val="22"/>
      <w:lang w:eastAsia="en-GB"/>
    </w:rPr>
  </w:style>
  <w:style w:type="paragraph" w:customStyle="1" w:styleId="Tablefin">
    <w:name w:val="Table_fin"/>
    <w:basedOn w:val="Normal"/>
    <w:uiPriority w:val="99"/>
    <w:rsid w:val="00D85C73"/>
    <w:pPr>
      <w:tabs>
        <w:tab w:val="clear" w:pos="1134"/>
      </w:tabs>
      <w:spacing w:before="0"/>
      <w:jc w:val="both"/>
    </w:pPr>
    <w:rPr>
      <w:rFonts w:eastAsia="MS Mincho"/>
      <w:sz w:val="12"/>
      <w:szCs w:val="12"/>
      <w:lang w:val="fr-FR"/>
    </w:rPr>
  </w:style>
  <w:style w:type="character" w:customStyle="1" w:styleId="NoteChar">
    <w:name w:val="Note Char"/>
    <w:link w:val="Note"/>
    <w:uiPriority w:val="99"/>
    <w:locked/>
    <w:rsid w:val="00D85C73"/>
    <w:rPr>
      <w:rFonts w:ascii="Times New Roman" w:hAnsi="Times New Roman"/>
      <w:sz w:val="24"/>
      <w:lang w:val="en-GB" w:eastAsia="en-US"/>
    </w:rPr>
  </w:style>
  <w:style w:type="character" w:customStyle="1" w:styleId="TableNoChar">
    <w:name w:val="Table_No Char"/>
    <w:link w:val="TableNo"/>
    <w:uiPriority w:val="99"/>
    <w:locked/>
    <w:rsid w:val="00D85C73"/>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D85C73"/>
    <w:rPr>
      <w:rFonts w:ascii="Times New Roman Bold" w:hAnsi="Times New Roman Bold" w:cs="Times New Roman"/>
      <w:b/>
      <w:lang w:val="en-GB" w:eastAsia="en-US"/>
    </w:rPr>
  </w:style>
  <w:style w:type="paragraph" w:styleId="BalloonText">
    <w:name w:val="Balloon Text"/>
    <w:basedOn w:val="Normal"/>
    <w:link w:val="BalloonTextChar"/>
    <w:uiPriority w:val="99"/>
    <w:semiHidden/>
    <w:unhideWhenUsed/>
    <w:rsid w:val="00FC31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7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見出し 1,II+"/>
    <w:basedOn w:val="Normal"/>
    <w:next w:val="Normal"/>
    <w:link w:val="Heading1Char1"/>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uiPriority w:val="9"/>
    <w:rsid w:val="00522A3C"/>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Heading1Char1"/>
    <w:link w:val="Heading2"/>
    <w:uiPriority w:val="99"/>
    <w:locked/>
    <w:rsid w:val="00E83937"/>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522A3C"/>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522A3C"/>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522A3C"/>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522A3C"/>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522A3C"/>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522A3C"/>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522A3C"/>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83937"/>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522A3C"/>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E83937"/>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3C2BC6"/>
    <w:rPr>
      <w:rFonts w:cs="Times New Roman"/>
      <w:color w:val="0000FF"/>
      <w:u w:val="single"/>
    </w:rPr>
  </w:style>
  <w:style w:type="character" w:customStyle="1" w:styleId="Title1Char">
    <w:name w:val="Title 1 Char"/>
    <w:basedOn w:val="DefaultParagraphFont"/>
    <w:link w:val="Title1"/>
    <w:uiPriority w:val="99"/>
    <w:locked/>
    <w:rsid w:val="00BE3255"/>
    <w:rPr>
      <w:rFonts w:ascii="Times New Roman" w:hAnsi="Times New Roman" w:cs="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link w:val="Heading1"/>
    <w:uiPriority w:val="99"/>
    <w:locked/>
    <w:rsid w:val="00E83937"/>
    <w:rPr>
      <w:rFonts w:ascii="Times New Roman" w:hAnsi="Times New Roman" w:cs="Times New Roman"/>
      <w:b/>
      <w:sz w:val="28"/>
      <w:lang w:val="en-GB" w:eastAsia="en-US"/>
    </w:rPr>
  </w:style>
  <w:style w:type="paragraph" w:styleId="BodyText">
    <w:name w:val="Body Text"/>
    <w:basedOn w:val="Normal"/>
    <w:link w:val="BodyTextChar"/>
    <w:uiPriority w:val="99"/>
    <w:rsid w:val="00E83937"/>
    <w:pPr>
      <w:framePr w:hSpace="181" w:wrap="around" w:vAnchor="page" w:hAnchor="margin" w:x="1" w:y="852"/>
      <w:jc w:val="center"/>
    </w:pPr>
    <w:rPr>
      <w:rFonts w:eastAsia="SimSun"/>
      <w:b/>
      <w:smallCaps/>
    </w:rPr>
  </w:style>
  <w:style w:type="character" w:customStyle="1" w:styleId="BodyTextChar">
    <w:name w:val="Body Text Char"/>
    <w:basedOn w:val="DefaultParagraphFont"/>
    <w:link w:val="BodyText"/>
    <w:uiPriority w:val="99"/>
    <w:locked/>
    <w:rsid w:val="00E83937"/>
    <w:rPr>
      <w:rFonts w:ascii="Times New Roman" w:eastAsia="SimSun" w:hAnsi="Times New Roman" w:cs="Times New Roman"/>
      <w:b/>
      <w:smallCaps/>
      <w:sz w:val="24"/>
      <w:lang w:val="en-GB" w:eastAsia="en-US"/>
    </w:rPr>
  </w:style>
  <w:style w:type="character" w:customStyle="1" w:styleId="enumlev1Char">
    <w:name w:val="enumlev1 Char"/>
    <w:basedOn w:val="DefaultParagraphFont"/>
    <w:link w:val="enumlev1"/>
    <w:uiPriority w:val="99"/>
    <w:locked/>
    <w:rsid w:val="00E83937"/>
    <w:rPr>
      <w:rFonts w:ascii="Times New Roman" w:hAnsi="Times New Roman" w:cs="Times New Roman"/>
      <w:sz w:val="24"/>
      <w:lang w:val="en-GB" w:eastAsia="en-US"/>
    </w:rPr>
  </w:style>
  <w:style w:type="paragraph" w:styleId="NormalWeb">
    <w:name w:val="Normal (Web)"/>
    <w:basedOn w:val="Normal"/>
    <w:uiPriority w:val="99"/>
    <w:rsid w:val="00E83937"/>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rPr>
  </w:style>
  <w:style w:type="character" w:styleId="Strong">
    <w:name w:val="Strong"/>
    <w:basedOn w:val="DefaultParagraphFont"/>
    <w:uiPriority w:val="99"/>
    <w:qFormat/>
    <w:rsid w:val="00E83937"/>
    <w:rPr>
      <w:rFonts w:cs="Times New Roman"/>
      <w:b/>
      <w:bCs/>
    </w:rPr>
  </w:style>
  <w:style w:type="paragraph" w:styleId="ListParagraph">
    <w:name w:val="List Paragraph"/>
    <w:basedOn w:val="Normal"/>
    <w:uiPriority w:val="99"/>
    <w:qFormat/>
    <w:rsid w:val="00E83937"/>
    <w:pPr>
      <w:tabs>
        <w:tab w:val="clear" w:pos="1134"/>
        <w:tab w:val="clear" w:pos="1871"/>
        <w:tab w:val="clear" w:pos="2268"/>
      </w:tabs>
      <w:overflowPunct/>
      <w:autoSpaceDE/>
      <w:autoSpaceDN/>
      <w:adjustRightInd/>
      <w:spacing w:before="0"/>
      <w:ind w:left="720"/>
      <w:contextualSpacing/>
      <w:textAlignment w:val="auto"/>
    </w:pPr>
    <w:rPr>
      <w:rFonts w:ascii="Arial" w:hAnsi="Arial" w:cs="Calibri"/>
      <w:sz w:val="22"/>
      <w:szCs w:val="22"/>
      <w:lang w:eastAsia="en-GB"/>
    </w:rPr>
  </w:style>
  <w:style w:type="paragraph" w:customStyle="1" w:styleId="Tablefin">
    <w:name w:val="Table_fin"/>
    <w:basedOn w:val="Normal"/>
    <w:uiPriority w:val="99"/>
    <w:rsid w:val="00D85C73"/>
    <w:pPr>
      <w:tabs>
        <w:tab w:val="clear" w:pos="1134"/>
      </w:tabs>
      <w:spacing w:before="0"/>
      <w:jc w:val="both"/>
    </w:pPr>
    <w:rPr>
      <w:rFonts w:eastAsia="MS Mincho"/>
      <w:sz w:val="12"/>
      <w:szCs w:val="12"/>
      <w:lang w:val="fr-FR"/>
    </w:rPr>
  </w:style>
  <w:style w:type="character" w:customStyle="1" w:styleId="NoteChar">
    <w:name w:val="Note Char"/>
    <w:link w:val="Note"/>
    <w:uiPriority w:val="99"/>
    <w:locked/>
    <w:rsid w:val="00D85C73"/>
    <w:rPr>
      <w:rFonts w:ascii="Times New Roman" w:hAnsi="Times New Roman"/>
      <w:sz w:val="24"/>
      <w:lang w:val="en-GB" w:eastAsia="en-US"/>
    </w:rPr>
  </w:style>
  <w:style w:type="character" w:customStyle="1" w:styleId="TableNoChar">
    <w:name w:val="Table_No Char"/>
    <w:link w:val="TableNo"/>
    <w:uiPriority w:val="99"/>
    <w:locked/>
    <w:rsid w:val="00D85C73"/>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D85C73"/>
    <w:rPr>
      <w:rFonts w:ascii="Times New Roman Bold" w:hAnsi="Times New Roman Bold" w:cs="Times New Roman"/>
      <w:b/>
      <w:lang w:val="en-GB" w:eastAsia="en-US"/>
    </w:rPr>
  </w:style>
  <w:style w:type="paragraph" w:styleId="BalloonText">
    <w:name w:val="Balloon Text"/>
    <w:basedOn w:val="Normal"/>
    <w:link w:val="BalloonTextChar"/>
    <w:uiPriority w:val="99"/>
    <w:semiHidden/>
    <w:unhideWhenUsed/>
    <w:rsid w:val="00FC31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17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WP5B-C-0062/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dologin_md.asp?lang=en&amp;id=R12-WP5B-C-0062!N09!MSW-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B118-C36F-4892-A0AB-771E7304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3</Pages>
  <Words>569</Words>
  <Characters>3571</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detraz</cp:lastModifiedBy>
  <cp:revision>4</cp:revision>
  <cp:lastPrinted>2012-06-05T13:26:00Z</cp:lastPrinted>
  <dcterms:created xsi:type="dcterms:W3CDTF">2012-06-05T14:40:00Z</dcterms:created>
  <dcterms:modified xsi:type="dcterms:W3CDTF">2012-06-05T14:43:00Z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