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9762BA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  <w:lang w:eastAsia="ko-KR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ko-KR"/>
              </w:rPr>
              <w:t>10 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 w:cs="Times New Roman Bold"/>
                <w:b/>
                <w:bCs/>
                <w:sz w:val="20"/>
                <w:lang w:eastAsia="ko-KR"/>
              </w:rPr>
              <w:t>11</w:t>
            </w:r>
            <w:bookmarkStart w:id="0" w:name="_GoBack"/>
            <w:bookmarkEnd w:id="0"/>
          </w:p>
        </w:tc>
        <w:tc>
          <w:tcPr>
            <w:tcW w:w="3451" w:type="dxa"/>
          </w:tcPr>
          <w:p w:rsidR="000069D4" w:rsidRDefault="001C5EB9" w:rsidP="006D58AE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BB53BA">
        <w:trPr>
          <w:cantSplit/>
        </w:trPr>
        <w:tc>
          <w:tcPr>
            <w:tcW w:w="6580" w:type="dxa"/>
            <w:vMerge w:val="restart"/>
          </w:tcPr>
          <w:p w:rsidR="006D58AE" w:rsidRDefault="006D58AE" w:rsidP="00F70F9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</w:p>
          <w:p w:rsidR="000069D4" w:rsidRPr="00982084" w:rsidRDefault="000069D4" w:rsidP="006D58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51" w:type="dxa"/>
          </w:tcPr>
          <w:p w:rsidR="000069D4" w:rsidRPr="00BB53BA" w:rsidRDefault="00F70F95" w:rsidP="00B93F3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it-IT" w:eastAsia="zh-CN"/>
              </w:rPr>
            </w:pPr>
            <w:r w:rsidRPr="00BB53BA">
              <w:rPr>
                <w:rFonts w:ascii="Verdana" w:hAnsi="Verdana"/>
                <w:b/>
                <w:sz w:val="20"/>
                <w:lang w:val="it-IT" w:eastAsia="zh-CN"/>
              </w:rPr>
              <w:t xml:space="preserve">Document </w:t>
            </w:r>
            <w:r w:rsidR="003647CF">
              <w:rPr>
                <w:rFonts w:ascii="Verdana" w:hAnsi="Verdana" w:hint="eastAsia"/>
                <w:b/>
                <w:sz w:val="20"/>
                <w:lang w:val="it-IT" w:eastAsia="ja-JP"/>
              </w:rPr>
              <w:t>RAG11-1</w:t>
            </w:r>
            <w:r w:rsidRPr="00BB53BA">
              <w:rPr>
                <w:rFonts w:ascii="Verdana" w:hAnsi="Verdana"/>
                <w:b/>
                <w:sz w:val="20"/>
                <w:lang w:val="it-IT" w:eastAsia="zh-CN"/>
              </w:rPr>
              <w:t>/</w:t>
            </w:r>
            <w:r w:rsidR="00B93F32">
              <w:rPr>
                <w:rFonts w:ascii="Verdana" w:hAnsi="Verdana"/>
                <w:b/>
                <w:sz w:val="20"/>
                <w:lang w:val="it-IT" w:eastAsia="zh-CN"/>
              </w:rPr>
              <w:t>23</w:t>
            </w:r>
            <w:r w:rsidRPr="00BB53BA">
              <w:rPr>
                <w:rFonts w:ascii="Verdana" w:hAnsi="Verdana" w:hint="eastAsia"/>
                <w:b/>
                <w:sz w:val="20"/>
                <w:lang w:val="it-IT"/>
              </w:rPr>
              <w:t>-</w:t>
            </w:r>
            <w:r w:rsidRPr="00BB53BA">
              <w:rPr>
                <w:rFonts w:ascii="Verdana" w:hAnsi="Verdana"/>
                <w:b/>
                <w:sz w:val="20"/>
                <w:lang w:val="it-IT" w:eastAsia="zh-CN"/>
              </w:rPr>
              <w:t>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BB53B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it-IT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6D58AE" w:rsidRDefault="00B93F32" w:rsidP="003647C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ja-JP"/>
              </w:rPr>
            </w:pPr>
            <w:r>
              <w:rPr>
                <w:rFonts w:ascii="Verdana" w:hAnsi="Verdana"/>
                <w:b/>
                <w:sz w:val="20"/>
                <w:lang w:eastAsia="ja-JP"/>
              </w:rPr>
              <w:t xml:space="preserve">1 </w:t>
            </w:r>
            <w:r w:rsidR="003647CF">
              <w:rPr>
                <w:rFonts w:ascii="Verdana" w:hAnsi="Verdana" w:hint="eastAsia"/>
                <w:b/>
                <w:sz w:val="20"/>
                <w:lang w:eastAsia="ja-JP"/>
              </w:rPr>
              <w:t>June</w:t>
            </w:r>
            <w:r w:rsidR="006D58AE">
              <w:rPr>
                <w:rFonts w:ascii="Verdana" w:hAnsi="Verdana"/>
                <w:b/>
                <w:sz w:val="20"/>
                <w:lang w:eastAsia="zh-CN"/>
              </w:rPr>
              <w:t xml:space="preserve"> 2</w:t>
            </w:r>
            <w:r w:rsidR="00BB53BA">
              <w:rPr>
                <w:rFonts w:ascii="Verdana" w:hAnsi="Verdana" w:hint="eastAsia"/>
                <w:b/>
                <w:sz w:val="20"/>
                <w:lang w:eastAsia="ja-JP"/>
              </w:rPr>
              <w:t>01</w:t>
            </w:r>
            <w:r w:rsidR="003647CF">
              <w:rPr>
                <w:rFonts w:ascii="Verdana" w:hAnsi="Verdana" w:hint="eastAsia"/>
                <w:b/>
                <w:sz w:val="20"/>
                <w:lang w:eastAsia="ja-JP"/>
              </w:rPr>
              <w:t>1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6D58AE" w:rsidRDefault="00B93F3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="006D58A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960DDC" w:rsidP="006D58AE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t>Chairman, Study Group 5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7F1C62" w:rsidRPr="007F1C62" w:rsidRDefault="001C5EB9" w:rsidP="00862BA8">
            <w:pPr>
              <w:pStyle w:val="Title1"/>
              <w:rPr>
                <w:lang w:eastAsia="ja-JP"/>
              </w:rPr>
            </w:pPr>
            <w:bookmarkStart w:id="7" w:name="drec" w:colFirst="0" w:colLast="0"/>
            <w:bookmarkEnd w:id="6"/>
            <w:r>
              <w:rPr>
                <w:rFonts w:hint="eastAsia"/>
                <w:lang w:eastAsia="ja-JP"/>
              </w:rPr>
              <w:t xml:space="preserve">Study </w:t>
            </w:r>
            <w:r w:rsidR="00862BA8">
              <w:rPr>
                <w:rFonts w:hint="eastAsia"/>
                <w:lang w:eastAsia="ja-JP"/>
              </w:rPr>
              <w:t>res</w:t>
            </w:r>
            <w:r w:rsidR="00862BA8">
              <w:rPr>
                <w:lang w:eastAsia="ja-JP"/>
              </w:rPr>
              <w:t>UL</w:t>
            </w:r>
            <w:r w:rsidR="00862BA8">
              <w:rPr>
                <w:rFonts w:hint="eastAsia"/>
                <w:lang w:eastAsia="ja-JP"/>
              </w:rPr>
              <w:t xml:space="preserve">t </w:t>
            </w:r>
            <w:r>
              <w:rPr>
                <w:rFonts w:hint="eastAsia"/>
                <w:lang w:eastAsia="ja-JP"/>
              </w:rPr>
              <w:t>addressed in Recommendation iTU-R F.1502 responding to Resolution 124 (</w:t>
            </w:r>
            <w:r w:rsidR="00737C0E">
              <w:rPr>
                <w:lang w:eastAsia="ja-JP"/>
              </w:rPr>
              <w:t>Rev.</w:t>
            </w:r>
            <w:r>
              <w:rPr>
                <w:rFonts w:hint="eastAsia"/>
                <w:lang w:eastAsia="ja-JP"/>
              </w:rPr>
              <w:t>WRC-2000)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Pr="000936CC" w:rsidRDefault="000069D4" w:rsidP="006D58AE">
            <w:pPr>
              <w:pStyle w:val="Title2"/>
              <w:rPr>
                <w:caps w:val="0"/>
                <w:lang w:eastAsia="ja-JP"/>
              </w:rPr>
            </w:pPr>
            <w:bookmarkStart w:id="8" w:name="dtitle1" w:colFirst="0" w:colLast="0"/>
            <w:bookmarkEnd w:id="7"/>
          </w:p>
        </w:tc>
      </w:tr>
    </w:tbl>
    <w:p w:rsidR="00D865A7" w:rsidRPr="0000039E" w:rsidRDefault="00D865A7" w:rsidP="009E10DC">
      <w:pPr>
        <w:pStyle w:val="Heading1"/>
        <w:spacing w:before="480"/>
        <w:rPr>
          <w:lang w:eastAsia="ja-JP"/>
        </w:rPr>
      </w:pPr>
      <w:bookmarkStart w:id="9" w:name="dbreak"/>
      <w:bookmarkEnd w:id="8"/>
      <w:bookmarkEnd w:id="9"/>
      <w:r>
        <w:t>1</w:t>
      </w:r>
      <w:r>
        <w:tab/>
      </w:r>
      <w:r w:rsidR="00D84F7B">
        <w:rPr>
          <w:rFonts w:hint="eastAsia"/>
          <w:lang w:eastAsia="ja-JP"/>
        </w:rPr>
        <w:t>Background</w:t>
      </w:r>
    </w:p>
    <w:p w:rsidR="00FF4093" w:rsidRDefault="00C46BEB" w:rsidP="00862BA8">
      <w:pPr>
        <w:spacing w:beforeLines="50" w:line="300" w:lineRule="exact"/>
        <w:rPr>
          <w:lang w:eastAsia="ja-JP"/>
        </w:rPr>
      </w:pPr>
      <w:r>
        <w:rPr>
          <w:rFonts w:hint="eastAsia"/>
          <w:lang w:eastAsia="ja-JP"/>
        </w:rPr>
        <w:t>No.</w:t>
      </w:r>
      <w:r w:rsidR="007F156C">
        <w:rPr>
          <w:rFonts w:hint="eastAsia"/>
          <w:lang w:eastAsia="ja-JP"/>
        </w:rPr>
        <w:t xml:space="preserve"> </w:t>
      </w:r>
      <w:r w:rsidR="007F156C" w:rsidRPr="00FF4093">
        <w:rPr>
          <w:rFonts w:hint="eastAsia"/>
          <w:b/>
          <w:lang w:eastAsia="ja-JP"/>
        </w:rPr>
        <w:t>5.462A</w:t>
      </w:r>
      <w:r w:rsidR="007F156C">
        <w:rPr>
          <w:rFonts w:hint="eastAsia"/>
          <w:lang w:eastAsia="ja-JP"/>
        </w:rPr>
        <w:t xml:space="preserve"> of the Radio Regulations specifies provisional power flux-density limits in the band 8025-8400 MHz for the Earth exploration-satellite service </w:t>
      </w:r>
      <w:r w:rsidR="00737C0E">
        <w:rPr>
          <w:lang w:eastAsia="ja-JP"/>
        </w:rPr>
        <w:t xml:space="preserve">(EESS) </w:t>
      </w:r>
      <w:r w:rsidR="007F156C">
        <w:rPr>
          <w:rFonts w:hint="eastAsia"/>
          <w:lang w:eastAsia="ja-JP"/>
        </w:rPr>
        <w:t>using geostationary satellite</w:t>
      </w:r>
      <w:r>
        <w:rPr>
          <w:rFonts w:hint="eastAsia"/>
          <w:lang w:eastAsia="ja-JP"/>
        </w:rPr>
        <w:t>s</w:t>
      </w:r>
      <w:r w:rsidR="007F156C">
        <w:rPr>
          <w:rFonts w:hint="eastAsia"/>
          <w:lang w:eastAsia="ja-JP"/>
        </w:rPr>
        <w:t xml:space="preserve"> in Regions 1 and 3 (except for Japan) </w:t>
      </w:r>
      <w:r w:rsidR="00FF4093">
        <w:rPr>
          <w:rFonts w:hint="eastAsia"/>
          <w:lang w:eastAsia="ja-JP"/>
        </w:rPr>
        <w:t xml:space="preserve">, which are different from (more stringent to the EESS space stations than) the limits given in Table </w:t>
      </w:r>
      <w:r w:rsidR="00FF4093" w:rsidRPr="001C5EB9">
        <w:rPr>
          <w:rFonts w:hint="eastAsia"/>
          <w:b/>
          <w:lang w:eastAsia="ja-JP"/>
        </w:rPr>
        <w:t>21-4</w:t>
      </w:r>
      <w:r w:rsidR="00FF4093">
        <w:rPr>
          <w:rFonts w:hint="eastAsia"/>
          <w:lang w:eastAsia="ja-JP"/>
        </w:rPr>
        <w:t xml:space="preserve"> in the RR</w:t>
      </w:r>
      <w:r w:rsidR="007F156C">
        <w:rPr>
          <w:rFonts w:hint="eastAsia"/>
          <w:lang w:eastAsia="ja-JP"/>
        </w:rPr>
        <w:t xml:space="preserve">. It is also stated in the same footnote that </w:t>
      </w:r>
      <w:r w:rsidR="00FF4093">
        <w:rPr>
          <w:rFonts w:hint="eastAsia"/>
          <w:lang w:eastAsia="ja-JP"/>
        </w:rPr>
        <w:t xml:space="preserve">these pfd values are subject to study under Resolution </w:t>
      </w:r>
      <w:r w:rsidR="00FF4093" w:rsidRPr="00FF4093">
        <w:rPr>
          <w:rFonts w:hint="eastAsia"/>
          <w:b/>
          <w:lang w:eastAsia="ja-JP"/>
        </w:rPr>
        <w:t>124 (WRC-97)</w:t>
      </w:r>
      <w:r w:rsidR="00FF4093">
        <w:rPr>
          <w:rFonts w:hint="eastAsia"/>
          <w:lang w:eastAsia="ja-JP"/>
        </w:rPr>
        <w:t>.</w:t>
      </w:r>
    </w:p>
    <w:p w:rsidR="000433DD" w:rsidRDefault="000433DD" w:rsidP="004234D2">
      <w:pPr>
        <w:spacing w:beforeLines="50" w:line="300" w:lineRule="exact"/>
        <w:rPr>
          <w:lang w:eastAsia="ja-JP"/>
        </w:rPr>
      </w:pPr>
      <w:r>
        <w:rPr>
          <w:rFonts w:hint="eastAsia"/>
          <w:lang w:eastAsia="ja-JP"/>
        </w:rPr>
        <w:t xml:space="preserve">Resolution </w:t>
      </w:r>
      <w:r w:rsidR="00C560AE" w:rsidRPr="00C560AE">
        <w:rPr>
          <w:b/>
          <w:bCs/>
          <w:lang w:eastAsia="ja-JP"/>
        </w:rPr>
        <w:t>124 (WRC-97)</w:t>
      </w:r>
      <w:r>
        <w:rPr>
          <w:rFonts w:hint="eastAsia"/>
          <w:lang w:eastAsia="ja-JP"/>
        </w:rPr>
        <w:t xml:space="preserve"> </w:t>
      </w:r>
      <w:r w:rsidR="00FF4093">
        <w:rPr>
          <w:rFonts w:hint="eastAsia"/>
          <w:lang w:eastAsia="ja-JP"/>
        </w:rPr>
        <w:t>approved at the WRC-97 invit</w:t>
      </w:r>
      <w:r w:rsidR="0087280E">
        <w:rPr>
          <w:rFonts w:hint="eastAsia"/>
          <w:lang w:eastAsia="ja-JP"/>
        </w:rPr>
        <w:t>ed</w:t>
      </w:r>
      <w:r w:rsidR="00FF4093">
        <w:rPr>
          <w:rFonts w:hint="eastAsia"/>
          <w:lang w:eastAsia="ja-JP"/>
        </w:rPr>
        <w:t xml:space="preserve"> the ITU-R </w:t>
      </w:r>
      <w:r>
        <w:rPr>
          <w:rFonts w:hint="eastAsia"/>
          <w:lang w:eastAsia="ja-JP"/>
        </w:rPr>
        <w:t xml:space="preserve">to study, as </w:t>
      </w:r>
      <w:r w:rsidR="00862BA8">
        <w:rPr>
          <w:lang w:eastAsia="ja-JP"/>
        </w:rPr>
        <w:t xml:space="preserve">a </w:t>
      </w:r>
      <w:r>
        <w:rPr>
          <w:rFonts w:hint="eastAsia"/>
          <w:lang w:eastAsia="ja-JP"/>
        </w:rPr>
        <w:t xml:space="preserve">matter of urgency, the required pfd limits to be applied to the GSO EESS space stations in </w:t>
      </w:r>
      <w:r w:rsidR="00F43FE2">
        <w:rPr>
          <w:rFonts w:hint="eastAsia"/>
          <w:lang w:eastAsia="ja-JP"/>
        </w:rPr>
        <w:t>the band 8025</w:t>
      </w:r>
      <w:r w:rsidR="004234D2">
        <w:rPr>
          <w:lang w:eastAsia="ja-JP"/>
        </w:rPr>
        <w:noBreakHyphen/>
      </w:r>
      <w:r w:rsidR="00F43FE2">
        <w:rPr>
          <w:rFonts w:hint="eastAsia"/>
          <w:lang w:eastAsia="ja-JP"/>
        </w:rPr>
        <w:t>8400 MHz</w:t>
      </w:r>
      <w:r>
        <w:rPr>
          <w:rFonts w:hint="eastAsia"/>
          <w:lang w:eastAsia="ja-JP"/>
        </w:rPr>
        <w:t xml:space="preserve"> where orbital avoidance had not been implemented by the fixed service sharing th</w:t>
      </w:r>
      <w:r w:rsidR="00F43FE2">
        <w:rPr>
          <w:rFonts w:hint="eastAsia"/>
          <w:lang w:eastAsia="ja-JP"/>
        </w:rPr>
        <w:t>e same</w:t>
      </w:r>
      <w:r>
        <w:rPr>
          <w:rFonts w:hint="eastAsia"/>
          <w:lang w:eastAsia="ja-JP"/>
        </w:rPr>
        <w:t xml:space="preserve"> band.</w:t>
      </w:r>
    </w:p>
    <w:p w:rsidR="00A17807" w:rsidRDefault="000433DD">
      <w:pPr>
        <w:spacing w:beforeLines="50" w:line="300" w:lineRule="exact"/>
        <w:rPr>
          <w:lang w:eastAsia="ja-JP"/>
        </w:rPr>
      </w:pPr>
      <w:r>
        <w:rPr>
          <w:rFonts w:hint="eastAsia"/>
          <w:lang w:eastAsia="ja-JP"/>
        </w:rPr>
        <w:t xml:space="preserve">This study was </w:t>
      </w:r>
      <w:r w:rsidR="00E24FCB">
        <w:rPr>
          <w:lang w:eastAsia="ja-JP"/>
        </w:rPr>
        <w:t>e</w:t>
      </w:r>
      <w:r w:rsidR="00E24FCB">
        <w:rPr>
          <w:rFonts w:hint="eastAsia"/>
          <w:lang w:eastAsia="ja-JP"/>
        </w:rPr>
        <w:t xml:space="preserve">fficiently </w:t>
      </w:r>
      <w:r>
        <w:rPr>
          <w:rFonts w:hint="eastAsia"/>
          <w:lang w:eastAsia="ja-JP"/>
        </w:rPr>
        <w:t>conducted by the former S</w:t>
      </w:r>
      <w:r>
        <w:rPr>
          <w:lang w:eastAsia="ja-JP"/>
        </w:rPr>
        <w:t>t</w:t>
      </w:r>
      <w:r>
        <w:rPr>
          <w:rFonts w:hint="eastAsia"/>
          <w:lang w:eastAsia="ja-JP"/>
        </w:rPr>
        <w:t xml:space="preserve">udy Group 9 </w:t>
      </w:r>
      <w:r w:rsidR="00E24FCB">
        <w:rPr>
          <w:lang w:eastAsia="ja-JP"/>
        </w:rPr>
        <w:t>in</w:t>
      </w:r>
      <w:r w:rsidR="00E24FC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close co</w:t>
      </w:r>
      <w:r w:rsidR="00F66524">
        <w:rPr>
          <w:rFonts w:hint="eastAsia"/>
          <w:lang w:eastAsia="ja-JP"/>
        </w:rPr>
        <w:t>llaboration</w:t>
      </w:r>
      <w:r>
        <w:rPr>
          <w:rFonts w:hint="eastAsia"/>
          <w:lang w:eastAsia="ja-JP"/>
        </w:rPr>
        <w:t xml:space="preserve"> with Study Group 7. The result was </w:t>
      </w:r>
      <w:r w:rsidR="00F66524">
        <w:rPr>
          <w:rFonts w:hint="eastAsia"/>
          <w:lang w:eastAsia="ja-JP"/>
        </w:rPr>
        <w:t xml:space="preserve">contained in Recommendation ITU-R F.1502, which was approved at the RA-2000. Following this result, WRC-2000 approved a revised version of Resolution 124, i.e. the current Resolution </w:t>
      </w:r>
      <w:r w:rsidR="00F66524" w:rsidRPr="00F66524">
        <w:rPr>
          <w:rFonts w:hint="eastAsia"/>
          <w:b/>
          <w:lang w:eastAsia="ja-JP"/>
        </w:rPr>
        <w:t>124 (Rev. WRC-2000</w:t>
      </w:r>
      <w:r w:rsidR="00F66524">
        <w:rPr>
          <w:rFonts w:hint="eastAsia"/>
          <w:lang w:eastAsia="ja-JP"/>
        </w:rPr>
        <w:t xml:space="preserve">), which resolved to invite a future competent world </w:t>
      </w:r>
      <w:proofErr w:type="spellStart"/>
      <w:r w:rsidR="00F66524">
        <w:rPr>
          <w:rFonts w:hint="eastAsia"/>
          <w:lang w:eastAsia="ja-JP"/>
        </w:rPr>
        <w:t>radiocommunication</w:t>
      </w:r>
      <w:proofErr w:type="spellEnd"/>
      <w:r w:rsidR="00F66524">
        <w:rPr>
          <w:rFonts w:hint="eastAsia"/>
          <w:lang w:eastAsia="ja-JP"/>
        </w:rPr>
        <w:t xml:space="preserve"> conference to review No.</w:t>
      </w:r>
      <w:r w:rsidR="00F66524" w:rsidRPr="00F66524">
        <w:rPr>
          <w:rFonts w:hint="eastAsia"/>
          <w:b/>
          <w:lang w:eastAsia="ja-JP"/>
        </w:rPr>
        <w:t>5.462A</w:t>
      </w:r>
      <w:r w:rsidR="00F66524">
        <w:rPr>
          <w:rFonts w:hint="eastAsia"/>
          <w:lang w:eastAsia="ja-JP"/>
        </w:rPr>
        <w:t>, taking into account Recommendation ITU-R F.1502 and to take appropriate action.</w:t>
      </w:r>
    </w:p>
    <w:p w:rsidR="000433DD" w:rsidRPr="00AD6E96" w:rsidRDefault="00AD6E96" w:rsidP="00986447">
      <w:pPr>
        <w:spacing w:beforeLines="50" w:line="300" w:lineRule="exact"/>
        <w:rPr>
          <w:lang w:eastAsia="ja-JP"/>
        </w:rPr>
      </w:pPr>
      <w:r>
        <w:rPr>
          <w:rFonts w:hint="eastAsia"/>
          <w:lang w:eastAsia="ja-JP"/>
        </w:rPr>
        <w:t>After the WRC-2000, however, no action was taken by the later Conferences (WRC-03 and WRC</w:t>
      </w:r>
      <w:r w:rsidR="00986447">
        <w:rPr>
          <w:lang w:eastAsia="ja-JP"/>
        </w:rPr>
        <w:noBreakHyphen/>
      </w:r>
      <w:r>
        <w:rPr>
          <w:rFonts w:hint="eastAsia"/>
          <w:lang w:eastAsia="ja-JP"/>
        </w:rPr>
        <w:t xml:space="preserve">07). Therefore, the provisional pfd mask </w:t>
      </w:r>
      <w:r w:rsidR="0087280E">
        <w:rPr>
          <w:rFonts w:hint="eastAsia"/>
          <w:lang w:eastAsia="ja-JP"/>
        </w:rPr>
        <w:t xml:space="preserve">in No </w:t>
      </w:r>
      <w:r w:rsidR="0087280E" w:rsidRPr="00AD6E96">
        <w:rPr>
          <w:rFonts w:hint="eastAsia"/>
          <w:b/>
          <w:lang w:eastAsia="ja-JP"/>
        </w:rPr>
        <w:t>5.462A</w:t>
      </w:r>
      <w:r w:rsidR="0087280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and the </w:t>
      </w:r>
      <w:r w:rsidR="0087280E">
        <w:rPr>
          <w:rFonts w:hint="eastAsia"/>
          <w:lang w:eastAsia="ja-JP"/>
        </w:rPr>
        <w:t xml:space="preserve">associated </w:t>
      </w:r>
      <w:r>
        <w:rPr>
          <w:rFonts w:hint="eastAsia"/>
          <w:lang w:eastAsia="ja-JP"/>
        </w:rPr>
        <w:t xml:space="preserve">text </w:t>
      </w:r>
      <w:r w:rsidR="0087280E">
        <w:rPr>
          <w:rFonts w:hint="eastAsia"/>
          <w:lang w:eastAsia="ja-JP"/>
        </w:rPr>
        <w:t>reading</w:t>
      </w:r>
      <w:r>
        <w:rPr>
          <w:rFonts w:hint="eastAsia"/>
          <w:lang w:eastAsia="ja-JP"/>
        </w:rPr>
        <w:t xml:space="preserve"> </w:t>
      </w:r>
      <w:r w:rsidR="0087280E">
        <w:rPr>
          <w:lang w:eastAsia="ja-JP"/>
        </w:rPr>
        <w:t>“</w:t>
      </w:r>
      <w:r w:rsidR="0087280E">
        <w:rPr>
          <w:rFonts w:hint="eastAsia"/>
          <w:lang w:eastAsia="ja-JP"/>
        </w:rPr>
        <w:t>T</w:t>
      </w:r>
      <w:r>
        <w:rPr>
          <w:rFonts w:hint="eastAsia"/>
          <w:lang w:eastAsia="ja-JP"/>
        </w:rPr>
        <w:t xml:space="preserve">hese pfd values are subject to study under Resolution </w:t>
      </w:r>
      <w:r w:rsidRPr="00FF4093">
        <w:rPr>
          <w:rFonts w:hint="eastAsia"/>
          <w:b/>
          <w:lang w:eastAsia="ja-JP"/>
        </w:rPr>
        <w:t>124 (WRC-97)</w:t>
      </w:r>
      <w:r w:rsidR="0087280E" w:rsidRPr="0087280E">
        <w:rPr>
          <w:lang w:eastAsia="ja-JP"/>
        </w:rPr>
        <w:t>”</w:t>
      </w:r>
      <w:r>
        <w:rPr>
          <w:rFonts w:hint="eastAsia"/>
          <w:lang w:eastAsia="ja-JP"/>
        </w:rPr>
        <w:t xml:space="preserve"> are still valid, creating an inconsistency with the </w:t>
      </w:r>
      <w:r w:rsidRPr="00AD6E96">
        <w:rPr>
          <w:rFonts w:hint="eastAsia"/>
          <w:i/>
          <w:lang w:eastAsia="ja-JP"/>
        </w:rPr>
        <w:t>resolves</w:t>
      </w:r>
      <w:r>
        <w:rPr>
          <w:rFonts w:hint="eastAsia"/>
          <w:lang w:eastAsia="ja-JP"/>
        </w:rPr>
        <w:t xml:space="preserve"> part in Resolution </w:t>
      </w:r>
      <w:r w:rsidRPr="00AD6E96">
        <w:rPr>
          <w:rFonts w:hint="eastAsia"/>
          <w:b/>
          <w:lang w:eastAsia="ja-JP"/>
        </w:rPr>
        <w:t>124 (Rev.WRC-2000)</w:t>
      </w:r>
      <w:r>
        <w:rPr>
          <w:rFonts w:hint="eastAsia"/>
          <w:lang w:eastAsia="ja-JP"/>
        </w:rPr>
        <w:t>.</w:t>
      </w:r>
    </w:p>
    <w:p w:rsidR="000433DD" w:rsidRPr="00D84F7B" w:rsidRDefault="00D84F7B" w:rsidP="00647CA2">
      <w:pPr>
        <w:spacing w:beforeLines="100" w:before="240" w:line="300" w:lineRule="exact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2      </w:t>
      </w:r>
      <w:r w:rsidR="0063165F" w:rsidRPr="00D84F7B">
        <w:rPr>
          <w:rFonts w:hint="eastAsia"/>
          <w:b/>
          <w:lang w:eastAsia="ja-JP"/>
        </w:rPr>
        <w:t>Suggested course of action</w:t>
      </w:r>
    </w:p>
    <w:p w:rsidR="00960DDC" w:rsidRPr="003647CF" w:rsidRDefault="0087280E" w:rsidP="00B871B1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spacing w:beforeLines="50"/>
        <w:textAlignment w:val="auto"/>
        <w:rPr>
          <w:bCs/>
          <w:szCs w:val="24"/>
          <w:lang w:val="en-US" w:eastAsia="ja-JP"/>
        </w:rPr>
      </w:pPr>
      <w:r>
        <w:rPr>
          <w:rFonts w:hint="eastAsia"/>
          <w:lang w:eastAsia="ja-JP"/>
        </w:rPr>
        <w:t xml:space="preserve">As 11 years have passed since the development of Recommendation ITU-R F.1502, </w:t>
      </w:r>
      <w:r w:rsidR="00E24FCB">
        <w:rPr>
          <w:lang w:eastAsia="ja-JP"/>
        </w:rPr>
        <w:t xml:space="preserve">the </w:t>
      </w:r>
      <w:r>
        <w:rPr>
          <w:rFonts w:hint="eastAsia"/>
          <w:lang w:eastAsia="ja-JP"/>
        </w:rPr>
        <w:t>Chai</w:t>
      </w:r>
      <w:r w:rsidR="005743D2">
        <w:rPr>
          <w:rFonts w:hint="eastAsia"/>
          <w:lang w:eastAsia="ja-JP"/>
        </w:rPr>
        <w:t>r</w:t>
      </w:r>
      <w:r>
        <w:rPr>
          <w:rFonts w:hint="eastAsia"/>
          <w:lang w:eastAsia="ja-JP"/>
        </w:rPr>
        <w:t xml:space="preserve">man of Study Group 5 </w:t>
      </w:r>
      <w:r w:rsidR="00E24FCB">
        <w:rPr>
          <w:lang w:eastAsia="ja-JP"/>
        </w:rPr>
        <w:t>is</w:t>
      </w:r>
      <w:r w:rsidR="00E24FC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concern</w:t>
      </w:r>
      <w:r w:rsidR="00E24FCB">
        <w:rPr>
          <w:lang w:eastAsia="ja-JP"/>
        </w:rPr>
        <w:t>ed</w:t>
      </w:r>
      <w:r>
        <w:rPr>
          <w:rFonts w:hint="eastAsia"/>
          <w:lang w:eastAsia="ja-JP"/>
        </w:rPr>
        <w:t xml:space="preserve"> that </w:t>
      </w:r>
      <w:r w:rsidR="005743D2">
        <w:rPr>
          <w:rFonts w:hint="eastAsia"/>
          <w:lang w:eastAsia="ja-JP"/>
        </w:rPr>
        <w:t xml:space="preserve">it </w:t>
      </w:r>
      <w:r>
        <w:rPr>
          <w:rFonts w:hint="eastAsia"/>
          <w:lang w:eastAsia="ja-JP"/>
        </w:rPr>
        <w:t xml:space="preserve">may not be appropriate to leave the fruitful study result </w:t>
      </w:r>
      <w:r w:rsidR="005743D2">
        <w:rPr>
          <w:rFonts w:hint="eastAsia"/>
          <w:lang w:eastAsia="ja-JP"/>
        </w:rPr>
        <w:t xml:space="preserve">in this </w:t>
      </w:r>
      <w:r>
        <w:rPr>
          <w:rFonts w:hint="eastAsia"/>
          <w:lang w:eastAsia="ja-JP"/>
        </w:rPr>
        <w:t xml:space="preserve">Recommendation </w:t>
      </w:r>
      <w:r w:rsidR="005743D2">
        <w:rPr>
          <w:rFonts w:hint="eastAsia"/>
          <w:lang w:eastAsia="ja-JP"/>
        </w:rPr>
        <w:t xml:space="preserve">yet to be reflected in the Radio Regulations. A possible way to solve this </w:t>
      </w:r>
      <w:r w:rsidR="005743D2">
        <w:rPr>
          <w:lang w:eastAsia="ja-JP"/>
        </w:rPr>
        <w:t>situation</w:t>
      </w:r>
      <w:r w:rsidR="005743D2">
        <w:rPr>
          <w:rFonts w:hint="eastAsia"/>
          <w:lang w:eastAsia="ja-JP"/>
        </w:rPr>
        <w:t xml:space="preserve"> may be that</w:t>
      </w:r>
      <w:r w:rsidR="00320E83">
        <w:rPr>
          <w:rFonts w:hint="eastAsia"/>
          <w:lang w:eastAsia="ja-JP"/>
        </w:rPr>
        <w:t xml:space="preserve"> </w:t>
      </w:r>
      <w:r w:rsidR="00600B20">
        <w:rPr>
          <w:rFonts w:hint="eastAsia"/>
          <w:lang w:eastAsia="ja-JP"/>
        </w:rPr>
        <w:t>the BR Director</w:t>
      </w:r>
      <w:r w:rsidR="00600B20">
        <w:rPr>
          <w:lang w:eastAsia="ja-JP"/>
        </w:rPr>
        <w:t>’</w:t>
      </w:r>
      <w:r w:rsidR="00600B20">
        <w:rPr>
          <w:rFonts w:hint="eastAsia"/>
          <w:lang w:eastAsia="ja-JP"/>
        </w:rPr>
        <w:t>s Report</w:t>
      </w:r>
      <w:r w:rsidR="00320E83">
        <w:rPr>
          <w:rFonts w:hint="eastAsia"/>
          <w:lang w:eastAsia="ja-JP"/>
        </w:rPr>
        <w:t xml:space="preserve"> </w:t>
      </w:r>
      <w:r w:rsidR="00600B20">
        <w:rPr>
          <w:rFonts w:hint="eastAsia"/>
          <w:lang w:eastAsia="ja-JP"/>
        </w:rPr>
        <w:t xml:space="preserve">to the next WRC </w:t>
      </w:r>
      <w:r w:rsidR="00320E83">
        <w:rPr>
          <w:rFonts w:hint="eastAsia"/>
          <w:lang w:eastAsia="ja-JP"/>
        </w:rPr>
        <w:t xml:space="preserve">would include </w:t>
      </w:r>
      <w:r w:rsidR="00600B20">
        <w:rPr>
          <w:rFonts w:hint="eastAsia"/>
          <w:lang w:eastAsia="ja-JP"/>
        </w:rPr>
        <w:t xml:space="preserve">this issue </w:t>
      </w:r>
      <w:r w:rsidR="00320E83">
        <w:rPr>
          <w:rFonts w:hint="eastAsia"/>
          <w:lang w:eastAsia="ja-JP"/>
        </w:rPr>
        <w:t>in relation to Agenda item 8.1</w:t>
      </w:r>
      <w:r w:rsidR="00D84F7B">
        <w:rPr>
          <w:rFonts w:hint="eastAsia"/>
          <w:lang w:eastAsia="ja-JP"/>
        </w:rPr>
        <w:t>.2</w:t>
      </w:r>
      <w:r w:rsidR="00320E83">
        <w:rPr>
          <w:rFonts w:hint="eastAsia"/>
          <w:lang w:eastAsia="ja-JP"/>
        </w:rPr>
        <w:t xml:space="preserve"> </w:t>
      </w:r>
      <w:r w:rsidR="003647CF">
        <w:rPr>
          <w:rFonts w:hint="eastAsia"/>
          <w:lang w:eastAsia="ja-JP"/>
        </w:rPr>
        <w:t>(</w:t>
      </w:r>
      <w:r w:rsidR="003647CF" w:rsidRPr="003647CF">
        <w:rPr>
          <w:bCs/>
          <w:szCs w:val="24"/>
          <w:lang w:val="en-US" w:eastAsia="ja-JP"/>
        </w:rPr>
        <w:t>Difficulties or inconsistencies encountered in the application of the</w:t>
      </w:r>
      <w:r w:rsidR="003647CF">
        <w:rPr>
          <w:rFonts w:hint="eastAsia"/>
          <w:bCs/>
          <w:szCs w:val="24"/>
          <w:lang w:val="en-US" w:eastAsia="ja-JP"/>
        </w:rPr>
        <w:t xml:space="preserve"> </w:t>
      </w:r>
      <w:r w:rsidR="003647CF" w:rsidRPr="003647CF">
        <w:rPr>
          <w:bCs/>
          <w:szCs w:val="24"/>
          <w:lang w:val="en-US" w:eastAsia="ja-JP"/>
        </w:rPr>
        <w:t xml:space="preserve">Radio </w:t>
      </w:r>
      <w:r w:rsidR="003647CF" w:rsidRPr="003647CF">
        <w:rPr>
          <w:bCs/>
          <w:szCs w:val="24"/>
          <w:lang w:val="en-US" w:eastAsia="ja-JP"/>
        </w:rPr>
        <w:lastRenderedPageBreak/>
        <w:t>Regulations</w:t>
      </w:r>
      <w:r w:rsidR="003647CF" w:rsidRPr="003647CF">
        <w:rPr>
          <w:rFonts w:hint="eastAsia"/>
          <w:bCs/>
          <w:szCs w:val="24"/>
          <w:lang w:val="en-US" w:eastAsia="ja-JP"/>
        </w:rPr>
        <w:t xml:space="preserve">) </w:t>
      </w:r>
      <w:r w:rsidR="00320E83">
        <w:rPr>
          <w:rFonts w:hint="eastAsia"/>
          <w:lang w:eastAsia="ja-JP"/>
        </w:rPr>
        <w:t xml:space="preserve">requesting </w:t>
      </w:r>
      <w:r w:rsidR="005743D2">
        <w:rPr>
          <w:rFonts w:hint="eastAsia"/>
          <w:lang w:eastAsia="ja-JP"/>
        </w:rPr>
        <w:t>possible regulatory</w:t>
      </w:r>
      <w:r w:rsidR="00320E83">
        <w:rPr>
          <w:rFonts w:hint="eastAsia"/>
          <w:lang w:eastAsia="ja-JP"/>
        </w:rPr>
        <w:t xml:space="preserve"> action </w:t>
      </w:r>
      <w:r w:rsidR="005743D2">
        <w:rPr>
          <w:rFonts w:hint="eastAsia"/>
          <w:lang w:eastAsia="ja-JP"/>
        </w:rPr>
        <w:t xml:space="preserve">by the Conference </w:t>
      </w:r>
      <w:r w:rsidR="00320E83">
        <w:rPr>
          <w:rFonts w:hint="eastAsia"/>
          <w:lang w:eastAsia="ja-JP"/>
        </w:rPr>
        <w:t xml:space="preserve">as </w:t>
      </w:r>
      <w:r w:rsidR="00320E83" w:rsidRPr="005743D2">
        <w:rPr>
          <w:rFonts w:hint="eastAsia"/>
          <w:i/>
          <w:lang w:eastAsia="ja-JP"/>
        </w:rPr>
        <w:t>resolved</w:t>
      </w:r>
      <w:r w:rsidR="00320E83">
        <w:rPr>
          <w:rFonts w:hint="eastAsia"/>
          <w:lang w:eastAsia="ja-JP"/>
        </w:rPr>
        <w:t xml:space="preserve"> in Resolution </w:t>
      </w:r>
      <w:r w:rsidR="00320E83" w:rsidRPr="00D84F7B">
        <w:rPr>
          <w:rFonts w:hint="eastAsia"/>
          <w:b/>
          <w:lang w:eastAsia="ja-JP"/>
        </w:rPr>
        <w:t xml:space="preserve">124 </w:t>
      </w:r>
      <w:r w:rsidR="00320E83" w:rsidRPr="00D84F7B">
        <w:rPr>
          <w:b/>
          <w:lang w:eastAsia="ja-JP"/>
        </w:rPr>
        <w:t>(Rev.</w:t>
      </w:r>
      <w:r w:rsidR="00320E83" w:rsidRPr="00D84F7B">
        <w:rPr>
          <w:rFonts w:hint="eastAsia"/>
          <w:b/>
          <w:lang w:eastAsia="ja-JP"/>
        </w:rPr>
        <w:t xml:space="preserve"> WRC-2000)</w:t>
      </w:r>
      <w:r w:rsidR="00320E83">
        <w:rPr>
          <w:rFonts w:hint="eastAsia"/>
          <w:lang w:eastAsia="ja-JP"/>
        </w:rPr>
        <w:t xml:space="preserve">.  </w:t>
      </w:r>
    </w:p>
    <w:p w:rsidR="005743D2" w:rsidRDefault="005743D2" w:rsidP="00E24FCB">
      <w:pPr>
        <w:spacing w:beforeLines="50" w:line="300" w:lineRule="exact"/>
        <w:rPr>
          <w:lang w:eastAsia="ja-JP"/>
        </w:rPr>
      </w:pPr>
      <w:r>
        <w:rPr>
          <w:rFonts w:hint="eastAsia"/>
          <w:lang w:eastAsia="ja-JP"/>
        </w:rPr>
        <w:t xml:space="preserve">The RAG meeting in June 2011 is requested to consider this issue </w:t>
      </w:r>
      <w:r w:rsidR="00E24FCB">
        <w:rPr>
          <w:lang w:eastAsia="ja-JP"/>
        </w:rPr>
        <w:t>and provide</w:t>
      </w:r>
      <w:r w:rsidR="00E24FC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appropriate advice</w:t>
      </w:r>
      <w:r w:rsidR="00E24FCB">
        <w:rPr>
          <w:lang w:eastAsia="ja-JP"/>
        </w:rPr>
        <w:t xml:space="preserve"> to the Director</w:t>
      </w:r>
      <w:r>
        <w:rPr>
          <w:rFonts w:hint="eastAsia"/>
          <w:lang w:eastAsia="ja-JP"/>
        </w:rPr>
        <w:t>.</w:t>
      </w:r>
    </w:p>
    <w:p w:rsidR="00D84F7B" w:rsidRDefault="00D84F7B" w:rsidP="00647CA2">
      <w:pPr>
        <w:spacing w:beforeLines="100" w:before="240" w:line="300" w:lineRule="exact"/>
        <w:rPr>
          <w:lang w:eastAsia="ja-JP"/>
        </w:rPr>
      </w:pPr>
      <w:r>
        <w:rPr>
          <w:rFonts w:hint="eastAsia"/>
          <w:lang w:eastAsia="ja-JP"/>
        </w:rPr>
        <w:t xml:space="preserve">The relevant texts are provided in Annexes 1 to </w:t>
      </w:r>
      <w:r w:rsidR="00647CA2"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 xml:space="preserve"> for information.</w:t>
      </w:r>
    </w:p>
    <w:p w:rsidR="00D84F7B" w:rsidRDefault="00D84F7B" w:rsidP="00D353EF">
      <w:pPr>
        <w:spacing w:beforeLines="50" w:line="300" w:lineRule="exact"/>
        <w:rPr>
          <w:lang w:eastAsia="ja-JP"/>
        </w:rPr>
      </w:pPr>
    </w:p>
    <w:p w:rsidR="00737C0E" w:rsidRDefault="00737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ja-JP"/>
        </w:rPr>
      </w:pPr>
      <w:r w:rsidRPr="00737C0E">
        <w:rPr>
          <w:b/>
          <w:szCs w:val="24"/>
          <w:lang w:eastAsia="ja-JP"/>
        </w:rPr>
        <w:t>Annexes: 4</w:t>
      </w:r>
    </w:p>
    <w:p w:rsidR="00737C0E" w:rsidRDefault="00737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ja-JP"/>
        </w:rPr>
      </w:pPr>
    </w:p>
    <w:p w:rsidR="00737C0E" w:rsidRDefault="00737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ja-JP"/>
        </w:rPr>
      </w:pPr>
      <w:r>
        <w:rPr>
          <w:b/>
          <w:szCs w:val="24"/>
          <w:lang w:eastAsia="ja-JP"/>
        </w:rPr>
        <w:br w:type="page"/>
      </w:r>
    </w:p>
    <w:p w:rsidR="00737C0E" w:rsidRPr="00737C0E" w:rsidRDefault="00737C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eastAsia="ja-JP"/>
        </w:rPr>
      </w:pPr>
    </w:p>
    <w:p w:rsidR="00D84F7B" w:rsidRPr="00436CAF" w:rsidRDefault="00D84F7B" w:rsidP="00647CA2">
      <w:pPr>
        <w:spacing w:beforeLines="150" w:before="360" w:line="300" w:lineRule="exact"/>
        <w:jc w:val="center"/>
        <w:rPr>
          <w:b/>
          <w:sz w:val="28"/>
          <w:szCs w:val="28"/>
          <w:lang w:eastAsia="ja-JP"/>
        </w:rPr>
      </w:pPr>
      <w:r w:rsidRPr="00436CAF">
        <w:rPr>
          <w:rFonts w:hint="eastAsia"/>
          <w:b/>
          <w:sz w:val="28"/>
          <w:szCs w:val="28"/>
          <w:lang w:eastAsia="ja-JP"/>
        </w:rPr>
        <w:t>Annex 1</w:t>
      </w:r>
    </w:p>
    <w:p w:rsidR="00A05B0D" w:rsidRPr="00436CAF" w:rsidRDefault="00A05B0D" w:rsidP="00647CA2">
      <w:pPr>
        <w:spacing w:beforeLines="150" w:before="360" w:line="300" w:lineRule="exact"/>
        <w:jc w:val="center"/>
        <w:rPr>
          <w:b/>
          <w:sz w:val="28"/>
          <w:szCs w:val="28"/>
          <w:lang w:eastAsia="ja-JP"/>
        </w:rPr>
      </w:pPr>
      <w:r w:rsidRPr="00436CAF">
        <w:rPr>
          <w:rFonts w:hint="eastAsia"/>
          <w:b/>
          <w:sz w:val="28"/>
          <w:szCs w:val="28"/>
          <w:lang w:eastAsia="ja-JP"/>
        </w:rPr>
        <w:t>Reproduction of the text in No.5.462A in the RR</w:t>
      </w:r>
    </w:p>
    <w:p w:rsidR="00B01204" w:rsidRDefault="00B01204" w:rsidP="00D353EF">
      <w:pPr>
        <w:spacing w:beforeLines="50" w:line="300" w:lineRule="exact"/>
        <w:rPr>
          <w:lang w:eastAsia="ja-JP"/>
        </w:rPr>
      </w:pPr>
    </w:p>
    <w:p w:rsidR="00B01204" w:rsidRPr="00A05B0D" w:rsidRDefault="00B01204" w:rsidP="00436CAF">
      <w:pPr>
        <w:pStyle w:val="Note"/>
        <w:spacing w:before="360"/>
        <w:rPr>
          <w:color w:val="000000"/>
          <w:sz w:val="24"/>
          <w:szCs w:val="24"/>
          <w:lang w:val="en-AU"/>
        </w:rPr>
      </w:pPr>
      <w:r w:rsidRPr="00A05B0D">
        <w:rPr>
          <w:rStyle w:val="Artdef"/>
          <w:color w:val="000000"/>
          <w:sz w:val="24"/>
          <w:szCs w:val="24"/>
          <w:lang w:val="en-AU"/>
        </w:rPr>
        <w:t>5.462A</w:t>
      </w:r>
      <w:r w:rsidRPr="00A05B0D">
        <w:rPr>
          <w:rStyle w:val="Artdef"/>
          <w:color w:val="000000"/>
          <w:sz w:val="24"/>
          <w:szCs w:val="24"/>
          <w:lang w:val="en-AU"/>
        </w:rPr>
        <w:tab/>
      </w:r>
      <w:r w:rsidRPr="00A05B0D">
        <w:rPr>
          <w:color w:val="000000"/>
          <w:sz w:val="24"/>
          <w:szCs w:val="24"/>
          <w:lang w:val="en-AU"/>
        </w:rPr>
        <w:t>In Regions 1 and 3 (except for Japan), in the band 8 025-8 400 MHz, the Earth exploration-satellite service using geostationary satellites shall not produce a power flux-density in excess of the following provisional values for angles of arrival (</w:t>
      </w:r>
      <w:r w:rsidRPr="00A05B0D">
        <w:rPr>
          <w:color w:val="000000"/>
          <w:sz w:val="24"/>
          <w:szCs w:val="24"/>
        </w:rPr>
        <w:sym w:font="Symbol" w:char="F071"/>
      </w:r>
      <w:r w:rsidRPr="00A05B0D">
        <w:rPr>
          <w:color w:val="000000"/>
          <w:sz w:val="24"/>
          <w:szCs w:val="24"/>
          <w:lang w:val="en-AU"/>
        </w:rPr>
        <w:t>), without the consent of the affected administration:</w:t>
      </w:r>
    </w:p>
    <w:p w:rsidR="00B01204" w:rsidRPr="00A05B0D" w:rsidRDefault="00B01204" w:rsidP="00B01204">
      <w:pPr>
        <w:pStyle w:val="Note"/>
        <w:tabs>
          <w:tab w:val="left" w:pos="5783"/>
          <w:tab w:val="left" w:pos="6577"/>
        </w:tabs>
        <w:spacing w:line="400" w:lineRule="exact"/>
        <w:rPr>
          <w:color w:val="000000"/>
          <w:sz w:val="24"/>
          <w:szCs w:val="24"/>
          <w:lang w:val="en-AU"/>
        </w:rPr>
      </w:pPr>
      <w:r w:rsidRPr="00A05B0D">
        <w:rPr>
          <w:color w:val="000000"/>
          <w:sz w:val="24"/>
          <w:szCs w:val="24"/>
        </w:rPr>
        <w:tab/>
      </w:r>
      <w:r w:rsidRPr="00A05B0D">
        <w:rPr>
          <w:color w:val="000000"/>
          <w:sz w:val="24"/>
          <w:szCs w:val="24"/>
        </w:rPr>
        <w:sym w:font="Symbol" w:char="F02D"/>
      </w:r>
      <w:r w:rsidRPr="00A05B0D">
        <w:rPr>
          <w:color w:val="000000"/>
          <w:sz w:val="24"/>
          <w:szCs w:val="24"/>
          <w:lang w:val="en-AU"/>
        </w:rPr>
        <w:t>174 dB</w:t>
      </w:r>
      <w:r w:rsidR="00436CAF">
        <w:rPr>
          <w:rFonts w:hint="eastAsia"/>
          <w:color w:val="000000"/>
          <w:sz w:val="24"/>
          <w:szCs w:val="24"/>
          <w:lang w:val="en-AU" w:eastAsia="ja-JP"/>
        </w:rPr>
        <w:t xml:space="preserve"> </w:t>
      </w:r>
      <w:r w:rsidRPr="00A05B0D">
        <w:rPr>
          <w:color w:val="000000"/>
          <w:sz w:val="24"/>
          <w:szCs w:val="24"/>
          <w:lang w:val="en-AU"/>
        </w:rPr>
        <w:t>(W/m</w:t>
      </w:r>
      <w:r w:rsidRPr="00A05B0D">
        <w:rPr>
          <w:color w:val="000000"/>
          <w:sz w:val="24"/>
          <w:szCs w:val="24"/>
          <w:vertAlign w:val="superscript"/>
          <w:lang w:val="en-AU"/>
        </w:rPr>
        <w:t>2</w:t>
      </w:r>
      <w:r w:rsidRPr="00A05B0D">
        <w:rPr>
          <w:color w:val="000000"/>
          <w:sz w:val="24"/>
          <w:szCs w:val="24"/>
          <w:lang w:val="en-AU"/>
        </w:rPr>
        <w:t>) in a 4 kHz band</w:t>
      </w:r>
      <w:r w:rsidRPr="00A05B0D">
        <w:rPr>
          <w:color w:val="000000"/>
          <w:sz w:val="24"/>
          <w:szCs w:val="24"/>
          <w:lang w:val="en-AU"/>
        </w:rPr>
        <w:tab/>
        <w:t>for       0</w:t>
      </w:r>
      <w:r w:rsidRPr="00A05B0D">
        <w:rPr>
          <w:rFonts w:ascii="Symbol" w:hAnsi="Symbol"/>
          <w:color w:val="000000"/>
          <w:sz w:val="24"/>
          <w:szCs w:val="24"/>
        </w:rPr>
        <w:t></w:t>
      </w:r>
      <w:r w:rsidRPr="00A05B0D">
        <w:rPr>
          <w:color w:val="000000"/>
          <w:sz w:val="24"/>
          <w:szCs w:val="24"/>
          <w:lang w:val="en-AU"/>
        </w:rPr>
        <w:tab/>
      </w:r>
      <w:r w:rsidRPr="00A05B0D">
        <w:rPr>
          <w:color w:val="000000"/>
          <w:sz w:val="24"/>
          <w:szCs w:val="24"/>
        </w:rPr>
        <w:sym w:font="Symbol" w:char="F0A3"/>
      </w:r>
      <w:r w:rsidRPr="00A05B0D">
        <w:rPr>
          <w:color w:val="000000"/>
          <w:sz w:val="24"/>
          <w:szCs w:val="24"/>
          <w:lang w:val="en-AU"/>
        </w:rPr>
        <w:t xml:space="preserve">  </w:t>
      </w:r>
      <w:r w:rsidRPr="00A05B0D">
        <w:rPr>
          <w:rFonts w:ascii="Symbol" w:hAnsi="Symbol"/>
          <w:color w:val="000000"/>
          <w:sz w:val="24"/>
          <w:szCs w:val="24"/>
        </w:rPr>
        <w:sym w:font="Symbol" w:char="F071"/>
      </w:r>
      <w:r w:rsidRPr="00A05B0D">
        <w:rPr>
          <w:color w:val="000000"/>
          <w:sz w:val="24"/>
          <w:szCs w:val="24"/>
          <w:lang w:val="en-AU"/>
        </w:rPr>
        <w:t xml:space="preserve">  </w:t>
      </w:r>
      <w:r w:rsidRPr="00A05B0D">
        <w:rPr>
          <w:color w:val="000000"/>
          <w:sz w:val="24"/>
          <w:szCs w:val="24"/>
        </w:rPr>
        <w:sym w:font="Symbol" w:char="F03C"/>
      </w:r>
      <w:r w:rsidRPr="00A05B0D">
        <w:rPr>
          <w:color w:val="000000"/>
          <w:sz w:val="24"/>
          <w:szCs w:val="24"/>
          <w:lang w:val="en-AU"/>
        </w:rPr>
        <w:t xml:space="preserve">    5º</w:t>
      </w:r>
      <w:r w:rsidRPr="00A05B0D">
        <w:rPr>
          <w:color w:val="000000"/>
          <w:sz w:val="24"/>
          <w:szCs w:val="24"/>
          <w:lang w:val="en-AU"/>
        </w:rPr>
        <w:br/>
      </w:r>
      <w:r w:rsidRPr="00A05B0D">
        <w:rPr>
          <w:color w:val="000000"/>
          <w:sz w:val="24"/>
          <w:szCs w:val="24"/>
          <w:lang w:val="en-AU"/>
        </w:rPr>
        <w:tab/>
        <w:t>–174 + 0.5 (</w:t>
      </w:r>
      <w:r w:rsidRPr="00A05B0D">
        <w:rPr>
          <w:color w:val="000000"/>
          <w:sz w:val="24"/>
          <w:szCs w:val="24"/>
        </w:rPr>
        <w:sym w:font="Symbol" w:char="F071"/>
      </w:r>
      <w:r w:rsidRPr="00A05B0D">
        <w:rPr>
          <w:color w:val="000000"/>
          <w:sz w:val="24"/>
          <w:szCs w:val="24"/>
          <w:lang w:val="en-AU"/>
        </w:rPr>
        <w:t xml:space="preserve"> – 5) dB</w:t>
      </w:r>
      <w:r w:rsidR="00436CAF">
        <w:rPr>
          <w:rFonts w:hint="eastAsia"/>
          <w:color w:val="000000"/>
          <w:sz w:val="24"/>
          <w:szCs w:val="24"/>
          <w:lang w:val="en-AU" w:eastAsia="ja-JP"/>
        </w:rPr>
        <w:t xml:space="preserve"> </w:t>
      </w:r>
      <w:r w:rsidRPr="00A05B0D">
        <w:rPr>
          <w:color w:val="000000"/>
          <w:sz w:val="24"/>
          <w:szCs w:val="24"/>
          <w:lang w:val="en-AU"/>
        </w:rPr>
        <w:t>(W/m</w:t>
      </w:r>
      <w:r w:rsidRPr="00A05B0D">
        <w:rPr>
          <w:color w:val="000000"/>
          <w:sz w:val="24"/>
          <w:szCs w:val="24"/>
          <w:vertAlign w:val="superscript"/>
          <w:lang w:val="en-AU"/>
        </w:rPr>
        <w:t>2</w:t>
      </w:r>
      <w:r w:rsidRPr="00A05B0D">
        <w:rPr>
          <w:color w:val="000000"/>
          <w:sz w:val="24"/>
          <w:szCs w:val="24"/>
          <w:lang w:val="en-AU"/>
        </w:rPr>
        <w:t>) in a 4 kHz band</w:t>
      </w:r>
      <w:r w:rsidRPr="00A05B0D">
        <w:rPr>
          <w:color w:val="000000"/>
          <w:sz w:val="24"/>
          <w:szCs w:val="24"/>
          <w:lang w:val="en-AU"/>
        </w:rPr>
        <w:tab/>
        <w:t>for       5º</w:t>
      </w:r>
      <w:r w:rsidRPr="00A05B0D">
        <w:rPr>
          <w:color w:val="000000"/>
          <w:sz w:val="24"/>
          <w:szCs w:val="24"/>
          <w:lang w:val="en-AU"/>
        </w:rPr>
        <w:tab/>
      </w:r>
      <w:r w:rsidRPr="00A05B0D">
        <w:rPr>
          <w:color w:val="000000"/>
          <w:sz w:val="24"/>
          <w:szCs w:val="24"/>
        </w:rPr>
        <w:sym w:font="Symbol" w:char="F0A3"/>
      </w:r>
      <w:r w:rsidRPr="00A05B0D">
        <w:rPr>
          <w:color w:val="000000"/>
          <w:sz w:val="24"/>
          <w:szCs w:val="24"/>
          <w:lang w:val="en-AU"/>
        </w:rPr>
        <w:t xml:space="preserve">  </w:t>
      </w:r>
      <w:r w:rsidRPr="00A05B0D">
        <w:rPr>
          <w:rFonts w:ascii="Symbol" w:hAnsi="Symbol"/>
          <w:color w:val="000000"/>
          <w:sz w:val="24"/>
          <w:szCs w:val="24"/>
        </w:rPr>
        <w:sym w:font="Symbol" w:char="F071"/>
      </w:r>
      <w:r w:rsidRPr="00A05B0D">
        <w:rPr>
          <w:color w:val="000000"/>
          <w:sz w:val="24"/>
          <w:szCs w:val="24"/>
          <w:lang w:val="en-AU"/>
        </w:rPr>
        <w:t xml:space="preserve">  </w:t>
      </w:r>
      <w:r w:rsidRPr="00A05B0D">
        <w:rPr>
          <w:color w:val="000000"/>
          <w:sz w:val="24"/>
          <w:szCs w:val="24"/>
        </w:rPr>
        <w:sym w:font="Symbol" w:char="F03C"/>
      </w:r>
      <w:r w:rsidRPr="00A05B0D">
        <w:rPr>
          <w:color w:val="000000"/>
          <w:sz w:val="24"/>
          <w:szCs w:val="24"/>
          <w:lang w:val="en-AU"/>
        </w:rPr>
        <w:t xml:space="preserve">  25º</w:t>
      </w:r>
      <w:r w:rsidRPr="00A05B0D">
        <w:rPr>
          <w:color w:val="000000"/>
          <w:sz w:val="24"/>
          <w:szCs w:val="24"/>
          <w:lang w:val="en-AU"/>
        </w:rPr>
        <w:br/>
      </w:r>
      <w:r w:rsidRPr="00A05B0D">
        <w:rPr>
          <w:color w:val="000000"/>
          <w:sz w:val="24"/>
          <w:szCs w:val="24"/>
          <w:lang w:val="en-AU"/>
        </w:rPr>
        <w:tab/>
        <w:t>–164 dB</w:t>
      </w:r>
      <w:r w:rsidR="00436CAF">
        <w:rPr>
          <w:rFonts w:hint="eastAsia"/>
          <w:color w:val="000000"/>
          <w:sz w:val="24"/>
          <w:szCs w:val="24"/>
          <w:lang w:val="en-AU" w:eastAsia="ja-JP"/>
        </w:rPr>
        <w:t xml:space="preserve"> </w:t>
      </w:r>
      <w:r w:rsidRPr="00A05B0D">
        <w:rPr>
          <w:color w:val="000000"/>
          <w:sz w:val="24"/>
          <w:szCs w:val="24"/>
          <w:lang w:val="en-AU"/>
        </w:rPr>
        <w:t>(W/m</w:t>
      </w:r>
      <w:r w:rsidRPr="00A05B0D">
        <w:rPr>
          <w:color w:val="000000"/>
          <w:sz w:val="24"/>
          <w:szCs w:val="24"/>
          <w:vertAlign w:val="superscript"/>
          <w:lang w:val="en-AU"/>
        </w:rPr>
        <w:t>2</w:t>
      </w:r>
      <w:r w:rsidRPr="00A05B0D">
        <w:rPr>
          <w:color w:val="000000"/>
          <w:sz w:val="24"/>
          <w:szCs w:val="24"/>
          <w:lang w:val="en-AU"/>
        </w:rPr>
        <w:t>) in a 4 kHz band</w:t>
      </w:r>
      <w:r w:rsidRPr="00A05B0D">
        <w:rPr>
          <w:color w:val="000000"/>
          <w:sz w:val="24"/>
          <w:szCs w:val="24"/>
          <w:lang w:val="en-AU"/>
        </w:rPr>
        <w:tab/>
        <w:t xml:space="preserve">for    </w:t>
      </w:r>
      <w:r w:rsidRPr="00A05B0D">
        <w:rPr>
          <w:rFonts w:ascii="Tms Rmn" w:hAnsi="Tms Rmn"/>
          <w:color w:val="000000"/>
          <w:sz w:val="24"/>
          <w:szCs w:val="24"/>
          <w:lang w:val="en-AU"/>
        </w:rPr>
        <w:t> </w:t>
      </w:r>
      <w:r w:rsidRPr="00A05B0D">
        <w:rPr>
          <w:color w:val="000000"/>
          <w:sz w:val="24"/>
          <w:szCs w:val="24"/>
          <w:lang w:val="en-AU"/>
        </w:rPr>
        <w:t>25º</w:t>
      </w:r>
      <w:r w:rsidRPr="00A05B0D">
        <w:rPr>
          <w:color w:val="000000"/>
          <w:sz w:val="24"/>
          <w:szCs w:val="24"/>
          <w:lang w:val="en-AU"/>
        </w:rPr>
        <w:tab/>
      </w:r>
      <w:r w:rsidRPr="00A05B0D">
        <w:rPr>
          <w:color w:val="000000"/>
          <w:sz w:val="24"/>
          <w:szCs w:val="24"/>
        </w:rPr>
        <w:sym w:font="Symbol" w:char="F0A3"/>
      </w:r>
      <w:r w:rsidRPr="00A05B0D">
        <w:rPr>
          <w:color w:val="000000"/>
          <w:sz w:val="24"/>
          <w:szCs w:val="24"/>
          <w:lang w:val="en-AU"/>
        </w:rPr>
        <w:t xml:space="preserve">  </w:t>
      </w:r>
      <w:r w:rsidRPr="00A05B0D">
        <w:rPr>
          <w:rFonts w:ascii="Symbol" w:hAnsi="Symbol"/>
          <w:color w:val="000000"/>
          <w:sz w:val="24"/>
          <w:szCs w:val="24"/>
        </w:rPr>
        <w:sym w:font="Symbol" w:char="F071"/>
      </w:r>
      <w:r w:rsidRPr="00A05B0D">
        <w:rPr>
          <w:color w:val="000000"/>
          <w:sz w:val="24"/>
          <w:szCs w:val="24"/>
          <w:lang w:val="en-AU"/>
        </w:rPr>
        <w:t xml:space="preserve">  </w:t>
      </w:r>
      <w:r w:rsidRPr="00A05B0D">
        <w:rPr>
          <w:color w:val="000000"/>
          <w:sz w:val="24"/>
          <w:szCs w:val="24"/>
        </w:rPr>
        <w:sym w:font="Symbol" w:char="F0A3"/>
      </w:r>
      <w:r w:rsidRPr="00A05B0D">
        <w:rPr>
          <w:color w:val="000000"/>
          <w:sz w:val="24"/>
          <w:szCs w:val="24"/>
          <w:lang w:val="en-AU"/>
        </w:rPr>
        <w:t xml:space="preserve">  90º</w:t>
      </w:r>
    </w:p>
    <w:p w:rsidR="00B01204" w:rsidRPr="00A05B0D" w:rsidRDefault="00B01204" w:rsidP="00F43FE2">
      <w:pPr>
        <w:pStyle w:val="Note"/>
        <w:tabs>
          <w:tab w:val="clear" w:pos="1191"/>
          <w:tab w:val="left" w:pos="825"/>
        </w:tabs>
        <w:spacing w:before="240"/>
        <w:rPr>
          <w:color w:val="000000"/>
          <w:sz w:val="20"/>
          <w:lang w:val="en-AU"/>
        </w:rPr>
      </w:pPr>
      <w:r w:rsidRPr="00A05B0D">
        <w:rPr>
          <w:color w:val="000000"/>
          <w:sz w:val="24"/>
          <w:szCs w:val="24"/>
          <w:lang w:val="en-AU"/>
        </w:rPr>
        <w:tab/>
      </w:r>
      <w:r w:rsidRPr="00A05B0D">
        <w:rPr>
          <w:color w:val="000000"/>
          <w:sz w:val="24"/>
          <w:szCs w:val="24"/>
          <w:lang w:val="en-AU"/>
        </w:rPr>
        <w:tab/>
        <w:t xml:space="preserve">These values are subject to study under Resolution </w:t>
      </w:r>
      <w:r w:rsidRPr="00A05B0D">
        <w:rPr>
          <w:b/>
          <w:color w:val="000000"/>
          <w:sz w:val="24"/>
          <w:szCs w:val="24"/>
          <w:lang w:val="en-AU"/>
        </w:rPr>
        <w:t>124 (WRC-97)</w:t>
      </w:r>
      <w:r w:rsidRPr="00A05B0D">
        <w:rPr>
          <w:rStyle w:val="FootnoteReference"/>
          <w:b/>
          <w:color w:val="000000"/>
          <w:sz w:val="24"/>
          <w:szCs w:val="24"/>
          <w:lang w:val="en-AU"/>
        </w:rPr>
        <w:footnoteReference w:customMarkFollows="1" w:id="1"/>
        <w:t>*</w:t>
      </w:r>
      <w:r w:rsidRPr="00A05B0D">
        <w:rPr>
          <w:color w:val="000000"/>
          <w:sz w:val="24"/>
          <w:szCs w:val="24"/>
          <w:lang w:val="en-AU"/>
        </w:rPr>
        <w:t>.    </w:t>
      </w:r>
      <w:r w:rsidRPr="00A05B0D">
        <w:rPr>
          <w:color w:val="000000"/>
          <w:sz w:val="20"/>
          <w:lang w:val="en-AU"/>
        </w:rPr>
        <w:t> (WRC-97)</w:t>
      </w:r>
    </w:p>
    <w:p w:rsidR="00B01204" w:rsidRDefault="00B01204" w:rsidP="00D353EF">
      <w:pPr>
        <w:spacing w:beforeLines="50" w:line="300" w:lineRule="exact"/>
        <w:rPr>
          <w:lang w:eastAsia="ja-JP"/>
        </w:rPr>
      </w:pPr>
    </w:p>
    <w:p w:rsidR="00436CAF" w:rsidRPr="00436CAF" w:rsidRDefault="00436CAF" w:rsidP="00436CAF">
      <w:pPr>
        <w:spacing w:beforeLines="50" w:line="300" w:lineRule="exact"/>
        <w:jc w:val="center"/>
        <w:rPr>
          <w:b/>
          <w:sz w:val="28"/>
          <w:szCs w:val="28"/>
          <w:lang w:eastAsia="ja-JP"/>
        </w:rPr>
      </w:pPr>
      <w:r>
        <w:rPr>
          <w:lang w:eastAsia="ja-JP"/>
        </w:rPr>
        <w:br w:type="page"/>
      </w:r>
      <w:r w:rsidRPr="00436CAF">
        <w:rPr>
          <w:rFonts w:hint="eastAsia"/>
          <w:b/>
          <w:sz w:val="28"/>
          <w:szCs w:val="28"/>
          <w:lang w:eastAsia="ja-JP"/>
        </w:rPr>
        <w:t>Annex 2</w:t>
      </w:r>
    </w:p>
    <w:p w:rsidR="00436CAF" w:rsidRDefault="00436CAF" w:rsidP="00436CAF">
      <w:pPr>
        <w:pStyle w:val="ResNo"/>
        <w:spacing w:beforeLines="200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 xml:space="preserve">RESOLUTION  </w:t>
      </w:r>
      <w:r>
        <w:rPr>
          <w:rStyle w:val="href"/>
          <w:color w:val="000000"/>
          <w:lang w:val="en-US"/>
        </w:rPr>
        <w:t>124</w:t>
      </w:r>
      <w:proofErr w:type="gramEnd"/>
      <w:r>
        <w:rPr>
          <w:color w:val="000000"/>
          <w:lang w:val="en-US"/>
        </w:rPr>
        <w:t xml:space="preserve">  (Rev.WRC-2000)</w:t>
      </w:r>
    </w:p>
    <w:p w:rsidR="00436CAF" w:rsidRDefault="00436CAF" w:rsidP="00436CAF">
      <w:pPr>
        <w:pStyle w:val="Restitle"/>
        <w:rPr>
          <w:color w:val="000000"/>
        </w:rPr>
      </w:pPr>
      <w:r>
        <w:rPr>
          <w:color w:val="000000"/>
        </w:rPr>
        <w:t>Protection of the fixed service in the frequency band 8</w:t>
      </w:r>
      <w:r>
        <w:rPr>
          <w:color w:val="000000"/>
          <w:sz w:val="12"/>
        </w:rPr>
        <w:t> </w:t>
      </w:r>
      <w:r>
        <w:rPr>
          <w:color w:val="000000"/>
        </w:rPr>
        <w:t>025-8</w:t>
      </w:r>
      <w:r>
        <w:rPr>
          <w:color w:val="000000"/>
          <w:sz w:val="12"/>
        </w:rPr>
        <w:t> </w:t>
      </w:r>
      <w:r>
        <w:rPr>
          <w:color w:val="000000"/>
        </w:rPr>
        <w:t>400 MHz</w:t>
      </w:r>
      <w:r>
        <w:rPr>
          <w:color w:val="000000"/>
        </w:rPr>
        <w:br/>
        <w:t>sharing with geostationary-satellite systems of the Earth</w:t>
      </w:r>
      <w:r>
        <w:rPr>
          <w:color w:val="000000"/>
        </w:rPr>
        <w:br/>
        <w:t>exploration-satellite service (space-to-Earth)</w:t>
      </w:r>
    </w:p>
    <w:p w:rsidR="00436CAF" w:rsidRDefault="00436CAF" w:rsidP="00436CAF">
      <w:pPr>
        <w:pStyle w:val="Normalaftertitle0"/>
        <w:rPr>
          <w:color w:val="000000"/>
          <w:lang w:val="en-US"/>
        </w:rPr>
      </w:pPr>
      <w:r>
        <w:rPr>
          <w:color w:val="000000"/>
          <w:lang w:val="en-US"/>
        </w:rPr>
        <w:t xml:space="preserve">The World </w:t>
      </w:r>
      <w:proofErr w:type="spellStart"/>
      <w:r>
        <w:rPr>
          <w:color w:val="000000"/>
          <w:lang w:val="en-US"/>
        </w:rPr>
        <w:t>Radiocommunication</w:t>
      </w:r>
      <w:proofErr w:type="spellEnd"/>
      <w:r>
        <w:rPr>
          <w:color w:val="000000"/>
          <w:lang w:val="en-US"/>
        </w:rPr>
        <w:t xml:space="preserve"> Conference (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lang w:val="en-US"/>
            </w:rPr>
            <w:t>Istanbul</w:t>
          </w:r>
        </w:smartTag>
      </w:smartTag>
      <w:r>
        <w:rPr>
          <w:color w:val="000000"/>
          <w:lang w:val="en-US"/>
        </w:rPr>
        <w:t>, 2000),</w:t>
      </w:r>
    </w:p>
    <w:p w:rsidR="00436CAF" w:rsidRDefault="00436CAF" w:rsidP="00436CAF">
      <w:pPr>
        <w:pStyle w:val="Call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considering</w:t>
      </w:r>
      <w:proofErr w:type="gramEnd"/>
    </w:p>
    <w:p w:rsidR="00436CAF" w:rsidRDefault="00436CAF" w:rsidP="00436CAF">
      <w:pPr>
        <w:spacing w:line="0" w:lineRule="atLeast"/>
        <w:rPr>
          <w:color w:val="000000"/>
          <w:lang w:val="en-US"/>
        </w:rPr>
      </w:pPr>
      <w:r>
        <w:rPr>
          <w:i/>
          <w:color w:val="000000"/>
          <w:lang w:val="en-US"/>
        </w:rPr>
        <w:t>a)</w:t>
      </w:r>
      <w:r>
        <w:rPr>
          <w:color w:val="000000"/>
          <w:lang w:val="en-US"/>
        </w:rPr>
        <w:tab/>
        <w:t>that prior to WRC-97, the band 8</w:t>
      </w:r>
      <w:r>
        <w:rPr>
          <w:color w:val="000000"/>
          <w:sz w:val="12"/>
          <w:lang w:val="en-US"/>
        </w:rPr>
        <w:t> </w:t>
      </w:r>
      <w:r>
        <w:rPr>
          <w:color w:val="000000"/>
          <w:lang w:val="en-US"/>
        </w:rPr>
        <w:t>025-8</w:t>
      </w:r>
      <w:r>
        <w:rPr>
          <w:color w:val="000000"/>
          <w:sz w:val="12"/>
          <w:lang w:val="en-US"/>
        </w:rPr>
        <w:t> </w:t>
      </w:r>
      <w:r>
        <w:rPr>
          <w:color w:val="000000"/>
          <w:lang w:val="en-US"/>
        </w:rPr>
        <w:t xml:space="preserve">400 MHz was allocated to the Earth exploration-satellite service (space-to-Earth) on a secondary basis in Regions 1 and 3, except for those countries listed in former No. </w:t>
      </w:r>
      <w:r>
        <w:rPr>
          <w:rStyle w:val="Artref"/>
          <w:b/>
          <w:color w:val="000000"/>
        </w:rPr>
        <w:t>5.464</w:t>
      </w:r>
      <w:r>
        <w:rPr>
          <w:color w:val="000000"/>
          <w:lang w:val="en-US"/>
        </w:rPr>
        <w:t>;</w:t>
      </w:r>
    </w:p>
    <w:p w:rsidR="00436CAF" w:rsidRDefault="00436CAF" w:rsidP="00436CAF">
      <w:pPr>
        <w:spacing w:line="0" w:lineRule="atLeast"/>
        <w:rPr>
          <w:color w:val="000000"/>
          <w:lang w:val="en-US"/>
        </w:rPr>
      </w:pPr>
      <w:r>
        <w:rPr>
          <w:i/>
          <w:color w:val="000000"/>
          <w:lang w:val="en-US"/>
        </w:rPr>
        <w:t>b)</w:t>
      </w:r>
      <w:r>
        <w:rPr>
          <w:color w:val="000000"/>
          <w:lang w:val="en-US"/>
        </w:rPr>
        <w:tab/>
        <w:t xml:space="preserve">that the power flux-density limits given in Table </w:t>
      </w:r>
      <w:r>
        <w:rPr>
          <w:rStyle w:val="Artref"/>
          <w:b/>
          <w:color w:val="000000"/>
        </w:rPr>
        <w:t>21-4</w:t>
      </w:r>
      <w:r>
        <w:rPr>
          <w:color w:val="000000"/>
          <w:lang w:val="en-US"/>
        </w:rPr>
        <w:t xml:space="preserve"> of Article </w:t>
      </w:r>
      <w:r>
        <w:rPr>
          <w:rStyle w:val="Artref"/>
          <w:b/>
          <w:color w:val="000000"/>
          <w:lang w:val="en-US"/>
        </w:rPr>
        <w:t>21</w:t>
      </w:r>
      <w:r>
        <w:rPr>
          <w:color w:val="000000"/>
          <w:lang w:val="en-US"/>
        </w:rPr>
        <w:t xml:space="preserve"> apply to emissions from space stations of the Earth exploration-satellite service (space-to-Earth);</w:t>
      </w:r>
    </w:p>
    <w:p w:rsidR="00436CAF" w:rsidRDefault="00436CAF" w:rsidP="00436CAF">
      <w:pPr>
        <w:spacing w:line="0" w:lineRule="atLeast"/>
        <w:rPr>
          <w:color w:val="000000"/>
          <w:lang w:val="en-US"/>
        </w:rPr>
      </w:pPr>
      <w:r>
        <w:rPr>
          <w:i/>
          <w:color w:val="000000"/>
          <w:lang w:val="en-US"/>
        </w:rPr>
        <w:t>c)</w:t>
      </w:r>
      <w:r>
        <w:rPr>
          <w:color w:val="000000"/>
          <w:lang w:val="en-US"/>
        </w:rPr>
        <w:tab/>
        <w:t>that, for those administrations where the secondary allocation applied before WRC</w:t>
      </w:r>
      <w:r>
        <w:rPr>
          <w:color w:val="000000"/>
          <w:lang w:val="en-US"/>
        </w:rPr>
        <w:noBreakHyphen/>
        <w:t>97, geostationary orbital avoidance was not required for the fixed service and, therefore, the power flux-density limits given in Table </w:t>
      </w:r>
      <w:r>
        <w:rPr>
          <w:rStyle w:val="Artref"/>
          <w:b/>
          <w:color w:val="000000"/>
        </w:rPr>
        <w:t>21-4</w:t>
      </w:r>
      <w:r>
        <w:rPr>
          <w:color w:val="000000"/>
          <w:lang w:val="en-US"/>
        </w:rPr>
        <w:t xml:space="preserve"> of Article </w:t>
      </w:r>
      <w:r>
        <w:rPr>
          <w:rStyle w:val="Artref"/>
          <w:b/>
          <w:color w:val="000000"/>
        </w:rPr>
        <w:t>21</w:t>
      </w:r>
      <w:r>
        <w:rPr>
          <w:color w:val="000000"/>
          <w:lang w:val="en-US"/>
        </w:rPr>
        <w:t xml:space="preserve"> may give rise to excessive interference to the fixed service;</w:t>
      </w:r>
    </w:p>
    <w:p w:rsidR="00436CAF" w:rsidRDefault="00436CAF" w:rsidP="00436CAF">
      <w:pPr>
        <w:spacing w:line="0" w:lineRule="atLeast"/>
        <w:rPr>
          <w:color w:val="000000"/>
          <w:lang w:val="en-US"/>
        </w:rPr>
      </w:pPr>
      <w:r>
        <w:rPr>
          <w:i/>
          <w:color w:val="000000"/>
          <w:lang w:val="en-US"/>
        </w:rPr>
        <w:t>d)</w:t>
      </w:r>
      <w:r>
        <w:rPr>
          <w:color w:val="000000"/>
          <w:lang w:val="en-US"/>
        </w:rPr>
        <w:tab/>
        <w:t>that WRC</w:t>
      </w:r>
      <w:r>
        <w:rPr>
          <w:color w:val="000000"/>
          <w:lang w:val="en-US"/>
        </w:rPr>
        <w:noBreakHyphen/>
        <w:t>97 adopted provisional power flux-density limits as specified in No. </w:t>
      </w:r>
      <w:r>
        <w:rPr>
          <w:rStyle w:val="Artref"/>
          <w:b/>
          <w:color w:val="000000"/>
        </w:rPr>
        <w:t>5.462A</w:t>
      </w:r>
      <w:r>
        <w:rPr>
          <w:color w:val="000000"/>
          <w:lang w:val="en-US"/>
        </w:rPr>
        <w:t xml:space="preserve"> which are lower than those shown in Table </w:t>
      </w:r>
      <w:r>
        <w:rPr>
          <w:rStyle w:val="Artref"/>
          <w:b/>
          <w:color w:val="000000"/>
        </w:rPr>
        <w:t>21-4</w:t>
      </w:r>
      <w:r>
        <w:rPr>
          <w:color w:val="000000"/>
          <w:lang w:val="en-US"/>
        </w:rPr>
        <w:t xml:space="preserve"> of Article </w:t>
      </w:r>
      <w:r>
        <w:rPr>
          <w:rStyle w:val="Artref"/>
          <w:b/>
          <w:color w:val="000000"/>
        </w:rPr>
        <w:t>21</w:t>
      </w:r>
      <w:r>
        <w:rPr>
          <w:color w:val="000000"/>
          <w:lang w:val="en-US"/>
        </w:rPr>
        <w:t xml:space="preserve"> to protect the fixed service;</w:t>
      </w:r>
    </w:p>
    <w:p w:rsidR="00436CAF" w:rsidRDefault="00436CAF" w:rsidP="00436CAF">
      <w:pPr>
        <w:spacing w:line="0" w:lineRule="atLeast"/>
        <w:rPr>
          <w:color w:val="000000"/>
          <w:lang w:val="en-US"/>
        </w:rPr>
      </w:pPr>
      <w:r>
        <w:rPr>
          <w:i/>
          <w:color w:val="000000"/>
          <w:lang w:val="en-US"/>
        </w:rPr>
        <w:t>e)</w:t>
      </w:r>
      <w:r>
        <w:rPr>
          <w:color w:val="000000"/>
          <w:lang w:val="en-US"/>
        </w:rPr>
        <w:tab/>
        <w:t>that, prior to WRC</w:t>
      </w:r>
      <w:r>
        <w:rPr>
          <w:color w:val="000000"/>
          <w:lang w:val="en-US"/>
        </w:rPr>
        <w:noBreakHyphen/>
        <w:t>97, no studies had been conducted in this frequency band by ITU</w:t>
      </w:r>
      <w:r>
        <w:rPr>
          <w:color w:val="000000"/>
          <w:lang w:val="en-US"/>
        </w:rPr>
        <w:noBreakHyphen/>
        <w:t>R on the power flux-density values to apply to space stations of geostationary-satellite systems in the Earth exploration-satellite service where geostationary orbital avoidance had not been implemented by stations of the fixed service,</w:t>
      </w:r>
    </w:p>
    <w:p w:rsidR="00436CAF" w:rsidRDefault="00436CAF" w:rsidP="00436CAF">
      <w:pPr>
        <w:pStyle w:val="Call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considering</w:t>
      </w:r>
      <w:proofErr w:type="gramEnd"/>
      <w:r>
        <w:rPr>
          <w:color w:val="000000"/>
          <w:lang w:val="en-US"/>
        </w:rPr>
        <w:t xml:space="preserve"> further</w:t>
      </w:r>
    </w:p>
    <w:p w:rsidR="00436CAF" w:rsidRDefault="00436CAF" w:rsidP="00436CAF">
      <w:pPr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a)</w:t>
      </w:r>
      <w:r>
        <w:rPr>
          <w:i/>
          <w:iCs/>
          <w:color w:val="000000"/>
          <w:lang w:val="en-US"/>
        </w:rPr>
        <w:tab/>
      </w:r>
      <w:r>
        <w:rPr>
          <w:color w:val="000000"/>
          <w:lang w:val="en-US"/>
        </w:rPr>
        <w:t>that the band 8</w:t>
      </w:r>
      <w:r>
        <w:rPr>
          <w:color w:val="000000"/>
          <w:sz w:val="12"/>
          <w:lang w:val="en-US"/>
        </w:rPr>
        <w:t> </w:t>
      </w:r>
      <w:r>
        <w:rPr>
          <w:color w:val="000000"/>
          <w:lang w:val="en-US"/>
        </w:rPr>
        <w:t>025-8</w:t>
      </w:r>
      <w:r>
        <w:rPr>
          <w:color w:val="000000"/>
          <w:sz w:val="12"/>
          <w:lang w:val="en-US"/>
        </w:rPr>
        <w:t> </w:t>
      </w:r>
      <w:r>
        <w:rPr>
          <w:color w:val="000000"/>
          <w:lang w:val="en-US"/>
        </w:rPr>
        <w:t>400 MHz is used extensively by the fixed service in accordance with ITU</w:t>
      </w:r>
      <w:r>
        <w:rPr>
          <w:color w:val="000000"/>
          <w:lang w:val="en-US"/>
        </w:rPr>
        <w:noBreakHyphen/>
        <w:t>R radio-frequency channel arrangements for the 8 GHz band (see Recommendation ITU</w:t>
      </w:r>
      <w:r>
        <w:rPr>
          <w:color w:val="000000"/>
          <w:lang w:val="en-US"/>
        </w:rPr>
        <w:noBreakHyphen/>
        <w:t>R F.386) and is also used by some countries for television outside broadcast applications;</w:t>
      </w:r>
    </w:p>
    <w:p w:rsidR="00436CAF" w:rsidRDefault="00436CAF" w:rsidP="00436CAF">
      <w:pPr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b)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>that</w:t>
      </w:r>
      <w:proofErr w:type="gramEnd"/>
      <w:r>
        <w:rPr>
          <w:color w:val="000000"/>
          <w:lang w:val="en-US"/>
        </w:rPr>
        <w:t xml:space="preserve"> Recommendation ITU</w:t>
      </w:r>
      <w:r>
        <w:rPr>
          <w:color w:val="000000"/>
          <w:lang w:val="en-US"/>
        </w:rPr>
        <w:noBreakHyphen/>
        <w:t>R F.1502, which was developed in response to Resolution </w:t>
      </w:r>
      <w:r>
        <w:rPr>
          <w:b/>
          <w:color w:val="000000"/>
        </w:rPr>
        <w:t>124</w:t>
      </w:r>
      <w:r>
        <w:rPr>
          <w:rStyle w:val="Resref0"/>
          <w:b/>
          <w:color w:val="000000"/>
          <w:lang w:val="en-US"/>
        </w:rPr>
        <w:t xml:space="preserve"> (WRC</w:t>
      </w:r>
      <w:r>
        <w:rPr>
          <w:rStyle w:val="Resref0"/>
          <w:b/>
          <w:color w:val="000000"/>
          <w:lang w:val="en-US"/>
        </w:rPr>
        <w:noBreakHyphen/>
        <w:t>97)</w:t>
      </w:r>
      <w:r>
        <w:rPr>
          <w:color w:val="000000"/>
          <w:lang w:val="en-US"/>
        </w:rPr>
        <w:t xml:space="preserve"> and approved by the </w:t>
      </w:r>
      <w:proofErr w:type="spellStart"/>
      <w:r>
        <w:rPr>
          <w:color w:val="000000"/>
          <w:lang w:val="en-US"/>
        </w:rPr>
        <w:t>Radiocommunication</w:t>
      </w:r>
      <w:proofErr w:type="spellEnd"/>
      <w:r>
        <w:rPr>
          <w:color w:val="000000"/>
          <w:lang w:val="en-US"/>
        </w:rPr>
        <w:t xml:space="preserve"> Assembly (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  <w:lang w:val="en-US"/>
            </w:rPr>
            <w:t>Istanbul</w:t>
          </w:r>
        </w:smartTag>
      </w:smartTag>
      <w:r>
        <w:rPr>
          <w:color w:val="000000"/>
          <w:lang w:val="en-US"/>
        </w:rPr>
        <w:t>, 2000), recommends power flux-density limits different from those in No. </w:t>
      </w:r>
      <w:r>
        <w:rPr>
          <w:rStyle w:val="Artref"/>
          <w:b/>
          <w:color w:val="000000"/>
        </w:rPr>
        <w:t>5.462A</w:t>
      </w:r>
      <w:r>
        <w:rPr>
          <w:color w:val="000000"/>
          <w:lang w:val="en-US"/>
        </w:rPr>
        <w:t>,</w:t>
      </w:r>
    </w:p>
    <w:p w:rsidR="00436CAF" w:rsidRDefault="00436CAF" w:rsidP="00436CAF">
      <w:pPr>
        <w:pStyle w:val="Call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resolves</w:t>
      </w:r>
      <w:proofErr w:type="gramEnd"/>
    </w:p>
    <w:p w:rsidR="00320E83" w:rsidRDefault="00436CAF" w:rsidP="00436CAF">
      <w:pPr>
        <w:spacing w:beforeLines="50" w:line="300" w:lineRule="exact"/>
        <w:rPr>
          <w:color w:val="000000"/>
          <w:lang w:val="en-US" w:eastAsia="ja-JP"/>
        </w:rPr>
      </w:pPr>
      <w:proofErr w:type="gramStart"/>
      <w:r>
        <w:rPr>
          <w:color w:val="000000"/>
          <w:lang w:val="en-US"/>
        </w:rPr>
        <w:t>to</w:t>
      </w:r>
      <w:proofErr w:type="gramEnd"/>
      <w:r>
        <w:rPr>
          <w:color w:val="000000"/>
          <w:lang w:val="en-US"/>
        </w:rPr>
        <w:t xml:space="preserve"> invite a future competent world </w:t>
      </w:r>
      <w:proofErr w:type="spellStart"/>
      <w:r>
        <w:rPr>
          <w:color w:val="000000"/>
          <w:lang w:val="en-US"/>
        </w:rPr>
        <w:t>radiocommunication</w:t>
      </w:r>
      <w:proofErr w:type="spellEnd"/>
      <w:r>
        <w:rPr>
          <w:color w:val="000000"/>
          <w:lang w:val="en-US"/>
        </w:rPr>
        <w:t xml:space="preserve"> conference to review No. </w:t>
      </w:r>
      <w:r>
        <w:rPr>
          <w:rStyle w:val="Artref"/>
          <w:b/>
          <w:color w:val="000000"/>
        </w:rPr>
        <w:t>5.462A</w:t>
      </w:r>
      <w:r>
        <w:rPr>
          <w:color w:val="000000"/>
          <w:lang w:val="en-US"/>
        </w:rPr>
        <w:t>, taking into account Recommendation ITU</w:t>
      </w:r>
      <w:r>
        <w:rPr>
          <w:color w:val="000000"/>
          <w:lang w:val="en-US"/>
        </w:rPr>
        <w:noBreakHyphen/>
        <w:t>R F.1502, and to take appropriate action.</w:t>
      </w:r>
    </w:p>
    <w:p w:rsidR="00436CAF" w:rsidRDefault="00436CAF" w:rsidP="00436CAF">
      <w:pPr>
        <w:spacing w:beforeLines="50" w:line="300" w:lineRule="exact"/>
        <w:rPr>
          <w:color w:val="000000"/>
          <w:lang w:val="en-US" w:eastAsia="ja-JP"/>
        </w:rPr>
      </w:pPr>
    </w:p>
    <w:p w:rsidR="00436CAF" w:rsidRPr="00436CAF" w:rsidRDefault="00C560AE" w:rsidP="00436CAF">
      <w:pPr>
        <w:spacing w:beforeLines="50" w:line="300" w:lineRule="exact"/>
        <w:jc w:val="center"/>
        <w:rPr>
          <w:b/>
          <w:color w:val="000000"/>
          <w:sz w:val="28"/>
          <w:szCs w:val="28"/>
          <w:lang w:val="fr-FR" w:eastAsia="ja-JP"/>
        </w:rPr>
      </w:pPr>
      <w:r w:rsidRPr="009762BA">
        <w:rPr>
          <w:color w:val="000000"/>
          <w:lang w:val="fr-CH" w:eastAsia="ja-JP"/>
        </w:rPr>
        <w:br w:type="page"/>
      </w:r>
      <w:proofErr w:type="spellStart"/>
      <w:r w:rsidR="00436CAF" w:rsidRPr="00436CAF">
        <w:rPr>
          <w:rFonts w:hint="eastAsia"/>
          <w:b/>
          <w:color w:val="000000"/>
          <w:sz w:val="28"/>
          <w:szCs w:val="28"/>
          <w:lang w:val="fr-FR" w:eastAsia="ja-JP"/>
        </w:rPr>
        <w:t>Annex</w:t>
      </w:r>
      <w:proofErr w:type="spellEnd"/>
      <w:r w:rsidR="00436CAF" w:rsidRPr="00436CAF">
        <w:rPr>
          <w:rFonts w:hint="eastAsia"/>
          <w:b/>
          <w:color w:val="000000"/>
          <w:sz w:val="28"/>
          <w:szCs w:val="28"/>
          <w:lang w:val="fr-FR" w:eastAsia="ja-JP"/>
        </w:rPr>
        <w:t xml:space="preserve"> 3</w:t>
      </w:r>
    </w:p>
    <w:p w:rsidR="00436CAF" w:rsidRPr="00436CAF" w:rsidRDefault="00436CAF" w:rsidP="00436CAF">
      <w:pPr>
        <w:pStyle w:val="RecNo"/>
        <w:spacing w:beforeLines="200"/>
        <w:rPr>
          <w:lang w:val="fr-FR"/>
        </w:rPr>
      </w:pPr>
      <w:r w:rsidRPr="00436CAF">
        <w:rPr>
          <w:lang w:val="fr-FR"/>
        </w:rPr>
        <w:t xml:space="preserve">RECOMMENDATION  </w:t>
      </w:r>
      <w:r w:rsidRPr="00436CAF">
        <w:rPr>
          <w:rStyle w:val="href"/>
          <w:lang w:val="fr-FR"/>
        </w:rPr>
        <w:t>ITU-R  F.1502</w:t>
      </w:r>
      <w:r w:rsidRPr="00436CAF">
        <w:rPr>
          <w:rStyle w:val="FootnoteReference"/>
          <w:lang w:val="fr-FR"/>
        </w:rPr>
        <w:footnoteReference w:customMarkFollows="1" w:id="2"/>
        <w:t>*</w:t>
      </w:r>
      <w:r w:rsidRPr="00436CAF">
        <w:rPr>
          <w:position w:val="-2"/>
          <w:vertAlign w:val="superscript"/>
          <w:lang w:val="fr-FR"/>
        </w:rPr>
        <w:t>,</w:t>
      </w:r>
      <w:r w:rsidRPr="00436CAF">
        <w:rPr>
          <w:lang w:val="fr-FR"/>
        </w:rPr>
        <w:t xml:space="preserve"> </w:t>
      </w:r>
      <w:r w:rsidRPr="00436CAF">
        <w:rPr>
          <w:rStyle w:val="FootnoteReference"/>
          <w:lang w:val="fr-FR"/>
        </w:rPr>
        <w:footnoteReference w:customMarkFollows="1" w:id="3"/>
        <w:t>**</w:t>
      </w:r>
    </w:p>
    <w:p w:rsidR="00436CAF" w:rsidRDefault="00436CAF" w:rsidP="00436CAF">
      <w:pPr>
        <w:pStyle w:val="Rectitle"/>
        <w:rPr>
          <w:lang w:val="en-US"/>
        </w:rPr>
      </w:pPr>
      <w:r>
        <w:rPr>
          <w:lang w:val="en-US"/>
        </w:rPr>
        <w:t>Protection of the fixed service in the frequency band 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025-8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 MHz</w:t>
      </w:r>
      <w:r>
        <w:rPr>
          <w:smallCaps/>
          <w:lang w:val="en-US"/>
        </w:rPr>
        <w:br/>
      </w:r>
      <w:r>
        <w:rPr>
          <w:lang w:val="en-US"/>
        </w:rPr>
        <w:t>sharing with geostationary-satellite systems of the Earth</w:t>
      </w:r>
      <w:r>
        <w:rPr>
          <w:lang w:val="en-US"/>
        </w:rPr>
        <w:br/>
        <w:t>exploration-satellite service (space-to-Earth)</w:t>
      </w:r>
    </w:p>
    <w:p w:rsidR="00436CAF" w:rsidRDefault="00436CAF" w:rsidP="00436CAF">
      <w:pPr>
        <w:pStyle w:val="Recref"/>
        <w:rPr>
          <w:lang w:eastAsia="ja-JP"/>
        </w:rPr>
      </w:pPr>
      <w:r>
        <w:t>(Question ITU-R 113/9)</w:t>
      </w:r>
    </w:p>
    <w:p w:rsidR="00436CAF" w:rsidRDefault="00436CAF" w:rsidP="00436CAF">
      <w:pPr>
        <w:pStyle w:val="Recdate"/>
        <w:rPr>
          <w:lang w:eastAsia="ja-JP"/>
        </w:rPr>
      </w:pPr>
      <w:r>
        <w:t>(2000</w:t>
      </w:r>
      <w:r>
        <w:rPr>
          <w:rFonts w:hint="eastAsia"/>
          <w:lang w:eastAsia="ja-JP"/>
        </w:rPr>
        <w:t>)</w:t>
      </w:r>
    </w:p>
    <w:p w:rsidR="00436CAF" w:rsidRDefault="00436CAF" w:rsidP="00436CAF">
      <w:pPr>
        <w:pStyle w:val="Normalaftertitle"/>
      </w:pPr>
      <w:r>
        <w:t xml:space="preserve">The ITU </w:t>
      </w:r>
      <w:proofErr w:type="spellStart"/>
      <w:r>
        <w:t>Radiocommunication</w:t>
      </w:r>
      <w:proofErr w:type="spellEnd"/>
      <w:r>
        <w:t xml:space="preserve"> Assembly,</w:t>
      </w:r>
    </w:p>
    <w:p w:rsidR="00436CAF" w:rsidRDefault="00436CAF" w:rsidP="00436CAF">
      <w:pPr>
        <w:pStyle w:val="Call"/>
      </w:pPr>
      <w:proofErr w:type="gramStart"/>
      <w:r>
        <w:t>considering</w:t>
      </w:r>
      <w:proofErr w:type="gramEnd"/>
    </w:p>
    <w:p w:rsidR="00436CAF" w:rsidRDefault="00436CAF" w:rsidP="00436CAF">
      <w:pPr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that prior to WRC-97, the band 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025-8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 MHz was allocated to the Earth exploration-satellite service (EESS) (space-to-Earth) on a secondary basis in Regions 1 and 3, except for those countries listed in No. 5.464 of the Radio Regulations (RR);</w:t>
      </w:r>
    </w:p>
    <w:p w:rsidR="00436CAF" w:rsidRDefault="00436CAF" w:rsidP="00436CAF">
      <w:pPr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that the power flux-density (pfd) limits given in Table 21-4 of RR Article 21 apply to emissions from space stations of the EESS (space-to-Earth);</w:t>
      </w:r>
    </w:p>
    <w:p w:rsidR="00436CAF" w:rsidRDefault="00436CAF" w:rsidP="00436CAF">
      <w:pPr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  <w:t>that, for those administrations where the secondary allocation applied before WRC</w:t>
      </w:r>
      <w:r>
        <w:rPr>
          <w:lang w:val="en-US"/>
        </w:rPr>
        <w:noBreakHyphen/>
        <w:t>97, geostationary orbital avoidance was not required for the fixed service and, therefore, the pfd limits given in Table 21</w:t>
      </w:r>
      <w:r>
        <w:rPr>
          <w:lang w:val="en-US"/>
        </w:rPr>
        <w:noBreakHyphen/>
        <w:t>4 of the RR will give rise to excessive interference to the fixed service;</w:t>
      </w:r>
    </w:p>
    <w:p w:rsidR="00436CAF" w:rsidRDefault="00436CAF" w:rsidP="00436CAF">
      <w:pPr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  <w:t>that provisional pfd limits in RR No. 5.462A are lower than those shown in Table 21</w:t>
      </w:r>
      <w:r>
        <w:rPr>
          <w:lang w:val="en-US"/>
        </w:rPr>
        <w:noBreakHyphen/>
        <w:t>4 of the RR to protect the fixed service;</w:t>
      </w:r>
    </w:p>
    <w:p w:rsidR="00436CAF" w:rsidRDefault="00436CAF" w:rsidP="00436CAF">
      <w:pPr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  <w:t>that the band 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025-8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 MHz is used extensively by the fixed service in accordance with ITU</w:t>
      </w:r>
      <w:r>
        <w:rPr>
          <w:lang w:val="en-US"/>
        </w:rPr>
        <w:noBreakHyphen/>
        <w:t>R channel arrangements for the 8 GHz band (see Recommendation ITU</w:t>
      </w:r>
      <w:r>
        <w:rPr>
          <w:lang w:val="en-US"/>
        </w:rPr>
        <w:noBreakHyphen/>
        <w:t>R F.386) and is also used by some countries for television outside broadcast applications;</w:t>
      </w:r>
    </w:p>
    <w:p w:rsidR="00436CAF" w:rsidRDefault="00436CAF" w:rsidP="00436CAF">
      <w:pPr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it is expected that the main application for the EESS in this band is for non-geostationary satellites (non</w:t>
      </w:r>
      <w:r>
        <w:rPr>
          <w:lang w:val="en-US"/>
        </w:rPr>
        <w:noBreakHyphen/>
        <w:t>GSO), however there may be some geostationary satellite (GSO) applications;</w:t>
      </w:r>
    </w:p>
    <w:p w:rsidR="00436CAF" w:rsidRDefault="00436CAF" w:rsidP="00436CAF">
      <w:pPr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that WRC</w:t>
      </w:r>
      <w:r>
        <w:rPr>
          <w:lang w:val="en-US"/>
        </w:rPr>
        <w:noBreakHyphen/>
        <w:t>97, in its Resolution 124 (WRC</w:t>
      </w:r>
      <w:r>
        <w:rPr>
          <w:lang w:val="en-US"/>
        </w:rPr>
        <w:noBreakHyphen/>
        <w:t>97), resolved to invite ITU</w:t>
      </w:r>
      <w:r>
        <w:rPr>
          <w:lang w:val="en-US"/>
        </w:rPr>
        <w:noBreakHyphen/>
        <w:t xml:space="preserve">R to study, as a matter of urgency, the required pfd limits to be applied to space stations of GSO </w:t>
      </w:r>
      <w:r>
        <w:rPr>
          <w:spacing w:val="2"/>
          <w:lang w:val="en-US"/>
        </w:rPr>
        <w:t>systems in the EESS (space-to-Earth) in the frequency band</w:t>
      </w:r>
      <w:r>
        <w:rPr>
          <w:lang w:val="en-US"/>
        </w:rPr>
        <w:t xml:space="preserve"> 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025-8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 MHz where orbital avoidance has not been implemented by the fixed service sharing the band,</w:t>
      </w:r>
    </w:p>
    <w:p w:rsidR="00436CAF" w:rsidRDefault="00436CAF" w:rsidP="00436CAF">
      <w:pPr>
        <w:rPr>
          <w:lang w:val="en-US"/>
        </w:rPr>
      </w:pPr>
    </w:p>
    <w:p w:rsidR="00436CAF" w:rsidRDefault="00436CAF" w:rsidP="00436CAF">
      <w:pPr>
        <w:rPr>
          <w:lang w:val="en-US"/>
        </w:rPr>
      </w:pPr>
    </w:p>
    <w:p w:rsidR="00436CAF" w:rsidRDefault="00436CAF" w:rsidP="00436CAF">
      <w:pPr>
        <w:pStyle w:val="Call"/>
      </w:pPr>
      <w:r>
        <w:rPr>
          <w:lang w:val="en-US"/>
        </w:rPr>
        <w:br w:type="page"/>
      </w:r>
      <w:proofErr w:type="gramStart"/>
      <w:r>
        <w:t>recommends</w:t>
      </w:r>
      <w:proofErr w:type="gramEnd"/>
    </w:p>
    <w:p w:rsidR="00436CAF" w:rsidRDefault="00436CAF" w:rsidP="00436CAF">
      <w:pPr>
        <w:spacing w:before="240"/>
        <w:rPr>
          <w:lang w:val="en-US"/>
        </w:rPr>
      </w:pPr>
      <w:r>
        <w:rPr>
          <w:b/>
          <w:bCs/>
          <w:lang w:val="en-US"/>
        </w:rPr>
        <w:t>1</w:t>
      </w:r>
      <w:r>
        <w:rPr>
          <w:lang w:val="en-US"/>
        </w:rPr>
        <w:tab/>
        <w:t>that, in the frequency band 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025-8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 MHz shared between GSO systems in the EESS (space-to-Earth) and radio-relay systems in the fixed service, the spectral pfd produced at the surface of the Earth (Regions 1 and 3 only) by emissions from a satellite, for all conditions and methods of modulation, should not exceed (see Notes 1 and 2):</w:t>
      </w:r>
    </w:p>
    <w:p w:rsidR="00436CAF" w:rsidRDefault="00436CAF" w:rsidP="00436CAF">
      <w:pPr>
        <w:pStyle w:val="enumlev1"/>
        <w:tabs>
          <w:tab w:val="clear" w:pos="1191"/>
          <w:tab w:val="clear" w:pos="1588"/>
          <w:tab w:val="clear" w:pos="1985"/>
          <w:tab w:val="left" w:pos="2835"/>
          <w:tab w:val="left" w:pos="6120"/>
          <w:tab w:val="left" w:pos="6804"/>
          <w:tab w:val="left" w:pos="7088"/>
          <w:tab w:val="left" w:pos="7371"/>
          <w:tab w:val="left" w:pos="7655"/>
        </w:tabs>
        <w:rPr>
          <w:lang w:val="en-US"/>
        </w:rPr>
      </w:pPr>
      <w:r>
        <w:tab/>
      </w:r>
      <w:r>
        <w:rPr>
          <w:lang w:val="en-US"/>
        </w:rPr>
        <w:t>–135</w:t>
      </w:r>
      <w:r>
        <w:rPr>
          <w:lang w:val="en-US"/>
        </w:rPr>
        <w:tab/>
      </w:r>
      <w:proofErr w:type="gramStart"/>
      <w:r>
        <w:rPr>
          <w:lang w:val="en-US"/>
        </w:rPr>
        <w:t>dB(</w:t>
      </w:r>
      <w:proofErr w:type="gramEnd"/>
      <w:r>
        <w:rPr>
          <w:lang w:val="en-US"/>
        </w:rPr>
        <w:t>W/m</w:t>
      </w:r>
      <w:r>
        <w:rPr>
          <w:vertAlign w:val="superscript"/>
          <w:lang w:val="en-US"/>
        </w:rPr>
        <w:t>2</w:t>
      </w:r>
      <w:r>
        <w:rPr>
          <w:lang w:val="en-US"/>
        </w:rPr>
        <w:t>) in any 1 MHz band</w:t>
      </w:r>
      <w:r>
        <w:rPr>
          <w:lang w:val="en-US"/>
        </w:rPr>
        <w:tab/>
        <w:t>for</w:t>
      </w:r>
      <w:r>
        <w:rPr>
          <w:lang w:val="en-US"/>
        </w:rPr>
        <w:tab/>
      </w:r>
      <w:r>
        <w:t> </w:t>
      </w:r>
      <w:r>
        <w:rPr>
          <w:lang w:val="en-US"/>
        </w:rPr>
        <w:t>0</w:t>
      </w:r>
      <w:r>
        <w:rPr>
          <w:rFonts w:ascii="Symbol" w:hAnsi="Symbol"/>
          <w:lang w:val="es-ES_tradnl"/>
        </w:rPr>
        <w:t></w:t>
      </w:r>
      <w:r>
        <w:rPr>
          <w:lang w:val="en-US"/>
        </w:rPr>
        <w:t xml:space="preserve">  </w:t>
      </w:r>
      <w:r>
        <w:rPr>
          <w:rFonts w:ascii="Symbol" w:hAnsi="Symbol"/>
        </w:rPr>
        <w:sym w:font="Symbol" w:char="F0A3"/>
      </w:r>
      <w:r>
        <w:rPr>
          <w:lang w:val="en-US"/>
        </w:rPr>
        <w:t xml:space="preserve">  </w:t>
      </w:r>
      <w:r>
        <w:rPr>
          <w:rFonts w:ascii="Symbol" w:hAnsi="Symbol"/>
        </w:rPr>
        <w:sym w:font="Symbol" w:char="F071"/>
      </w:r>
      <w:r>
        <w:rPr>
          <w:lang w:val="en-US"/>
        </w:rPr>
        <w:t xml:space="preserve">  &lt;  </w:t>
      </w:r>
      <w:r>
        <w:rPr>
          <w:lang w:val="es-ES_tradnl"/>
        </w:rPr>
        <w:t> </w:t>
      </w:r>
      <w:r>
        <w:rPr>
          <w:lang w:val="en-US"/>
        </w:rPr>
        <w:t>5</w:t>
      </w:r>
      <w:r>
        <w:rPr>
          <w:rFonts w:ascii="Symbol" w:hAnsi="Symbol"/>
        </w:rPr>
        <w:t></w:t>
      </w:r>
    </w:p>
    <w:p w:rsidR="00436CAF" w:rsidRDefault="00436CAF" w:rsidP="00436CAF">
      <w:pPr>
        <w:pStyle w:val="enumlev1"/>
        <w:tabs>
          <w:tab w:val="clear" w:pos="1191"/>
          <w:tab w:val="clear" w:pos="1588"/>
          <w:tab w:val="clear" w:pos="1985"/>
          <w:tab w:val="left" w:pos="2835"/>
          <w:tab w:val="left" w:pos="6120"/>
          <w:tab w:val="left" w:pos="6804"/>
          <w:tab w:val="left" w:pos="7088"/>
          <w:tab w:val="left" w:pos="7371"/>
          <w:tab w:val="left" w:pos="7655"/>
        </w:tabs>
        <w:rPr>
          <w:lang w:val="en-US"/>
        </w:rPr>
      </w:pPr>
      <w:r>
        <w:rPr>
          <w:lang w:val="en-US"/>
        </w:rPr>
        <w:tab/>
        <w:t>–135 </w:t>
      </w:r>
      <w:r>
        <w:rPr>
          <w:rFonts w:ascii="Symbol" w:hAnsi="Symbol"/>
        </w:rPr>
        <w:t></w:t>
      </w:r>
      <w:r>
        <w:rPr>
          <w:lang w:val="en-US"/>
        </w:rPr>
        <w:t> 0.5(</w:t>
      </w:r>
      <w:r>
        <w:sym w:font="Symbol" w:char="F071"/>
      </w:r>
      <w:r>
        <w:rPr>
          <w:lang w:val="en-US"/>
        </w:rPr>
        <w:t> – 5)</w:t>
      </w:r>
      <w:r>
        <w:rPr>
          <w:lang w:val="en-US"/>
        </w:rPr>
        <w:tab/>
      </w:r>
      <w:proofErr w:type="gramStart"/>
      <w:r>
        <w:rPr>
          <w:lang w:val="en-US"/>
        </w:rPr>
        <w:t>dB(</w:t>
      </w:r>
      <w:proofErr w:type="gramEnd"/>
      <w:r>
        <w:rPr>
          <w:lang w:val="en-US"/>
        </w:rPr>
        <w:t>W/m</w:t>
      </w:r>
      <w:r>
        <w:rPr>
          <w:vertAlign w:val="superscript"/>
          <w:lang w:val="en-US"/>
        </w:rPr>
        <w:t>2</w:t>
      </w:r>
      <w:r>
        <w:rPr>
          <w:lang w:val="en-US"/>
        </w:rPr>
        <w:t>) in any 1 MHz band</w:t>
      </w:r>
      <w:r>
        <w:rPr>
          <w:lang w:val="en-US"/>
        </w:rPr>
        <w:tab/>
        <w:t>for</w:t>
      </w:r>
      <w:r>
        <w:rPr>
          <w:lang w:val="en-US"/>
        </w:rPr>
        <w:tab/>
      </w:r>
      <w:r>
        <w:t> </w:t>
      </w:r>
      <w:r>
        <w:rPr>
          <w:lang w:val="en-US"/>
        </w:rPr>
        <w:t>5</w:t>
      </w:r>
      <w:r>
        <w:rPr>
          <w:rFonts w:ascii="Symbol" w:hAnsi="Symbol"/>
          <w:lang w:val="es-ES_tradnl"/>
        </w:rPr>
        <w:t></w:t>
      </w:r>
      <w:r>
        <w:rPr>
          <w:lang w:val="en-US"/>
        </w:rPr>
        <w:t xml:space="preserve">  </w:t>
      </w:r>
      <w:r>
        <w:rPr>
          <w:rFonts w:ascii="Symbol" w:hAnsi="Symbol"/>
        </w:rPr>
        <w:sym w:font="Symbol" w:char="F0A3"/>
      </w:r>
      <w:r>
        <w:rPr>
          <w:lang w:val="en-US"/>
        </w:rPr>
        <w:t xml:space="preserve">  </w:t>
      </w:r>
      <w:r>
        <w:rPr>
          <w:rFonts w:ascii="Symbol" w:hAnsi="Symbol"/>
        </w:rPr>
        <w:sym w:font="Symbol" w:char="F071"/>
      </w:r>
      <w:r>
        <w:rPr>
          <w:lang w:val="en-US"/>
        </w:rPr>
        <w:t xml:space="preserve">  </w:t>
      </w:r>
      <w:r>
        <w:rPr>
          <w:rFonts w:ascii="Symbol" w:hAnsi="Symbol"/>
        </w:rPr>
        <w:t></w:t>
      </w:r>
      <w:r>
        <w:rPr>
          <w:lang w:val="en-US"/>
        </w:rPr>
        <w:t xml:space="preserve">  25</w:t>
      </w:r>
      <w:r>
        <w:rPr>
          <w:rFonts w:ascii="Symbol" w:hAnsi="Symbol"/>
        </w:rPr>
        <w:t></w:t>
      </w:r>
    </w:p>
    <w:p w:rsidR="00436CAF" w:rsidRDefault="00436CAF" w:rsidP="00436CAF">
      <w:pPr>
        <w:pStyle w:val="enumlev1"/>
        <w:tabs>
          <w:tab w:val="clear" w:pos="1191"/>
          <w:tab w:val="clear" w:pos="1588"/>
          <w:tab w:val="clear" w:pos="1985"/>
          <w:tab w:val="left" w:pos="2835"/>
          <w:tab w:val="left" w:pos="6120"/>
          <w:tab w:val="left" w:pos="6804"/>
          <w:tab w:val="left" w:pos="7088"/>
          <w:tab w:val="left" w:pos="7371"/>
          <w:tab w:val="left" w:pos="7655"/>
        </w:tabs>
        <w:rPr>
          <w:lang w:val="en-US"/>
        </w:rPr>
      </w:pPr>
      <w:r>
        <w:rPr>
          <w:lang w:val="en-US"/>
        </w:rPr>
        <w:tab/>
        <w:t>–125</w:t>
      </w:r>
      <w:r>
        <w:rPr>
          <w:lang w:val="en-US"/>
        </w:rPr>
        <w:tab/>
      </w:r>
      <w:proofErr w:type="gramStart"/>
      <w:r>
        <w:rPr>
          <w:lang w:val="en-US"/>
        </w:rPr>
        <w:t>dB(</w:t>
      </w:r>
      <w:proofErr w:type="gramEnd"/>
      <w:r>
        <w:rPr>
          <w:lang w:val="en-US"/>
        </w:rPr>
        <w:t>W/m</w:t>
      </w:r>
      <w:r>
        <w:rPr>
          <w:vertAlign w:val="superscript"/>
          <w:lang w:val="en-US"/>
        </w:rPr>
        <w:t>2</w:t>
      </w:r>
      <w:r>
        <w:rPr>
          <w:lang w:val="en-US"/>
        </w:rPr>
        <w:t>) in any 1 MHz band</w:t>
      </w:r>
      <w:r>
        <w:rPr>
          <w:lang w:val="en-US"/>
        </w:rPr>
        <w:tab/>
        <w:t>for</w:t>
      </w:r>
      <w:r>
        <w:rPr>
          <w:lang w:val="en-US"/>
        </w:rPr>
        <w:tab/>
        <w:t>25</w:t>
      </w:r>
      <w:r>
        <w:rPr>
          <w:rFonts w:ascii="Symbol" w:hAnsi="Symbol"/>
          <w:lang w:val="es-ES_tradnl"/>
        </w:rPr>
        <w:t></w:t>
      </w:r>
      <w:r>
        <w:rPr>
          <w:lang w:val="en-US"/>
        </w:rPr>
        <w:t xml:space="preserve">  </w:t>
      </w:r>
      <w:r>
        <w:rPr>
          <w:rFonts w:ascii="Symbol" w:hAnsi="Symbol"/>
        </w:rPr>
        <w:sym w:font="Symbol" w:char="F0A3"/>
      </w:r>
      <w:r>
        <w:rPr>
          <w:lang w:val="en-US"/>
        </w:rPr>
        <w:t xml:space="preserve">  </w:t>
      </w:r>
      <w:r>
        <w:rPr>
          <w:rFonts w:ascii="Symbol" w:hAnsi="Symbol"/>
        </w:rPr>
        <w:sym w:font="Symbol" w:char="F071"/>
      </w:r>
      <w:r>
        <w:rPr>
          <w:lang w:val="en-US"/>
        </w:rPr>
        <w:t xml:space="preserve">  </w:t>
      </w:r>
      <w:r>
        <w:rPr>
          <w:rFonts w:ascii="Symbol" w:hAnsi="Symbol"/>
        </w:rPr>
        <w:sym w:font="Symbol" w:char="F0A3"/>
      </w:r>
      <w:r>
        <w:rPr>
          <w:lang w:val="en-US"/>
        </w:rPr>
        <w:t xml:space="preserve">  90</w:t>
      </w:r>
      <w:r>
        <w:rPr>
          <w:rFonts w:ascii="Symbol" w:hAnsi="Symbol"/>
        </w:rPr>
        <w:t></w:t>
      </w:r>
    </w:p>
    <w:p w:rsidR="00436CAF" w:rsidRDefault="00436CAF" w:rsidP="00436CAF">
      <w:pPr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rFonts w:ascii="Symbol" w:hAnsi="Symbol"/>
        </w:rPr>
        <w:t></w:t>
      </w:r>
      <w:r>
        <w:rPr>
          <w:lang w:val="en-US"/>
        </w:rPr>
        <w:t xml:space="preserve"> is the angle of arrival of the radio-frequency wave (degrees above the horizontal plane);</w:t>
      </w:r>
    </w:p>
    <w:p w:rsidR="00436CAF" w:rsidRDefault="00436CAF" w:rsidP="00436CAF">
      <w:pPr>
        <w:tabs>
          <w:tab w:val="clear" w:pos="794"/>
          <w:tab w:val="left" w:pos="795"/>
        </w:tabs>
        <w:spacing w:before="240"/>
        <w:rPr>
          <w:lang w:val="en-US"/>
        </w:rPr>
      </w:pPr>
      <w:proofErr w:type="gramStart"/>
      <w:r>
        <w:rPr>
          <w:b/>
          <w:bCs/>
          <w:lang w:val="en-US"/>
        </w:rPr>
        <w:t>2</w:t>
      </w:r>
      <w:r>
        <w:rPr>
          <w:lang w:val="en-US"/>
        </w:rPr>
        <w:tab/>
        <w:t>that the aforementioned limits relate to the pfd and angles of arrival which would be obtained under free-space propagation conditions.</w:t>
      </w:r>
      <w:proofErr w:type="gramEnd"/>
    </w:p>
    <w:p w:rsidR="00436CAF" w:rsidRDefault="00436CAF" w:rsidP="00436CAF">
      <w:pPr>
        <w:spacing w:before="240"/>
        <w:rPr>
          <w:lang w:val="en-US"/>
        </w:rPr>
      </w:pPr>
      <w:r>
        <w:rPr>
          <w:lang w:val="en-US"/>
        </w:rPr>
        <w:t xml:space="preserve">NOTE 1 – The pfd limits in </w:t>
      </w:r>
      <w:r>
        <w:rPr>
          <w:i/>
          <w:iCs/>
          <w:lang w:val="en-US"/>
        </w:rPr>
        <w:t>recommends</w:t>
      </w:r>
      <w:r>
        <w:rPr>
          <w:lang w:val="en-US"/>
        </w:rPr>
        <w:t xml:space="preserve"> 1 have been derived in response to the request stated in Resolution 124 (WRC</w:t>
      </w:r>
      <w:r>
        <w:rPr>
          <w:lang w:val="en-US"/>
        </w:rPr>
        <w:noBreakHyphen/>
        <w:t xml:space="preserve">97) and are intended for consideration by a future world </w:t>
      </w:r>
      <w:proofErr w:type="spellStart"/>
      <w:r>
        <w:rPr>
          <w:lang w:val="en-US"/>
        </w:rPr>
        <w:t>radio</w:t>
      </w:r>
      <w:r>
        <w:rPr>
          <w:lang w:val="en-US"/>
        </w:rPr>
        <w:softHyphen/>
        <w:t>communication</w:t>
      </w:r>
      <w:proofErr w:type="spellEnd"/>
      <w:r>
        <w:rPr>
          <w:lang w:val="en-US"/>
        </w:rPr>
        <w:t xml:space="preserve"> conference which may wish to use this Recommendation in order to replace the limits contained in RR No. 5.462A. For Region 2 and for non-GSO systems in Regions 1 and 3 in the band 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025-8</w:t>
      </w:r>
      <w:r>
        <w:rPr>
          <w:rFonts w:ascii="Tms Rmn" w:hAnsi="Tms Rmn"/>
          <w:sz w:val="12"/>
          <w:lang w:val="en-US"/>
        </w:rPr>
        <w:t> </w:t>
      </w:r>
      <w:r>
        <w:rPr>
          <w:lang w:val="en-US"/>
        </w:rPr>
        <w:t>400 MHz, the pfd limits in Table 21-4 of the RR will continue to apply.</w:t>
      </w:r>
    </w:p>
    <w:p w:rsidR="00436CAF" w:rsidRDefault="00436CAF" w:rsidP="00436CAF">
      <w:pPr>
        <w:spacing w:before="240"/>
        <w:rPr>
          <w:lang w:val="en-US"/>
        </w:rPr>
      </w:pPr>
      <w:r>
        <w:rPr>
          <w:lang w:val="en-US"/>
        </w:rPr>
        <w:t>NOTE 2</w:t>
      </w:r>
      <w:bookmarkStart w:id="10" w:name="dsgno"/>
      <w:bookmarkEnd w:id="10"/>
      <w:r>
        <w:rPr>
          <w:lang w:val="en-US"/>
        </w:rPr>
        <w:t xml:space="preserve"> – In deriving the pfd limits in </w:t>
      </w:r>
      <w:r>
        <w:rPr>
          <w:i/>
          <w:iCs/>
          <w:lang w:val="en-US"/>
        </w:rPr>
        <w:t>recommends</w:t>
      </w:r>
      <w:r>
        <w:rPr>
          <w:lang w:val="en-US"/>
        </w:rPr>
        <w:t xml:space="preserve"> 1, consideration was given to the fact that many fixed wireless systems in Regions 1 and 3 had been established before 1997 when GSO orbital avoidance was not required and, therefore, it was found that if the pfd limits given in Table 21</w:t>
      </w:r>
      <w:r>
        <w:rPr>
          <w:lang w:val="en-US"/>
        </w:rPr>
        <w:noBreakHyphen/>
        <w:t>4 of the RR are applied without change, an excessive interference will be caused to fixed wireless systems at low angles of arrival.</w:t>
      </w:r>
    </w:p>
    <w:p w:rsidR="00C84C59" w:rsidRPr="00C84C59" w:rsidRDefault="00C84C59" w:rsidP="0004179C">
      <w:pPr>
        <w:spacing w:beforeLines="200" w:before="480" w:line="300" w:lineRule="exact"/>
        <w:jc w:val="center"/>
        <w:rPr>
          <w:b/>
          <w:sz w:val="28"/>
          <w:szCs w:val="28"/>
          <w:lang w:val="en-US" w:eastAsia="ja-JP"/>
        </w:rPr>
      </w:pPr>
      <w:r w:rsidRPr="00C84C59">
        <w:rPr>
          <w:rFonts w:hint="eastAsia"/>
          <w:b/>
          <w:sz w:val="28"/>
          <w:szCs w:val="28"/>
          <w:lang w:val="en-US" w:eastAsia="ja-JP"/>
        </w:rPr>
        <w:t>Annex 4</w:t>
      </w:r>
    </w:p>
    <w:p w:rsidR="00C84C59" w:rsidRPr="00AC6CCE" w:rsidRDefault="00C84C59" w:rsidP="00647CA2">
      <w:pPr>
        <w:spacing w:before="240" w:afterLines="50" w:after="120"/>
        <w:jc w:val="center"/>
        <w:rPr>
          <w:b/>
          <w:sz w:val="28"/>
          <w:szCs w:val="28"/>
          <w:lang w:eastAsia="ja-JP"/>
        </w:rPr>
      </w:pPr>
      <w:r w:rsidRPr="00AC6CCE">
        <w:rPr>
          <w:rFonts w:hint="eastAsia"/>
          <w:b/>
          <w:sz w:val="28"/>
          <w:szCs w:val="28"/>
          <w:lang w:eastAsia="ja-JP"/>
        </w:rPr>
        <w:t>CPM Report to the WRC-12 (Chapter 6, Agenda item 4)</w:t>
      </w:r>
    </w:p>
    <w:p w:rsidR="00C84C59" w:rsidRPr="00390326" w:rsidRDefault="00C84C59" w:rsidP="00C84C59">
      <w:pPr>
        <w:spacing w:before="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5"/>
        <w:gridCol w:w="2773"/>
        <w:gridCol w:w="4820"/>
        <w:gridCol w:w="1423"/>
      </w:tblGrid>
      <w:tr w:rsidR="00C84C59" w:rsidRPr="00390326" w:rsidTr="00C84C59">
        <w:trPr>
          <w:cantSplit/>
          <w:tblHeader/>
          <w:jc w:val="center"/>
        </w:trPr>
        <w:tc>
          <w:tcPr>
            <w:tcW w:w="635" w:type="dxa"/>
            <w:vAlign w:val="center"/>
          </w:tcPr>
          <w:p w:rsidR="00C84C59" w:rsidRPr="00390326" w:rsidRDefault="00C84C59" w:rsidP="006D0A3A">
            <w:pPr>
              <w:pStyle w:val="Tablehead"/>
            </w:pPr>
            <w:r w:rsidRPr="00390326">
              <w:t>Res. No.</w:t>
            </w:r>
          </w:p>
        </w:tc>
        <w:tc>
          <w:tcPr>
            <w:tcW w:w="2773" w:type="dxa"/>
            <w:vAlign w:val="center"/>
          </w:tcPr>
          <w:p w:rsidR="00C84C59" w:rsidRPr="00390326" w:rsidRDefault="00C84C59" w:rsidP="006D0A3A">
            <w:pPr>
              <w:pStyle w:val="Tablehead"/>
            </w:pPr>
            <w:r w:rsidRPr="00390326">
              <w:t>Subject</w:t>
            </w:r>
          </w:p>
        </w:tc>
        <w:tc>
          <w:tcPr>
            <w:tcW w:w="4820" w:type="dxa"/>
            <w:vAlign w:val="center"/>
          </w:tcPr>
          <w:p w:rsidR="00C84C59" w:rsidRPr="00390326" w:rsidRDefault="00C84C59" w:rsidP="006D0A3A">
            <w:pPr>
              <w:pStyle w:val="Tablehead"/>
            </w:pPr>
            <w:r w:rsidRPr="00390326">
              <w:t>Remark</w:t>
            </w:r>
          </w:p>
        </w:tc>
        <w:tc>
          <w:tcPr>
            <w:tcW w:w="1423" w:type="dxa"/>
            <w:vAlign w:val="center"/>
          </w:tcPr>
          <w:p w:rsidR="00C84C59" w:rsidRPr="00390326" w:rsidRDefault="00C84C59" w:rsidP="006D0A3A">
            <w:pPr>
              <w:pStyle w:val="Tablehead"/>
            </w:pPr>
            <w:r w:rsidRPr="00390326">
              <w:t>Possible follow-up</w:t>
            </w:r>
          </w:p>
        </w:tc>
      </w:tr>
      <w:tr w:rsidR="00C84C59" w:rsidRPr="00390326" w:rsidTr="00C84C59">
        <w:trPr>
          <w:cantSplit/>
          <w:trHeight w:val="649"/>
          <w:jc w:val="center"/>
        </w:trPr>
        <w:tc>
          <w:tcPr>
            <w:tcW w:w="635" w:type="dxa"/>
            <w:vMerge w:val="restart"/>
          </w:tcPr>
          <w:p w:rsidR="00C84C59" w:rsidRPr="00390326" w:rsidRDefault="00C84C59" w:rsidP="006D0A3A">
            <w:pPr>
              <w:pStyle w:val="Tabletext"/>
              <w:jc w:val="center"/>
            </w:pPr>
            <w:bookmarkStart w:id="11" w:name="_Hlk269405708"/>
            <w:r w:rsidRPr="00390326">
              <w:t>124</w:t>
            </w:r>
          </w:p>
        </w:tc>
        <w:tc>
          <w:tcPr>
            <w:tcW w:w="2773" w:type="dxa"/>
            <w:vMerge w:val="restart"/>
          </w:tcPr>
          <w:p w:rsidR="00C84C59" w:rsidRPr="00390326" w:rsidRDefault="00C84C59" w:rsidP="006D0A3A">
            <w:pPr>
              <w:pStyle w:val="Tabletext"/>
            </w:pPr>
            <w:r w:rsidRPr="00390326">
              <w:t>Sharing F</w:t>
            </w:r>
            <w:r w:rsidRPr="00390326">
              <w:rPr>
                <w:lang w:eastAsia="ja-JP"/>
              </w:rPr>
              <w:t>S</w:t>
            </w:r>
            <w:r w:rsidRPr="00390326">
              <w:t>/EESS in 8 GHz</w:t>
            </w:r>
          </w:p>
        </w:tc>
        <w:tc>
          <w:tcPr>
            <w:tcW w:w="4820" w:type="dxa"/>
            <w:vMerge w:val="restart"/>
          </w:tcPr>
          <w:p w:rsidR="00C84C59" w:rsidRPr="00390326" w:rsidRDefault="00C84C59" w:rsidP="006D0A3A">
            <w:pPr>
              <w:pStyle w:val="Tabletext"/>
            </w:pPr>
            <w:r w:rsidRPr="00390326">
              <w:rPr>
                <w:lang w:eastAsia="ja-JP"/>
              </w:rPr>
              <w:t xml:space="preserve">Still relevant; </w:t>
            </w:r>
            <w:r w:rsidRPr="00390326">
              <w:t>it requested that ITU-R study required pfd limits for the GSO EESS in the band 8 025-8 400 MHz; the ITU-R studied this and approved Recommendation ITU-R F.1502; WRC</w:t>
            </w:r>
            <w:r w:rsidRPr="00390326">
              <w:noBreakHyphen/>
              <w:t>2000 revised this Resolution</w:t>
            </w:r>
            <w:r w:rsidRPr="00390326">
              <w:rPr>
                <w:b/>
                <w:bCs/>
              </w:rPr>
              <w:t xml:space="preserve"> </w:t>
            </w:r>
            <w:r w:rsidRPr="00390326">
              <w:t>and considering that Recommendation ITU-R F.1502 contains pfd limits different from those referred to in No. </w:t>
            </w:r>
            <w:r w:rsidRPr="00390326">
              <w:rPr>
                <w:b/>
                <w:bCs/>
              </w:rPr>
              <w:t>5.462A</w:t>
            </w:r>
            <w:r w:rsidRPr="00390326">
              <w:t>, it resolved to invite a future WRC to review No. </w:t>
            </w:r>
            <w:r w:rsidRPr="00390326">
              <w:rPr>
                <w:b/>
                <w:bCs/>
              </w:rPr>
              <w:t>5.462A</w:t>
            </w:r>
            <w:r w:rsidRPr="00390326">
              <w:t>; as no further studies on the issue are expected, such a review could be considered under Agenda item 8.1.2 of WRC-12.</w:t>
            </w:r>
          </w:p>
        </w:tc>
        <w:tc>
          <w:tcPr>
            <w:tcW w:w="1423" w:type="dxa"/>
          </w:tcPr>
          <w:p w:rsidR="00C84C59" w:rsidRPr="00390326" w:rsidRDefault="00C84C59" w:rsidP="006D0A3A">
            <w:pPr>
              <w:pStyle w:val="Tabletext"/>
              <w:jc w:val="center"/>
            </w:pPr>
            <w:r w:rsidRPr="00390326">
              <w:t>NOC</w:t>
            </w:r>
          </w:p>
        </w:tc>
      </w:tr>
      <w:tr w:rsidR="00C84C59" w:rsidRPr="00390326" w:rsidTr="00C84C59">
        <w:trPr>
          <w:cantSplit/>
          <w:trHeight w:val="1305"/>
          <w:jc w:val="center"/>
        </w:trPr>
        <w:tc>
          <w:tcPr>
            <w:tcW w:w="635" w:type="dxa"/>
            <w:vMerge/>
          </w:tcPr>
          <w:p w:rsidR="00C84C59" w:rsidRPr="00390326" w:rsidRDefault="00C84C59" w:rsidP="006D0A3A">
            <w:pPr>
              <w:pStyle w:val="Tabletext"/>
              <w:jc w:val="center"/>
            </w:pPr>
          </w:p>
        </w:tc>
        <w:tc>
          <w:tcPr>
            <w:tcW w:w="2773" w:type="dxa"/>
            <w:vMerge/>
          </w:tcPr>
          <w:p w:rsidR="00C84C59" w:rsidRPr="00390326" w:rsidRDefault="00C84C59" w:rsidP="006D0A3A">
            <w:pPr>
              <w:pStyle w:val="Tabletext"/>
            </w:pPr>
          </w:p>
        </w:tc>
        <w:tc>
          <w:tcPr>
            <w:tcW w:w="4820" w:type="dxa"/>
            <w:vMerge/>
          </w:tcPr>
          <w:p w:rsidR="00C84C59" w:rsidRPr="00390326" w:rsidRDefault="00C84C59" w:rsidP="006D0A3A">
            <w:pPr>
              <w:pStyle w:val="Tabletext"/>
              <w:rPr>
                <w:lang w:eastAsia="ja-JP"/>
              </w:rPr>
            </w:pPr>
          </w:p>
        </w:tc>
        <w:tc>
          <w:tcPr>
            <w:tcW w:w="1423" w:type="dxa"/>
          </w:tcPr>
          <w:p w:rsidR="00C84C59" w:rsidRPr="00390326" w:rsidRDefault="00C84C59" w:rsidP="006D0A3A">
            <w:pPr>
              <w:pStyle w:val="Tabletext"/>
              <w:spacing w:before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SUP (after the review of No.5.462A)</w:t>
            </w:r>
          </w:p>
        </w:tc>
      </w:tr>
    </w:tbl>
    <w:bookmarkEnd w:id="11"/>
    <w:p w:rsidR="009D7FA6" w:rsidRDefault="009D7FA6" w:rsidP="007368FA">
      <w:pPr>
        <w:spacing w:beforeLines="150" w:before="360"/>
        <w:jc w:val="center"/>
        <w:rPr>
          <w:lang w:val="en-US"/>
        </w:rPr>
      </w:pPr>
      <w:r>
        <w:rPr>
          <w:lang w:val="en-US"/>
        </w:rPr>
        <w:t>________________</w:t>
      </w:r>
    </w:p>
    <w:sectPr w:rsidR="009D7FA6" w:rsidSect="004D4FE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0D" w:rsidRDefault="0058770D">
      <w:r>
        <w:separator/>
      </w:r>
    </w:p>
  </w:endnote>
  <w:endnote w:type="continuationSeparator" w:id="0">
    <w:p w:rsidR="0058770D" w:rsidRDefault="0058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0E" w:rsidRDefault="00737C0E" w:rsidP="00737C0E">
    <w:pPr>
      <w:pStyle w:val="Footer"/>
    </w:pPr>
    <w:r>
      <w:fldChar w:fldCharType="begin"/>
    </w:r>
    <w:r w:rsidRPr="00A35A31">
      <w:rPr>
        <w:lang w:val="da-DK"/>
      </w:rPr>
      <w:instrText xml:space="preserve"> FILENAME \p \* MERGEFORMAT </w:instrText>
    </w:r>
    <w:r>
      <w:fldChar w:fldCharType="separate"/>
    </w:r>
    <w:r w:rsidR="007368FA">
      <w:rPr>
        <w:lang w:val="da-DK"/>
      </w:rPr>
      <w:t>M:\BRIAP\STAFF\Millet\RAG\RAG11\DOCS\023E.docx</w:t>
    </w:r>
    <w:r>
      <w:fldChar w:fldCharType="end"/>
    </w:r>
  </w:p>
  <w:p w:rsidR="009D2087" w:rsidRPr="00830AA5" w:rsidRDefault="009D2087" w:rsidP="00737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87" w:rsidRPr="0098370B" w:rsidRDefault="00986447" w:rsidP="00986447">
    <w:pPr>
      <w:pStyle w:val="Footer"/>
    </w:pPr>
    <w:r>
      <w:fldChar w:fldCharType="begin"/>
    </w:r>
    <w:r w:rsidRPr="00A35A31">
      <w:rPr>
        <w:lang w:val="da-DK"/>
      </w:rPr>
      <w:instrText xml:space="preserve"> FILENAME \p \* MERGEFORMAT </w:instrText>
    </w:r>
    <w:r>
      <w:fldChar w:fldCharType="separate"/>
    </w:r>
    <w:r>
      <w:rPr>
        <w:lang w:val="da-DK"/>
      </w:rPr>
      <w:t>M:\BRIAP\STAFF\Millet\RAG\RAG11\DOCS\023E.docx</w:t>
    </w:r>
    <w:r>
      <w:fldChar w:fldCharType="end"/>
    </w:r>
    <w:r w:rsidR="009D2087">
      <w:tab/>
    </w:r>
    <w:r w:rsidR="009D2087">
      <w:tab/>
    </w:r>
    <w:r w:rsidR="00A17807">
      <w:fldChar w:fldCharType="begin"/>
    </w:r>
    <w:r w:rsidR="00A90C69">
      <w:instrText xml:space="preserve"> DATE \@ "dd/MM/yyyy" </w:instrText>
    </w:r>
    <w:r w:rsidR="009762BA">
      <w:fldChar w:fldCharType="separate"/>
    </w:r>
    <w:r w:rsidR="009762BA">
      <w:t>01/06/2011</w:t>
    </w:r>
    <w:r w:rsidR="00A1780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0D" w:rsidRDefault="0058770D">
      <w:r>
        <w:t>____________________</w:t>
      </w:r>
    </w:p>
  </w:footnote>
  <w:footnote w:type="continuationSeparator" w:id="0">
    <w:p w:rsidR="0058770D" w:rsidRDefault="0058770D">
      <w:r>
        <w:continuationSeparator/>
      </w:r>
    </w:p>
  </w:footnote>
  <w:footnote w:id="1">
    <w:p w:rsidR="00B01204" w:rsidRDefault="00B01204" w:rsidP="00B01204">
      <w:pPr>
        <w:pStyle w:val="FootnoteText"/>
        <w:rPr>
          <w:color w:val="000000"/>
          <w:lang w:val="en-AU"/>
        </w:rPr>
      </w:pPr>
      <w:r>
        <w:rPr>
          <w:rStyle w:val="FootnoteReference"/>
          <w:color w:val="000000"/>
          <w:lang w:val="en-AU"/>
        </w:rPr>
        <w:t>*</w:t>
      </w:r>
      <w:r>
        <w:rPr>
          <w:color w:val="000000"/>
          <w:lang w:val="en-AU"/>
        </w:rPr>
        <w:tab/>
      </w:r>
      <w:r>
        <w:rPr>
          <w:i/>
          <w:iCs/>
          <w:color w:val="000000"/>
          <w:lang w:val="en-AU"/>
        </w:rPr>
        <w:t>Note by the Secretariat:</w:t>
      </w:r>
      <w:r>
        <w:rPr>
          <w:color w:val="000000"/>
          <w:lang w:val="en-AU"/>
        </w:rPr>
        <w:t>  This Resolution was revised by WRC-2000.</w:t>
      </w:r>
    </w:p>
  </w:footnote>
  <w:footnote w:id="2">
    <w:p w:rsidR="00436CAF" w:rsidRDefault="00436CAF" w:rsidP="00436CAF">
      <w:pPr>
        <w:pStyle w:val="FootnoteText"/>
        <w:rPr>
          <w:lang w:val="en-US"/>
        </w:rPr>
      </w:pPr>
      <w:r>
        <w:rPr>
          <w:rStyle w:val="FootnoteReference"/>
          <w:lang w:val="en-US"/>
        </w:rPr>
        <w:t>*</w:t>
      </w:r>
      <w:r>
        <w:rPr>
          <w:lang w:val="en-US"/>
        </w:rPr>
        <w:tab/>
        <w:t xml:space="preserve">This Recommendation should be brought to the attention of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Study Group 7.</w:t>
      </w:r>
    </w:p>
  </w:footnote>
  <w:footnote w:id="3">
    <w:p w:rsidR="00436CAF" w:rsidRDefault="00436CAF" w:rsidP="00436CAF">
      <w:pPr>
        <w:pStyle w:val="FootnoteText"/>
        <w:rPr>
          <w:lang w:val="en-US"/>
        </w:rPr>
      </w:pPr>
      <w:r>
        <w:rPr>
          <w:rStyle w:val="FootnoteReference"/>
          <w:lang w:val="en-US"/>
        </w:rPr>
        <w:t>**</w:t>
      </w:r>
      <w:r>
        <w:rPr>
          <w:lang w:val="en-US"/>
        </w:rPr>
        <w:tab/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Study Group 9 made editorial amendments to this Recommendation in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87" w:rsidRDefault="009D2087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A1780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17807">
      <w:rPr>
        <w:rStyle w:val="PageNumber"/>
      </w:rPr>
      <w:fldChar w:fldCharType="separate"/>
    </w:r>
    <w:r w:rsidR="009762BA">
      <w:rPr>
        <w:rStyle w:val="PageNumber"/>
        <w:noProof/>
      </w:rPr>
      <w:t>6</w:t>
    </w:r>
    <w:r w:rsidR="00A17807">
      <w:rPr>
        <w:rStyle w:val="PageNumber"/>
      </w:rPr>
      <w:fldChar w:fldCharType="end"/>
    </w:r>
    <w:r>
      <w:rPr>
        <w:rStyle w:val="PageNumber"/>
      </w:rPr>
      <w:t xml:space="preserve"> -</w:t>
    </w:r>
  </w:p>
  <w:p w:rsidR="009D2087" w:rsidRDefault="007368FA" w:rsidP="007368FA">
    <w:pPr>
      <w:pStyle w:val="Header"/>
      <w:rPr>
        <w:lang w:val="en-US"/>
      </w:rPr>
    </w:pPr>
    <w:r>
      <w:rPr>
        <w:lang w:val="en-US"/>
      </w:rPr>
      <w:t>RAG11-1/23-E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1451"/>
    <w:multiLevelType w:val="multilevel"/>
    <w:tmpl w:val="4A6470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BC581F"/>
    <w:multiLevelType w:val="hybridMultilevel"/>
    <w:tmpl w:val="B2086B1C"/>
    <w:lvl w:ilvl="0" w:tplc="765ADD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1350728"/>
    <w:multiLevelType w:val="hybridMultilevel"/>
    <w:tmpl w:val="159A2A18"/>
    <w:lvl w:ilvl="0" w:tplc="A3A47E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030AD"/>
    <w:multiLevelType w:val="multilevel"/>
    <w:tmpl w:val="A762E12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AC6395"/>
    <w:multiLevelType w:val="hybridMultilevel"/>
    <w:tmpl w:val="39CCC48C"/>
    <w:lvl w:ilvl="0" w:tplc="5936F00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3E559F1"/>
    <w:multiLevelType w:val="multilevel"/>
    <w:tmpl w:val="92C88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0756D8"/>
    <w:multiLevelType w:val="hybridMultilevel"/>
    <w:tmpl w:val="4DFACCE0"/>
    <w:lvl w:ilvl="0" w:tplc="573E3C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4D0143C"/>
    <w:multiLevelType w:val="multilevel"/>
    <w:tmpl w:val="944CA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8BB6F01"/>
    <w:multiLevelType w:val="hybridMultilevel"/>
    <w:tmpl w:val="C9FA1E5E"/>
    <w:lvl w:ilvl="0" w:tplc="10FCF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8AE"/>
    <w:rsid w:val="000069D4"/>
    <w:rsid w:val="000174AD"/>
    <w:rsid w:val="00035E30"/>
    <w:rsid w:val="0004179C"/>
    <w:rsid w:val="00042C46"/>
    <w:rsid w:val="000433DD"/>
    <w:rsid w:val="00044AAA"/>
    <w:rsid w:val="00085F7F"/>
    <w:rsid w:val="000936CC"/>
    <w:rsid w:val="000A4AFC"/>
    <w:rsid w:val="000A7D55"/>
    <w:rsid w:val="000B7B0F"/>
    <w:rsid w:val="000D077E"/>
    <w:rsid w:val="000D67D9"/>
    <w:rsid w:val="000E0E7C"/>
    <w:rsid w:val="000E7448"/>
    <w:rsid w:val="000F1B4B"/>
    <w:rsid w:val="0010167F"/>
    <w:rsid w:val="0012744F"/>
    <w:rsid w:val="00140029"/>
    <w:rsid w:val="00156F66"/>
    <w:rsid w:val="00170038"/>
    <w:rsid w:val="0017524E"/>
    <w:rsid w:val="001768E8"/>
    <w:rsid w:val="00177303"/>
    <w:rsid w:val="00180CEC"/>
    <w:rsid w:val="00182241"/>
    <w:rsid w:val="00182528"/>
    <w:rsid w:val="0018500B"/>
    <w:rsid w:val="001C5EB9"/>
    <w:rsid w:val="001C72C6"/>
    <w:rsid w:val="001D3A38"/>
    <w:rsid w:val="002024AC"/>
    <w:rsid w:val="00202DC1"/>
    <w:rsid w:val="002114DA"/>
    <w:rsid w:val="002116EE"/>
    <w:rsid w:val="00221A51"/>
    <w:rsid w:val="002309D8"/>
    <w:rsid w:val="00231D2E"/>
    <w:rsid w:val="00241473"/>
    <w:rsid w:val="00276771"/>
    <w:rsid w:val="00284290"/>
    <w:rsid w:val="0029521B"/>
    <w:rsid w:val="002A4BE0"/>
    <w:rsid w:val="002A7FE2"/>
    <w:rsid w:val="002C473C"/>
    <w:rsid w:val="002D46B0"/>
    <w:rsid w:val="002D4A96"/>
    <w:rsid w:val="002E1B4F"/>
    <w:rsid w:val="002E7E23"/>
    <w:rsid w:val="002F113B"/>
    <w:rsid w:val="002F2E67"/>
    <w:rsid w:val="0030019E"/>
    <w:rsid w:val="00315546"/>
    <w:rsid w:val="0031613B"/>
    <w:rsid w:val="00320E83"/>
    <w:rsid w:val="003231C4"/>
    <w:rsid w:val="00330567"/>
    <w:rsid w:val="003313D0"/>
    <w:rsid w:val="003647CF"/>
    <w:rsid w:val="00375C7C"/>
    <w:rsid w:val="00386A9D"/>
    <w:rsid w:val="00390F37"/>
    <w:rsid w:val="00391081"/>
    <w:rsid w:val="003B2789"/>
    <w:rsid w:val="003C13CE"/>
    <w:rsid w:val="003C4360"/>
    <w:rsid w:val="003C7FC2"/>
    <w:rsid w:val="003E2518"/>
    <w:rsid w:val="00405BD8"/>
    <w:rsid w:val="004137DD"/>
    <w:rsid w:val="00417457"/>
    <w:rsid w:val="004234D2"/>
    <w:rsid w:val="00436CAF"/>
    <w:rsid w:val="004634EF"/>
    <w:rsid w:val="00473F7B"/>
    <w:rsid w:val="004750DE"/>
    <w:rsid w:val="00480653"/>
    <w:rsid w:val="004933C2"/>
    <w:rsid w:val="004974F8"/>
    <w:rsid w:val="004B1EF7"/>
    <w:rsid w:val="004B3532"/>
    <w:rsid w:val="004B3FAD"/>
    <w:rsid w:val="004D4FEE"/>
    <w:rsid w:val="004E3321"/>
    <w:rsid w:val="00501DCA"/>
    <w:rsid w:val="00513A47"/>
    <w:rsid w:val="005231A6"/>
    <w:rsid w:val="005348E0"/>
    <w:rsid w:val="00535FD3"/>
    <w:rsid w:val="005408DF"/>
    <w:rsid w:val="00543B0D"/>
    <w:rsid w:val="00574329"/>
    <w:rsid w:val="005743D2"/>
    <w:rsid w:val="005774CC"/>
    <w:rsid w:val="00583F9B"/>
    <w:rsid w:val="00584BA7"/>
    <w:rsid w:val="0058770D"/>
    <w:rsid w:val="005A0596"/>
    <w:rsid w:val="005A2CE1"/>
    <w:rsid w:val="005E5C10"/>
    <w:rsid w:val="005F2472"/>
    <w:rsid w:val="005F2C78"/>
    <w:rsid w:val="00600B20"/>
    <w:rsid w:val="00602631"/>
    <w:rsid w:val="006144E4"/>
    <w:rsid w:val="006151AE"/>
    <w:rsid w:val="0063165F"/>
    <w:rsid w:val="00645ECC"/>
    <w:rsid w:val="00647CA2"/>
    <w:rsid w:val="00650299"/>
    <w:rsid w:val="00672061"/>
    <w:rsid w:val="006727B3"/>
    <w:rsid w:val="00696C94"/>
    <w:rsid w:val="006A4494"/>
    <w:rsid w:val="006B5EEA"/>
    <w:rsid w:val="006D58AE"/>
    <w:rsid w:val="006E4EA9"/>
    <w:rsid w:val="006E76AB"/>
    <w:rsid w:val="00714447"/>
    <w:rsid w:val="007368FA"/>
    <w:rsid w:val="00737C0E"/>
    <w:rsid w:val="007407A2"/>
    <w:rsid w:val="007543D5"/>
    <w:rsid w:val="00764779"/>
    <w:rsid w:val="00775065"/>
    <w:rsid w:val="00786CF9"/>
    <w:rsid w:val="007947B7"/>
    <w:rsid w:val="007E041B"/>
    <w:rsid w:val="007E5F01"/>
    <w:rsid w:val="007F156C"/>
    <w:rsid w:val="007F1C62"/>
    <w:rsid w:val="00806AA4"/>
    <w:rsid w:val="00822581"/>
    <w:rsid w:val="008309DD"/>
    <w:rsid w:val="00830AA5"/>
    <w:rsid w:val="0083227A"/>
    <w:rsid w:val="00840E3B"/>
    <w:rsid w:val="00847DB7"/>
    <w:rsid w:val="00862BA8"/>
    <w:rsid w:val="00866900"/>
    <w:rsid w:val="0087280E"/>
    <w:rsid w:val="00881BA1"/>
    <w:rsid w:val="0088507C"/>
    <w:rsid w:val="008D0128"/>
    <w:rsid w:val="008D1956"/>
    <w:rsid w:val="008F66E1"/>
    <w:rsid w:val="008F7812"/>
    <w:rsid w:val="00905BD2"/>
    <w:rsid w:val="0092138C"/>
    <w:rsid w:val="00940254"/>
    <w:rsid w:val="009420E9"/>
    <w:rsid w:val="00955151"/>
    <w:rsid w:val="00960DDC"/>
    <w:rsid w:val="00965377"/>
    <w:rsid w:val="009762BA"/>
    <w:rsid w:val="00982084"/>
    <w:rsid w:val="0098370B"/>
    <w:rsid w:val="00986447"/>
    <w:rsid w:val="00986FEF"/>
    <w:rsid w:val="00995963"/>
    <w:rsid w:val="009A5A39"/>
    <w:rsid w:val="009B61EB"/>
    <w:rsid w:val="009C2064"/>
    <w:rsid w:val="009D1697"/>
    <w:rsid w:val="009D2087"/>
    <w:rsid w:val="009D7FA6"/>
    <w:rsid w:val="009E10DC"/>
    <w:rsid w:val="00A014F8"/>
    <w:rsid w:val="00A05B0D"/>
    <w:rsid w:val="00A17807"/>
    <w:rsid w:val="00A24A9D"/>
    <w:rsid w:val="00A5173C"/>
    <w:rsid w:val="00A57639"/>
    <w:rsid w:val="00A6043A"/>
    <w:rsid w:val="00A61AEF"/>
    <w:rsid w:val="00A6305E"/>
    <w:rsid w:val="00A64C09"/>
    <w:rsid w:val="00A90C69"/>
    <w:rsid w:val="00AA7927"/>
    <w:rsid w:val="00AC5DA6"/>
    <w:rsid w:val="00AD0F6A"/>
    <w:rsid w:val="00AD6E96"/>
    <w:rsid w:val="00AF2B78"/>
    <w:rsid w:val="00B01204"/>
    <w:rsid w:val="00B0133C"/>
    <w:rsid w:val="00B066A4"/>
    <w:rsid w:val="00B07A13"/>
    <w:rsid w:val="00B120DE"/>
    <w:rsid w:val="00B1503E"/>
    <w:rsid w:val="00B35944"/>
    <w:rsid w:val="00B4279B"/>
    <w:rsid w:val="00B45FC9"/>
    <w:rsid w:val="00B50FBA"/>
    <w:rsid w:val="00B530CC"/>
    <w:rsid w:val="00B871B1"/>
    <w:rsid w:val="00B87564"/>
    <w:rsid w:val="00B93CD2"/>
    <w:rsid w:val="00B93F32"/>
    <w:rsid w:val="00BA449C"/>
    <w:rsid w:val="00BB53BA"/>
    <w:rsid w:val="00BC7CCF"/>
    <w:rsid w:val="00BE470B"/>
    <w:rsid w:val="00C46BEB"/>
    <w:rsid w:val="00C5343D"/>
    <w:rsid w:val="00C560AE"/>
    <w:rsid w:val="00C57A91"/>
    <w:rsid w:val="00C84C59"/>
    <w:rsid w:val="00C9780B"/>
    <w:rsid w:val="00C97EF0"/>
    <w:rsid w:val="00CB4A62"/>
    <w:rsid w:val="00CC01C2"/>
    <w:rsid w:val="00CE70EA"/>
    <w:rsid w:val="00CF21F2"/>
    <w:rsid w:val="00CF5296"/>
    <w:rsid w:val="00D168A8"/>
    <w:rsid w:val="00D214D0"/>
    <w:rsid w:val="00D26220"/>
    <w:rsid w:val="00D3133E"/>
    <w:rsid w:val="00D353EF"/>
    <w:rsid w:val="00D370DF"/>
    <w:rsid w:val="00D4320A"/>
    <w:rsid w:val="00D6546B"/>
    <w:rsid w:val="00D84F7B"/>
    <w:rsid w:val="00D865A7"/>
    <w:rsid w:val="00D87C66"/>
    <w:rsid w:val="00D93676"/>
    <w:rsid w:val="00DA57AB"/>
    <w:rsid w:val="00DC0013"/>
    <w:rsid w:val="00DC1FDD"/>
    <w:rsid w:val="00DD1BF1"/>
    <w:rsid w:val="00DD4BED"/>
    <w:rsid w:val="00DE275B"/>
    <w:rsid w:val="00DE39F0"/>
    <w:rsid w:val="00DF0AF3"/>
    <w:rsid w:val="00E01898"/>
    <w:rsid w:val="00E16369"/>
    <w:rsid w:val="00E24FCB"/>
    <w:rsid w:val="00E27D7E"/>
    <w:rsid w:val="00E3067E"/>
    <w:rsid w:val="00E309C2"/>
    <w:rsid w:val="00E351EB"/>
    <w:rsid w:val="00E42E13"/>
    <w:rsid w:val="00E46153"/>
    <w:rsid w:val="00E6257C"/>
    <w:rsid w:val="00E73D91"/>
    <w:rsid w:val="00E768C8"/>
    <w:rsid w:val="00E90909"/>
    <w:rsid w:val="00E97E61"/>
    <w:rsid w:val="00EA5CE5"/>
    <w:rsid w:val="00EA7117"/>
    <w:rsid w:val="00EB2237"/>
    <w:rsid w:val="00EB4546"/>
    <w:rsid w:val="00EB462C"/>
    <w:rsid w:val="00EB6F3C"/>
    <w:rsid w:val="00EC5590"/>
    <w:rsid w:val="00EE771C"/>
    <w:rsid w:val="00F43FE2"/>
    <w:rsid w:val="00F63325"/>
    <w:rsid w:val="00F64F2C"/>
    <w:rsid w:val="00F66524"/>
    <w:rsid w:val="00F70F95"/>
    <w:rsid w:val="00F86ADB"/>
    <w:rsid w:val="00FA124A"/>
    <w:rsid w:val="00FA2EDF"/>
    <w:rsid w:val="00FB249B"/>
    <w:rsid w:val="00FC08DD"/>
    <w:rsid w:val="00FC2316"/>
    <w:rsid w:val="00FC2CFD"/>
    <w:rsid w:val="00FE4150"/>
    <w:rsid w:val="00FF154C"/>
    <w:rsid w:val="00FF3D3C"/>
    <w:rsid w:val="00FF4093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F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D4FE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4FE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4FE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4FE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4FEE"/>
    <w:pPr>
      <w:outlineLvl w:val="4"/>
    </w:pPr>
  </w:style>
  <w:style w:type="paragraph" w:styleId="Heading6">
    <w:name w:val="heading 6"/>
    <w:basedOn w:val="Heading4"/>
    <w:next w:val="Normal"/>
    <w:qFormat/>
    <w:rsid w:val="004D4FE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4FEE"/>
    <w:pPr>
      <w:outlineLvl w:val="6"/>
    </w:pPr>
  </w:style>
  <w:style w:type="paragraph" w:styleId="Heading8">
    <w:name w:val="heading 8"/>
    <w:basedOn w:val="Heading6"/>
    <w:next w:val="Normal"/>
    <w:qFormat/>
    <w:rsid w:val="004D4FEE"/>
    <w:pPr>
      <w:outlineLvl w:val="7"/>
    </w:pPr>
  </w:style>
  <w:style w:type="paragraph" w:styleId="Heading9">
    <w:name w:val="heading 9"/>
    <w:basedOn w:val="Heading6"/>
    <w:next w:val="Normal"/>
    <w:qFormat/>
    <w:rsid w:val="004D4F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4D4FEE"/>
    <w:pPr>
      <w:spacing w:before="360"/>
    </w:pPr>
  </w:style>
  <w:style w:type="paragraph" w:customStyle="1" w:styleId="Artheading">
    <w:name w:val="Art_heading"/>
    <w:basedOn w:val="Normal"/>
    <w:next w:val="Normalaftertitle"/>
    <w:rsid w:val="004D4FE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4FE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4F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4F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4D4FE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4FE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4FE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4FEE"/>
    <w:rPr>
      <w:vertAlign w:val="superscript"/>
    </w:rPr>
  </w:style>
  <w:style w:type="paragraph" w:customStyle="1" w:styleId="enumlev1">
    <w:name w:val="enumlev1"/>
    <w:basedOn w:val="Normal"/>
    <w:rsid w:val="004D4FEE"/>
    <w:pPr>
      <w:spacing w:before="80"/>
      <w:ind w:left="794" w:hanging="794"/>
    </w:pPr>
  </w:style>
  <w:style w:type="paragraph" w:customStyle="1" w:styleId="enumlev2">
    <w:name w:val="enumlev2"/>
    <w:basedOn w:val="enumlev1"/>
    <w:rsid w:val="004D4FEE"/>
    <w:pPr>
      <w:ind w:left="1191" w:hanging="397"/>
    </w:pPr>
  </w:style>
  <w:style w:type="paragraph" w:customStyle="1" w:styleId="enumlev3">
    <w:name w:val="enumlev3"/>
    <w:basedOn w:val="enumlev2"/>
    <w:rsid w:val="004D4FEE"/>
    <w:pPr>
      <w:ind w:left="1588"/>
    </w:pPr>
  </w:style>
  <w:style w:type="paragraph" w:customStyle="1" w:styleId="Equation">
    <w:name w:val="Equation"/>
    <w:basedOn w:val="Normal"/>
    <w:rsid w:val="004D4FE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4FE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4F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4D4F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4D4FE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4F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D4F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4D4F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rsid w:val="004D4FE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D4FEE"/>
    <w:pPr>
      <w:spacing w:before="80"/>
    </w:pPr>
    <w:rPr>
      <w:sz w:val="22"/>
    </w:rPr>
  </w:style>
  <w:style w:type="paragraph" w:styleId="Header">
    <w:name w:val="header"/>
    <w:basedOn w:val="Normal"/>
    <w:rsid w:val="004D4F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4D4FE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D4FEE"/>
  </w:style>
  <w:style w:type="paragraph" w:styleId="Index1">
    <w:name w:val="index 1"/>
    <w:basedOn w:val="Normal"/>
    <w:next w:val="Normal"/>
    <w:semiHidden/>
    <w:rsid w:val="004D4FEE"/>
  </w:style>
  <w:style w:type="paragraph" w:styleId="Index2">
    <w:name w:val="index 2"/>
    <w:basedOn w:val="Normal"/>
    <w:next w:val="Normal"/>
    <w:semiHidden/>
    <w:rsid w:val="004D4FEE"/>
    <w:pPr>
      <w:ind w:left="283"/>
    </w:pPr>
  </w:style>
  <w:style w:type="paragraph" w:styleId="Index3">
    <w:name w:val="index 3"/>
    <w:basedOn w:val="Normal"/>
    <w:next w:val="Normal"/>
    <w:semiHidden/>
    <w:rsid w:val="004D4FEE"/>
    <w:pPr>
      <w:ind w:left="566"/>
    </w:pPr>
  </w:style>
  <w:style w:type="paragraph" w:customStyle="1" w:styleId="PartNo">
    <w:name w:val="Part_No"/>
    <w:basedOn w:val="Normal"/>
    <w:next w:val="Partref"/>
    <w:rsid w:val="004D4F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4FE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4FE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4F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4FE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D4F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4F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4FEE"/>
  </w:style>
  <w:style w:type="paragraph" w:customStyle="1" w:styleId="QuestionNo">
    <w:name w:val="Question_No"/>
    <w:basedOn w:val="RecNo"/>
    <w:next w:val="Questiontitle"/>
    <w:rsid w:val="004D4FEE"/>
  </w:style>
  <w:style w:type="paragraph" w:customStyle="1" w:styleId="Questiontitle">
    <w:name w:val="Question_title"/>
    <w:basedOn w:val="Rectitle"/>
    <w:next w:val="Questionref"/>
    <w:rsid w:val="004D4FEE"/>
  </w:style>
  <w:style w:type="paragraph" w:customStyle="1" w:styleId="Questionref">
    <w:name w:val="Question_ref"/>
    <w:basedOn w:val="Recref"/>
    <w:next w:val="Questiondate"/>
    <w:rsid w:val="004D4FEE"/>
  </w:style>
  <w:style w:type="paragraph" w:customStyle="1" w:styleId="Reftext">
    <w:name w:val="Ref_text"/>
    <w:basedOn w:val="Normal"/>
    <w:rsid w:val="004D4FEE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4D4FEE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4D4FEE"/>
  </w:style>
  <w:style w:type="paragraph" w:customStyle="1" w:styleId="RepNo">
    <w:name w:val="Rep_No"/>
    <w:basedOn w:val="RecNo"/>
    <w:next w:val="Reptitle"/>
    <w:rsid w:val="004D4FEE"/>
  </w:style>
  <w:style w:type="paragraph" w:customStyle="1" w:styleId="Reptitle">
    <w:name w:val="Rep_title"/>
    <w:basedOn w:val="Rectitle"/>
    <w:next w:val="Repref"/>
    <w:rsid w:val="004D4FEE"/>
  </w:style>
  <w:style w:type="paragraph" w:customStyle="1" w:styleId="Repref">
    <w:name w:val="Rep_ref"/>
    <w:basedOn w:val="Recref"/>
    <w:next w:val="Repdate"/>
    <w:rsid w:val="004D4FEE"/>
  </w:style>
  <w:style w:type="paragraph" w:customStyle="1" w:styleId="Resdate">
    <w:name w:val="Res_date"/>
    <w:basedOn w:val="Recdate"/>
    <w:next w:val="Normalaftertitle"/>
    <w:rsid w:val="004D4FEE"/>
  </w:style>
  <w:style w:type="paragraph" w:customStyle="1" w:styleId="ResNo">
    <w:name w:val="Res_No"/>
    <w:basedOn w:val="RecNo"/>
    <w:next w:val="Restitle"/>
    <w:link w:val="ResNoChar"/>
    <w:rsid w:val="004D4FEE"/>
  </w:style>
  <w:style w:type="paragraph" w:customStyle="1" w:styleId="Restitle">
    <w:name w:val="Res_title"/>
    <w:basedOn w:val="Rectitle"/>
    <w:next w:val="Resref"/>
    <w:link w:val="RestitleChar"/>
    <w:rsid w:val="004D4FEE"/>
  </w:style>
  <w:style w:type="paragraph" w:customStyle="1" w:styleId="Resref">
    <w:name w:val="Res_ref"/>
    <w:basedOn w:val="Recref"/>
    <w:next w:val="Resdate"/>
    <w:rsid w:val="004D4FEE"/>
  </w:style>
  <w:style w:type="paragraph" w:customStyle="1" w:styleId="SectionNo">
    <w:name w:val="Section_No"/>
    <w:basedOn w:val="Normal"/>
    <w:next w:val="Sectiontitle"/>
    <w:rsid w:val="004D4F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4FE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4FE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4F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D4FE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D4F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4D4FE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4D4FEE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4D4FE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4D4F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4FEE"/>
  </w:style>
  <w:style w:type="paragraph" w:customStyle="1" w:styleId="Title3">
    <w:name w:val="Title 3"/>
    <w:basedOn w:val="Title2"/>
    <w:next w:val="Title4"/>
    <w:rsid w:val="004D4FEE"/>
    <w:rPr>
      <w:caps w:val="0"/>
    </w:rPr>
  </w:style>
  <w:style w:type="paragraph" w:customStyle="1" w:styleId="Title4">
    <w:name w:val="Title 4"/>
    <w:basedOn w:val="Title3"/>
    <w:next w:val="Heading1"/>
    <w:rsid w:val="004D4FEE"/>
    <w:rPr>
      <w:b/>
    </w:rPr>
  </w:style>
  <w:style w:type="character" w:customStyle="1" w:styleId="Title1Char">
    <w:name w:val="Title 1 Char"/>
    <w:basedOn w:val="DefaultParagraphFont"/>
    <w:link w:val="Title1"/>
    <w:rsid w:val="00960DDC"/>
    <w:rPr>
      <w:caps/>
      <w:sz w:val="28"/>
      <w:lang w:val="en-GB" w:eastAsia="en-US" w:bidi="ar-SA"/>
    </w:rPr>
  </w:style>
  <w:style w:type="paragraph" w:customStyle="1" w:styleId="toc0">
    <w:name w:val="toc 0"/>
    <w:basedOn w:val="Normal"/>
    <w:next w:val="TOC1"/>
    <w:rsid w:val="004D4FE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4FE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4FEE"/>
    <w:pPr>
      <w:spacing w:before="80"/>
      <w:ind w:left="1531" w:hanging="851"/>
    </w:pPr>
  </w:style>
  <w:style w:type="paragraph" w:styleId="TOC3">
    <w:name w:val="toc 3"/>
    <w:basedOn w:val="TOC2"/>
    <w:semiHidden/>
    <w:rsid w:val="004D4FEE"/>
  </w:style>
  <w:style w:type="paragraph" w:styleId="TOC4">
    <w:name w:val="toc 4"/>
    <w:basedOn w:val="TOC3"/>
    <w:semiHidden/>
    <w:rsid w:val="004D4FEE"/>
  </w:style>
  <w:style w:type="paragraph" w:styleId="TOC5">
    <w:name w:val="toc 5"/>
    <w:basedOn w:val="TOC4"/>
    <w:semiHidden/>
    <w:rsid w:val="004D4FEE"/>
  </w:style>
  <w:style w:type="paragraph" w:styleId="TOC6">
    <w:name w:val="toc 6"/>
    <w:basedOn w:val="TOC4"/>
    <w:semiHidden/>
    <w:rsid w:val="004D4FEE"/>
  </w:style>
  <w:style w:type="paragraph" w:styleId="TOC7">
    <w:name w:val="toc 7"/>
    <w:basedOn w:val="TOC4"/>
    <w:semiHidden/>
    <w:rsid w:val="004D4FEE"/>
  </w:style>
  <w:style w:type="paragraph" w:styleId="TOC8">
    <w:name w:val="toc 8"/>
    <w:basedOn w:val="TOC4"/>
    <w:semiHidden/>
    <w:rsid w:val="004D4FEE"/>
  </w:style>
  <w:style w:type="character" w:customStyle="1" w:styleId="Appdef">
    <w:name w:val="App_def"/>
    <w:basedOn w:val="DefaultParagraphFont"/>
    <w:rsid w:val="004D4F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4FEE"/>
  </w:style>
  <w:style w:type="character" w:customStyle="1" w:styleId="Artdef">
    <w:name w:val="Art_def"/>
    <w:basedOn w:val="DefaultParagraphFont"/>
    <w:rsid w:val="004D4FE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4FEE"/>
  </w:style>
  <w:style w:type="character" w:customStyle="1" w:styleId="Recdef">
    <w:name w:val="Rec_def"/>
    <w:basedOn w:val="DefaultParagraphFont"/>
    <w:rsid w:val="004D4FEE"/>
    <w:rPr>
      <w:b/>
    </w:rPr>
  </w:style>
  <w:style w:type="character" w:customStyle="1" w:styleId="Resdef">
    <w:name w:val="Res_def"/>
    <w:basedOn w:val="DefaultParagraphFont"/>
    <w:rsid w:val="004D4FE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4FEE"/>
    <w:rPr>
      <w:b/>
      <w:color w:val="auto"/>
    </w:rPr>
  </w:style>
  <w:style w:type="paragraph" w:customStyle="1" w:styleId="Formal">
    <w:name w:val="Formal"/>
    <w:basedOn w:val="ASN1"/>
    <w:rsid w:val="004D4FEE"/>
    <w:rPr>
      <w:b w:val="0"/>
    </w:rPr>
  </w:style>
  <w:style w:type="paragraph" w:customStyle="1" w:styleId="Section1">
    <w:name w:val="Section_1"/>
    <w:basedOn w:val="Normal"/>
    <w:next w:val="Normal"/>
    <w:rsid w:val="004D4FE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4FE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4D4FEE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4D4FEE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4D4FEE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4D4FEE"/>
  </w:style>
  <w:style w:type="paragraph" w:customStyle="1" w:styleId="Figuretitle">
    <w:name w:val="Figure_title"/>
    <w:basedOn w:val="Tabletitle"/>
    <w:next w:val="Normal"/>
    <w:rsid w:val="004D4FEE"/>
    <w:pPr>
      <w:keepNext w:val="0"/>
    </w:pPr>
  </w:style>
  <w:style w:type="paragraph" w:customStyle="1" w:styleId="FigureNo">
    <w:name w:val="Figure_No"/>
    <w:basedOn w:val="Normal"/>
    <w:next w:val="Figuretitle"/>
    <w:rsid w:val="004D4FEE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94025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98370B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960DDC"/>
    <w:rPr>
      <w:sz w:val="24"/>
      <w:lang w:val="en-GB" w:eastAsia="en-US" w:bidi="ar-SA"/>
    </w:rPr>
  </w:style>
  <w:style w:type="table" w:styleId="TableGrid">
    <w:name w:val="Table Grid"/>
    <w:basedOn w:val="TableNormal"/>
    <w:rsid w:val="00960DDC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60D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 w:val="22"/>
      <w:szCs w:val="22"/>
      <w:lang w:eastAsia="zh-CN"/>
    </w:rPr>
  </w:style>
  <w:style w:type="character" w:styleId="Strong">
    <w:name w:val="Strong"/>
    <w:basedOn w:val="DefaultParagraphFont"/>
    <w:qFormat/>
    <w:rsid w:val="00960DDC"/>
    <w:rPr>
      <w:b/>
      <w:bCs/>
    </w:rPr>
  </w:style>
  <w:style w:type="character" w:customStyle="1" w:styleId="rsg-title1">
    <w:name w:val="rsg-title1"/>
    <w:basedOn w:val="DefaultParagraphFont"/>
    <w:rsid w:val="00960DDC"/>
    <w:rPr>
      <w:b/>
      <w:bCs/>
      <w:color w:val="37ACAB"/>
      <w:sz w:val="26"/>
      <w:szCs w:val="2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01204"/>
    <w:rPr>
      <w:rFonts w:eastAsia="MS Mincho"/>
      <w:sz w:val="22"/>
      <w:lang w:val="en-GB" w:eastAsia="en-US" w:bidi="ar-SA"/>
    </w:rPr>
  </w:style>
  <w:style w:type="character" w:customStyle="1" w:styleId="NoteChar">
    <w:name w:val="Note Char"/>
    <w:basedOn w:val="DefaultParagraphFont"/>
    <w:link w:val="Note"/>
    <w:rsid w:val="00B01204"/>
    <w:rPr>
      <w:rFonts w:eastAsia="MS Mincho"/>
      <w:sz w:val="22"/>
      <w:lang w:val="en-GB" w:eastAsia="en-US" w:bidi="ar-SA"/>
    </w:rPr>
  </w:style>
  <w:style w:type="character" w:customStyle="1" w:styleId="href">
    <w:name w:val="href"/>
    <w:basedOn w:val="DefaultParagraphFont"/>
    <w:rsid w:val="00436CAF"/>
  </w:style>
  <w:style w:type="character" w:customStyle="1" w:styleId="CallChar">
    <w:name w:val="Call Char"/>
    <w:basedOn w:val="DefaultParagraphFont"/>
    <w:link w:val="Call"/>
    <w:locked/>
    <w:rsid w:val="00436CAF"/>
    <w:rPr>
      <w:rFonts w:eastAsia="MS Mincho"/>
      <w:i/>
      <w:sz w:val="24"/>
      <w:lang w:val="en-GB" w:eastAsia="en-US" w:bidi="ar-SA"/>
    </w:rPr>
  </w:style>
  <w:style w:type="character" w:customStyle="1" w:styleId="RestitleChar">
    <w:name w:val="Res_title Char"/>
    <w:basedOn w:val="DefaultParagraphFont"/>
    <w:link w:val="Restitle"/>
    <w:rsid w:val="00436CAF"/>
    <w:rPr>
      <w:rFonts w:eastAsia="MS Mincho"/>
      <w:b/>
      <w:sz w:val="28"/>
      <w:lang w:val="en-GB" w:eastAsia="en-US" w:bidi="ar-SA"/>
    </w:rPr>
  </w:style>
  <w:style w:type="character" w:customStyle="1" w:styleId="ResNoChar">
    <w:name w:val="Res_No Char"/>
    <w:basedOn w:val="DefaultParagraphFont"/>
    <w:link w:val="ResNo"/>
    <w:rsid w:val="00436CAF"/>
    <w:rPr>
      <w:rFonts w:eastAsia="MS Mincho"/>
      <w:caps/>
      <w:sz w:val="28"/>
      <w:lang w:val="en-GB" w:eastAsia="en-US" w:bidi="ar-SA"/>
    </w:rPr>
  </w:style>
  <w:style w:type="character" w:customStyle="1" w:styleId="Resref0">
    <w:name w:val="Res#_ref"/>
    <w:basedOn w:val="DefaultParagraphFont"/>
    <w:rsid w:val="00436CAF"/>
  </w:style>
  <w:style w:type="character" w:customStyle="1" w:styleId="TabletextChar">
    <w:name w:val="Table_text Char"/>
    <w:basedOn w:val="DefaultParagraphFont"/>
    <w:link w:val="Tabletext"/>
    <w:uiPriority w:val="99"/>
    <w:locked/>
    <w:rsid w:val="00C84C59"/>
    <w:rPr>
      <w:rFonts w:ascii="Times New Roman" w:hAnsi="Times New Roman"/>
      <w:sz w:val="22"/>
      <w:lang w:val="en-GB" w:eastAsia="en-US"/>
    </w:rPr>
  </w:style>
  <w:style w:type="paragraph" w:customStyle="1" w:styleId="Annextitle">
    <w:name w:val="Annex_title"/>
    <w:basedOn w:val="Normal"/>
    <w:next w:val="Normal"/>
    <w:uiPriority w:val="99"/>
    <w:rsid w:val="00C84C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TableheadChar">
    <w:name w:val="Table_head Char"/>
    <w:basedOn w:val="DefaultParagraphFont"/>
    <w:link w:val="Tablehead"/>
    <w:uiPriority w:val="99"/>
    <w:rsid w:val="00C84C59"/>
    <w:rPr>
      <w:rFonts w:ascii="Times New Roman" w:hAnsi="Times New Roman"/>
      <w:b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37C0E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20</TotalTime>
  <Pages>6</Pages>
  <Words>1570</Words>
  <Characters>8184</Characters>
  <Application>Microsoft Office Word</Application>
  <DocSecurity>0</DocSecurity>
  <Lines>68</Lines>
  <Paragraphs>19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4" baseType="lpstr">
      <vt:lpstr>Radiocommunication Study Groups</vt:lpstr>
      <vt:lpstr>1	Background</vt:lpstr>
      <vt:lpstr>Radiocommunication Study Groups</vt:lpstr>
      <vt:lpstr>1	Background</vt:lpstr>
    </vt:vector>
  </TitlesOfParts>
  <Manager/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capdessu</dc:creator>
  <cp:keywords/>
  <dc:description/>
  <cp:lastModifiedBy>millet</cp:lastModifiedBy>
  <cp:revision>11</cp:revision>
  <cp:lastPrinted>2010-07-29T09:00:00Z</cp:lastPrinted>
  <dcterms:created xsi:type="dcterms:W3CDTF">2011-06-01T01:44:00Z</dcterms:created>
  <dcterms:modified xsi:type="dcterms:W3CDTF">2011-06-01T14:04:00Z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