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6771"/>
        <w:gridCol w:w="3118"/>
      </w:tblGrid>
      <w:tr w:rsidR="0051782D" w:rsidRPr="00D872CB" w14:paraId="624E0031" w14:textId="77777777">
        <w:trPr>
          <w:cantSplit/>
        </w:trPr>
        <w:tc>
          <w:tcPr>
            <w:tcW w:w="6771" w:type="dxa"/>
          </w:tcPr>
          <w:p w14:paraId="624E002F" w14:textId="77777777" w:rsidR="0051782D" w:rsidRPr="00D872CB" w:rsidRDefault="0051782D" w:rsidP="00F028C1">
            <w:pPr>
              <w:framePr w:hSpace="181" w:wrap="around" w:vAnchor="page" w:hAnchor="margin" w:x="1" w:y="852"/>
              <w:shd w:val="solid" w:color="FFFFFF" w:fill="FFFFFF"/>
              <w:spacing w:before="360" w:after="240"/>
              <w:rPr>
                <w:rFonts w:ascii="Verdana" w:hAnsi="Verdana" w:cs="Times New Roman Bold"/>
                <w:b/>
                <w:bCs/>
              </w:rPr>
            </w:pPr>
            <w:proofErr w:type="spellStart"/>
            <w:r w:rsidRPr="00D872CB">
              <w:rPr>
                <w:rFonts w:ascii="Verdana" w:hAnsi="Verdana" w:cs="Times New Roman Bold"/>
                <w:b/>
                <w:sz w:val="26"/>
                <w:szCs w:val="26"/>
              </w:rPr>
              <w:t>Radiocommunication</w:t>
            </w:r>
            <w:proofErr w:type="spellEnd"/>
            <w:r w:rsidRPr="00D872CB">
              <w:rPr>
                <w:rFonts w:ascii="Verdana" w:hAnsi="Verdana" w:cs="Times New Roman Bold"/>
                <w:b/>
                <w:sz w:val="26"/>
                <w:szCs w:val="26"/>
              </w:rPr>
              <w:t xml:space="preserve"> Advisory Group</w:t>
            </w:r>
            <w:r w:rsidRPr="00D872CB">
              <w:rPr>
                <w:rFonts w:ascii="Verdana" w:hAnsi="Verdana" w:cs="Times New Roman Bold"/>
                <w:b/>
                <w:sz w:val="26"/>
                <w:szCs w:val="26"/>
              </w:rPr>
              <w:br/>
            </w:r>
            <w:r w:rsidRPr="00D872CB">
              <w:rPr>
                <w:rFonts w:ascii="Verdana" w:hAnsi="Verdana" w:cs="Times New Roman Bold"/>
                <w:b/>
                <w:bCs/>
                <w:sz w:val="20"/>
              </w:rPr>
              <w:t xml:space="preserve">Geneva, </w:t>
            </w:r>
            <w:r w:rsidR="00F028C1">
              <w:rPr>
                <w:rFonts w:ascii="Verdana" w:hAnsi="Verdana" w:cs="Times New Roman Bold"/>
                <w:b/>
                <w:bCs/>
                <w:sz w:val="20"/>
              </w:rPr>
              <w:t>8-10</w:t>
            </w:r>
            <w:r w:rsidRPr="00D872CB">
              <w:rPr>
                <w:rFonts w:ascii="Verdana" w:hAnsi="Verdana" w:cs="Times New Roman Bold"/>
                <w:b/>
                <w:bCs/>
                <w:sz w:val="20"/>
              </w:rPr>
              <w:t xml:space="preserve"> </w:t>
            </w:r>
            <w:r w:rsidR="00F028C1">
              <w:rPr>
                <w:rFonts w:ascii="Verdana" w:hAnsi="Verdana" w:cs="Times New Roman Bold"/>
                <w:b/>
                <w:bCs/>
                <w:sz w:val="20"/>
              </w:rPr>
              <w:t>June</w:t>
            </w:r>
            <w:r w:rsidRPr="00D872CB">
              <w:rPr>
                <w:rFonts w:ascii="Verdana" w:hAnsi="Verdana" w:cs="Times New Roman Bold"/>
                <w:b/>
                <w:bCs/>
                <w:sz w:val="20"/>
              </w:rPr>
              <w:t xml:space="preserve"> 20</w:t>
            </w:r>
            <w:r w:rsidR="00EF27F5">
              <w:rPr>
                <w:rFonts w:ascii="Verdana" w:hAnsi="Verdana" w:cs="Times New Roman Bold"/>
                <w:b/>
                <w:bCs/>
                <w:sz w:val="20"/>
              </w:rPr>
              <w:t>1</w:t>
            </w:r>
            <w:r w:rsidR="00F028C1">
              <w:rPr>
                <w:rFonts w:ascii="Verdana" w:hAnsi="Verdana" w:cs="Times New Roman Bold"/>
                <w:b/>
                <w:bCs/>
                <w:sz w:val="20"/>
              </w:rPr>
              <w:t>1</w:t>
            </w:r>
          </w:p>
        </w:tc>
        <w:tc>
          <w:tcPr>
            <w:tcW w:w="3118" w:type="dxa"/>
          </w:tcPr>
          <w:p w14:paraId="624E0030" w14:textId="77777777" w:rsidR="0051782D" w:rsidRPr="00D872CB" w:rsidRDefault="00712178" w:rsidP="0051782D">
            <w:pPr>
              <w:framePr w:hSpace="181" w:wrap="around" w:vAnchor="page" w:hAnchor="margin" w:x="1" w:y="852"/>
              <w:shd w:val="solid" w:color="FFFFFF" w:fill="FFFFFF"/>
              <w:spacing w:before="0" w:line="240" w:lineRule="atLeast"/>
            </w:pPr>
            <w:r>
              <w:rPr>
                <w:noProof/>
                <w:lang w:val="en-US" w:eastAsia="zh-CN"/>
              </w:rPr>
              <w:drawing>
                <wp:inline distT="0" distB="0" distL="0" distR="0" wp14:anchorId="624E017E" wp14:editId="624E017F">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51782D" w:rsidRPr="00D872CB" w14:paraId="624E0034" w14:textId="77777777">
        <w:trPr>
          <w:cantSplit/>
        </w:trPr>
        <w:tc>
          <w:tcPr>
            <w:tcW w:w="6771" w:type="dxa"/>
            <w:tcBorders>
              <w:bottom w:val="single" w:sz="12" w:space="0" w:color="auto"/>
            </w:tcBorders>
          </w:tcPr>
          <w:p w14:paraId="624E0032" w14:textId="77777777" w:rsidR="0051782D" w:rsidRPr="00D872CB" w:rsidRDefault="0051782D" w:rsidP="0051782D">
            <w:pPr>
              <w:framePr w:hSpace="181" w:wrap="around" w:vAnchor="page" w:hAnchor="margin" w:x="1" w:y="852"/>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624E0033" w14:textId="77777777" w:rsidR="0051782D" w:rsidRPr="00D872CB" w:rsidRDefault="0051782D" w:rsidP="0051782D">
            <w:pPr>
              <w:framePr w:hSpace="181" w:wrap="around" w:vAnchor="page" w:hAnchor="margin" w:x="1" w:y="852"/>
              <w:shd w:val="solid" w:color="FFFFFF" w:fill="FFFFFF"/>
              <w:spacing w:before="0" w:after="48" w:line="240" w:lineRule="atLeast"/>
              <w:rPr>
                <w:sz w:val="22"/>
                <w:szCs w:val="22"/>
              </w:rPr>
            </w:pPr>
          </w:p>
        </w:tc>
      </w:tr>
      <w:tr w:rsidR="0051782D" w:rsidRPr="00D872CB" w14:paraId="624E0037" w14:textId="77777777">
        <w:trPr>
          <w:cantSplit/>
        </w:trPr>
        <w:tc>
          <w:tcPr>
            <w:tcW w:w="6771" w:type="dxa"/>
            <w:tcBorders>
              <w:top w:val="single" w:sz="12" w:space="0" w:color="auto"/>
            </w:tcBorders>
          </w:tcPr>
          <w:p w14:paraId="624E0035" w14:textId="77777777" w:rsidR="0051782D" w:rsidRPr="00D872CB" w:rsidRDefault="0051782D" w:rsidP="0051782D">
            <w:pPr>
              <w:framePr w:hSpace="181" w:wrap="around" w:vAnchor="page" w:hAnchor="margin" w:x="1" w:y="852"/>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624E0036" w14:textId="77777777" w:rsidR="0051782D" w:rsidRPr="00D872CB" w:rsidRDefault="0051782D" w:rsidP="0051782D">
            <w:pPr>
              <w:framePr w:hSpace="181" w:wrap="around" w:vAnchor="page" w:hAnchor="margin" w:x="1" w:y="852"/>
              <w:shd w:val="solid" w:color="FFFFFF" w:fill="FFFFFF"/>
              <w:spacing w:before="0" w:after="48" w:line="240" w:lineRule="atLeast"/>
            </w:pPr>
          </w:p>
        </w:tc>
      </w:tr>
      <w:tr w:rsidR="0051782D" w:rsidRPr="00D872CB" w14:paraId="624E003A" w14:textId="77777777">
        <w:trPr>
          <w:cantSplit/>
        </w:trPr>
        <w:tc>
          <w:tcPr>
            <w:tcW w:w="6771" w:type="dxa"/>
            <w:vMerge w:val="restart"/>
          </w:tcPr>
          <w:p w14:paraId="624E0038" w14:textId="77777777" w:rsidR="0051782D" w:rsidRPr="00D872CB" w:rsidRDefault="0051782D" w:rsidP="0051782D">
            <w:pPr>
              <w:framePr w:hSpace="181" w:wrap="around" w:vAnchor="page" w:hAnchor="margin" w:x="1" w:y="852"/>
              <w:shd w:val="solid" w:color="FFFFFF" w:fill="FFFFFF"/>
              <w:spacing w:after="240"/>
              <w:rPr>
                <w:sz w:val="20"/>
              </w:rPr>
            </w:pPr>
            <w:bookmarkStart w:id="0" w:name="dnum" w:colFirst="1" w:colLast="1"/>
          </w:p>
        </w:tc>
        <w:tc>
          <w:tcPr>
            <w:tcW w:w="3118" w:type="dxa"/>
          </w:tcPr>
          <w:p w14:paraId="624E0039" w14:textId="011DA8F5" w:rsidR="0051782D" w:rsidRPr="00D872CB" w:rsidRDefault="001462D8" w:rsidP="00825ABF">
            <w:pPr>
              <w:framePr w:hSpace="181" w:wrap="around" w:vAnchor="page" w:hAnchor="margin" w:x="1" w:y="852"/>
              <w:shd w:val="solid" w:color="FFFFFF" w:fill="FFFFFF"/>
              <w:spacing w:before="0" w:line="240" w:lineRule="atLeast"/>
              <w:rPr>
                <w:rFonts w:ascii="Verdana" w:hAnsi="Verdana"/>
                <w:sz w:val="20"/>
              </w:rPr>
            </w:pPr>
            <w:r>
              <w:rPr>
                <w:rFonts w:ascii="Verdana" w:hAnsi="Verdana"/>
                <w:b/>
                <w:sz w:val="20"/>
              </w:rPr>
              <w:t>Revision 1 to</w:t>
            </w:r>
            <w:r>
              <w:rPr>
                <w:rFonts w:ascii="Verdana" w:hAnsi="Verdana"/>
                <w:b/>
                <w:sz w:val="20"/>
              </w:rPr>
              <w:br/>
            </w:r>
            <w:r w:rsidR="00BD7223" w:rsidRPr="00D872CB">
              <w:rPr>
                <w:rFonts w:ascii="Verdana" w:hAnsi="Verdana"/>
                <w:b/>
                <w:sz w:val="20"/>
              </w:rPr>
              <w:t>Document RAG</w:t>
            </w:r>
            <w:r w:rsidR="00825ABF">
              <w:rPr>
                <w:rFonts w:ascii="Verdana" w:hAnsi="Verdana"/>
                <w:b/>
                <w:sz w:val="20"/>
              </w:rPr>
              <w:t>1</w:t>
            </w:r>
            <w:r w:rsidR="001E190A">
              <w:rPr>
                <w:rFonts w:ascii="Verdana" w:hAnsi="Verdana"/>
                <w:b/>
                <w:sz w:val="20"/>
              </w:rPr>
              <w:t>1</w:t>
            </w:r>
            <w:r w:rsidR="00BD7223" w:rsidRPr="00D872CB">
              <w:rPr>
                <w:rFonts w:ascii="Verdana" w:hAnsi="Verdana"/>
                <w:b/>
                <w:sz w:val="20"/>
              </w:rPr>
              <w:t>-1/1-E</w:t>
            </w:r>
          </w:p>
        </w:tc>
      </w:tr>
      <w:tr w:rsidR="0051782D" w:rsidRPr="00D872CB" w14:paraId="624E003D" w14:textId="77777777">
        <w:trPr>
          <w:cantSplit/>
        </w:trPr>
        <w:tc>
          <w:tcPr>
            <w:tcW w:w="6771" w:type="dxa"/>
            <w:vMerge/>
          </w:tcPr>
          <w:p w14:paraId="624E003B" w14:textId="77777777" w:rsidR="0051782D" w:rsidRPr="00D872CB" w:rsidRDefault="0051782D" w:rsidP="0051782D">
            <w:pPr>
              <w:framePr w:hSpace="181" w:wrap="around" w:vAnchor="page" w:hAnchor="margin" w:x="1" w:y="852"/>
              <w:spacing w:before="60"/>
              <w:jc w:val="center"/>
              <w:rPr>
                <w:b/>
                <w:smallCaps/>
                <w:sz w:val="32"/>
              </w:rPr>
            </w:pPr>
            <w:bookmarkStart w:id="1" w:name="ddate" w:colFirst="1" w:colLast="1"/>
            <w:bookmarkEnd w:id="0"/>
          </w:p>
        </w:tc>
        <w:tc>
          <w:tcPr>
            <w:tcW w:w="3118" w:type="dxa"/>
          </w:tcPr>
          <w:p w14:paraId="624E003C" w14:textId="2FED3374" w:rsidR="0051782D" w:rsidRPr="00D872CB" w:rsidRDefault="001462D8" w:rsidP="001462D8">
            <w:pPr>
              <w:framePr w:hSpace="181" w:wrap="around" w:vAnchor="page" w:hAnchor="margin" w:x="1" w:y="852"/>
              <w:shd w:val="solid" w:color="FFFFFF" w:fill="FFFFFF"/>
              <w:spacing w:before="0" w:line="240" w:lineRule="atLeast"/>
              <w:rPr>
                <w:rFonts w:ascii="Verdana" w:hAnsi="Verdana"/>
                <w:sz w:val="20"/>
              </w:rPr>
            </w:pPr>
            <w:r>
              <w:rPr>
                <w:rFonts w:ascii="Verdana" w:hAnsi="Verdana"/>
                <w:b/>
                <w:sz w:val="20"/>
              </w:rPr>
              <w:t>6</w:t>
            </w:r>
            <w:r w:rsidR="00BD7223" w:rsidRPr="00D872CB">
              <w:rPr>
                <w:rFonts w:ascii="Verdana" w:hAnsi="Verdana"/>
                <w:b/>
                <w:sz w:val="20"/>
              </w:rPr>
              <w:t xml:space="preserve"> </w:t>
            </w:r>
            <w:r>
              <w:rPr>
                <w:rFonts w:ascii="Verdana" w:hAnsi="Verdana"/>
                <w:b/>
                <w:sz w:val="20"/>
              </w:rPr>
              <w:t>June</w:t>
            </w:r>
            <w:r w:rsidR="00BD7223" w:rsidRPr="00D872CB">
              <w:rPr>
                <w:rFonts w:ascii="Verdana" w:hAnsi="Verdana"/>
                <w:b/>
                <w:sz w:val="20"/>
              </w:rPr>
              <w:t xml:space="preserve"> 20</w:t>
            </w:r>
            <w:r w:rsidR="001E190A">
              <w:rPr>
                <w:rFonts w:ascii="Verdana" w:hAnsi="Verdana"/>
                <w:b/>
                <w:sz w:val="20"/>
              </w:rPr>
              <w:t>11</w:t>
            </w:r>
          </w:p>
        </w:tc>
      </w:tr>
      <w:tr w:rsidR="0051782D" w:rsidRPr="00D872CB" w14:paraId="624E0040" w14:textId="77777777">
        <w:trPr>
          <w:cantSplit/>
        </w:trPr>
        <w:tc>
          <w:tcPr>
            <w:tcW w:w="6771" w:type="dxa"/>
            <w:vMerge/>
          </w:tcPr>
          <w:p w14:paraId="624E003E" w14:textId="77777777" w:rsidR="0051782D" w:rsidRPr="00D872CB" w:rsidRDefault="0051782D" w:rsidP="0051782D">
            <w:pPr>
              <w:framePr w:hSpace="181" w:wrap="around" w:vAnchor="page" w:hAnchor="margin" w:x="1" w:y="852"/>
              <w:spacing w:before="60"/>
              <w:jc w:val="center"/>
              <w:rPr>
                <w:b/>
                <w:smallCaps/>
                <w:sz w:val="32"/>
              </w:rPr>
            </w:pPr>
            <w:bookmarkStart w:id="2" w:name="dorlang" w:colFirst="1" w:colLast="1"/>
            <w:bookmarkEnd w:id="1"/>
          </w:p>
        </w:tc>
        <w:tc>
          <w:tcPr>
            <w:tcW w:w="3118" w:type="dxa"/>
          </w:tcPr>
          <w:p w14:paraId="624E003F" w14:textId="77777777" w:rsidR="0051782D" w:rsidRPr="00D872CB" w:rsidRDefault="00BD7223" w:rsidP="00BD7223">
            <w:pPr>
              <w:framePr w:hSpace="181" w:wrap="around" w:vAnchor="page" w:hAnchor="margin" w:x="1" w:y="852"/>
              <w:shd w:val="solid" w:color="FFFFFF" w:fill="FFFFFF"/>
              <w:spacing w:before="0" w:after="120" w:line="240" w:lineRule="atLeast"/>
              <w:rPr>
                <w:rFonts w:ascii="Verdana" w:hAnsi="Verdana"/>
                <w:sz w:val="20"/>
              </w:rPr>
            </w:pPr>
            <w:r w:rsidRPr="00D872CB">
              <w:rPr>
                <w:rFonts w:ascii="Verdana" w:hAnsi="Verdana"/>
                <w:b/>
                <w:sz w:val="20"/>
              </w:rPr>
              <w:t>Original: English</w:t>
            </w:r>
          </w:p>
        </w:tc>
      </w:tr>
    </w:tbl>
    <w:tbl>
      <w:tblPr>
        <w:tblW w:w="9889" w:type="dxa"/>
        <w:tblLayout w:type="fixed"/>
        <w:tblLook w:val="0000" w:firstRow="0" w:lastRow="0" w:firstColumn="0" w:lastColumn="0" w:noHBand="0" w:noVBand="0"/>
      </w:tblPr>
      <w:tblGrid>
        <w:gridCol w:w="9889"/>
      </w:tblGrid>
      <w:tr w:rsidR="00093C73" w:rsidRPr="00D872CB" w14:paraId="624E0042" w14:textId="77777777">
        <w:trPr>
          <w:cantSplit/>
        </w:trPr>
        <w:tc>
          <w:tcPr>
            <w:tcW w:w="9889" w:type="dxa"/>
          </w:tcPr>
          <w:p w14:paraId="624E0041" w14:textId="77777777" w:rsidR="00093C73" w:rsidRPr="00D872CB" w:rsidRDefault="00BD7223">
            <w:pPr>
              <w:pStyle w:val="Source"/>
            </w:pPr>
            <w:bookmarkStart w:id="3" w:name="dsource" w:colFirst="0" w:colLast="0"/>
            <w:bookmarkEnd w:id="2"/>
            <w:r w:rsidRPr="00D872CB">
              <w:t xml:space="preserve">Director, </w:t>
            </w:r>
            <w:proofErr w:type="spellStart"/>
            <w:r w:rsidRPr="00D872CB">
              <w:t>Radiocommunication</w:t>
            </w:r>
            <w:proofErr w:type="spellEnd"/>
            <w:r w:rsidRPr="00D872CB">
              <w:t xml:space="preserve"> Bureau</w:t>
            </w:r>
          </w:p>
        </w:tc>
      </w:tr>
      <w:tr w:rsidR="00093C73" w:rsidRPr="00D872CB" w14:paraId="624E0044" w14:textId="77777777">
        <w:trPr>
          <w:cantSplit/>
        </w:trPr>
        <w:tc>
          <w:tcPr>
            <w:tcW w:w="9889" w:type="dxa"/>
          </w:tcPr>
          <w:p w14:paraId="624E0043" w14:textId="77777777" w:rsidR="00093C73" w:rsidRPr="00D872CB" w:rsidRDefault="00BD7223" w:rsidP="001E190A">
            <w:pPr>
              <w:pStyle w:val="Title1"/>
            </w:pPr>
            <w:bookmarkStart w:id="4" w:name="dtitle1" w:colFirst="0" w:colLast="0"/>
            <w:bookmarkEnd w:id="3"/>
            <w:r w:rsidRPr="00D872CB">
              <w:t xml:space="preserve">report to the </w:t>
            </w:r>
            <w:r w:rsidR="001E190A">
              <w:t>EIGH</w:t>
            </w:r>
            <w:r w:rsidRPr="00D872CB">
              <w:t xml:space="preserve">teenth meeting of the </w:t>
            </w:r>
            <w:r w:rsidRPr="00D872CB">
              <w:br/>
              <w:t>radiocommunication advisory group</w:t>
            </w:r>
          </w:p>
        </w:tc>
      </w:tr>
    </w:tbl>
    <w:bookmarkEnd w:id="4"/>
    <w:p w14:paraId="624E0045" w14:textId="77777777" w:rsidR="007A299C" w:rsidRPr="00D872CB" w:rsidRDefault="007A299C" w:rsidP="00A64728">
      <w:pPr>
        <w:pStyle w:val="Heading1"/>
        <w:spacing w:before="600"/>
      </w:pPr>
      <w:r w:rsidRPr="00D872CB">
        <w:t>1</w:t>
      </w:r>
      <w:r w:rsidRPr="00D872CB">
        <w:tab/>
        <w:t>Introduction</w:t>
      </w:r>
    </w:p>
    <w:p w14:paraId="624E0046" w14:textId="77777777" w:rsidR="007A299C" w:rsidRPr="00D872CB" w:rsidRDefault="007A299C" w:rsidP="001E190A">
      <w:r w:rsidRPr="00D872CB">
        <w:t xml:space="preserve">This </w:t>
      </w:r>
      <w:r w:rsidR="00121CE0">
        <w:t>document</w:t>
      </w:r>
      <w:r w:rsidRPr="00D872CB">
        <w:t xml:space="preserve"> is intended to provide status reports and background information on some of the issues that are on the </w:t>
      </w:r>
      <w:r w:rsidR="001E190A">
        <w:t xml:space="preserve">provisional </w:t>
      </w:r>
      <w:r w:rsidRPr="00D872CB">
        <w:t xml:space="preserve">agenda for the </w:t>
      </w:r>
      <w:r w:rsidR="00021007" w:rsidRPr="00D872CB">
        <w:t>1</w:t>
      </w:r>
      <w:r w:rsidR="001E190A">
        <w:t>8</w:t>
      </w:r>
      <w:r w:rsidR="00021007" w:rsidRPr="00021007">
        <w:rPr>
          <w:vertAlign w:val="superscript"/>
        </w:rPr>
        <w:t>th</w:t>
      </w:r>
      <w:r w:rsidR="00021007">
        <w:t xml:space="preserve"> </w:t>
      </w:r>
      <w:r w:rsidRPr="00D872CB">
        <w:t xml:space="preserve">meeting of RAG </w:t>
      </w:r>
      <w:r w:rsidR="001E190A">
        <w:t xml:space="preserve">(see </w:t>
      </w:r>
      <w:hyperlink r:id="rId13" w:history="1">
        <w:r w:rsidR="001E190A" w:rsidRPr="001E190A">
          <w:rPr>
            <w:rStyle w:val="Hyperlink"/>
          </w:rPr>
          <w:t>CA/194</w:t>
        </w:r>
      </w:hyperlink>
      <w:r w:rsidR="001E190A">
        <w:t xml:space="preserve"> of 17.12.01) </w:t>
      </w:r>
      <w:r w:rsidRPr="00D872CB">
        <w:t>to assist the meeting in considering the relevant agenda items.</w:t>
      </w:r>
    </w:p>
    <w:p w14:paraId="624E0047" w14:textId="77777777" w:rsidR="007A299C" w:rsidRPr="00D872CB" w:rsidRDefault="007A299C" w:rsidP="007A299C">
      <w:r w:rsidRPr="005F4A85">
        <w:t>Separate reports will be submitted for some of the agenda items.</w:t>
      </w:r>
    </w:p>
    <w:p w14:paraId="624E0048" w14:textId="77777777" w:rsidR="007A299C" w:rsidRDefault="007A299C" w:rsidP="00E54FD3">
      <w:pPr>
        <w:pStyle w:val="Heading1"/>
      </w:pPr>
      <w:r w:rsidRPr="00D872CB">
        <w:t>2</w:t>
      </w:r>
      <w:r w:rsidRPr="00D872CB">
        <w:tab/>
      </w:r>
      <w:r w:rsidR="001E190A">
        <w:t>Council</w:t>
      </w:r>
      <w:r w:rsidR="00021007" w:rsidRPr="00D872CB">
        <w:t xml:space="preserve"> </w:t>
      </w:r>
      <w:r w:rsidR="001E190A">
        <w:t>issues</w:t>
      </w:r>
    </w:p>
    <w:p w14:paraId="624E0049" w14:textId="77777777" w:rsidR="008D7715" w:rsidRDefault="008D7715" w:rsidP="00174F91">
      <w:r w:rsidRPr="00D872CB">
        <w:t xml:space="preserve">This section covers the </w:t>
      </w:r>
      <w:r w:rsidR="001E190A">
        <w:t xml:space="preserve">relevant </w:t>
      </w:r>
      <w:r w:rsidR="00EC6ACC">
        <w:t>issues considered by</w:t>
      </w:r>
      <w:r w:rsidRPr="00D872CB">
        <w:t xml:space="preserve"> the </w:t>
      </w:r>
      <w:r w:rsidR="00174F91">
        <w:t xml:space="preserve">2010 sessions of the </w:t>
      </w:r>
      <w:r w:rsidRPr="00D872CB">
        <w:t xml:space="preserve">Council (see: </w:t>
      </w:r>
      <w:hyperlink r:id="rId14" w:history="1">
        <w:r w:rsidR="001E190A" w:rsidRPr="004C79A7">
          <w:rPr>
            <w:rStyle w:val="Hyperlink"/>
          </w:rPr>
          <w:t>http://www.itu.int/council/C2010/</w:t>
        </w:r>
      </w:hyperlink>
      <w:r w:rsidR="00174F91">
        <w:t xml:space="preserve"> and </w:t>
      </w:r>
      <w:hyperlink r:id="rId15" w:history="1">
        <w:r w:rsidR="00174F91" w:rsidRPr="004C79A7">
          <w:rPr>
            <w:rStyle w:val="Hyperlink"/>
          </w:rPr>
          <w:t>http://www.itu.int/council/cext-2010/</w:t>
        </w:r>
      </w:hyperlink>
      <w:r w:rsidRPr="00D872CB">
        <w:t>).</w:t>
      </w:r>
    </w:p>
    <w:p w14:paraId="624E004A" w14:textId="77777777" w:rsidR="003F70FB" w:rsidRPr="007F087F" w:rsidRDefault="00AA26F8" w:rsidP="003F70FB">
      <w:pPr>
        <w:pStyle w:val="Heading2"/>
      </w:pPr>
      <w:r>
        <w:t>2.1</w:t>
      </w:r>
      <w:r w:rsidR="003F70FB">
        <w:tab/>
      </w:r>
      <w:r w:rsidR="003F70FB" w:rsidRPr="007F087F">
        <w:rPr>
          <w:rFonts w:eastAsia="SimSun"/>
          <w:lang w:val="en-US" w:eastAsia="zh-CN"/>
        </w:rPr>
        <w:t xml:space="preserve">Cost recovery for the processing of satellite network filings </w:t>
      </w:r>
    </w:p>
    <w:p w14:paraId="624E004B" w14:textId="77777777" w:rsidR="005034E8" w:rsidRDefault="00AA26F8" w:rsidP="00475AE9">
      <w:pPr>
        <w:keepLines/>
        <w:ind w:right="-85"/>
      </w:pPr>
      <w:r>
        <w:rPr>
          <w:szCs w:val="24"/>
        </w:rPr>
        <w:t>T</w:t>
      </w:r>
      <w:r w:rsidRPr="002311B1">
        <w:rPr>
          <w:szCs w:val="24"/>
        </w:rPr>
        <w:t xml:space="preserve">he status report on the implementation of cost recovery for satellite network filings </w:t>
      </w:r>
      <w:r>
        <w:rPr>
          <w:szCs w:val="24"/>
        </w:rPr>
        <w:t xml:space="preserve">was </w:t>
      </w:r>
      <w:r w:rsidRPr="002311B1">
        <w:rPr>
          <w:szCs w:val="24"/>
        </w:rPr>
        <w:t xml:space="preserve">presented </w:t>
      </w:r>
      <w:r>
        <w:rPr>
          <w:szCs w:val="24"/>
        </w:rPr>
        <w:t xml:space="preserve">in </w:t>
      </w:r>
      <w:r w:rsidRPr="002311B1">
        <w:rPr>
          <w:szCs w:val="24"/>
        </w:rPr>
        <w:t xml:space="preserve">Document </w:t>
      </w:r>
      <w:hyperlink r:id="rId16" w:history="1">
        <w:r w:rsidRPr="00A3696F">
          <w:rPr>
            <w:rStyle w:val="Hyperlink"/>
            <w:szCs w:val="24"/>
          </w:rPr>
          <w:t>C10/14</w:t>
        </w:r>
      </w:hyperlink>
      <w:r>
        <w:rPr>
          <w:szCs w:val="24"/>
        </w:rPr>
        <w:t xml:space="preserve"> and noted by the Council</w:t>
      </w:r>
      <w:r w:rsidRPr="002311B1">
        <w:rPr>
          <w:szCs w:val="24"/>
        </w:rPr>
        <w:t>.</w:t>
      </w:r>
      <w:r w:rsidR="005034E8">
        <w:rPr>
          <w:szCs w:val="24"/>
        </w:rPr>
        <w:t xml:space="preserve"> The report indicated that 99%</w:t>
      </w:r>
      <w:r w:rsidR="005034E8">
        <w:t xml:space="preserve"> of invoices issued in 2008/2009 due by 31.12.2009 were paid, and that the budget figures related to the 2008-2009 income for cost recovery of satellite network filing</w:t>
      </w:r>
      <w:r w:rsidR="00475AE9">
        <w:t>s</w:t>
      </w:r>
      <w:r w:rsidR="005034E8">
        <w:t xml:space="preserve"> have been exceeded. These positive results were considered to be a demonstration of a real </w:t>
      </w:r>
      <w:r w:rsidR="005034E8" w:rsidRPr="00685F54">
        <w:t>consensus among Member States</w:t>
      </w:r>
      <w:r w:rsidR="005034E8">
        <w:t xml:space="preserve"> about the pertinence of Decision 482</w:t>
      </w:r>
      <w:r w:rsidR="00EC6ACC">
        <w:t xml:space="preserve"> </w:t>
      </w:r>
      <w:r w:rsidR="00EC6ACC" w:rsidRPr="003559FA">
        <w:rPr>
          <w:szCs w:val="24"/>
          <w:lang w:eastAsia="zh-CN"/>
        </w:rPr>
        <w:t>(modified 2008)</w:t>
      </w:r>
      <w:r w:rsidR="005034E8">
        <w:t xml:space="preserve"> and </w:t>
      </w:r>
      <w:r w:rsidR="00475AE9">
        <w:t xml:space="preserve">general </w:t>
      </w:r>
      <w:r w:rsidR="005034E8">
        <w:t>acceptance of its principles.</w:t>
      </w:r>
    </w:p>
    <w:p w14:paraId="624E004C" w14:textId="77777777" w:rsidR="005034E8" w:rsidRDefault="005034E8" w:rsidP="00EC6ACC">
      <w:pPr>
        <w:keepLines/>
        <w:ind w:right="-85"/>
        <w:rPr>
          <w:szCs w:val="24"/>
        </w:rPr>
      </w:pPr>
      <w:r>
        <w:rPr>
          <w:rFonts w:eastAsia="SimSun"/>
          <w:szCs w:val="24"/>
          <w:lang w:val="en-US" w:eastAsia="zh-CN"/>
        </w:rPr>
        <w:t xml:space="preserve">Regarding the arrears of satellite network filings, the report indicated that </w:t>
      </w:r>
      <w:r w:rsidR="00EC6ACC">
        <w:rPr>
          <w:rFonts w:eastAsia="SimSun"/>
          <w:szCs w:val="24"/>
          <w:lang w:val="en-US" w:eastAsia="zh-CN"/>
        </w:rPr>
        <w:t>of the 28 administrations/</w:t>
      </w:r>
      <w:r w:rsidR="00475AE9">
        <w:rPr>
          <w:rFonts w:eastAsia="SimSun"/>
          <w:szCs w:val="24"/>
          <w:lang w:val="en-US" w:eastAsia="zh-CN"/>
        </w:rPr>
        <w:t xml:space="preserve"> </w:t>
      </w:r>
      <w:r w:rsidR="00EC6ACC">
        <w:rPr>
          <w:rFonts w:eastAsia="SimSun"/>
          <w:szCs w:val="24"/>
          <w:lang w:val="en-US" w:eastAsia="zh-CN"/>
        </w:rPr>
        <w:t>operators that were entitled to have their invoices revised, 18 have settled their debts and two have signed repayment schedules.</w:t>
      </w:r>
    </w:p>
    <w:p w14:paraId="624E004D" w14:textId="77777777" w:rsidR="00CC2D20" w:rsidRDefault="00475AE9" w:rsidP="00272B16">
      <w:pPr>
        <w:keepLines/>
        <w:ind w:right="-85"/>
        <w:rPr>
          <w:szCs w:val="24"/>
        </w:rPr>
      </w:pPr>
      <w:r>
        <w:rPr>
          <w:szCs w:val="24"/>
        </w:rPr>
        <w:t xml:space="preserve">The </w:t>
      </w:r>
      <w:r w:rsidR="00AA26F8">
        <w:rPr>
          <w:szCs w:val="24"/>
        </w:rPr>
        <w:t xml:space="preserve">Council </w:t>
      </w:r>
      <w:r w:rsidR="00272B16">
        <w:rPr>
          <w:szCs w:val="24"/>
        </w:rPr>
        <w:t xml:space="preserve">decided </w:t>
      </w:r>
      <w:r w:rsidR="00AA26F8" w:rsidRPr="002311B1">
        <w:t xml:space="preserve">to include the status report </w:t>
      </w:r>
      <w:r w:rsidR="00AA26F8">
        <w:t>on</w:t>
      </w:r>
      <w:r w:rsidR="00AA26F8" w:rsidRPr="002311B1">
        <w:t xml:space="preserve"> implementation of cost recovery for the processing of Satellite Network </w:t>
      </w:r>
      <w:r w:rsidR="00AA26F8">
        <w:t>F</w:t>
      </w:r>
      <w:r w:rsidR="00AA26F8" w:rsidRPr="002311B1">
        <w:t>ilings in the same document that already contains the arrears situation of the Union,</w:t>
      </w:r>
      <w:r w:rsidR="00AA26F8" w:rsidRPr="002311B1">
        <w:rPr>
          <w:szCs w:val="24"/>
        </w:rPr>
        <w:t xml:space="preserve"> on the condition that Decision 482 remains unchanged</w:t>
      </w:r>
      <w:r w:rsidR="00AA26F8">
        <w:rPr>
          <w:szCs w:val="24"/>
        </w:rPr>
        <w:t>.</w:t>
      </w:r>
    </w:p>
    <w:p w14:paraId="624E004E" w14:textId="77777777" w:rsidR="005C528C" w:rsidRDefault="00CC2D20">
      <w:pPr>
        <w:rPr>
          <w:szCs w:val="24"/>
        </w:rPr>
      </w:pPr>
      <w:r w:rsidRPr="006329EF">
        <w:rPr>
          <w:szCs w:val="24"/>
        </w:rPr>
        <w:t xml:space="preserve">The adoption of Decision 482 on cost recovery for the processing of satellite network filings has definitely played </w:t>
      </w:r>
      <w:r w:rsidR="005C528C">
        <w:rPr>
          <w:szCs w:val="24"/>
        </w:rPr>
        <w:t xml:space="preserve">its expected </w:t>
      </w:r>
      <w:r w:rsidRPr="006329EF">
        <w:rPr>
          <w:szCs w:val="24"/>
        </w:rPr>
        <w:t xml:space="preserve">role </w:t>
      </w:r>
      <w:r w:rsidR="005C528C">
        <w:rPr>
          <w:szCs w:val="24"/>
        </w:rPr>
        <w:t xml:space="preserve">by </w:t>
      </w:r>
      <w:r w:rsidRPr="006329EF">
        <w:rPr>
          <w:szCs w:val="24"/>
        </w:rPr>
        <w:t>limiting</w:t>
      </w:r>
      <w:r w:rsidR="00723667" w:rsidRPr="006329EF">
        <w:rPr>
          <w:szCs w:val="24"/>
        </w:rPr>
        <w:t>, inter alia,</w:t>
      </w:r>
      <w:r w:rsidRPr="006329EF">
        <w:rPr>
          <w:szCs w:val="24"/>
        </w:rPr>
        <w:t xml:space="preserve"> coordination filings to </w:t>
      </w:r>
      <w:r w:rsidR="007A12CF">
        <w:rPr>
          <w:szCs w:val="24"/>
        </w:rPr>
        <w:t>projects which have a greater likelihood of becoming real</w:t>
      </w:r>
      <w:r w:rsidRPr="006329EF">
        <w:rPr>
          <w:szCs w:val="24"/>
        </w:rPr>
        <w:t xml:space="preserve">. </w:t>
      </w:r>
      <w:r w:rsidR="005C528C">
        <w:rPr>
          <w:szCs w:val="24"/>
        </w:rPr>
        <w:t xml:space="preserve">Through this decision, the problem of backlog in processing of satellite network filings which had </w:t>
      </w:r>
      <w:r w:rsidR="00EE0585">
        <w:rPr>
          <w:szCs w:val="24"/>
        </w:rPr>
        <w:t>accumu</w:t>
      </w:r>
      <w:r w:rsidR="005C528C">
        <w:rPr>
          <w:szCs w:val="24"/>
        </w:rPr>
        <w:t xml:space="preserve">lated since the early 1990’s as a result of an incoming </w:t>
      </w:r>
      <w:r w:rsidR="005C528C">
        <w:rPr>
          <w:szCs w:val="24"/>
        </w:rPr>
        <w:lastRenderedPageBreak/>
        <w:t>flow of “paper satellites”, has been solved, and since the end of 2010, there is no backlog in any part of the BR process.</w:t>
      </w:r>
    </w:p>
    <w:p w14:paraId="624E004F" w14:textId="1EF60711" w:rsidR="005C528C" w:rsidRDefault="00EE0585" w:rsidP="003907D4">
      <w:r>
        <w:rPr>
          <w:szCs w:val="24"/>
        </w:rPr>
        <w:t>D</w:t>
      </w:r>
      <w:r w:rsidR="005C528C">
        <w:rPr>
          <w:szCs w:val="24"/>
        </w:rPr>
        <w:t xml:space="preserve">ecision </w:t>
      </w:r>
      <w:r>
        <w:rPr>
          <w:szCs w:val="24"/>
        </w:rPr>
        <w:t xml:space="preserve">482 </w:t>
      </w:r>
      <w:r w:rsidR="005C528C">
        <w:rPr>
          <w:szCs w:val="24"/>
        </w:rPr>
        <w:t xml:space="preserve">however, </w:t>
      </w:r>
      <w:r>
        <w:rPr>
          <w:szCs w:val="24"/>
        </w:rPr>
        <w:t xml:space="preserve">is far from having </w:t>
      </w:r>
      <w:r w:rsidR="005C528C">
        <w:rPr>
          <w:szCs w:val="24"/>
        </w:rPr>
        <w:t xml:space="preserve">solved the problem of </w:t>
      </w:r>
      <w:r>
        <w:rPr>
          <w:szCs w:val="24"/>
        </w:rPr>
        <w:t>“</w:t>
      </w:r>
      <w:r w:rsidR="005C528C">
        <w:rPr>
          <w:szCs w:val="24"/>
        </w:rPr>
        <w:t xml:space="preserve">paper </w:t>
      </w:r>
      <w:r>
        <w:rPr>
          <w:szCs w:val="24"/>
        </w:rPr>
        <w:t xml:space="preserve">satellites” entirely: many satellite networks are recorded in the MIFR, but no longer in use, and artificially prevent new networks from having access to spectrum/orbit resources. Since 2009, the BR has focused on enforcing, </w:t>
      </w:r>
      <w:r w:rsidRPr="00405F01">
        <w:t xml:space="preserve">where appropriate, the removal of unused frequency assignments from the MIFR when </w:t>
      </w:r>
      <w:r>
        <w:t>they have not been in regular use</w:t>
      </w:r>
      <w:r w:rsidRPr="00405F01">
        <w:t>.</w:t>
      </w:r>
      <w:r w:rsidR="00A22D97">
        <w:t xml:space="preserve"> These efforts have resulted in </w:t>
      </w:r>
      <w:r w:rsidR="00A22D97" w:rsidRPr="000F738C">
        <w:t xml:space="preserve">the </w:t>
      </w:r>
      <w:r w:rsidR="003907D4" w:rsidRPr="00E632CD">
        <w:t>total or partial</w:t>
      </w:r>
      <w:r w:rsidR="003907D4">
        <w:t xml:space="preserve"> </w:t>
      </w:r>
      <w:r w:rsidR="00A22D97">
        <w:t>suppression of 83 satellite networks over the last two years. Although significant, this result is insufficient in respect of the flow of incoming satellite networks bein</w:t>
      </w:r>
      <w:r w:rsidR="003907D4">
        <w:t xml:space="preserve">g recording in the MIFR (about </w:t>
      </w:r>
      <w:r w:rsidR="003907D4" w:rsidRPr="00E632CD">
        <w:t>250</w:t>
      </w:r>
      <w:r w:rsidR="00A22D97">
        <w:t xml:space="preserve"> per year).</w:t>
      </w:r>
    </w:p>
    <w:p w14:paraId="624E0050" w14:textId="77777777" w:rsidR="005C528C" w:rsidRDefault="00A22D97">
      <w:pPr>
        <w:rPr>
          <w:szCs w:val="24"/>
        </w:rPr>
      </w:pPr>
      <w:r>
        <w:rPr>
          <w:szCs w:val="24"/>
        </w:rPr>
        <w:t xml:space="preserve">As a result of the apparent congestion of spectrum/orbit resources, an increasing number of satellite networks are prevented to access these resources or can only do it under precarious conditions (subject to not causing harmful interference to, nor claiming protection from, incumbent networks in the MIFR). </w:t>
      </w:r>
      <w:r w:rsidR="00FA4497">
        <w:rPr>
          <w:szCs w:val="24"/>
        </w:rPr>
        <w:t>More effective means of preventing “paper satellites” to remain in the MIFR should therefore be considered.</w:t>
      </w:r>
    </w:p>
    <w:p w14:paraId="624E0051" w14:textId="77777777" w:rsidR="00827A36" w:rsidRDefault="00CC2D20">
      <w:pPr>
        <w:rPr>
          <w:szCs w:val="24"/>
        </w:rPr>
      </w:pPr>
      <w:r w:rsidRPr="006329EF">
        <w:rPr>
          <w:szCs w:val="24"/>
        </w:rPr>
        <w:t xml:space="preserve">Decision </w:t>
      </w:r>
      <w:r w:rsidR="00A22D97">
        <w:rPr>
          <w:szCs w:val="24"/>
        </w:rPr>
        <w:t xml:space="preserve">482 </w:t>
      </w:r>
      <w:r w:rsidRPr="006329EF">
        <w:rPr>
          <w:szCs w:val="24"/>
        </w:rPr>
        <w:t>has been buil</w:t>
      </w:r>
      <w:r w:rsidR="00272B16">
        <w:rPr>
          <w:szCs w:val="24"/>
        </w:rPr>
        <w:t>t</w:t>
      </w:r>
      <w:r w:rsidRPr="006329EF">
        <w:rPr>
          <w:szCs w:val="24"/>
        </w:rPr>
        <w:t xml:space="preserve"> on costs related to the processing of new satellite network </w:t>
      </w:r>
      <w:r w:rsidR="00CF5307">
        <w:rPr>
          <w:szCs w:val="24"/>
        </w:rPr>
        <w:t xml:space="preserve">filings </w:t>
      </w:r>
      <w:r w:rsidRPr="006329EF">
        <w:rPr>
          <w:szCs w:val="24"/>
        </w:rPr>
        <w:t xml:space="preserve">up to the entry of the information in the </w:t>
      </w:r>
      <w:r w:rsidR="007A12CF">
        <w:rPr>
          <w:szCs w:val="24"/>
        </w:rPr>
        <w:t xml:space="preserve">Master International Frequency Register </w:t>
      </w:r>
      <w:r w:rsidR="000D5C8B" w:rsidRPr="006329EF">
        <w:rPr>
          <w:szCs w:val="24"/>
        </w:rPr>
        <w:t xml:space="preserve">(MIFR). </w:t>
      </w:r>
      <w:r w:rsidR="00CF5307">
        <w:rPr>
          <w:szCs w:val="24"/>
        </w:rPr>
        <w:t>However, c</w:t>
      </w:r>
      <w:r w:rsidRPr="006329EF">
        <w:rPr>
          <w:szCs w:val="24"/>
        </w:rPr>
        <w:t xml:space="preserve">osts related to the maintenance of such information </w:t>
      </w:r>
      <w:r w:rsidR="00CF5307">
        <w:rPr>
          <w:szCs w:val="24"/>
        </w:rPr>
        <w:t xml:space="preserve">throughout the life of the network </w:t>
      </w:r>
      <w:r w:rsidR="000D5C8B" w:rsidRPr="006329EF">
        <w:rPr>
          <w:szCs w:val="24"/>
        </w:rPr>
        <w:t>w</w:t>
      </w:r>
      <w:r w:rsidR="00CF5307">
        <w:rPr>
          <w:szCs w:val="24"/>
        </w:rPr>
        <w:t>ere</w:t>
      </w:r>
      <w:r w:rsidR="000D5C8B" w:rsidRPr="006329EF">
        <w:rPr>
          <w:szCs w:val="24"/>
        </w:rPr>
        <w:t xml:space="preserve"> not </w:t>
      </w:r>
      <w:r w:rsidR="00B75A60" w:rsidRPr="006329EF">
        <w:rPr>
          <w:szCs w:val="24"/>
        </w:rPr>
        <w:t>considered</w:t>
      </w:r>
      <w:r w:rsidR="00CF5307">
        <w:rPr>
          <w:szCs w:val="24"/>
        </w:rPr>
        <w:t>,</w:t>
      </w:r>
      <w:r w:rsidRPr="006329EF">
        <w:rPr>
          <w:szCs w:val="24"/>
        </w:rPr>
        <w:t xml:space="preserve"> even though such information is taken into account in the technical examination of new satellite networks</w:t>
      </w:r>
      <w:r w:rsidR="00272B16">
        <w:rPr>
          <w:szCs w:val="24"/>
        </w:rPr>
        <w:t xml:space="preserve"> and compatibility calculations carried out by the </w:t>
      </w:r>
      <w:r w:rsidR="00CF5307">
        <w:rPr>
          <w:szCs w:val="24"/>
        </w:rPr>
        <w:t xml:space="preserve">BR </w:t>
      </w:r>
      <w:r w:rsidR="00272B16">
        <w:rPr>
          <w:szCs w:val="24"/>
        </w:rPr>
        <w:t xml:space="preserve">involve both </w:t>
      </w:r>
      <w:r w:rsidR="00CF5307">
        <w:rPr>
          <w:szCs w:val="24"/>
        </w:rPr>
        <w:t xml:space="preserve">the </w:t>
      </w:r>
      <w:r w:rsidR="00272B16">
        <w:rPr>
          <w:szCs w:val="24"/>
        </w:rPr>
        <w:t xml:space="preserve">new </w:t>
      </w:r>
      <w:r w:rsidR="00CF5307">
        <w:rPr>
          <w:szCs w:val="24"/>
        </w:rPr>
        <w:t>networks</w:t>
      </w:r>
      <w:r w:rsidR="00272B16">
        <w:rPr>
          <w:szCs w:val="24"/>
        </w:rPr>
        <w:t xml:space="preserve"> as well as </w:t>
      </w:r>
      <w:r w:rsidR="00CF5307">
        <w:rPr>
          <w:szCs w:val="24"/>
        </w:rPr>
        <w:t xml:space="preserve">the </w:t>
      </w:r>
      <w:r w:rsidR="00272B16">
        <w:rPr>
          <w:szCs w:val="24"/>
        </w:rPr>
        <w:t>networks already recorded in the MIFR</w:t>
      </w:r>
      <w:r w:rsidRPr="006329EF">
        <w:rPr>
          <w:szCs w:val="24"/>
        </w:rPr>
        <w:t xml:space="preserve">.  As a consequence, </w:t>
      </w:r>
      <w:r w:rsidR="00EF6D34">
        <w:rPr>
          <w:szCs w:val="24"/>
        </w:rPr>
        <w:t xml:space="preserve">it may be </w:t>
      </w:r>
      <w:r w:rsidR="00CF5307">
        <w:rPr>
          <w:szCs w:val="24"/>
        </w:rPr>
        <w:t xml:space="preserve">concluded </w:t>
      </w:r>
      <w:r w:rsidR="00EF6D34">
        <w:rPr>
          <w:szCs w:val="24"/>
        </w:rPr>
        <w:t xml:space="preserve">that </w:t>
      </w:r>
      <w:r w:rsidRPr="006329EF">
        <w:rPr>
          <w:szCs w:val="24"/>
        </w:rPr>
        <w:t xml:space="preserve">newcomers are taking on a greater financial burden than </w:t>
      </w:r>
      <w:r w:rsidR="00272B16">
        <w:rPr>
          <w:szCs w:val="24"/>
        </w:rPr>
        <w:t>incumbents</w:t>
      </w:r>
      <w:r w:rsidR="000D5C8B" w:rsidRPr="006329EF">
        <w:rPr>
          <w:szCs w:val="24"/>
        </w:rPr>
        <w:t>, many of which having been recorded prior to the entry into force of Decision 482</w:t>
      </w:r>
      <w:r w:rsidRPr="006329EF">
        <w:rPr>
          <w:szCs w:val="24"/>
        </w:rPr>
        <w:t>.</w:t>
      </w:r>
    </w:p>
    <w:p w14:paraId="624E0052" w14:textId="77777777" w:rsidR="00CA7899" w:rsidRDefault="00CC2D20">
      <w:pPr>
        <w:rPr>
          <w:szCs w:val="24"/>
        </w:rPr>
      </w:pPr>
      <w:r w:rsidRPr="006329EF">
        <w:rPr>
          <w:szCs w:val="24"/>
        </w:rPr>
        <w:t xml:space="preserve">In order to </w:t>
      </w:r>
      <w:r w:rsidR="00CA7899">
        <w:rPr>
          <w:szCs w:val="24"/>
        </w:rPr>
        <w:t xml:space="preserve">ensure a more equitable apportionment of overall processing costs </w:t>
      </w:r>
      <w:r w:rsidRPr="006329EF">
        <w:rPr>
          <w:szCs w:val="24"/>
        </w:rPr>
        <w:t>between satellite users</w:t>
      </w:r>
      <w:r w:rsidR="00CA7899">
        <w:rPr>
          <w:szCs w:val="24"/>
        </w:rPr>
        <w:t>, in particular</w:t>
      </w:r>
      <w:r w:rsidRPr="006329EF">
        <w:rPr>
          <w:szCs w:val="24"/>
        </w:rPr>
        <w:t xml:space="preserve"> </w:t>
      </w:r>
      <w:r w:rsidR="00CF5307">
        <w:rPr>
          <w:szCs w:val="24"/>
        </w:rPr>
        <w:t xml:space="preserve">with respect to </w:t>
      </w:r>
      <w:r w:rsidRPr="006329EF">
        <w:rPr>
          <w:szCs w:val="24"/>
        </w:rPr>
        <w:t xml:space="preserve">the </w:t>
      </w:r>
      <w:r w:rsidR="00CA7899">
        <w:rPr>
          <w:szCs w:val="24"/>
        </w:rPr>
        <w:t xml:space="preserve">costs associated to the </w:t>
      </w:r>
      <w:r w:rsidRPr="006329EF">
        <w:rPr>
          <w:szCs w:val="24"/>
        </w:rPr>
        <w:t>maintenance of frequency assignments during the lifetime of a satellite network, a fee model that would include yearly fees (related to the Bureau’s cost for the maintenance of information in the MIFR)  might</w:t>
      </w:r>
      <w:r w:rsidR="00B75A60" w:rsidRPr="006329EF">
        <w:rPr>
          <w:szCs w:val="24"/>
        </w:rPr>
        <w:t xml:space="preserve"> be</w:t>
      </w:r>
      <w:r w:rsidR="00CF5307">
        <w:rPr>
          <w:szCs w:val="24"/>
        </w:rPr>
        <w:t xml:space="preserve"> </w:t>
      </w:r>
      <w:r w:rsidR="00CA7899">
        <w:rPr>
          <w:szCs w:val="24"/>
        </w:rPr>
        <w:t>considered</w:t>
      </w:r>
      <w:r w:rsidR="00B75A60" w:rsidRPr="006329EF">
        <w:rPr>
          <w:szCs w:val="24"/>
        </w:rPr>
        <w:t xml:space="preserve">. </w:t>
      </w:r>
    </w:p>
    <w:p w14:paraId="624E0053" w14:textId="0C9412D0" w:rsidR="00CC2D20" w:rsidRPr="000D5C8B" w:rsidRDefault="00CA7899" w:rsidP="000E3604">
      <w:pPr>
        <w:rPr>
          <w:szCs w:val="24"/>
        </w:rPr>
      </w:pPr>
      <w:r>
        <w:rPr>
          <w:szCs w:val="24"/>
        </w:rPr>
        <w:t xml:space="preserve">Such consideration lies </w:t>
      </w:r>
      <w:r w:rsidR="00CC2D20" w:rsidRPr="006329EF">
        <w:rPr>
          <w:szCs w:val="24"/>
        </w:rPr>
        <w:t>withi</w:t>
      </w:r>
      <w:r w:rsidR="000D5C8B" w:rsidRPr="006329EF">
        <w:rPr>
          <w:szCs w:val="24"/>
        </w:rPr>
        <w:t xml:space="preserve">n the competence of </w:t>
      </w:r>
      <w:r w:rsidR="00CF5307">
        <w:rPr>
          <w:szCs w:val="24"/>
        </w:rPr>
        <w:t xml:space="preserve">the </w:t>
      </w:r>
      <w:r w:rsidR="00B75A60" w:rsidRPr="006329EF">
        <w:rPr>
          <w:szCs w:val="24"/>
        </w:rPr>
        <w:t>ITU Council and subsequently</w:t>
      </w:r>
      <w:r w:rsidR="00CF5307">
        <w:rPr>
          <w:szCs w:val="24"/>
        </w:rPr>
        <w:t>, that</w:t>
      </w:r>
      <w:r w:rsidR="00B75A60" w:rsidRPr="006329EF">
        <w:rPr>
          <w:szCs w:val="24"/>
        </w:rPr>
        <w:t xml:space="preserve"> of </w:t>
      </w:r>
      <w:r w:rsidR="00CC2D20" w:rsidRPr="006329EF">
        <w:rPr>
          <w:szCs w:val="24"/>
        </w:rPr>
        <w:t>WRC</w:t>
      </w:r>
      <w:r w:rsidR="00B75A60" w:rsidRPr="006329EF">
        <w:rPr>
          <w:szCs w:val="24"/>
        </w:rPr>
        <w:t xml:space="preserve"> for the </w:t>
      </w:r>
      <w:r w:rsidR="000D5C8B" w:rsidRPr="006329EF">
        <w:rPr>
          <w:szCs w:val="24"/>
        </w:rPr>
        <w:t>status of assignments</w:t>
      </w:r>
      <w:r w:rsidR="00B75A60" w:rsidRPr="006329EF">
        <w:rPr>
          <w:szCs w:val="24"/>
        </w:rPr>
        <w:t xml:space="preserve"> in case of non-payment</w:t>
      </w:r>
      <w:r>
        <w:rPr>
          <w:szCs w:val="24"/>
        </w:rPr>
        <w:t>.</w:t>
      </w:r>
      <w:r w:rsidR="00B75A60" w:rsidRPr="006329EF">
        <w:rPr>
          <w:szCs w:val="24"/>
        </w:rPr>
        <w:t xml:space="preserve"> </w:t>
      </w:r>
      <w:r>
        <w:rPr>
          <w:szCs w:val="24"/>
        </w:rPr>
        <w:t xml:space="preserve">The advice of the RAG </w:t>
      </w:r>
      <w:r w:rsidR="00CF5307">
        <w:rPr>
          <w:szCs w:val="24"/>
        </w:rPr>
        <w:t>on this issue</w:t>
      </w:r>
      <w:r w:rsidR="006329EF">
        <w:rPr>
          <w:szCs w:val="24"/>
        </w:rPr>
        <w:t>,</w:t>
      </w:r>
      <w:r w:rsidR="00CF5307">
        <w:rPr>
          <w:szCs w:val="24"/>
        </w:rPr>
        <w:t xml:space="preserve"> </w:t>
      </w:r>
      <w:r>
        <w:rPr>
          <w:szCs w:val="24"/>
        </w:rPr>
        <w:t xml:space="preserve">however, would be welcome since </w:t>
      </w:r>
      <w:r w:rsidR="00CF5307">
        <w:rPr>
          <w:szCs w:val="24"/>
        </w:rPr>
        <w:t xml:space="preserve">it </w:t>
      </w:r>
      <w:r w:rsidR="00833822">
        <w:rPr>
          <w:szCs w:val="24"/>
        </w:rPr>
        <w:t>has implications on</w:t>
      </w:r>
      <w:r w:rsidR="00CC2D20" w:rsidRPr="006329EF">
        <w:rPr>
          <w:szCs w:val="24"/>
        </w:rPr>
        <w:t xml:space="preserve"> the efficient use of </w:t>
      </w:r>
      <w:r w:rsidR="00833822">
        <w:rPr>
          <w:szCs w:val="24"/>
        </w:rPr>
        <w:t>spectrum/orbit resources</w:t>
      </w:r>
      <w:r w:rsidR="00CC2D20" w:rsidRPr="006329EF">
        <w:rPr>
          <w:szCs w:val="24"/>
        </w:rPr>
        <w:t>.</w:t>
      </w:r>
    </w:p>
    <w:p w14:paraId="624E0054" w14:textId="77777777" w:rsidR="001E692F" w:rsidRDefault="000D5C8B" w:rsidP="00727B6E">
      <w:pPr>
        <w:pStyle w:val="Heading2"/>
      </w:pPr>
      <w:r>
        <w:t xml:space="preserve"> </w:t>
      </w:r>
      <w:r w:rsidR="00EC6ACC">
        <w:t>2.2</w:t>
      </w:r>
      <w:r w:rsidR="001E692F">
        <w:tab/>
      </w:r>
      <w:r w:rsidR="00EC6ACC">
        <w:t>New Council Working Groups</w:t>
      </w:r>
    </w:p>
    <w:p w14:paraId="624E0055" w14:textId="77777777" w:rsidR="00EC6ACC" w:rsidRDefault="00174F91">
      <w:pPr>
        <w:rPr>
          <w:rFonts w:asciiTheme="majorBidi" w:hAnsiTheme="majorBidi" w:cstheme="majorBidi"/>
        </w:rPr>
      </w:pPr>
      <w:r w:rsidRPr="005A1189">
        <w:rPr>
          <w:rFonts w:asciiTheme="majorBidi" w:eastAsia="SimSun" w:hAnsiTheme="majorBidi" w:cstheme="majorBidi"/>
          <w:lang w:val="en-US" w:eastAsia="zh-CN"/>
        </w:rPr>
        <w:t xml:space="preserve">The 2010 </w:t>
      </w:r>
      <w:r w:rsidRPr="005A1189">
        <w:rPr>
          <w:rFonts w:asciiTheme="majorBidi" w:hAnsiTheme="majorBidi" w:cstheme="majorBidi"/>
        </w:rPr>
        <w:t xml:space="preserve">extraordinary session of the </w:t>
      </w:r>
      <w:r w:rsidR="00283232" w:rsidRPr="005A1189">
        <w:rPr>
          <w:rFonts w:asciiTheme="majorBidi" w:eastAsia="SimSun" w:hAnsiTheme="majorBidi" w:cstheme="majorBidi"/>
          <w:lang w:val="en-US" w:eastAsia="zh-CN"/>
        </w:rPr>
        <w:t xml:space="preserve">Council </w:t>
      </w:r>
      <w:r w:rsidRPr="005A1189">
        <w:rPr>
          <w:rFonts w:asciiTheme="majorBidi" w:eastAsia="SimSun" w:hAnsiTheme="majorBidi" w:cstheme="majorBidi"/>
          <w:lang w:val="en-US" w:eastAsia="zh-CN"/>
        </w:rPr>
        <w:t>implement</w:t>
      </w:r>
      <w:r w:rsidR="005A1189" w:rsidRPr="005A1189">
        <w:rPr>
          <w:rFonts w:asciiTheme="majorBidi" w:eastAsia="SimSun" w:hAnsiTheme="majorBidi" w:cstheme="majorBidi"/>
          <w:lang w:val="en-US" w:eastAsia="zh-CN"/>
        </w:rPr>
        <w:t>ed</w:t>
      </w:r>
      <w:r w:rsidRPr="005A1189">
        <w:rPr>
          <w:rFonts w:asciiTheme="majorBidi" w:eastAsia="SimSun" w:hAnsiTheme="majorBidi" w:cstheme="majorBidi"/>
          <w:lang w:val="en-US" w:eastAsia="zh-CN"/>
        </w:rPr>
        <w:t xml:space="preserve"> actions called upon by </w:t>
      </w:r>
      <w:r w:rsidR="00E979B6">
        <w:rPr>
          <w:rFonts w:asciiTheme="majorBidi" w:eastAsia="SimSun" w:hAnsiTheme="majorBidi" w:cstheme="majorBidi"/>
          <w:lang w:val="en-US" w:eastAsia="zh-CN"/>
        </w:rPr>
        <w:t xml:space="preserve">the </w:t>
      </w:r>
      <w:r w:rsidRPr="005A1189">
        <w:rPr>
          <w:rFonts w:asciiTheme="majorBidi" w:eastAsia="SimSun" w:hAnsiTheme="majorBidi" w:cstheme="majorBidi"/>
          <w:lang w:val="en-US" w:eastAsia="zh-CN"/>
        </w:rPr>
        <w:t>2010 P</w:t>
      </w:r>
      <w:proofErr w:type="spellStart"/>
      <w:r w:rsidRPr="005A1189">
        <w:rPr>
          <w:rFonts w:asciiTheme="majorBidi" w:hAnsiTheme="majorBidi" w:cstheme="majorBidi"/>
          <w:bCs/>
        </w:rPr>
        <w:t>lenipotentiary</w:t>
      </w:r>
      <w:proofErr w:type="spellEnd"/>
      <w:r w:rsidRPr="005A1189">
        <w:rPr>
          <w:rFonts w:asciiTheme="majorBidi" w:hAnsiTheme="majorBidi" w:cstheme="majorBidi"/>
          <w:bCs/>
        </w:rPr>
        <w:t xml:space="preserve"> Conference (PP-10)</w:t>
      </w:r>
      <w:r w:rsidR="00E979B6">
        <w:rPr>
          <w:rFonts w:asciiTheme="majorBidi" w:hAnsiTheme="majorBidi" w:cstheme="majorBidi"/>
          <w:bCs/>
        </w:rPr>
        <w:t>. In particular, it</w:t>
      </w:r>
      <w:r w:rsidR="005A1189" w:rsidRPr="005A1189">
        <w:rPr>
          <w:rFonts w:asciiTheme="majorBidi" w:hAnsiTheme="majorBidi" w:cstheme="majorBidi"/>
          <w:bCs/>
        </w:rPr>
        <w:t xml:space="preserve"> established the </w:t>
      </w:r>
      <w:r w:rsidR="00EC6ACC" w:rsidRPr="005A1189">
        <w:rPr>
          <w:rFonts w:asciiTheme="majorBidi" w:hAnsiTheme="majorBidi" w:cstheme="majorBidi"/>
          <w:bCs/>
        </w:rPr>
        <w:t>Council Working Group on a stable Const</w:t>
      </w:r>
      <w:r w:rsidRPr="005A1189">
        <w:rPr>
          <w:rFonts w:asciiTheme="majorBidi" w:hAnsiTheme="majorBidi" w:cstheme="majorBidi"/>
          <w:bCs/>
        </w:rPr>
        <w:t>itution (PP-10 Resolution 163</w:t>
      </w:r>
      <w:r w:rsidR="00EC6ACC" w:rsidRPr="005A1189">
        <w:rPr>
          <w:rFonts w:asciiTheme="majorBidi" w:hAnsiTheme="majorBidi" w:cstheme="majorBidi"/>
          <w:bCs/>
        </w:rPr>
        <w:t>)</w:t>
      </w:r>
      <w:r w:rsidR="005A1189" w:rsidRPr="005A1189">
        <w:rPr>
          <w:rFonts w:asciiTheme="majorBidi" w:hAnsiTheme="majorBidi" w:cstheme="majorBidi"/>
          <w:bCs/>
        </w:rPr>
        <w:t xml:space="preserve"> and </w:t>
      </w:r>
      <w:r w:rsidR="005A1189" w:rsidRPr="005A1189">
        <w:rPr>
          <w:rFonts w:asciiTheme="majorBidi" w:hAnsiTheme="majorBidi" w:cstheme="majorBidi"/>
        </w:rPr>
        <w:t>authorize</w:t>
      </w:r>
      <w:r w:rsidR="00E979B6">
        <w:rPr>
          <w:rFonts w:asciiTheme="majorBidi" w:hAnsiTheme="majorBidi" w:cstheme="majorBidi"/>
        </w:rPr>
        <w:t>d</w:t>
      </w:r>
      <w:r w:rsidR="005A1189" w:rsidRPr="005A1189">
        <w:rPr>
          <w:rFonts w:asciiTheme="majorBidi" w:hAnsiTheme="majorBidi" w:cstheme="majorBidi"/>
        </w:rPr>
        <w:t xml:space="preserve"> the Council Group on the Financial Regulations and other related Financial Management Issues (FINREGS) to carry out preparatory work on the new Independent Management Advisory Committee (IMAC) </w:t>
      </w:r>
      <w:r w:rsidR="005A1189" w:rsidRPr="005A1189">
        <w:rPr>
          <w:rFonts w:asciiTheme="majorBidi" w:hAnsiTheme="majorBidi" w:cstheme="majorBidi"/>
          <w:bCs/>
        </w:rPr>
        <w:t>(PP-10 Resolution 162)</w:t>
      </w:r>
      <w:r w:rsidR="005A1189" w:rsidRPr="005A1189">
        <w:rPr>
          <w:rFonts w:asciiTheme="majorBidi" w:hAnsiTheme="majorBidi" w:cstheme="majorBidi"/>
        </w:rPr>
        <w:t>.</w:t>
      </w:r>
    </w:p>
    <w:p w14:paraId="624E0056" w14:textId="77777777" w:rsidR="008D238C" w:rsidRDefault="008D238C" w:rsidP="008D238C">
      <w:pPr>
        <w:pStyle w:val="Heading2"/>
      </w:pPr>
      <w:r>
        <w:t>2.3</w:t>
      </w:r>
      <w:r>
        <w:tab/>
        <w:t>Preparation of the draft budget for 2012-2013</w:t>
      </w:r>
    </w:p>
    <w:p w14:paraId="624E0057" w14:textId="77777777" w:rsidR="008D238C" w:rsidRPr="00E54FD3" w:rsidRDefault="00E54FD3" w:rsidP="00F8528E">
      <w:pPr>
        <w:rPr>
          <w:rFonts w:asciiTheme="majorBidi" w:hAnsiTheme="majorBidi" w:cstheme="majorBidi"/>
          <w:bCs/>
        </w:rPr>
      </w:pPr>
      <w:r w:rsidRPr="00E54FD3">
        <w:rPr>
          <w:rFonts w:asciiTheme="majorBidi" w:hAnsiTheme="majorBidi" w:cstheme="majorBidi"/>
          <w:bCs/>
        </w:rPr>
        <w:t>P</w:t>
      </w:r>
      <w:r w:rsidR="00F8528E" w:rsidRPr="00E54FD3">
        <w:rPr>
          <w:rFonts w:asciiTheme="majorBidi" w:hAnsiTheme="majorBidi" w:cstheme="majorBidi"/>
          <w:bCs/>
        </w:rPr>
        <w:t>reparation of the draft budget is on-going and details will be provided in a separate document.</w:t>
      </w:r>
    </w:p>
    <w:p w14:paraId="624E0058" w14:textId="77777777" w:rsidR="00E74D28" w:rsidRDefault="00E74D28" w:rsidP="00E54FD3">
      <w:pPr>
        <w:pStyle w:val="Heading1"/>
        <w:rPr>
          <w:rFonts w:eastAsia="SimSun"/>
          <w:lang w:val="en-US" w:eastAsia="zh-CN"/>
        </w:rPr>
      </w:pPr>
      <w:r>
        <w:rPr>
          <w:rFonts w:eastAsia="SimSun"/>
          <w:lang w:val="en-US" w:eastAsia="zh-CN"/>
        </w:rPr>
        <w:t>3</w:t>
      </w:r>
      <w:r>
        <w:rPr>
          <w:rFonts w:eastAsia="SimSun"/>
          <w:lang w:val="en-US" w:eastAsia="zh-CN"/>
        </w:rPr>
        <w:tab/>
        <w:t>Results of PP-10</w:t>
      </w:r>
    </w:p>
    <w:p w14:paraId="624E0059" w14:textId="77777777" w:rsidR="00E74D28" w:rsidRPr="00ED0A23" w:rsidRDefault="00E74D28" w:rsidP="006329EF">
      <w:pPr>
        <w:pStyle w:val="Heading2"/>
      </w:pPr>
      <w:r w:rsidRPr="00ED0A23">
        <w:t>3.1</w:t>
      </w:r>
      <w:r w:rsidRPr="00ED0A23">
        <w:tab/>
        <w:t>Strategic Plan 2012-2015 (</w:t>
      </w:r>
      <w:hyperlink r:id="rId17" w:anchor="res71" w:history="1">
        <w:r w:rsidR="006329EF">
          <w:rPr>
            <w:rStyle w:val="Hyperlink"/>
            <w:bCs/>
            <w:szCs w:val="24"/>
          </w:rPr>
          <w:t>Resolution 71 (Rev. Guadalajara 2010)</w:t>
        </w:r>
      </w:hyperlink>
      <w:r w:rsidR="00E979B6">
        <w:rPr>
          <w:bCs/>
          <w:szCs w:val="24"/>
        </w:rPr>
        <w:t>)</w:t>
      </w:r>
    </w:p>
    <w:p w14:paraId="624E005A" w14:textId="77777777" w:rsidR="00D5017E" w:rsidRPr="00922755" w:rsidRDefault="00D5017E" w:rsidP="00D5017E">
      <w:pPr>
        <w:rPr>
          <w:i/>
          <w:iCs/>
        </w:rPr>
      </w:pPr>
      <w:r w:rsidRPr="00922755">
        <w:t xml:space="preserve">The strategic goal of the ITU </w:t>
      </w:r>
      <w:proofErr w:type="spellStart"/>
      <w:r w:rsidRPr="00922755">
        <w:t>Radiocommunication</w:t>
      </w:r>
      <w:proofErr w:type="spellEnd"/>
      <w:r w:rsidRPr="00922755">
        <w:t xml:space="preserve"> Sector (ITU-R) is threefold, and includes:</w:t>
      </w:r>
    </w:p>
    <w:p w14:paraId="624E005B" w14:textId="77777777" w:rsidR="00D5017E" w:rsidRPr="00922755" w:rsidRDefault="00D5017E" w:rsidP="00D5017E">
      <w:pPr>
        <w:pStyle w:val="enumlev1"/>
        <w:rPr>
          <w:bCs/>
        </w:rPr>
      </w:pPr>
      <w:r w:rsidRPr="00922755">
        <w:lastRenderedPageBreak/>
        <w:t>•</w:t>
      </w:r>
      <w:r w:rsidRPr="00922755">
        <w:tab/>
        <w:t xml:space="preserve">To ensure interference-free operations of </w:t>
      </w:r>
      <w:proofErr w:type="spellStart"/>
      <w:r w:rsidRPr="00922755">
        <w:t>radiocommunication</w:t>
      </w:r>
      <w:proofErr w:type="spellEnd"/>
      <w:r w:rsidRPr="00922755">
        <w:t xml:space="preserve"> systems by implementing the Radio Regulations and regional agreements, as well as updating these instruments in an efficient and timely manner through the processes of world and regional </w:t>
      </w:r>
      <w:proofErr w:type="spellStart"/>
      <w:r w:rsidRPr="00922755">
        <w:t>radiocommunication</w:t>
      </w:r>
      <w:proofErr w:type="spellEnd"/>
      <w:r w:rsidRPr="00922755">
        <w:t xml:space="preserve"> conferences</w:t>
      </w:r>
    </w:p>
    <w:p w14:paraId="624E005C" w14:textId="77777777" w:rsidR="00D5017E" w:rsidRPr="00922755" w:rsidRDefault="00D5017E" w:rsidP="00D5017E">
      <w:pPr>
        <w:pStyle w:val="enumlev1"/>
        <w:rPr>
          <w:bCs/>
        </w:rPr>
      </w:pPr>
      <w:r w:rsidRPr="00922755">
        <w:t>•</w:t>
      </w:r>
      <w:r w:rsidRPr="00922755">
        <w:tab/>
        <w:t xml:space="preserve">To establish Recommendations intended to assure the necessary performance and quality in operating </w:t>
      </w:r>
      <w:proofErr w:type="spellStart"/>
      <w:r w:rsidRPr="00922755">
        <w:t>radiocommunication</w:t>
      </w:r>
      <w:proofErr w:type="spellEnd"/>
      <w:r w:rsidRPr="00922755">
        <w:t xml:space="preserve"> systems</w:t>
      </w:r>
    </w:p>
    <w:p w14:paraId="624E005D" w14:textId="77777777" w:rsidR="00D5017E" w:rsidRDefault="00D5017E" w:rsidP="00D5017E">
      <w:pPr>
        <w:pStyle w:val="enumlev1"/>
      </w:pPr>
      <w:r w:rsidRPr="00922755">
        <w:t>•</w:t>
      </w:r>
      <w:r w:rsidRPr="00922755">
        <w:tab/>
        <w:t>To seek ways and means to ensure the rational, equitable, efficient and economical use of the radio-frequency spectrum and satellite-orbit resources and to promote flexibility for future expansion and new technological developments.</w:t>
      </w:r>
    </w:p>
    <w:p w14:paraId="624E005E" w14:textId="77777777" w:rsidR="00121CE0" w:rsidRPr="00922755" w:rsidRDefault="00121CE0" w:rsidP="00D5017E">
      <w:pPr>
        <w:pStyle w:val="enumlev1"/>
        <w:rPr>
          <w:bCs/>
        </w:rPr>
      </w:pPr>
    </w:p>
    <w:p w14:paraId="624E005F" w14:textId="77777777" w:rsidR="00462C3A" w:rsidRPr="00121CE0" w:rsidRDefault="00D5017E" w:rsidP="002D16A7">
      <w:pPr>
        <w:pStyle w:val="enumlev1"/>
        <w:pBdr>
          <w:top w:val="single" w:sz="4" w:space="1" w:color="auto"/>
          <w:left w:val="single" w:sz="4" w:space="4" w:color="auto"/>
          <w:bottom w:val="single" w:sz="4" w:space="1" w:color="auto"/>
          <w:right w:val="single" w:sz="4" w:space="3" w:color="auto"/>
        </w:pBdr>
        <w:shd w:val="clear" w:color="auto" w:fill="F2F2F2" w:themeFill="background1" w:themeFillShade="F2"/>
        <w:rPr>
          <w:sz w:val="22"/>
          <w:szCs w:val="22"/>
        </w:rPr>
      </w:pPr>
      <w:r w:rsidRPr="00121CE0">
        <w:rPr>
          <w:sz w:val="22"/>
          <w:szCs w:val="22"/>
        </w:rPr>
        <w:t xml:space="preserve">The objectives and outputs of the ITU </w:t>
      </w:r>
      <w:proofErr w:type="spellStart"/>
      <w:r w:rsidRPr="00121CE0">
        <w:rPr>
          <w:sz w:val="22"/>
          <w:szCs w:val="22"/>
        </w:rPr>
        <w:t>Radiocommunication</w:t>
      </w:r>
      <w:proofErr w:type="spellEnd"/>
      <w:r w:rsidRPr="00121CE0">
        <w:rPr>
          <w:sz w:val="22"/>
          <w:szCs w:val="22"/>
        </w:rPr>
        <w:t xml:space="preserve"> Sector (ITU-R) are:</w:t>
      </w:r>
    </w:p>
    <w:p w14:paraId="624E0060" w14:textId="77777777" w:rsidR="00462C3A" w:rsidRPr="00121CE0" w:rsidRDefault="00D5017E" w:rsidP="002D16A7">
      <w:pPr>
        <w:pStyle w:val="enumlev1"/>
        <w:pBdr>
          <w:top w:val="single" w:sz="4" w:space="1" w:color="auto"/>
          <w:left w:val="single" w:sz="4" w:space="4" w:color="auto"/>
          <w:bottom w:val="single" w:sz="4" w:space="1" w:color="auto"/>
          <w:right w:val="single" w:sz="4" w:space="3" w:color="auto"/>
        </w:pBdr>
        <w:shd w:val="clear" w:color="auto" w:fill="F2F2F2" w:themeFill="background1" w:themeFillShade="F2"/>
        <w:tabs>
          <w:tab w:val="clear" w:pos="794"/>
        </w:tabs>
        <w:ind w:left="851" w:hanging="851"/>
        <w:rPr>
          <w:bCs/>
          <w:sz w:val="22"/>
          <w:szCs w:val="22"/>
        </w:rPr>
      </w:pPr>
      <w:r w:rsidRPr="00121CE0">
        <w:rPr>
          <w:bCs/>
          <w:sz w:val="22"/>
          <w:szCs w:val="22"/>
          <w:u w:val="single"/>
        </w:rPr>
        <w:t>Objective 1</w:t>
      </w:r>
      <w:r w:rsidRPr="00121CE0">
        <w:rPr>
          <w:bCs/>
          <w:sz w:val="22"/>
          <w:szCs w:val="22"/>
        </w:rPr>
        <w:t xml:space="preserve"> – Coordinating: To promote, foster and ensure cooperation and coordination among all Member States in decision-making on </w:t>
      </w:r>
      <w:proofErr w:type="spellStart"/>
      <w:r w:rsidRPr="00121CE0">
        <w:rPr>
          <w:bCs/>
          <w:sz w:val="22"/>
          <w:szCs w:val="22"/>
        </w:rPr>
        <w:t>radiocommunication</w:t>
      </w:r>
      <w:proofErr w:type="spellEnd"/>
      <w:r w:rsidRPr="00121CE0">
        <w:rPr>
          <w:bCs/>
          <w:sz w:val="22"/>
          <w:szCs w:val="22"/>
        </w:rPr>
        <w:t xml:space="preserve"> issues, with the participation of Sector Members and Associates, as appropriate. </w:t>
      </w:r>
      <w:r w:rsidR="00121CE0" w:rsidRPr="00121CE0">
        <w:rPr>
          <w:bCs/>
          <w:sz w:val="22"/>
          <w:szCs w:val="22"/>
        </w:rPr>
        <w:br/>
      </w:r>
      <w:r w:rsidRPr="00121CE0">
        <w:rPr>
          <w:bCs/>
          <w:sz w:val="22"/>
          <w:szCs w:val="22"/>
          <w:u w:val="single"/>
        </w:rPr>
        <w:t>Outputs</w:t>
      </w:r>
      <w:r w:rsidRPr="00121CE0">
        <w:rPr>
          <w:bCs/>
          <w:sz w:val="22"/>
          <w:szCs w:val="22"/>
        </w:rPr>
        <w:t>: w</w:t>
      </w:r>
      <w:r w:rsidRPr="00121CE0">
        <w:rPr>
          <w:bCs/>
          <w:color w:val="000000"/>
          <w:sz w:val="22"/>
          <w:szCs w:val="22"/>
        </w:rPr>
        <w:t xml:space="preserve">orld and </w:t>
      </w:r>
      <w:proofErr w:type="gramStart"/>
      <w:r w:rsidRPr="00121CE0">
        <w:rPr>
          <w:bCs/>
          <w:color w:val="000000"/>
          <w:sz w:val="22"/>
          <w:szCs w:val="22"/>
        </w:rPr>
        <w:t xml:space="preserve">regional  </w:t>
      </w:r>
      <w:proofErr w:type="spellStart"/>
      <w:r w:rsidRPr="00121CE0">
        <w:rPr>
          <w:bCs/>
          <w:color w:val="000000"/>
          <w:sz w:val="22"/>
          <w:szCs w:val="22"/>
        </w:rPr>
        <w:t>radiocommunication</w:t>
      </w:r>
      <w:proofErr w:type="spellEnd"/>
      <w:proofErr w:type="gramEnd"/>
      <w:r w:rsidRPr="00121CE0">
        <w:rPr>
          <w:bCs/>
          <w:color w:val="000000"/>
          <w:sz w:val="22"/>
          <w:szCs w:val="22"/>
        </w:rPr>
        <w:t xml:space="preserve"> conferences; </w:t>
      </w:r>
      <w:proofErr w:type="spellStart"/>
      <w:r w:rsidRPr="00121CE0">
        <w:rPr>
          <w:bCs/>
          <w:sz w:val="22"/>
          <w:szCs w:val="22"/>
        </w:rPr>
        <w:t>Radiocommunication</w:t>
      </w:r>
      <w:proofErr w:type="spellEnd"/>
      <w:r w:rsidRPr="00121CE0">
        <w:rPr>
          <w:bCs/>
          <w:sz w:val="22"/>
          <w:szCs w:val="22"/>
        </w:rPr>
        <w:t xml:space="preserve"> Assembly; </w:t>
      </w:r>
      <w:proofErr w:type="spellStart"/>
      <w:r w:rsidRPr="00121CE0">
        <w:rPr>
          <w:bCs/>
          <w:sz w:val="22"/>
          <w:szCs w:val="22"/>
        </w:rPr>
        <w:t>Radiocommunication</w:t>
      </w:r>
      <w:proofErr w:type="spellEnd"/>
      <w:r w:rsidRPr="00121CE0">
        <w:rPr>
          <w:bCs/>
          <w:sz w:val="22"/>
          <w:szCs w:val="22"/>
        </w:rPr>
        <w:t xml:space="preserve"> Advisory Group; and Radio Regulations Board.</w:t>
      </w:r>
    </w:p>
    <w:p w14:paraId="624E0061" w14:textId="77777777" w:rsidR="00462C3A" w:rsidRPr="00121CE0" w:rsidRDefault="00D5017E" w:rsidP="002D16A7">
      <w:pPr>
        <w:pStyle w:val="enumlev1"/>
        <w:pBdr>
          <w:top w:val="single" w:sz="4" w:space="1" w:color="auto"/>
          <w:left w:val="single" w:sz="4" w:space="4" w:color="auto"/>
          <w:bottom w:val="single" w:sz="4" w:space="1" w:color="auto"/>
          <w:right w:val="single" w:sz="4" w:space="3" w:color="auto"/>
        </w:pBdr>
        <w:shd w:val="clear" w:color="auto" w:fill="F2F2F2" w:themeFill="background1" w:themeFillShade="F2"/>
        <w:tabs>
          <w:tab w:val="clear" w:pos="794"/>
        </w:tabs>
        <w:ind w:left="851" w:hanging="851"/>
        <w:rPr>
          <w:bCs/>
          <w:sz w:val="22"/>
          <w:szCs w:val="22"/>
        </w:rPr>
      </w:pPr>
      <w:r w:rsidRPr="00121CE0">
        <w:rPr>
          <w:bCs/>
          <w:sz w:val="22"/>
          <w:szCs w:val="22"/>
          <w:u w:val="single"/>
        </w:rPr>
        <w:t>Objective 2</w:t>
      </w:r>
      <w:r w:rsidRPr="00121CE0">
        <w:rPr>
          <w:bCs/>
          <w:sz w:val="22"/>
          <w:szCs w:val="22"/>
        </w:rPr>
        <w:t xml:space="preserve"> – Processing: To meet the requirements of the membership for spectrum, orbit access and operations in application of the Constitution, Convention and Radio Regulations, in the light, </w:t>
      </w:r>
      <w:r w:rsidRPr="00121CE0">
        <w:rPr>
          <w:bCs/>
          <w:i/>
          <w:iCs/>
          <w:sz w:val="22"/>
          <w:szCs w:val="22"/>
        </w:rPr>
        <w:t>inter alia</w:t>
      </w:r>
      <w:r w:rsidRPr="00121CE0">
        <w:rPr>
          <w:bCs/>
          <w:sz w:val="22"/>
          <w:szCs w:val="22"/>
        </w:rPr>
        <w:t xml:space="preserve">, of the accelerating convergence of </w:t>
      </w:r>
      <w:proofErr w:type="spellStart"/>
      <w:r w:rsidRPr="00121CE0">
        <w:rPr>
          <w:bCs/>
          <w:sz w:val="22"/>
          <w:szCs w:val="22"/>
        </w:rPr>
        <w:t>radiocommunication</w:t>
      </w:r>
      <w:proofErr w:type="spellEnd"/>
      <w:r w:rsidRPr="00121CE0">
        <w:rPr>
          <w:bCs/>
          <w:sz w:val="22"/>
          <w:szCs w:val="22"/>
        </w:rPr>
        <w:t xml:space="preserve"> services. </w:t>
      </w:r>
      <w:r w:rsidR="00121CE0" w:rsidRPr="00121CE0">
        <w:rPr>
          <w:bCs/>
          <w:sz w:val="22"/>
          <w:szCs w:val="22"/>
        </w:rPr>
        <w:br/>
      </w:r>
      <w:r w:rsidRPr="00121CE0">
        <w:rPr>
          <w:bCs/>
          <w:sz w:val="22"/>
          <w:szCs w:val="22"/>
          <w:u w:val="single"/>
        </w:rPr>
        <w:t>Outputs</w:t>
      </w:r>
      <w:r w:rsidRPr="00121CE0">
        <w:rPr>
          <w:bCs/>
          <w:sz w:val="22"/>
          <w:szCs w:val="22"/>
        </w:rPr>
        <w:t xml:space="preserve">: Processing of space and terrestrial notices and other related activities; and improvement (e.g. user-friendly) of </w:t>
      </w:r>
      <w:proofErr w:type="spellStart"/>
      <w:r w:rsidRPr="00121CE0">
        <w:rPr>
          <w:bCs/>
          <w:sz w:val="22"/>
          <w:szCs w:val="22"/>
        </w:rPr>
        <w:t>Radiocommunication</w:t>
      </w:r>
      <w:proofErr w:type="spellEnd"/>
      <w:r w:rsidRPr="00121CE0">
        <w:rPr>
          <w:bCs/>
          <w:sz w:val="22"/>
          <w:szCs w:val="22"/>
        </w:rPr>
        <w:t xml:space="preserve"> Bureau software.</w:t>
      </w:r>
    </w:p>
    <w:p w14:paraId="624E0062" w14:textId="77777777" w:rsidR="00462C3A" w:rsidRPr="00121CE0" w:rsidRDefault="00D5017E" w:rsidP="002D16A7">
      <w:pPr>
        <w:pStyle w:val="enumlev1"/>
        <w:pBdr>
          <w:top w:val="single" w:sz="4" w:space="1" w:color="auto"/>
          <w:left w:val="single" w:sz="4" w:space="4" w:color="auto"/>
          <w:bottom w:val="single" w:sz="4" w:space="1" w:color="auto"/>
          <w:right w:val="single" w:sz="4" w:space="3" w:color="auto"/>
        </w:pBdr>
        <w:shd w:val="clear" w:color="auto" w:fill="F2F2F2" w:themeFill="background1" w:themeFillShade="F2"/>
        <w:tabs>
          <w:tab w:val="clear" w:pos="794"/>
        </w:tabs>
        <w:ind w:left="851" w:hanging="851"/>
        <w:rPr>
          <w:bCs/>
          <w:sz w:val="22"/>
          <w:szCs w:val="22"/>
        </w:rPr>
      </w:pPr>
      <w:r w:rsidRPr="00121CE0">
        <w:rPr>
          <w:bCs/>
          <w:sz w:val="22"/>
          <w:szCs w:val="22"/>
          <w:u w:val="single"/>
        </w:rPr>
        <w:t>Objective 3</w:t>
      </w:r>
      <w:r w:rsidRPr="00121CE0">
        <w:rPr>
          <w:bCs/>
          <w:sz w:val="22"/>
          <w:szCs w:val="22"/>
        </w:rPr>
        <w:t xml:space="preserve"> – Producing: To produce Recommendations on </w:t>
      </w:r>
      <w:proofErr w:type="spellStart"/>
      <w:r w:rsidRPr="00121CE0">
        <w:rPr>
          <w:bCs/>
          <w:sz w:val="22"/>
          <w:szCs w:val="22"/>
        </w:rPr>
        <w:t>radiocommunication</w:t>
      </w:r>
      <w:proofErr w:type="spellEnd"/>
      <w:r w:rsidRPr="00121CE0">
        <w:rPr>
          <w:bCs/>
          <w:sz w:val="22"/>
          <w:szCs w:val="22"/>
        </w:rPr>
        <w:t xml:space="preserve"> services in order to achieve connectivity and interoperability in applying modern telecommunications/ICTs, as well as to provide for the most efficient use of spectrum and orbit resources. </w:t>
      </w:r>
      <w:r w:rsidR="00121CE0" w:rsidRPr="00121CE0">
        <w:rPr>
          <w:bCs/>
          <w:sz w:val="22"/>
          <w:szCs w:val="22"/>
        </w:rPr>
        <w:br/>
      </w:r>
      <w:r w:rsidRPr="00121CE0">
        <w:rPr>
          <w:bCs/>
          <w:sz w:val="22"/>
          <w:szCs w:val="22"/>
          <w:u w:val="single"/>
        </w:rPr>
        <w:t>Outputs</w:t>
      </w:r>
      <w:r w:rsidRPr="00121CE0">
        <w:rPr>
          <w:bCs/>
          <w:sz w:val="22"/>
          <w:szCs w:val="22"/>
        </w:rPr>
        <w:t xml:space="preserve">: study groups, working parties, </w:t>
      </w:r>
      <w:proofErr w:type="gramStart"/>
      <w:r w:rsidRPr="00121CE0">
        <w:rPr>
          <w:bCs/>
          <w:sz w:val="22"/>
          <w:szCs w:val="22"/>
        </w:rPr>
        <w:t>task</w:t>
      </w:r>
      <w:proofErr w:type="gramEnd"/>
      <w:r w:rsidRPr="00121CE0">
        <w:rPr>
          <w:bCs/>
          <w:sz w:val="22"/>
          <w:szCs w:val="22"/>
        </w:rPr>
        <w:t xml:space="preserve"> and joint groups.</w:t>
      </w:r>
      <w:r w:rsidR="00462C3A" w:rsidRPr="00121CE0">
        <w:rPr>
          <w:bCs/>
          <w:sz w:val="22"/>
          <w:szCs w:val="22"/>
        </w:rPr>
        <w:t xml:space="preserve"> </w:t>
      </w:r>
    </w:p>
    <w:p w14:paraId="624E0063" w14:textId="77777777" w:rsidR="00D5017E" w:rsidRPr="00121CE0" w:rsidRDefault="00D5017E" w:rsidP="002D16A7">
      <w:pPr>
        <w:pStyle w:val="enumlev1"/>
        <w:pBdr>
          <w:top w:val="single" w:sz="4" w:space="1" w:color="auto"/>
          <w:left w:val="single" w:sz="4" w:space="4" w:color="auto"/>
          <w:bottom w:val="single" w:sz="4" w:space="1" w:color="auto"/>
          <w:right w:val="single" w:sz="4" w:space="3" w:color="auto"/>
        </w:pBdr>
        <w:shd w:val="clear" w:color="auto" w:fill="F2F2F2" w:themeFill="background1" w:themeFillShade="F2"/>
        <w:tabs>
          <w:tab w:val="clear" w:pos="794"/>
        </w:tabs>
        <w:ind w:left="851" w:hanging="851"/>
        <w:rPr>
          <w:b/>
          <w:bCs/>
          <w:i/>
          <w:iCs/>
          <w:sz w:val="22"/>
          <w:szCs w:val="22"/>
        </w:rPr>
      </w:pPr>
      <w:r w:rsidRPr="00121CE0">
        <w:rPr>
          <w:bCs/>
          <w:sz w:val="22"/>
          <w:szCs w:val="22"/>
          <w:u w:val="single"/>
        </w:rPr>
        <w:t>Objective 4</w:t>
      </w:r>
      <w:r w:rsidRPr="00121CE0">
        <w:rPr>
          <w:bCs/>
          <w:sz w:val="22"/>
          <w:szCs w:val="22"/>
        </w:rPr>
        <w:t xml:space="preserve"> – Informing: To respond to the needs of the membership by disseminating information and know-how on </w:t>
      </w:r>
      <w:proofErr w:type="spellStart"/>
      <w:r w:rsidRPr="00121CE0">
        <w:rPr>
          <w:bCs/>
          <w:sz w:val="22"/>
          <w:szCs w:val="22"/>
        </w:rPr>
        <w:t>radiocommunication</w:t>
      </w:r>
      <w:proofErr w:type="spellEnd"/>
      <w:r w:rsidRPr="00121CE0">
        <w:rPr>
          <w:bCs/>
          <w:sz w:val="22"/>
          <w:szCs w:val="22"/>
        </w:rPr>
        <w:t xml:space="preserve"> issues, by publishing and distributing relevant materials (e.g. service publications, reports and handbooks), in coordination and collaboration, as appropriate, with the other Bureaux and the General Secretariat. </w:t>
      </w:r>
      <w:r w:rsidR="00121CE0" w:rsidRPr="00121CE0">
        <w:rPr>
          <w:bCs/>
          <w:sz w:val="22"/>
          <w:szCs w:val="22"/>
        </w:rPr>
        <w:br/>
      </w:r>
      <w:r w:rsidRPr="00121CE0">
        <w:rPr>
          <w:bCs/>
          <w:sz w:val="22"/>
          <w:szCs w:val="22"/>
          <w:u w:val="single"/>
        </w:rPr>
        <w:t>Outputs</w:t>
      </w:r>
      <w:r w:rsidRPr="00121CE0">
        <w:rPr>
          <w:bCs/>
          <w:sz w:val="22"/>
          <w:szCs w:val="22"/>
        </w:rPr>
        <w:t>: ITU-R publications.</w:t>
      </w:r>
    </w:p>
    <w:p w14:paraId="624E0064" w14:textId="77777777" w:rsidR="00D5017E" w:rsidRPr="00121CE0" w:rsidRDefault="00D5017E" w:rsidP="002D16A7">
      <w:pPr>
        <w:pStyle w:val="Heading4"/>
        <w:pBdr>
          <w:top w:val="single" w:sz="4" w:space="1" w:color="auto"/>
          <w:left w:val="single" w:sz="4" w:space="4" w:color="auto"/>
          <w:bottom w:val="single" w:sz="4" w:space="1" w:color="auto"/>
          <w:right w:val="single" w:sz="4" w:space="3" w:color="auto"/>
        </w:pBdr>
        <w:shd w:val="clear" w:color="auto" w:fill="F2F2F2" w:themeFill="background1" w:themeFillShade="F2"/>
        <w:tabs>
          <w:tab w:val="clear" w:pos="1021"/>
        </w:tabs>
        <w:ind w:left="851" w:hanging="851"/>
        <w:rPr>
          <w:b w:val="0"/>
          <w:bCs/>
          <w:sz w:val="22"/>
          <w:szCs w:val="22"/>
        </w:rPr>
      </w:pPr>
      <w:r w:rsidRPr="00121CE0">
        <w:rPr>
          <w:b w:val="0"/>
          <w:bCs/>
          <w:sz w:val="22"/>
          <w:szCs w:val="22"/>
          <w:u w:val="single"/>
        </w:rPr>
        <w:t>Objective 5</w:t>
      </w:r>
      <w:r w:rsidRPr="00121CE0">
        <w:rPr>
          <w:b w:val="0"/>
          <w:bCs/>
          <w:sz w:val="22"/>
          <w:szCs w:val="22"/>
        </w:rPr>
        <w:t xml:space="preserve"> – Assisting: To provide support and assistance to the membership, mainly to developing countries, in relation to </w:t>
      </w:r>
      <w:proofErr w:type="spellStart"/>
      <w:r w:rsidRPr="00121CE0">
        <w:rPr>
          <w:b w:val="0"/>
          <w:bCs/>
          <w:sz w:val="22"/>
          <w:szCs w:val="22"/>
        </w:rPr>
        <w:t>radiocommunication</w:t>
      </w:r>
      <w:proofErr w:type="spellEnd"/>
      <w:r w:rsidRPr="00121CE0">
        <w:rPr>
          <w:b w:val="0"/>
          <w:bCs/>
          <w:sz w:val="22"/>
          <w:szCs w:val="22"/>
        </w:rPr>
        <w:t xml:space="preserve"> matters, information and communication network infrastructure and applications, and in particular with respect to a) bridging the digital divide; b) gaining equitable access to the radio-frequency spectrum and to satellite orbits; and c) providing training and producing relevant training materials for capacity building. </w:t>
      </w:r>
      <w:r w:rsidR="00121CE0" w:rsidRPr="00121CE0">
        <w:rPr>
          <w:b w:val="0"/>
          <w:bCs/>
          <w:sz w:val="22"/>
          <w:szCs w:val="22"/>
        </w:rPr>
        <w:br/>
      </w:r>
      <w:r w:rsidRPr="00121CE0">
        <w:rPr>
          <w:b w:val="0"/>
          <w:bCs/>
          <w:sz w:val="22"/>
          <w:szCs w:val="22"/>
          <w:u w:val="single"/>
        </w:rPr>
        <w:t>Outputs</w:t>
      </w:r>
      <w:r w:rsidRPr="00121CE0">
        <w:rPr>
          <w:b w:val="0"/>
          <w:bCs/>
          <w:sz w:val="22"/>
          <w:szCs w:val="22"/>
        </w:rPr>
        <w:t>: Assistance to members, in particular developing countries and LDCs; Liaison/support for development activities; and seminars</w:t>
      </w:r>
      <w:r w:rsidR="00121CE0">
        <w:rPr>
          <w:b w:val="0"/>
          <w:bCs/>
          <w:sz w:val="22"/>
          <w:szCs w:val="22"/>
        </w:rPr>
        <w:t>.</w:t>
      </w:r>
    </w:p>
    <w:p w14:paraId="624E0065" w14:textId="77777777" w:rsidR="00E74D28" w:rsidRDefault="00E74D28" w:rsidP="00E74D28">
      <w:pPr>
        <w:rPr>
          <w:highlight w:val="yellow"/>
        </w:rPr>
      </w:pPr>
    </w:p>
    <w:p w14:paraId="39FE6EB1" w14:textId="77777777" w:rsidR="00E50A4F" w:rsidRPr="007F0E18" w:rsidRDefault="00E50A4F">
      <w:pPr>
        <w:tabs>
          <w:tab w:val="clear" w:pos="794"/>
          <w:tab w:val="clear" w:pos="1191"/>
          <w:tab w:val="clear" w:pos="1588"/>
          <w:tab w:val="clear" w:pos="1985"/>
        </w:tabs>
        <w:overflowPunct/>
        <w:autoSpaceDE/>
        <w:autoSpaceDN/>
        <w:adjustRightInd/>
        <w:spacing w:before="0"/>
        <w:textAlignment w:val="auto"/>
        <w:rPr>
          <w:b/>
          <w:lang w:val="en-US"/>
        </w:rPr>
      </w:pPr>
      <w:r w:rsidRPr="007F0E18">
        <w:rPr>
          <w:lang w:val="en-US"/>
        </w:rPr>
        <w:br w:type="page"/>
      </w:r>
    </w:p>
    <w:p w14:paraId="624E0066" w14:textId="17552F25" w:rsidR="00E74D28" w:rsidRPr="006329EF" w:rsidRDefault="00ED0A23" w:rsidP="006329EF">
      <w:pPr>
        <w:pStyle w:val="Heading2"/>
        <w:rPr>
          <w:highlight w:val="yellow"/>
          <w:lang w:val="es-ES"/>
        </w:rPr>
      </w:pPr>
      <w:r w:rsidRPr="006329EF">
        <w:rPr>
          <w:lang w:val="es-ES"/>
        </w:rPr>
        <w:t>3.</w:t>
      </w:r>
      <w:r w:rsidR="008C25F1" w:rsidRPr="006329EF">
        <w:rPr>
          <w:lang w:val="es-ES"/>
        </w:rPr>
        <w:t>2</w:t>
      </w:r>
      <w:r w:rsidRPr="006329EF">
        <w:rPr>
          <w:lang w:val="es-ES"/>
        </w:rPr>
        <w:tab/>
      </w:r>
      <w:proofErr w:type="spellStart"/>
      <w:r w:rsidRPr="006329EF">
        <w:rPr>
          <w:lang w:val="es-ES"/>
        </w:rPr>
        <w:t>Financial</w:t>
      </w:r>
      <w:proofErr w:type="spellEnd"/>
      <w:r w:rsidRPr="006329EF">
        <w:rPr>
          <w:lang w:val="es-ES"/>
        </w:rPr>
        <w:t xml:space="preserve"> Plan 2012-2015 (</w:t>
      </w:r>
      <w:proofErr w:type="spellStart"/>
      <w:r w:rsidR="00914DF4">
        <w:fldChar w:fldCharType="begin"/>
      </w:r>
      <w:r w:rsidR="00914DF4" w:rsidRPr="003907D4">
        <w:rPr>
          <w:lang w:val="es-ES"/>
        </w:rPr>
        <w:instrText xml:space="preserve"> HYPERLINK "Decisionhttp://www.itu.int/council/Basic-Texts/ResDecRec-PP10-e.docx" \l "dec5" </w:instrText>
      </w:r>
      <w:r w:rsidR="00914DF4">
        <w:fldChar w:fldCharType="separate"/>
      </w:r>
      <w:r w:rsidR="006329EF" w:rsidRPr="006329EF">
        <w:rPr>
          <w:rStyle w:val="Hyperlink"/>
          <w:bCs/>
          <w:szCs w:val="24"/>
          <w:lang w:val="es-ES"/>
        </w:rPr>
        <w:t>Decision</w:t>
      </w:r>
      <w:proofErr w:type="spellEnd"/>
      <w:r w:rsidR="006329EF" w:rsidRPr="006329EF">
        <w:rPr>
          <w:rStyle w:val="Hyperlink"/>
          <w:bCs/>
          <w:szCs w:val="24"/>
          <w:lang w:val="es-ES"/>
        </w:rPr>
        <w:t xml:space="preserve"> 5 (Rev. Guadalajara, 2010)</w:t>
      </w:r>
      <w:r w:rsidR="00914DF4">
        <w:rPr>
          <w:rStyle w:val="Hyperlink"/>
          <w:bCs/>
          <w:szCs w:val="24"/>
          <w:lang w:val="es-ES"/>
        </w:rPr>
        <w:fldChar w:fldCharType="end"/>
      </w:r>
      <w:r w:rsidRPr="006329EF">
        <w:rPr>
          <w:szCs w:val="24"/>
          <w:lang w:val="es-ES"/>
        </w:rPr>
        <w:t>)</w:t>
      </w:r>
    </w:p>
    <w:p w14:paraId="624E0067" w14:textId="77777777" w:rsidR="00ED0A23" w:rsidRPr="006329EF" w:rsidRDefault="00ED0A23" w:rsidP="00E74D28">
      <w:pPr>
        <w:rPr>
          <w:highlight w:val="yellow"/>
          <w:lang w:val="es-ES"/>
        </w:rPr>
      </w:pPr>
    </w:p>
    <w:p w14:paraId="624E0068" w14:textId="77777777" w:rsidR="00ED0A23" w:rsidRDefault="00ED0A23" w:rsidP="00ED0A23">
      <w:pPr>
        <w:jc w:val="center"/>
        <w:rPr>
          <w:highlight w:val="yellow"/>
        </w:rPr>
      </w:pPr>
      <w:r w:rsidRPr="00922755">
        <w:rPr>
          <w:noProof/>
          <w:lang w:eastAsia="zh-CN"/>
        </w:rPr>
        <w:object w:dxaOrig="12600" w:dyaOrig="14808" w14:anchorId="624E0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467.25pt" o:ole="">
            <v:imagedata r:id="rId18" o:title=""/>
          </v:shape>
          <o:OLEObject Type="Embed" ProgID="Excel.Sheet.12" ShapeID="_x0000_i1025" DrawAspect="Content" ObjectID="_1368885632" r:id="rId19"/>
        </w:object>
      </w:r>
    </w:p>
    <w:p w14:paraId="16A53C5C" w14:textId="4C8DEBA8" w:rsidR="00D135F1" w:rsidRPr="007F0E18" w:rsidRDefault="00D135F1" w:rsidP="00D135F1">
      <w:r>
        <w:t>The Financi</w:t>
      </w:r>
      <w:r w:rsidR="00660002">
        <w:t xml:space="preserve">al Plan includes appropriations </w:t>
      </w:r>
      <w:r>
        <w:t xml:space="preserve">for holding the RA/WRC-12 and </w:t>
      </w:r>
      <w:r w:rsidRPr="007F0E18">
        <w:t>provisions for</w:t>
      </w:r>
      <w:r>
        <w:t xml:space="preserve"> the </w:t>
      </w:r>
      <w:r w:rsidRPr="007F0E18">
        <w:t>post-conference activities to be carried out by BR.</w:t>
      </w:r>
    </w:p>
    <w:p w14:paraId="624E006A" w14:textId="77777777" w:rsidR="00ED0A23" w:rsidRDefault="00ED0A23" w:rsidP="00727B6E">
      <w:r w:rsidRPr="00ED0A23">
        <w:rPr>
          <w:szCs w:val="24"/>
        </w:rPr>
        <w:t xml:space="preserve">Annex 2 </w:t>
      </w:r>
      <w:r w:rsidR="0050169F">
        <w:rPr>
          <w:szCs w:val="24"/>
        </w:rPr>
        <w:t>to</w:t>
      </w:r>
      <w:r w:rsidRPr="00ED0A23">
        <w:rPr>
          <w:szCs w:val="24"/>
        </w:rPr>
        <w:t xml:space="preserve"> Decision 5 contains measures for reducing expenditure, which include</w:t>
      </w:r>
      <w:r>
        <w:rPr>
          <w:szCs w:val="24"/>
        </w:rPr>
        <w:t xml:space="preserve"> the following items of special relevance to ITU-R</w:t>
      </w:r>
      <w:r w:rsidRPr="00ED0A23">
        <w:rPr>
          <w:szCs w:val="24"/>
        </w:rPr>
        <w:t xml:space="preserve">: </w:t>
      </w:r>
      <w:r>
        <w:rPr>
          <w:szCs w:val="24"/>
        </w:rPr>
        <w:t xml:space="preserve">the </w:t>
      </w:r>
      <w:r w:rsidRPr="00ED0A23">
        <w:rPr>
          <w:szCs w:val="24"/>
        </w:rPr>
        <w:t>review of the costs of study groups and other relevant groups; limitation of the number of study group meetings and their duration; limitation of the number of days of meetings for the advisory groups to three days per year maximum with interpretation; incorporation of the first preparatory meeting for the 2015</w:t>
      </w:r>
      <w:r w:rsidR="00727B6E">
        <w:rPr>
          <w:szCs w:val="24"/>
        </w:rPr>
        <w:t>/</w:t>
      </w:r>
      <w:r w:rsidRPr="00ED0A23">
        <w:rPr>
          <w:szCs w:val="24"/>
        </w:rPr>
        <w:t>2016 world radiocommunication conference within the conference period</w:t>
      </w:r>
      <w:r w:rsidR="00727B6E">
        <w:rPr>
          <w:szCs w:val="24"/>
        </w:rPr>
        <w:t xml:space="preserve"> (see 3.2.1 below)</w:t>
      </w:r>
      <w:r w:rsidRPr="00ED0A23">
        <w:rPr>
          <w:szCs w:val="24"/>
        </w:rPr>
        <w:t>; taking into account No. 145 of the Convention, a full range of electronic working methods needs to be explored to possibly reduce the costs, number and duration of the Radio Regulations Board meetings in the future, e.g. reduction of the number of meetings in one calendar year from four to three; move, to the extent practicable, from present communications by fax between the Union and Member States to modern electronic communication methods.</w:t>
      </w:r>
      <w:r w:rsidR="00960F36">
        <w:rPr>
          <w:szCs w:val="24"/>
        </w:rPr>
        <w:t xml:space="preserve"> </w:t>
      </w:r>
      <w:r w:rsidR="00960F36" w:rsidRPr="004A3728">
        <w:rPr>
          <w:rFonts w:asciiTheme="majorBidi" w:hAnsiTheme="majorBidi" w:cstheme="majorBidi"/>
          <w:szCs w:val="24"/>
        </w:rPr>
        <w:t xml:space="preserve">Moreover, </w:t>
      </w:r>
      <w:r w:rsidR="00960F36" w:rsidRPr="004A3728">
        <w:t xml:space="preserve">the first </w:t>
      </w:r>
      <w:r w:rsidR="00960F36" w:rsidRPr="004A3728">
        <w:rPr>
          <w:rFonts w:asciiTheme="majorBidi" w:hAnsiTheme="majorBidi" w:cstheme="majorBidi"/>
        </w:rPr>
        <w:t>three</w:t>
      </w:r>
      <w:r w:rsidR="00960F36" w:rsidRPr="004A3728">
        <w:t xml:space="preserve"> measures for reducing expenditure in Annex 2 to Decision 5 </w:t>
      </w:r>
      <w:r w:rsidR="00960F36" w:rsidRPr="004A3728">
        <w:rPr>
          <w:rFonts w:asciiTheme="majorBidi" w:hAnsiTheme="majorBidi" w:cstheme="majorBidi"/>
        </w:rPr>
        <w:t>related to</w:t>
      </w:r>
      <w:r w:rsidR="00960F36" w:rsidRPr="004A3728">
        <w:t xml:space="preserve"> the coordination and harmonization of seminars and workshops across the ITU are already being implemented </w:t>
      </w:r>
      <w:r w:rsidR="00960F36" w:rsidRPr="004A3728">
        <w:rPr>
          <w:rFonts w:asciiTheme="majorBidi" w:hAnsiTheme="majorBidi" w:cstheme="majorBidi"/>
        </w:rPr>
        <w:t xml:space="preserve">under the supervision of the three Directors </w:t>
      </w:r>
      <w:r w:rsidR="00960F36" w:rsidRPr="004A3728">
        <w:t>since beginning of 2011</w:t>
      </w:r>
      <w:r w:rsidR="00727B6E">
        <w:t xml:space="preserve"> </w:t>
      </w:r>
      <w:r w:rsidR="00727B6E" w:rsidRPr="00A246E8">
        <w:t>(see Section 8.1)</w:t>
      </w:r>
      <w:r w:rsidR="00727B6E">
        <w:t xml:space="preserve"> </w:t>
      </w:r>
      <w:r w:rsidR="00960F36" w:rsidRPr="004A3728">
        <w:t>.</w:t>
      </w:r>
    </w:p>
    <w:p w14:paraId="624E006B" w14:textId="77777777" w:rsidR="00A20AD5" w:rsidRPr="00710C80" w:rsidRDefault="00A20AD5" w:rsidP="00BB2A02">
      <w:pPr>
        <w:pStyle w:val="Heading3"/>
      </w:pPr>
      <w:r w:rsidRPr="00710C80">
        <w:t>3.2.1</w:t>
      </w:r>
      <w:r w:rsidRPr="00710C80">
        <w:tab/>
        <w:t>Date of the first session of the CPM for WRC-15</w:t>
      </w:r>
      <w:r w:rsidR="00BB2A02" w:rsidRPr="00710C80">
        <w:t>/</w:t>
      </w:r>
      <w:r w:rsidRPr="00710C80">
        <w:t>16</w:t>
      </w:r>
    </w:p>
    <w:p w14:paraId="624E006C" w14:textId="77777777" w:rsidR="00A20AD5" w:rsidRPr="00BB2A02" w:rsidRDefault="00A20AD5" w:rsidP="00BB2A02">
      <w:pPr>
        <w:rPr>
          <w:shd w:val="pct15" w:color="auto" w:fill="FFFFFF"/>
        </w:rPr>
      </w:pPr>
      <w:r w:rsidRPr="00BB2A02">
        <w:t>With respect to measure 13 of Annex 2 to PP-10 Decision 5 regarding the date of the first preparatory meeting for the [2015] [2016] world radiocommunication conference, the RAG is invited to consider the dates proposed below for the first session of the CPM (CPM15-1), as this information needs to be announced at least four months in advance of the meeting (see § 2.4.3.2 of the Guidelines for the working methods).</w:t>
      </w:r>
    </w:p>
    <w:p w14:paraId="624E006D" w14:textId="77777777" w:rsidR="00A20AD5" w:rsidRPr="00710C80" w:rsidRDefault="00A20AD5" w:rsidP="00A20AD5">
      <w:pPr>
        <w:rPr>
          <w:szCs w:val="24"/>
        </w:rPr>
      </w:pPr>
      <w:r w:rsidRPr="00710C80">
        <w:rPr>
          <w:szCs w:val="24"/>
        </w:rPr>
        <w:t>Considering that:</w:t>
      </w:r>
    </w:p>
    <w:p w14:paraId="624E006E" w14:textId="77777777" w:rsidR="00A20AD5" w:rsidRPr="00710C80" w:rsidRDefault="00A20AD5" w:rsidP="00DC409C">
      <w:pPr>
        <w:pStyle w:val="enumlev2"/>
        <w:rPr>
          <w:lang w:val="en-US"/>
        </w:rPr>
      </w:pPr>
      <w:r w:rsidRPr="00710C80">
        <w:rPr>
          <w:lang w:val="en-US"/>
        </w:rPr>
        <w:t>i)</w:t>
      </w:r>
      <w:r w:rsidRPr="00710C80">
        <w:rPr>
          <w:lang w:val="en-US"/>
        </w:rPr>
        <w:tab/>
        <w:t>the approval of the agenda for WRC-15</w:t>
      </w:r>
      <w:r w:rsidR="00DC409C" w:rsidRPr="00710C80">
        <w:rPr>
          <w:lang w:val="en-US"/>
        </w:rPr>
        <w:t>/</w:t>
      </w:r>
      <w:r w:rsidRPr="00710C80">
        <w:rPr>
          <w:lang w:val="en-US"/>
        </w:rPr>
        <w:t>16 and of the preliminary agenda for the subsequent WRC is most likely to occur at the very end of WRC-12;</w:t>
      </w:r>
    </w:p>
    <w:p w14:paraId="624E006F" w14:textId="77777777" w:rsidR="00A20AD5" w:rsidRPr="00710C80" w:rsidRDefault="00A20AD5" w:rsidP="00A20AD5">
      <w:pPr>
        <w:pStyle w:val="enumlev2"/>
        <w:rPr>
          <w:lang w:val="en-US"/>
        </w:rPr>
      </w:pPr>
      <w:r w:rsidRPr="00710C80">
        <w:rPr>
          <w:lang w:val="en-US"/>
        </w:rPr>
        <w:t>ii)</w:t>
      </w:r>
      <w:r w:rsidRPr="00710C80">
        <w:rPr>
          <w:lang w:val="en-US"/>
        </w:rPr>
        <w:tab/>
        <w:t>the membership and the secretariat will need to carefully analyse the items on those future WRC agendas in order to propose a suitable organization for the ITU-R preparatory studies;</w:t>
      </w:r>
    </w:p>
    <w:p w14:paraId="624E0070" w14:textId="77777777" w:rsidR="00A20AD5" w:rsidRPr="00710C80" w:rsidRDefault="00A20AD5" w:rsidP="00A20AD5">
      <w:pPr>
        <w:pStyle w:val="enumlev2"/>
        <w:rPr>
          <w:lang w:val="en-US"/>
        </w:rPr>
      </w:pPr>
      <w:r w:rsidRPr="00710C80">
        <w:rPr>
          <w:lang w:val="en-US"/>
        </w:rPr>
        <w:t>iii)</w:t>
      </w:r>
      <w:r w:rsidRPr="00710C80">
        <w:rPr>
          <w:lang w:val="en-US"/>
        </w:rPr>
        <w:tab/>
        <w:t>participants at CPM15-1 would not necessarily be attending the final week of WRC</w:t>
      </w:r>
      <w:r w:rsidRPr="00710C80">
        <w:rPr>
          <w:lang w:val="en-US"/>
        </w:rPr>
        <w:noBreakHyphen/>
        <w:t>12.</w:t>
      </w:r>
    </w:p>
    <w:p w14:paraId="624E0071" w14:textId="77777777" w:rsidR="00A20AD5" w:rsidRPr="00710C80" w:rsidRDefault="00A20AD5" w:rsidP="00A20AD5">
      <w:pPr>
        <w:rPr>
          <w:szCs w:val="24"/>
        </w:rPr>
      </w:pPr>
      <w:r w:rsidRPr="00710C80">
        <w:rPr>
          <w:szCs w:val="24"/>
        </w:rPr>
        <w:t>the following dates are proposed for CPM15-1:</w:t>
      </w:r>
    </w:p>
    <w:p w14:paraId="624E0072" w14:textId="77777777" w:rsidR="00A20AD5" w:rsidRPr="00710C80" w:rsidRDefault="00A20AD5" w:rsidP="00A20AD5">
      <w:pPr>
        <w:rPr>
          <w:szCs w:val="24"/>
        </w:rPr>
      </w:pPr>
      <w:r w:rsidRPr="00710C80">
        <w:rPr>
          <w:szCs w:val="24"/>
        </w:rPr>
        <w:tab/>
        <w:t>Option 1: Saturday 18 and Sunday 19 February 2012;</w:t>
      </w:r>
    </w:p>
    <w:p w14:paraId="624E0073" w14:textId="77777777" w:rsidR="00A20AD5" w:rsidRPr="00A20AD5" w:rsidRDefault="00A20AD5" w:rsidP="00A20AD5">
      <w:pPr>
        <w:rPr>
          <w:szCs w:val="24"/>
        </w:rPr>
      </w:pPr>
      <w:r w:rsidRPr="00710C80">
        <w:rPr>
          <w:szCs w:val="24"/>
        </w:rPr>
        <w:tab/>
        <w:t>Option 2: Monday 20 and Tuesday 21 February 2012.</w:t>
      </w:r>
    </w:p>
    <w:p w14:paraId="624E0074" w14:textId="77777777" w:rsidR="00ED0A23" w:rsidRDefault="00ED0A23" w:rsidP="006329EF">
      <w:pPr>
        <w:pStyle w:val="Heading2"/>
        <w:rPr>
          <w:bCs/>
        </w:rPr>
      </w:pPr>
      <w:r w:rsidRPr="00ED0A23">
        <w:t>3.</w:t>
      </w:r>
      <w:r w:rsidR="00E36518">
        <w:t>3</w:t>
      </w:r>
      <w:r w:rsidRPr="00ED0A23">
        <w:tab/>
      </w:r>
      <w:r w:rsidR="00E36518" w:rsidRPr="00E36518">
        <w:t>Admission of academia</w:t>
      </w:r>
      <w:r w:rsidRPr="00E36518">
        <w:rPr>
          <w:bCs/>
        </w:rPr>
        <w:t xml:space="preserve"> (</w:t>
      </w:r>
      <w:hyperlink r:id="rId20" w:anchor="res169" w:history="1">
        <w:r w:rsidR="006329EF">
          <w:rPr>
            <w:rStyle w:val="Hyperlink"/>
            <w:bCs/>
            <w:szCs w:val="24"/>
          </w:rPr>
          <w:t>Resolution 169 (Guadalajara, 2010)</w:t>
        </w:r>
      </w:hyperlink>
      <w:r w:rsidRPr="00E36518">
        <w:rPr>
          <w:bCs/>
        </w:rPr>
        <w:t>)</w:t>
      </w:r>
    </w:p>
    <w:p w14:paraId="624E0075" w14:textId="77777777" w:rsidR="008C2136" w:rsidRPr="00922755" w:rsidRDefault="00743574" w:rsidP="008C2136">
      <w:r>
        <w:t xml:space="preserve">Through Resolution 169 (Guadalajara, 2010), </w:t>
      </w:r>
      <w:r w:rsidR="008C2136">
        <w:t xml:space="preserve">PP-10 decided </w:t>
      </w:r>
      <w:r w:rsidR="008C2136" w:rsidRPr="00922755">
        <w:t>to admit academia, universities and their ass</w:t>
      </w:r>
      <w:r w:rsidR="00E979B6">
        <w:t xml:space="preserve">ociated research establishments </w:t>
      </w:r>
      <w:r w:rsidR="008C2136" w:rsidRPr="00922755">
        <w:t xml:space="preserve">concerned with the development of telecommunications/information and communication technology (ICT) to participate in the work of the three Sectors, pursuant to the provisions </w:t>
      </w:r>
      <w:r w:rsidR="00E979B6">
        <w:t xml:space="preserve">of </w:t>
      </w:r>
      <w:r w:rsidR="008C2136">
        <w:t>R</w:t>
      </w:r>
      <w:r w:rsidR="008C2136" w:rsidRPr="00922755">
        <w:t>esolution</w:t>
      </w:r>
      <w:r w:rsidR="008C2136">
        <w:t xml:space="preserve"> 169</w:t>
      </w:r>
      <w:r w:rsidR="00E979B6">
        <w:t xml:space="preserve"> (Guadalajara, 2010)</w:t>
      </w:r>
      <w:r w:rsidR="008C2136" w:rsidRPr="00922755">
        <w:t xml:space="preserve">, without the need for any amendment to Articles 2 and 3 of the ITU Constitution, for a trial period until the </w:t>
      </w:r>
      <w:r w:rsidR="008C2136">
        <w:t>next plenipotentiary conference.</w:t>
      </w:r>
    </w:p>
    <w:p w14:paraId="624E0076" w14:textId="77777777" w:rsidR="008C2136" w:rsidRDefault="008C2136" w:rsidP="008C2136">
      <w:pPr>
        <w:rPr>
          <w:rFonts w:cstheme="majorBidi"/>
          <w:szCs w:val="24"/>
        </w:rPr>
      </w:pPr>
      <w:r>
        <w:rPr>
          <w:rFonts w:cstheme="majorBidi"/>
          <w:szCs w:val="24"/>
        </w:rPr>
        <w:t xml:space="preserve">The </w:t>
      </w:r>
      <w:r w:rsidR="00E979B6">
        <w:rPr>
          <w:rFonts w:cstheme="majorBidi"/>
          <w:szCs w:val="24"/>
        </w:rPr>
        <w:t xml:space="preserve">General </w:t>
      </w:r>
      <w:r>
        <w:rPr>
          <w:rFonts w:cstheme="majorBidi"/>
          <w:szCs w:val="24"/>
        </w:rPr>
        <w:t>Secretariat is implementing the necessary procedures to provide a framework for their participation in the work of the Sectors.</w:t>
      </w:r>
    </w:p>
    <w:p w14:paraId="624E0077" w14:textId="77777777" w:rsidR="008C2136" w:rsidRDefault="001D7D93" w:rsidP="008453C2">
      <w:pPr>
        <w:rPr>
          <w:rFonts w:cstheme="majorBidi"/>
          <w:szCs w:val="24"/>
        </w:rPr>
      </w:pPr>
      <w:r>
        <w:rPr>
          <w:rFonts w:asciiTheme="majorBidi" w:hAnsiTheme="majorBidi" w:cstheme="majorBidi"/>
          <w:szCs w:val="24"/>
        </w:rPr>
        <w:t>Updated i</w:t>
      </w:r>
      <w:r w:rsidRPr="001D7D93">
        <w:rPr>
          <w:rFonts w:asciiTheme="majorBidi" w:hAnsiTheme="majorBidi" w:cstheme="majorBidi"/>
          <w:szCs w:val="24"/>
        </w:rPr>
        <w:t>nformation on</w:t>
      </w:r>
      <w:r w:rsidR="008453C2">
        <w:rPr>
          <w:rFonts w:asciiTheme="majorBidi" w:hAnsiTheme="majorBidi" w:cstheme="majorBidi"/>
          <w:szCs w:val="24"/>
        </w:rPr>
        <w:t xml:space="preserve"> </w:t>
      </w:r>
      <w:r w:rsidR="00185654">
        <w:rPr>
          <w:rFonts w:asciiTheme="majorBidi" w:hAnsiTheme="majorBidi" w:cstheme="majorBidi"/>
          <w:color w:val="000000"/>
          <w:szCs w:val="24"/>
        </w:rPr>
        <w:t>the establishments</w:t>
      </w:r>
      <w:r w:rsidR="008453C2">
        <w:rPr>
          <w:rFonts w:asciiTheme="majorBidi" w:hAnsiTheme="majorBidi" w:cstheme="majorBidi"/>
          <w:color w:val="000000"/>
          <w:szCs w:val="24"/>
        </w:rPr>
        <w:t xml:space="preserve"> </w:t>
      </w:r>
      <w:r w:rsidR="00185654">
        <w:rPr>
          <w:rFonts w:asciiTheme="majorBidi" w:hAnsiTheme="majorBidi" w:cstheme="majorBidi"/>
          <w:color w:val="000000"/>
          <w:szCs w:val="24"/>
        </w:rPr>
        <w:t xml:space="preserve">which have been </w:t>
      </w:r>
      <w:r w:rsidRPr="001D7D93">
        <w:rPr>
          <w:rFonts w:asciiTheme="majorBidi" w:hAnsiTheme="majorBidi" w:cstheme="majorBidi"/>
          <w:color w:val="000000"/>
          <w:szCs w:val="24"/>
        </w:rPr>
        <w:t>admitted to participate in the work of the ITU</w:t>
      </w:r>
      <w:r>
        <w:rPr>
          <w:rFonts w:asciiTheme="majorBidi" w:hAnsiTheme="majorBidi" w:cstheme="majorBidi"/>
          <w:color w:val="000000"/>
          <w:szCs w:val="24"/>
        </w:rPr>
        <w:t>-R</w:t>
      </w:r>
      <w:r w:rsidRPr="001D7D93">
        <w:rPr>
          <w:rFonts w:asciiTheme="majorBidi" w:hAnsiTheme="majorBidi" w:cstheme="majorBidi"/>
          <w:color w:val="000000"/>
          <w:szCs w:val="24"/>
        </w:rPr>
        <w:t xml:space="preserve"> </w:t>
      </w:r>
      <w:r w:rsidR="00185654">
        <w:rPr>
          <w:rFonts w:cstheme="majorBidi"/>
          <w:szCs w:val="24"/>
        </w:rPr>
        <w:t xml:space="preserve">can be </w:t>
      </w:r>
      <w:r>
        <w:rPr>
          <w:rFonts w:cstheme="majorBidi"/>
          <w:szCs w:val="24"/>
        </w:rPr>
        <w:t xml:space="preserve">found at the </w:t>
      </w:r>
      <w:hyperlink r:id="rId21" w:history="1">
        <w:r w:rsidRPr="001D7D93">
          <w:rPr>
            <w:rStyle w:val="Hyperlink"/>
            <w:rFonts w:cstheme="majorBidi"/>
            <w:szCs w:val="24"/>
          </w:rPr>
          <w:t>ITU Global Directory</w:t>
        </w:r>
      </w:hyperlink>
      <w:r>
        <w:rPr>
          <w:rFonts w:cstheme="majorBidi"/>
          <w:szCs w:val="24"/>
        </w:rPr>
        <w:t>.</w:t>
      </w:r>
    </w:p>
    <w:p w14:paraId="624E0078" w14:textId="77777777" w:rsidR="00E36518" w:rsidRDefault="00E36518" w:rsidP="00E36518">
      <w:pPr>
        <w:rPr>
          <w:rFonts w:cstheme="majorBidi"/>
          <w:szCs w:val="24"/>
        </w:rPr>
      </w:pPr>
      <w:r>
        <w:rPr>
          <w:rFonts w:cstheme="majorBidi"/>
          <w:szCs w:val="24"/>
        </w:rPr>
        <w:t>According to Resolution 169</w:t>
      </w:r>
      <w:r w:rsidR="00185654">
        <w:rPr>
          <w:rFonts w:cstheme="majorBidi"/>
          <w:szCs w:val="24"/>
        </w:rPr>
        <w:t xml:space="preserve"> (Guadalajara, 2010)</w:t>
      </w:r>
      <w:r>
        <w:rPr>
          <w:rFonts w:cstheme="majorBidi"/>
          <w:szCs w:val="24"/>
        </w:rPr>
        <w:t xml:space="preserve">, the Radiocommunication Assembly may wish </w:t>
      </w:r>
      <w:r w:rsidRPr="00E36518">
        <w:rPr>
          <w:rFonts w:cstheme="majorBidi"/>
          <w:szCs w:val="24"/>
        </w:rPr>
        <w:t xml:space="preserve">to mandate </w:t>
      </w:r>
      <w:r>
        <w:rPr>
          <w:rFonts w:cstheme="majorBidi"/>
          <w:szCs w:val="24"/>
        </w:rPr>
        <w:t>the RAG</w:t>
      </w:r>
      <w:r w:rsidRPr="00E36518">
        <w:rPr>
          <w:rFonts w:cstheme="majorBidi"/>
          <w:szCs w:val="24"/>
        </w:rPr>
        <w:t xml:space="preserve"> to study, whether there is a need for any additional measures and/or arrangements to facilitate such participation that are not covered by Resolution</w:t>
      </w:r>
      <w:r>
        <w:rPr>
          <w:rFonts w:cstheme="majorBidi"/>
          <w:szCs w:val="24"/>
        </w:rPr>
        <w:t xml:space="preserve"> ITU-R </w:t>
      </w:r>
      <w:r w:rsidRPr="00E36518">
        <w:rPr>
          <w:rFonts w:cstheme="majorBidi"/>
          <w:szCs w:val="24"/>
        </w:rPr>
        <w:t>1, and adopt such modalities, if they deem it necessary or required, and report the results to the Council</w:t>
      </w:r>
      <w:r>
        <w:rPr>
          <w:rFonts w:cstheme="majorBidi"/>
          <w:szCs w:val="24"/>
        </w:rPr>
        <w:t>.</w:t>
      </w:r>
    </w:p>
    <w:p w14:paraId="624E0079" w14:textId="77777777" w:rsidR="00A25404" w:rsidRPr="000D0AFB" w:rsidRDefault="00A25404" w:rsidP="006329EF">
      <w:pPr>
        <w:pStyle w:val="Heading2"/>
        <w:rPr>
          <w:szCs w:val="24"/>
        </w:rPr>
      </w:pPr>
      <w:r w:rsidRPr="000D0AFB">
        <w:rPr>
          <w:szCs w:val="24"/>
        </w:rPr>
        <w:t>3.4</w:t>
      </w:r>
      <w:r w:rsidRPr="000D0AFB">
        <w:rPr>
          <w:szCs w:val="24"/>
        </w:rPr>
        <w:tab/>
      </w:r>
      <w:r w:rsidR="00462C3A" w:rsidRPr="000D0AFB">
        <w:rPr>
          <w:szCs w:val="24"/>
        </w:rPr>
        <w:t>Admission</w:t>
      </w:r>
      <w:r w:rsidRPr="000D0AFB">
        <w:rPr>
          <w:szCs w:val="24"/>
        </w:rPr>
        <w:t xml:space="preserve"> of Sector Members from developing countries (</w:t>
      </w:r>
      <w:hyperlink r:id="rId22" w:anchor="res170" w:history="1">
        <w:r w:rsidR="006329EF">
          <w:rPr>
            <w:rStyle w:val="Hyperlink"/>
            <w:bCs/>
            <w:szCs w:val="24"/>
          </w:rPr>
          <w:t>Resolution 170 (Guadalajara, 2010)</w:t>
        </w:r>
      </w:hyperlink>
      <w:r w:rsidRPr="000D0AFB">
        <w:rPr>
          <w:szCs w:val="24"/>
        </w:rPr>
        <w:t>)</w:t>
      </w:r>
    </w:p>
    <w:p w14:paraId="624E007A" w14:textId="77777777" w:rsidR="00A25404" w:rsidRDefault="00743574" w:rsidP="00A25404">
      <w:pPr>
        <w:rPr>
          <w:rFonts w:asciiTheme="majorBidi" w:hAnsiTheme="majorBidi" w:cstheme="majorBidi"/>
        </w:rPr>
      </w:pPr>
      <w:r>
        <w:t xml:space="preserve">Through Resolution 170 (Guadalajara, 2010), </w:t>
      </w:r>
      <w:r w:rsidR="00A25404" w:rsidRPr="00A20AD5">
        <w:rPr>
          <w:rFonts w:asciiTheme="majorBidi" w:hAnsiTheme="majorBidi" w:cstheme="majorBidi"/>
        </w:rPr>
        <w:t>PP-10 decided to allow Sector Members from the category of developing countries (with an annual per capita income of less than USD 2 000 according to the United Nations Development Programme classification) to participate in the work of ITU-R based on the level of financial contribution at one-sixteenth of the value of a contributory unit for Sector Members.</w:t>
      </w:r>
    </w:p>
    <w:p w14:paraId="624E007B" w14:textId="77777777" w:rsidR="00A20AD5" w:rsidRPr="00A20AD5" w:rsidRDefault="00A20AD5" w:rsidP="00A20AD5">
      <w:pPr>
        <w:rPr>
          <w:rFonts w:asciiTheme="majorBidi" w:hAnsiTheme="majorBidi" w:cstheme="majorBidi"/>
        </w:rPr>
      </w:pPr>
      <w:r>
        <w:rPr>
          <w:rFonts w:asciiTheme="majorBidi" w:hAnsiTheme="majorBidi" w:cstheme="majorBidi"/>
        </w:rPr>
        <w:t>Currently, there is no ITU-R Sector Member which falls into this category.</w:t>
      </w:r>
    </w:p>
    <w:p w14:paraId="624E007C" w14:textId="77777777" w:rsidR="00462C3A" w:rsidRPr="00A20AD5" w:rsidRDefault="00462C3A">
      <w:pPr>
        <w:rPr>
          <w:rFonts w:asciiTheme="majorBidi" w:hAnsiTheme="majorBidi" w:cstheme="majorBidi"/>
        </w:rPr>
      </w:pPr>
      <w:r w:rsidRPr="00A20AD5">
        <w:rPr>
          <w:rFonts w:asciiTheme="majorBidi" w:hAnsiTheme="majorBidi" w:cstheme="majorBidi"/>
        </w:rPr>
        <w:t xml:space="preserve">Council </w:t>
      </w:r>
      <w:r w:rsidR="00185654">
        <w:rPr>
          <w:rFonts w:asciiTheme="majorBidi" w:hAnsiTheme="majorBidi" w:cstheme="majorBidi"/>
        </w:rPr>
        <w:t xml:space="preserve">was </w:t>
      </w:r>
      <w:r w:rsidRPr="00A20AD5">
        <w:rPr>
          <w:rFonts w:asciiTheme="majorBidi" w:hAnsiTheme="majorBidi" w:cstheme="majorBidi"/>
        </w:rPr>
        <w:t xml:space="preserve">instructed to submit a report on this participation to the next </w:t>
      </w:r>
      <w:r w:rsidR="00A20AD5" w:rsidRPr="00A20AD5">
        <w:rPr>
          <w:rFonts w:asciiTheme="majorBidi" w:hAnsiTheme="majorBidi" w:cstheme="majorBidi"/>
        </w:rPr>
        <w:t>Plenipotentiary Conference</w:t>
      </w:r>
      <w:r w:rsidRPr="00A20AD5">
        <w:rPr>
          <w:rFonts w:asciiTheme="majorBidi" w:hAnsiTheme="majorBidi" w:cstheme="majorBidi"/>
        </w:rPr>
        <w:t xml:space="preserve"> on the basis of an evaluation thereof by the RAG, so as to enable the </w:t>
      </w:r>
      <w:r w:rsidR="00A20AD5">
        <w:rPr>
          <w:rFonts w:asciiTheme="majorBidi" w:hAnsiTheme="majorBidi" w:cstheme="majorBidi"/>
        </w:rPr>
        <w:t xml:space="preserve">PP </w:t>
      </w:r>
      <w:r w:rsidRPr="00A20AD5">
        <w:rPr>
          <w:rFonts w:asciiTheme="majorBidi" w:hAnsiTheme="majorBidi" w:cstheme="majorBidi"/>
        </w:rPr>
        <w:t>to make a final decision on such participation in the light of the report and the proposals therein.</w:t>
      </w:r>
    </w:p>
    <w:p w14:paraId="624E007D" w14:textId="77777777" w:rsidR="00484678" w:rsidRPr="00484678" w:rsidRDefault="00484678" w:rsidP="006329EF">
      <w:pPr>
        <w:pStyle w:val="Heading2"/>
        <w:rPr>
          <w:bCs/>
          <w:szCs w:val="24"/>
        </w:rPr>
      </w:pPr>
      <w:r w:rsidRPr="00484678">
        <w:rPr>
          <w:bCs/>
          <w:szCs w:val="24"/>
        </w:rPr>
        <w:t>3.5</w:t>
      </w:r>
      <w:r w:rsidRPr="00484678">
        <w:rPr>
          <w:bCs/>
          <w:szCs w:val="24"/>
        </w:rPr>
        <w:tab/>
        <w:t xml:space="preserve">Free online access to </w:t>
      </w:r>
      <w:r w:rsidR="008A4564">
        <w:rPr>
          <w:bCs/>
          <w:szCs w:val="24"/>
        </w:rPr>
        <w:t xml:space="preserve">some </w:t>
      </w:r>
      <w:r w:rsidRPr="00484678">
        <w:rPr>
          <w:bCs/>
          <w:szCs w:val="24"/>
        </w:rPr>
        <w:t>ITU</w:t>
      </w:r>
      <w:r>
        <w:rPr>
          <w:bCs/>
          <w:szCs w:val="24"/>
        </w:rPr>
        <w:t>-R</w:t>
      </w:r>
      <w:r w:rsidRPr="00484678">
        <w:rPr>
          <w:bCs/>
          <w:szCs w:val="24"/>
        </w:rPr>
        <w:t xml:space="preserve"> publications (</w:t>
      </w:r>
      <w:hyperlink r:id="rId23" w:anchor="dec12A" w:history="1">
        <w:r w:rsidR="006329EF">
          <w:rPr>
            <w:rStyle w:val="Hyperlink"/>
            <w:bCs/>
            <w:szCs w:val="24"/>
          </w:rPr>
          <w:t>Decision 12 (Guadalajara, 2010)</w:t>
        </w:r>
      </w:hyperlink>
      <w:r w:rsidRPr="00484678">
        <w:rPr>
          <w:bCs/>
          <w:szCs w:val="24"/>
        </w:rPr>
        <w:t>)</w:t>
      </w:r>
    </w:p>
    <w:p w14:paraId="624E007E" w14:textId="77777777" w:rsidR="00A25404" w:rsidRDefault="00743574">
      <w:r>
        <w:t xml:space="preserve">Through Decision 12 (Guadalajara, 2010), </w:t>
      </w:r>
      <w:r w:rsidR="008A4564">
        <w:t xml:space="preserve">PP-10 decided </w:t>
      </w:r>
      <w:r w:rsidR="008A4564" w:rsidRPr="00922755">
        <w:t>to provide free online access to ITU-R recommendations</w:t>
      </w:r>
      <w:r w:rsidR="008A4564">
        <w:t xml:space="preserve"> and </w:t>
      </w:r>
      <w:r w:rsidR="008A4564" w:rsidRPr="00922755">
        <w:t>re</w:t>
      </w:r>
      <w:r w:rsidR="008A4564">
        <w:t xml:space="preserve">ports </w:t>
      </w:r>
      <w:r w:rsidR="008A4564" w:rsidRPr="00922755">
        <w:t>to the general public</w:t>
      </w:r>
      <w:r w:rsidR="008A4564">
        <w:t xml:space="preserve"> and that </w:t>
      </w:r>
      <w:r w:rsidR="008A4564" w:rsidRPr="00922755">
        <w:t>paper copies of ITU-R recommendations</w:t>
      </w:r>
      <w:r w:rsidR="008A4564">
        <w:t xml:space="preserve"> and</w:t>
      </w:r>
      <w:r w:rsidR="008A4564" w:rsidRPr="00922755">
        <w:t xml:space="preserve"> reports</w:t>
      </w:r>
      <w:r w:rsidR="008A4564" w:rsidRPr="00922755" w:rsidDel="00AD48CD">
        <w:t xml:space="preserve"> </w:t>
      </w:r>
      <w:r w:rsidR="008A4564" w:rsidRPr="00922755">
        <w:rPr>
          <w:bCs/>
        </w:rPr>
        <w:t xml:space="preserve">will continue to be charged for on the basis of </w:t>
      </w:r>
      <w:r w:rsidR="008A4564" w:rsidRPr="00922755">
        <w:t>a two-tier pricing policy, whereby Member States, Sector Members and Associates pay a price based on cost recovery, whereas all others, i.e. non-members, pay a "market price</w:t>
      </w:r>
      <w:r w:rsidR="008A4564">
        <w:t>” (</w:t>
      </w:r>
      <w:r w:rsidR="008A4564" w:rsidRPr="000E6755">
        <w:t xml:space="preserve">defined as the price determined by the </w:t>
      </w:r>
      <w:r w:rsidR="008A4564">
        <w:t xml:space="preserve">ITU </w:t>
      </w:r>
      <w:r w:rsidR="008A4564" w:rsidRPr="000E6755">
        <w:t>Sales and Marketing Division</w:t>
      </w:r>
      <w:r w:rsidR="008A4564">
        <w:t>,</w:t>
      </w:r>
      <w:r w:rsidR="008A4564" w:rsidRPr="000E6755">
        <w:t xml:space="preserve"> which is established to maximize revenues without being so high as to discourage sales</w:t>
      </w:r>
      <w:r w:rsidR="008A4564">
        <w:t>).</w:t>
      </w:r>
    </w:p>
    <w:p w14:paraId="624E007F" w14:textId="77777777" w:rsidR="0000329A" w:rsidRDefault="0000329A" w:rsidP="00E36518">
      <w:r>
        <w:t xml:space="preserve">The Council was instructed </w:t>
      </w:r>
      <w:r w:rsidRPr="00922755">
        <w:t xml:space="preserve">to undertake a holistic study on the costs/benefits of providing other texts of the Union, including the </w:t>
      </w:r>
      <w:r>
        <w:t>Radio</w:t>
      </w:r>
      <w:r w:rsidRPr="00922755">
        <w:t xml:space="preserve"> Regulations, free online</w:t>
      </w:r>
      <w:r>
        <w:t>.</w:t>
      </w:r>
    </w:p>
    <w:p w14:paraId="624E0080" w14:textId="77777777" w:rsidR="003E6E41" w:rsidRDefault="00ED5D96" w:rsidP="00ED5D96">
      <w:r>
        <w:t xml:space="preserve">The </w:t>
      </w:r>
      <w:r w:rsidR="00395953" w:rsidRPr="00C636D1">
        <w:t>statistics related to the downl</w:t>
      </w:r>
      <w:r>
        <w:t>oading of ITU-R Recommendations will be presented in an addendum to this document.</w:t>
      </w:r>
    </w:p>
    <w:p w14:paraId="42C25900" w14:textId="77777777" w:rsidR="001D6B4D" w:rsidRDefault="001D6B4D" w:rsidP="001D6B4D">
      <w:pPr>
        <w:pStyle w:val="Heading2"/>
      </w:pPr>
      <w:r>
        <w:t>3.6        Documents and publications of the Union (</w:t>
      </w:r>
      <w:hyperlink r:id="rId24" w:anchor="res66" w:history="1">
        <w:r>
          <w:rPr>
            <w:rStyle w:val="Hyperlink"/>
          </w:rPr>
          <w:t>Resolution 66 (Rev. Guadalajara, 2010)</w:t>
        </w:r>
      </w:hyperlink>
      <w:r>
        <w:t>)</w:t>
      </w:r>
    </w:p>
    <w:p w14:paraId="34DD1D4F" w14:textId="77777777" w:rsidR="001D6B4D" w:rsidRDefault="001D6B4D" w:rsidP="001D6B4D">
      <w:pPr>
        <w:rPr>
          <w:rFonts w:eastAsiaTheme="minorEastAsia"/>
        </w:rPr>
      </w:pPr>
      <w:r>
        <w:t xml:space="preserve">Through Resolution 66 (Rev. Guadalajara, 2010), PP-10 decided that a two-tier pricing policy be established whereby Member States, Sector Members and Associates pay a price based on cost recovery, whereas all others, i.e. non-members, should pay a “market price". </w:t>
      </w:r>
    </w:p>
    <w:p w14:paraId="21BA1E0B" w14:textId="7CB69105" w:rsidR="001D6B4D" w:rsidRDefault="001D6B4D" w:rsidP="00A667F8">
      <w:r>
        <w:t xml:space="preserve">In application of the PP-10 decisions, a new publication pricing policy has been established to be applied to the publications being issued since 1.1 2011, including the most recent ITU-R publications as the 2011 edition of the </w:t>
      </w:r>
      <w:hyperlink r:id="rId25" w:history="1">
        <w:r>
          <w:rPr>
            <w:rStyle w:val="Hyperlink"/>
          </w:rPr>
          <w:t>Spectrum Monitoring Handbook</w:t>
        </w:r>
      </w:hyperlink>
      <w:r w:rsidR="00362FB4">
        <w:t>, </w:t>
      </w:r>
      <w:bookmarkStart w:id="5" w:name="_GoBack"/>
      <w:bookmarkEnd w:id="5"/>
      <w:r>
        <w:t>and the List of Ship S</w:t>
      </w:r>
      <w:r w:rsidR="00DA66F5">
        <w:t>tation</w:t>
      </w:r>
      <w:r>
        <w:t xml:space="preserve">s and Maritime Service Identity Assignments (see </w:t>
      </w:r>
      <w:hyperlink r:id="rId26" w:history="1">
        <w:r>
          <w:rPr>
            <w:rStyle w:val="Hyperlink"/>
          </w:rPr>
          <w:t>http://www.itu.int/pub/R-SP-LM.V-2011</w:t>
        </w:r>
      </w:hyperlink>
      <w:r>
        <w:t>).</w:t>
      </w:r>
    </w:p>
    <w:p w14:paraId="624E0084" w14:textId="77777777" w:rsidR="00A1733F" w:rsidRPr="006329EF" w:rsidRDefault="00A1733F" w:rsidP="001D6B4D">
      <w:pPr>
        <w:pStyle w:val="Heading2"/>
        <w:ind w:left="0" w:firstLine="0"/>
        <w:rPr>
          <w:rFonts w:asciiTheme="majorBidi" w:hAnsiTheme="majorBidi" w:cstheme="majorBidi"/>
          <w:iCs/>
          <w:szCs w:val="22"/>
        </w:rPr>
      </w:pPr>
      <w:r>
        <w:rPr>
          <w:bCs/>
          <w:szCs w:val="24"/>
        </w:rPr>
        <w:t>3.</w:t>
      </w:r>
      <w:r w:rsidR="003B3ECF">
        <w:rPr>
          <w:bCs/>
          <w:szCs w:val="24"/>
        </w:rPr>
        <w:t>7</w:t>
      </w:r>
      <w:r w:rsidRPr="000D0AFB">
        <w:rPr>
          <w:bCs/>
          <w:szCs w:val="24"/>
        </w:rPr>
        <w:tab/>
      </w:r>
      <w:r>
        <w:rPr>
          <w:szCs w:val="24"/>
        </w:rPr>
        <w:t>Electronic meetings</w:t>
      </w:r>
      <w:r w:rsidR="00B04373">
        <w:rPr>
          <w:szCs w:val="24"/>
        </w:rPr>
        <w:t xml:space="preserve"> </w:t>
      </w:r>
      <w:r w:rsidR="00B04373" w:rsidRPr="00922755">
        <w:rPr>
          <w:lang w:eastAsia="ko-KR"/>
        </w:rPr>
        <w:t>working methods</w:t>
      </w:r>
      <w:r>
        <w:t xml:space="preserve"> (</w:t>
      </w:r>
      <w:hyperlink r:id="rId27" w:anchor="res167" w:history="1">
        <w:r w:rsidR="006329EF" w:rsidRPr="006329EF">
          <w:rPr>
            <w:rStyle w:val="Hyperlink"/>
            <w:rFonts w:asciiTheme="majorBidi" w:hAnsiTheme="majorBidi" w:cstheme="majorBidi"/>
            <w:bCs/>
            <w:lang w:val="en-US"/>
          </w:rPr>
          <w:t>Resolution 167 (Guadalajara, 2010)</w:t>
        </w:r>
      </w:hyperlink>
      <w:r w:rsidRPr="006329EF">
        <w:rPr>
          <w:rFonts w:asciiTheme="majorBidi" w:hAnsiTheme="majorBidi" w:cstheme="majorBidi"/>
        </w:rPr>
        <w:t>)</w:t>
      </w:r>
    </w:p>
    <w:p w14:paraId="624E0085" w14:textId="77777777" w:rsidR="00B04373" w:rsidRDefault="00B65E00">
      <w:r>
        <w:rPr>
          <w:iCs/>
          <w:szCs w:val="22"/>
        </w:rPr>
        <w:t xml:space="preserve">Considering </w:t>
      </w:r>
      <w:r>
        <w:t xml:space="preserve">that developments in technologies and facilities for the holding of electronic meetings and the further development of electronic </w:t>
      </w:r>
      <w:r>
        <w:rPr>
          <w:lang w:eastAsia="ko-KR"/>
        </w:rPr>
        <w:t>working methods</w:t>
      </w:r>
      <w:r>
        <w:t xml:space="preserve"> </w:t>
      </w:r>
      <w:r>
        <w:rPr>
          <w:lang w:eastAsia="ko-KR"/>
        </w:rPr>
        <w:t xml:space="preserve">(EWM) enable more </w:t>
      </w:r>
      <w:r>
        <w:t>open, rapid and easy collaboration between participants in the activities of ITU, which may be paperless, PP-10 decided</w:t>
      </w:r>
      <w:r w:rsidR="00743574">
        <w:t xml:space="preserve">, through Resolution 167 (Guadalajara, 2010), </w:t>
      </w:r>
      <w:r>
        <w:t xml:space="preserve"> that ITU should further develop its facilities and capabilities </w:t>
      </w:r>
      <w:r>
        <w:rPr>
          <w:lang w:eastAsia="ko-KR"/>
        </w:rPr>
        <w:t xml:space="preserve">for remote participation by electronic means in appropriate meetings </w:t>
      </w:r>
      <w:r>
        <w:t>of the Union, should continue to develop its electronic working methods concerning the development, distribution and approval of documents, and the promotion of paperless meetings, and gave instructions on the use of hyperlinks in ITU documents (the instructions are not applicable to the outputs of study groups).</w:t>
      </w:r>
    </w:p>
    <w:p w14:paraId="624E0086" w14:textId="77777777" w:rsidR="00466E55" w:rsidRDefault="00466E55" w:rsidP="00B04373">
      <w:r>
        <w:t xml:space="preserve">PP-10 instructed the RAG to be </w:t>
      </w:r>
      <w:r w:rsidRPr="00922755">
        <w:t>involve</w:t>
      </w:r>
      <w:r>
        <w:t>d</w:t>
      </w:r>
      <w:r w:rsidRPr="00922755">
        <w:t xml:space="preserve"> in the evaluation of the use of electronic meetings and to develop further procedures and rules associated with electronic meetings, including the legal aspects</w:t>
      </w:r>
      <w:r>
        <w:t>.</w:t>
      </w:r>
      <w:r w:rsidR="00E54B96">
        <w:t xml:space="preserve"> Moreover, PP-10 instructed the Director, BR, </w:t>
      </w:r>
      <w:r w:rsidR="00E54B96" w:rsidRPr="00922755">
        <w:t xml:space="preserve">to take action, in consultation with the </w:t>
      </w:r>
      <w:r w:rsidR="00E54B96">
        <w:t>RAG</w:t>
      </w:r>
      <w:r w:rsidR="00E54B96" w:rsidRPr="00922755">
        <w:t>, in order to provide appropriate electronic participation or observation facilities in Sector meetings for delegates unable to attend face-to-face meetings</w:t>
      </w:r>
      <w:r w:rsidR="00E54B96">
        <w:t>.</w:t>
      </w:r>
    </w:p>
    <w:p w14:paraId="624E0087" w14:textId="77777777" w:rsidR="00E54B96" w:rsidRPr="00922755" w:rsidRDefault="00E54B96">
      <w:r>
        <w:t>The Report of the RAG Correspondence Group on EWM (Document RAG11-1/</w:t>
      </w:r>
      <w:r w:rsidR="00F53BE7" w:rsidRPr="00D42612">
        <w:t>5</w:t>
      </w:r>
      <w:r>
        <w:t xml:space="preserve">) </w:t>
      </w:r>
      <w:r w:rsidR="006E6D69">
        <w:t xml:space="preserve">contains information on actions taken </w:t>
      </w:r>
      <w:r w:rsidR="00743574">
        <w:t xml:space="preserve">in relation </w:t>
      </w:r>
      <w:r w:rsidR="006E6D69">
        <w:t xml:space="preserve">to these aspects. </w:t>
      </w:r>
    </w:p>
    <w:p w14:paraId="624E0088" w14:textId="77777777" w:rsidR="003B3ECF" w:rsidRDefault="003B3ECF" w:rsidP="006329EF">
      <w:pPr>
        <w:pStyle w:val="Heading2"/>
      </w:pPr>
      <w:r>
        <w:rPr>
          <w:bCs/>
          <w:szCs w:val="24"/>
        </w:rPr>
        <w:t>3.8</w:t>
      </w:r>
      <w:r w:rsidRPr="000D0AFB">
        <w:rPr>
          <w:bCs/>
          <w:szCs w:val="24"/>
        </w:rPr>
        <w:tab/>
      </w:r>
      <w:r>
        <w:rPr>
          <w:szCs w:val="24"/>
        </w:rPr>
        <w:t>Contributions and registration</w:t>
      </w:r>
      <w:r>
        <w:t xml:space="preserve"> (</w:t>
      </w:r>
      <w:hyperlink r:id="rId28" w:anchor="res165" w:history="1">
        <w:r w:rsidR="006329EF">
          <w:rPr>
            <w:rStyle w:val="Hyperlink"/>
            <w:bCs/>
            <w:lang w:val="en-US"/>
          </w:rPr>
          <w:t>Resolution 165 (Guadalajara, 2010)</w:t>
        </w:r>
      </w:hyperlink>
      <w:r>
        <w:t>)</w:t>
      </w:r>
    </w:p>
    <w:p w14:paraId="624E0089" w14:textId="77777777" w:rsidR="00643ACC" w:rsidRDefault="00743574" w:rsidP="00643ACC">
      <w:r>
        <w:t xml:space="preserve">Through Resolution 165 (Guadalajara, 2010), </w:t>
      </w:r>
      <w:r w:rsidR="00643ACC">
        <w:t xml:space="preserve">PP-10 decided </w:t>
      </w:r>
      <w:r w:rsidR="00643ACC" w:rsidRPr="00922755">
        <w:t xml:space="preserve">to establish a firm submission deadline for all contributions of no later than </w:t>
      </w:r>
      <w:r w:rsidR="00643ACC" w:rsidRPr="00A64143">
        <w:rPr>
          <w:b/>
        </w:rPr>
        <w:t>fourteen calendar days</w:t>
      </w:r>
      <w:r w:rsidR="00643ACC" w:rsidRPr="00922755">
        <w:t xml:space="preserve"> before the opening of conferences and assemblies of the Union, so as to ensure timely translation and their thorou</w:t>
      </w:r>
      <w:r w:rsidR="00643ACC">
        <w:t>gh consideration by delegations.</w:t>
      </w:r>
    </w:p>
    <w:p w14:paraId="624E008A" w14:textId="77777777" w:rsidR="00643ACC" w:rsidRPr="00922755" w:rsidRDefault="00643ACC" w:rsidP="00643ACC">
      <w:r>
        <w:t xml:space="preserve">PP-10 also instructed </w:t>
      </w:r>
      <w:r w:rsidRPr="00D37A4D">
        <w:t>the Secretary-General</w:t>
      </w:r>
      <w:r>
        <w:t>,</w:t>
      </w:r>
      <w:r w:rsidRPr="00D37A4D">
        <w:t xml:space="preserve"> in consultation with the Directors of the Bureaux</w:t>
      </w:r>
      <w:r>
        <w:t xml:space="preserve">, </w:t>
      </w:r>
      <w:r w:rsidRPr="00922755">
        <w:t>to explore, together with the Sector advisory groups, as appropriate, the issue of harmonizing deadlines for the submission of proposals as well as the procedures governing registration for meetings of the Union.</w:t>
      </w:r>
    </w:p>
    <w:p w14:paraId="624E008B" w14:textId="77777777" w:rsidR="00643ACC" w:rsidRDefault="00A12BBA" w:rsidP="00643ACC">
      <w:r>
        <w:t xml:space="preserve">It’s noted that </w:t>
      </w:r>
      <w:r w:rsidR="00735BA0">
        <w:t xml:space="preserve">§ 8.3 of </w:t>
      </w:r>
      <w:r>
        <w:t>Resolution ITU-R 1-5 contains the following instructions concerning deadlines for submission of contributions:</w:t>
      </w:r>
    </w:p>
    <w:p w14:paraId="624E008C" w14:textId="77777777" w:rsidR="00A12BBA" w:rsidRPr="00121CE0" w:rsidRDefault="00A12BBA" w:rsidP="002D16A7">
      <w:pPr>
        <w:pBdr>
          <w:top w:val="single" w:sz="4" w:space="1" w:color="auto"/>
          <w:left w:val="single" w:sz="4" w:space="4" w:color="auto"/>
          <w:bottom w:val="single" w:sz="4" w:space="1" w:color="auto"/>
          <w:right w:val="single" w:sz="4" w:space="4" w:color="auto"/>
        </w:pBdr>
        <w:shd w:val="clear" w:color="auto" w:fill="F2F2F2" w:themeFill="background1" w:themeFillShade="F2"/>
        <w:rPr>
          <w:sz w:val="22"/>
        </w:rPr>
      </w:pPr>
      <w:r w:rsidRPr="00121CE0">
        <w:rPr>
          <w:b/>
          <w:sz w:val="22"/>
        </w:rPr>
        <w:t>“</w:t>
      </w:r>
      <w:r w:rsidRPr="00121CE0">
        <w:rPr>
          <w:bCs/>
          <w:sz w:val="22"/>
        </w:rPr>
        <w:t>For meetings of all groups (</w:t>
      </w:r>
      <w:r w:rsidRPr="00121CE0">
        <w:rPr>
          <w:sz w:val="22"/>
        </w:rPr>
        <w:t>Study Groups, Working Parties, Task Groups, etc.), the following deadlines apply for the submission of contributions:</w:t>
      </w:r>
    </w:p>
    <w:p w14:paraId="624E008D" w14:textId="77777777" w:rsidR="00A12BBA" w:rsidRPr="00121CE0" w:rsidRDefault="00A12BBA" w:rsidP="002D16A7">
      <w:pPr>
        <w:pStyle w:val="enumlev1"/>
        <w:pBdr>
          <w:top w:val="single" w:sz="4" w:space="1" w:color="auto"/>
          <w:left w:val="single" w:sz="4" w:space="4" w:color="auto"/>
          <w:bottom w:val="single" w:sz="4" w:space="1" w:color="auto"/>
          <w:right w:val="single" w:sz="4" w:space="4" w:color="auto"/>
        </w:pBdr>
        <w:shd w:val="clear" w:color="auto" w:fill="F2F2F2" w:themeFill="background1" w:themeFillShade="F2"/>
        <w:rPr>
          <w:sz w:val="22"/>
        </w:rPr>
      </w:pPr>
      <w:r w:rsidRPr="00121CE0">
        <w:rPr>
          <w:i/>
          <w:iCs/>
          <w:sz w:val="22"/>
        </w:rPr>
        <w:t>–</w:t>
      </w:r>
      <w:r w:rsidRPr="00121CE0">
        <w:rPr>
          <w:i/>
          <w:iCs/>
          <w:sz w:val="22"/>
        </w:rPr>
        <w:tab/>
        <w:t xml:space="preserve">where translation is required, </w:t>
      </w:r>
      <w:r w:rsidRPr="00121CE0">
        <w:rPr>
          <w:sz w:val="22"/>
        </w:rPr>
        <w:t xml:space="preserve">contributions should be received at least </w:t>
      </w:r>
      <w:r w:rsidRPr="00121CE0">
        <w:rPr>
          <w:b/>
          <w:sz w:val="22"/>
        </w:rPr>
        <w:t>three months</w:t>
      </w:r>
      <w:r w:rsidRPr="00121CE0">
        <w:rPr>
          <w:sz w:val="22"/>
        </w:rPr>
        <w:t xml:space="preserve"> prior to the meeting, and will be made available not later than four weeks before the meeting. For later contributions, no commitment can be made by the Secretariat to ensure the document will be available at the opening of the meeting in all the required languages;</w:t>
      </w:r>
    </w:p>
    <w:p w14:paraId="624E008E" w14:textId="77777777" w:rsidR="00A12BBA" w:rsidRPr="00121CE0" w:rsidRDefault="00A12BBA" w:rsidP="002D16A7">
      <w:pPr>
        <w:pStyle w:val="enumlev1"/>
        <w:pBdr>
          <w:top w:val="single" w:sz="4" w:space="1" w:color="auto"/>
          <w:left w:val="single" w:sz="4" w:space="4" w:color="auto"/>
          <w:bottom w:val="single" w:sz="4" w:space="1" w:color="auto"/>
          <w:right w:val="single" w:sz="4" w:space="4" w:color="auto"/>
        </w:pBdr>
        <w:shd w:val="clear" w:color="auto" w:fill="F2F2F2" w:themeFill="background1" w:themeFillShade="F2"/>
        <w:rPr>
          <w:sz w:val="22"/>
        </w:rPr>
      </w:pPr>
      <w:r w:rsidRPr="00121CE0">
        <w:rPr>
          <w:sz w:val="22"/>
        </w:rPr>
        <w:t>–</w:t>
      </w:r>
      <w:r w:rsidRPr="00121CE0">
        <w:rPr>
          <w:sz w:val="22"/>
        </w:rPr>
        <w:tab/>
      </w:r>
      <w:r w:rsidRPr="00121CE0">
        <w:rPr>
          <w:bCs/>
          <w:sz w:val="22"/>
        </w:rPr>
        <w:t xml:space="preserve">otherwise, for documents </w:t>
      </w:r>
      <w:r w:rsidRPr="00121CE0">
        <w:rPr>
          <w:bCs/>
          <w:i/>
          <w:iCs/>
          <w:sz w:val="22"/>
        </w:rPr>
        <w:t>not requiring translation</w:t>
      </w:r>
      <w:r w:rsidRPr="00121CE0">
        <w:rPr>
          <w:bCs/>
          <w:sz w:val="22"/>
        </w:rPr>
        <w:t xml:space="preserve">, </w:t>
      </w:r>
      <w:r w:rsidRPr="00121CE0">
        <w:rPr>
          <w:sz w:val="22"/>
        </w:rPr>
        <w:t xml:space="preserve">contributions (including Revisions, Addenda and Corrigenda to contributions) received by 1600 hours UTC, </w:t>
      </w:r>
      <w:r w:rsidRPr="00121CE0">
        <w:rPr>
          <w:b/>
          <w:sz w:val="22"/>
        </w:rPr>
        <w:t>seven calendar days</w:t>
      </w:r>
      <w:r w:rsidRPr="00121CE0">
        <w:rPr>
          <w:sz w:val="22"/>
        </w:rPr>
        <w:t xml:space="preserve"> prior to the start of the meeting are made available for the opening of the meeting. The deadline applies only to contributions from Member States, Sector Members and Associates.</w:t>
      </w:r>
    </w:p>
    <w:p w14:paraId="624E008F" w14:textId="77777777" w:rsidR="00A12BBA" w:rsidRPr="00121CE0" w:rsidRDefault="00A12BBA" w:rsidP="002D16A7">
      <w:pPr>
        <w:pBdr>
          <w:top w:val="single" w:sz="4" w:space="1" w:color="auto"/>
          <w:left w:val="single" w:sz="4" w:space="4" w:color="auto"/>
          <w:bottom w:val="single" w:sz="4" w:space="1" w:color="auto"/>
          <w:right w:val="single" w:sz="4" w:space="4" w:color="auto"/>
        </w:pBdr>
        <w:shd w:val="clear" w:color="auto" w:fill="F2F2F2" w:themeFill="background1" w:themeFillShade="F2"/>
        <w:rPr>
          <w:sz w:val="22"/>
        </w:rPr>
      </w:pPr>
      <w:r w:rsidRPr="00121CE0">
        <w:rPr>
          <w:sz w:val="22"/>
        </w:rPr>
        <w:t>The secretariat cannot accept submissions later than the aforementioned deadline. Documents not available at the opening of a meeting cann</w:t>
      </w:r>
      <w:r w:rsidR="00A64143" w:rsidRPr="00121CE0">
        <w:rPr>
          <w:sz w:val="22"/>
        </w:rPr>
        <w:t>ot be discussed at the meeting.”</w:t>
      </w:r>
    </w:p>
    <w:p w14:paraId="624E0090" w14:textId="77777777" w:rsidR="00233B6E" w:rsidRDefault="00B5075D" w:rsidP="00D42612">
      <w:pPr>
        <w:rPr>
          <w:szCs w:val="24"/>
        </w:rPr>
      </w:pPr>
      <w:r>
        <w:t>In accordance with the No. 40 of the General Rules</w:t>
      </w:r>
      <w:r w:rsidR="00233B6E">
        <w:t xml:space="preserve"> (GR)</w:t>
      </w:r>
      <w:r>
        <w:t>, Member States are asked to submit</w:t>
      </w:r>
      <w:r>
        <w:rPr>
          <w:lang w:val="en-US" w:eastAsia="zh-CN"/>
        </w:rPr>
        <w:t>, at least four</w:t>
      </w:r>
      <w:r w:rsidR="0048556B">
        <w:rPr>
          <w:lang w:val="en-US" w:eastAsia="zh-CN"/>
        </w:rPr>
        <w:t xml:space="preserve"> </w:t>
      </w:r>
      <w:r>
        <w:rPr>
          <w:lang w:val="en-US" w:eastAsia="zh-CN"/>
        </w:rPr>
        <w:t xml:space="preserve">months before the start of </w:t>
      </w:r>
      <w:r w:rsidR="0048556B">
        <w:rPr>
          <w:lang w:val="en-US" w:eastAsia="zh-CN"/>
        </w:rPr>
        <w:t>a</w:t>
      </w:r>
      <w:r>
        <w:rPr>
          <w:lang w:val="en-US" w:eastAsia="zh-CN"/>
        </w:rPr>
        <w:t xml:space="preserve"> </w:t>
      </w:r>
      <w:r w:rsidR="0048556B">
        <w:rPr>
          <w:lang w:val="en-US" w:eastAsia="zh-CN"/>
        </w:rPr>
        <w:t xml:space="preserve">radiocommunication </w:t>
      </w:r>
      <w:r>
        <w:rPr>
          <w:lang w:val="en-US" w:eastAsia="zh-CN"/>
        </w:rPr>
        <w:t>conference, their proposals for the work</w:t>
      </w:r>
      <w:r w:rsidR="0048556B">
        <w:rPr>
          <w:lang w:val="en-US" w:eastAsia="zh-CN"/>
        </w:rPr>
        <w:t xml:space="preserve"> </w:t>
      </w:r>
      <w:r>
        <w:rPr>
          <w:lang w:val="en-US" w:eastAsia="zh-CN"/>
        </w:rPr>
        <w:t>of the conference.</w:t>
      </w:r>
      <w:r w:rsidR="00233B6E">
        <w:rPr>
          <w:lang w:val="en-US" w:eastAsia="zh-CN"/>
        </w:rPr>
        <w:t xml:space="preserve"> GR 82 provides that proposals or amendments presented after the opening of the conference shall be delivered to the chairman of the conference, to the </w:t>
      </w:r>
      <w:r w:rsidR="00233B6E">
        <w:rPr>
          <w:szCs w:val="24"/>
          <w:lang w:val="en-US" w:eastAsia="zh-CN"/>
        </w:rPr>
        <w:t>chairman of the appropriate committee or to the secretariat of the conference for publication and distribution as conference documents.</w:t>
      </w:r>
    </w:p>
    <w:p w14:paraId="624E0091" w14:textId="77777777" w:rsidR="00B90F36" w:rsidRDefault="00A10DA0" w:rsidP="00B90F36">
      <w:pPr>
        <w:tabs>
          <w:tab w:val="left" w:pos="720"/>
        </w:tabs>
        <w:rPr>
          <w:szCs w:val="24"/>
        </w:rPr>
      </w:pPr>
      <w:r w:rsidRPr="00B90F36">
        <w:rPr>
          <w:szCs w:val="24"/>
        </w:rPr>
        <w:t>In response to Resolution 165,</w:t>
      </w:r>
      <w:r w:rsidRPr="00B90F36">
        <w:rPr>
          <w:color w:val="1F497D"/>
          <w:szCs w:val="24"/>
        </w:rPr>
        <w:t xml:space="preserve"> </w:t>
      </w:r>
      <w:hyperlink r:id="rId29" w:history="1">
        <w:r w:rsidR="009D5CFC" w:rsidRPr="00B90F36">
          <w:rPr>
            <w:rStyle w:val="Hyperlink"/>
            <w:szCs w:val="24"/>
          </w:rPr>
          <w:t>TSAG</w:t>
        </w:r>
      </w:hyperlink>
      <w:r w:rsidR="009D5CFC" w:rsidRPr="00B90F36">
        <w:rPr>
          <w:color w:val="1F497D"/>
          <w:szCs w:val="24"/>
        </w:rPr>
        <w:t xml:space="preserve"> </w:t>
      </w:r>
      <w:r w:rsidR="00B90F36" w:rsidRPr="00B90F36">
        <w:rPr>
          <w:szCs w:val="24"/>
        </w:rPr>
        <w:t>(8-11 February 2011)</w:t>
      </w:r>
      <w:r w:rsidR="00B90F36" w:rsidRPr="00B90F36">
        <w:rPr>
          <w:color w:val="1F497D"/>
          <w:szCs w:val="24"/>
        </w:rPr>
        <w:t xml:space="preserve"> </w:t>
      </w:r>
      <w:r w:rsidR="00B90F36" w:rsidRPr="00B90F36">
        <w:rPr>
          <w:szCs w:val="24"/>
        </w:rPr>
        <w:t>agreed that a correspondence group “Deadlines and Registration” be established to explore to which extent deadlines and registration can be harmonized across the three Sectors. Mr Vladimir Minkin (Russian Federation) was appointed the convener of the correspondence group. The Terms of Reference are given in the following:</w:t>
      </w:r>
    </w:p>
    <w:p w14:paraId="624E0092" w14:textId="77777777" w:rsidR="00250E1D" w:rsidRPr="004D780F" w:rsidRDefault="00250E1D" w:rsidP="00B90F36">
      <w:pPr>
        <w:tabs>
          <w:tab w:val="left" w:pos="720"/>
        </w:tabs>
        <w:rPr>
          <w:sz w:val="16"/>
          <w:szCs w:val="16"/>
        </w:rPr>
      </w:pPr>
    </w:p>
    <w:tbl>
      <w:tblPr>
        <w:tblStyle w:val="TableGrid"/>
        <w:tblW w:w="0" w:type="auto"/>
        <w:tblLook w:val="04A0" w:firstRow="1" w:lastRow="0" w:firstColumn="1" w:lastColumn="0" w:noHBand="0" w:noVBand="1"/>
      </w:tblPr>
      <w:tblGrid>
        <w:gridCol w:w="9855"/>
      </w:tblGrid>
      <w:tr w:rsidR="00250E1D" w14:paraId="624E0099" w14:textId="77777777" w:rsidTr="002D16A7">
        <w:tc>
          <w:tcPr>
            <w:tcW w:w="9855" w:type="dxa"/>
            <w:shd w:val="clear" w:color="auto" w:fill="F2F2F2" w:themeFill="background1" w:themeFillShade="F2"/>
          </w:tcPr>
          <w:p w14:paraId="624E0093" w14:textId="77777777" w:rsidR="00250E1D" w:rsidRPr="00B90F36" w:rsidRDefault="00250E1D" w:rsidP="00250E1D">
            <w:pPr>
              <w:rPr>
                <w:sz w:val="22"/>
                <w:szCs w:val="24"/>
              </w:rPr>
            </w:pPr>
            <w:r w:rsidRPr="00B90F36">
              <w:rPr>
                <w:sz w:val="22"/>
                <w:szCs w:val="24"/>
              </w:rPr>
              <w:t>“The Correspondence Group is established to study the following matters:</w:t>
            </w:r>
          </w:p>
          <w:p w14:paraId="624E0094" w14:textId="77777777" w:rsidR="00250E1D" w:rsidRPr="00B90F36" w:rsidRDefault="00250E1D" w:rsidP="00250E1D">
            <w:pPr>
              <w:pStyle w:val="ListParagraph"/>
              <w:numPr>
                <w:ilvl w:val="0"/>
                <w:numId w:val="34"/>
              </w:numPr>
              <w:rPr>
                <w:sz w:val="22"/>
              </w:rPr>
            </w:pPr>
            <w:r w:rsidRPr="00B90F36">
              <w:rPr>
                <w:sz w:val="22"/>
              </w:rPr>
              <w:t>The appropriate deadlines for contributions to Study Group meetings from the membership in one language (without request for translation), the time required to be posted on the website by the secretariat and the deadlines for all meeting documents, including from Secretariat and chairmen/rapporteurs, be posted on site.</w:t>
            </w:r>
          </w:p>
          <w:p w14:paraId="624E0095" w14:textId="77777777" w:rsidR="00250E1D" w:rsidRPr="00B90F36" w:rsidRDefault="00250E1D" w:rsidP="00250E1D">
            <w:pPr>
              <w:pStyle w:val="ListParagraph"/>
              <w:numPr>
                <w:ilvl w:val="0"/>
                <w:numId w:val="34"/>
              </w:numPr>
              <w:ind w:left="714" w:hanging="357"/>
              <w:rPr>
                <w:sz w:val="22"/>
              </w:rPr>
            </w:pPr>
            <w:r w:rsidRPr="00B90F36">
              <w:rPr>
                <w:sz w:val="22"/>
              </w:rPr>
              <w:t>Harmonization of deadlines across the sectors of the ITU and harmonization in documentation numbering and classification, if any.</w:t>
            </w:r>
          </w:p>
          <w:p w14:paraId="624E0096" w14:textId="77777777" w:rsidR="00250E1D" w:rsidRPr="00B90F36" w:rsidRDefault="00250E1D" w:rsidP="00250E1D">
            <w:pPr>
              <w:pStyle w:val="ListParagraph"/>
              <w:numPr>
                <w:ilvl w:val="0"/>
                <w:numId w:val="34"/>
              </w:numPr>
              <w:tabs>
                <w:tab w:val="left" w:pos="720"/>
              </w:tabs>
              <w:adjustRightInd/>
              <w:rPr>
                <w:sz w:val="22"/>
                <w:szCs w:val="24"/>
              </w:rPr>
            </w:pPr>
            <w:r w:rsidRPr="00B90F36">
              <w:rPr>
                <w:sz w:val="22"/>
                <w:szCs w:val="24"/>
              </w:rPr>
              <w:t>Whether registration to ITU-T Study Group meetings should be provided through Designated Focal Points</w:t>
            </w:r>
          </w:p>
          <w:p w14:paraId="624E0097" w14:textId="77777777" w:rsidR="00250E1D" w:rsidRPr="00B90F36" w:rsidRDefault="00250E1D" w:rsidP="00250E1D">
            <w:pPr>
              <w:rPr>
                <w:sz w:val="22"/>
                <w:szCs w:val="24"/>
                <w:lang w:val="en-US"/>
              </w:rPr>
            </w:pPr>
            <w:r w:rsidRPr="00B90F36">
              <w:rPr>
                <w:sz w:val="22"/>
                <w:szCs w:val="24"/>
              </w:rPr>
              <w:t>In conducting its work, the group should consult with the Advisory groups of the R and D sectors and take into account PP Res. 165 (Guadalajara, 2010) and contribution C-39 from Russia.</w:t>
            </w:r>
          </w:p>
          <w:p w14:paraId="624E0098" w14:textId="77777777" w:rsidR="00250E1D" w:rsidRPr="00250E1D" w:rsidRDefault="00250E1D" w:rsidP="00B90F36">
            <w:pPr>
              <w:tabs>
                <w:tab w:val="left" w:pos="720"/>
              </w:tabs>
            </w:pPr>
            <w:r w:rsidRPr="00B90F36">
              <w:rPr>
                <w:sz w:val="22"/>
                <w:szCs w:val="24"/>
              </w:rPr>
              <w:t>The Group shall report its findings and proposals to the next meeting of TSAG.</w:t>
            </w:r>
            <w:r>
              <w:rPr>
                <w:sz w:val="22"/>
                <w:szCs w:val="24"/>
              </w:rPr>
              <w:t>”</w:t>
            </w:r>
          </w:p>
        </w:tc>
      </w:tr>
    </w:tbl>
    <w:p w14:paraId="624E009A" w14:textId="77777777" w:rsidR="00250E1D" w:rsidRPr="00B90F36" w:rsidRDefault="00250E1D" w:rsidP="00B90F36">
      <w:pPr>
        <w:tabs>
          <w:tab w:val="left" w:pos="720"/>
        </w:tabs>
        <w:rPr>
          <w:szCs w:val="24"/>
        </w:rPr>
      </w:pPr>
    </w:p>
    <w:p w14:paraId="624E009B" w14:textId="77777777" w:rsidR="009D5CFC" w:rsidRPr="00323E85" w:rsidRDefault="00323E85">
      <w:r>
        <w:t>At the same time, t</w:t>
      </w:r>
      <w:r w:rsidR="00B90F36" w:rsidRPr="00323E85">
        <w:t xml:space="preserve">he ITU </w:t>
      </w:r>
      <w:r w:rsidR="00743574">
        <w:t>General S</w:t>
      </w:r>
      <w:r w:rsidR="00B90F36" w:rsidRPr="00323E85">
        <w:t xml:space="preserve">ecretariat has established an internal </w:t>
      </w:r>
      <w:r w:rsidRPr="00323E85">
        <w:t xml:space="preserve">group </w:t>
      </w:r>
      <w:r w:rsidR="00B90F36" w:rsidRPr="00323E85">
        <w:rPr>
          <w:lang w:eastAsia="zh-CN"/>
        </w:rPr>
        <w:t xml:space="preserve">to carry out a </w:t>
      </w:r>
      <w:r w:rsidR="00B90F36" w:rsidRPr="00323E85">
        <w:rPr>
          <w:bCs/>
          <w:lang w:eastAsia="zh-CN"/>
        </w:rPr>
        <w:t>review of the current methodology and practices for delegate registration in the General Secretariat and the three Sectors</w:t>
      </w:r>
      <w:r>
        <w:rPr>
          <w:bCs/>
          <w:lang w:eastAsia="zh-CN"/>
        </w:rPr>
        <w:t>.</w:t>
      </w:r>
    </w:p>
    <w:p w14:paraId="624E009C" w14:textId="77777777" w:rsidR="008B43C5" w:rsidRPr="00922755" w:rsidRDefault="008B43C5" w:rsidP="006329EF">
      <w:pPr>
        <w:pStyle w:val="Heading2"/>
        <w:rPr>
          <w:rFonts w:eastAsia="MS Mincho"/>
          <w:lang w:eastAsia="ja-JP"/>
        </w:rPr>
      </w:pPr>
      <w:r>
        <w:t>3.9</w:t>
      </w:r>
      <w:r>
        <w:tab/>
      </w:r>
      <w:r w:rsidRPr="00922755">
        <w:t xml:space="preserve">Number of vice-chairmen of </w:t>
      </w:r>
      <w:r>
        <w:t>RAG</w:t>
      </w:r>
      <w:r w:rsidRPr="00922755">
        <w:rPr>
          <w:rFonts w:eastAsia="MS Mincho"/>
          <w:lang w:eastAsia="ja-JP"/>
        </w:rPr>
        <w:t xml:space="preserve">, </w:t>
      </w:r>
      <w:r>
        <w:rPr>
          <w:rFonts w:eastAsia="MS Mincho"/>
          <w:lang w:eastAsia="ja-JP"/>
        </w:rPr>
        <w:t xml:space="preserve">ITU-R </w:t>
      </w:r>
      <w:r w:rsidRPr="00922755">
        <w:t>study groups</w:t>
      </w:r>
      <w:r w:rsidRPr="00922755">
        <w:rPr>
          <w:rFonts w:eastAsia="MS Mincho"/>
          <w:lang w:eastAsia="ja-JP"/>
        </w:rPr>
        <w:t xml:space="preserve"> and other groups</w:t>
      </w:r>
      <w:r>
        <w:t xml:space="preserve"> (</w:t>
      </w:r>
      <w:hyperlink r:id="rId30" w:anchor="res166" w:history="1">
        <w:r w:rsidR="006329EF">
          <w:rPr>
            <w:rStyle w:val="Hyperlink"/>
            <w:bCs/>
            <w:lang w:val="en-US"/>
          </w:rPr>
          <w:t>Resolution 166 (Guadalajara, 2010)</w:t>
        </w:r>
      </w:hyperlink>
      <w:r>
        <w:t>)</w:t>
      </w:r>
    </w:p>
    <w:p w14:paraId="624E009D" w14:textId="77777777" w:rsidR="00201590" w:rsidRPr="00922755" w:rsidRDefault="00743574" w:rsidP="00201590">
      <w:r>
        <w:t xml:space="preserve">Through Resolution 166 (Guadalajara, 2010), </w:t>
      </w:r>
      <w:r w:rsidR="00201590">
        <w:t xml:space="preserve">PP-10 invited the RA in consultation with the Director, BR </w:t>
      </w:r>
      <w:r w:rsidR="00201590" w:rsidRPr="00922755">
        <w:t xml:space="preserve">to review the current situation with a view to establishing the necessary criteria for appointment of the optimum numbers of vice-chairmen for </w:t>
      </w:r>
      <w:r w:rsidR="00201590">
        <w:t>the RAG</w:t>
      </w:r>
      <w:r w:rsidR="00201590" w:rsidRPr="00922755">
        <w:t>, study groups and other groups</w:t>
      </w:r>
      <w:r w:rsidR="00201590" w:rsidRPr="00922755">
        <w:rPr>
          <w:b/>
          <w:bCs/>
        </w:rPr>
        <w:t xml:space="preserve"> </w:t>
      </w:r>
      <w:r w:rsidR="00201590" w:rsidRPr="00922755">
        <w:t>(including, to the extent practicable, CPM and SC-RPM), as the case may be, taking into account the following guidelines:</w:t>
      </w:r>
    </w:p>
    <w:p w14:paraId="624E009E" w14:textId="77777777" w:rsidR="00201590" w:rsidRPr="00922755" w:rsidRDefault="00201590" w:rsidP="00201590">
      <w:pPr>
        <w:pStyle w:val="enumlev1"/>
      </w:pPr>
      <w:r w:rsidRPr="00922755">
        <w:t>1)</w:t>
      </w:r>
      <w:r w:rsidRPr="00922755">
        <w:tab/>
        <w:t>The number of vice-chairmen should be limited to the minimum necessary experienced professionals, as per the respective Sector resolutions relating to the appointment of vice-chairmen of Sector advisory groups, study groups and other groups</w:t>
      </w:r>
    </w:p>
    <w:p w14:paraId="624E009F" w14:textId="77777777" w:rsidR="00201590" w:rsidRPr="00922755" w:rsidRDefault="00201590" w:rsidP="00201590">
      <w:pPr>
        <w:pStyle w:val="enumlev1"/>
      </w:pPr>
      <w:r w:rsidRPr="00922755">
        <w:t>2)</w:t>
      </w:r>
      <w:r w:rsidRPr="00922755">
        <w:tab/>
        <w:t>Equitable geographical distribution among ITU regions and the need to promote more effective participation by the developing countries should be taken into account so as to ensure that every region be represented at least by one or two competent and experienced persons in the Sector advisory groups, study groups</w:t>
      </w:r>
      <w:r w:rsidRPr="00922755">
        <w:rPr>
          <w:rFonts w:eastAsia="MS Mincho"/>
          <w:lang w:eastAsia="ja-JP"/>
        </w:rPr>
        <w:t xml:space="preserve"> and other groups</w:t>
      </w:r>
    </w:p>
    <w:p w14:paraId="624E00A0" w14:textId="77777777" w:rsidR="00201590" w:rsidRPr="00922755" w:rsidRDefault="00201590" w:rsidP="00201590">
      <w:pPr>
        <w:pStyle w:val="enumlev1"/>
      </w:pPr>
      <w:r w:rsidRPr="00922755">
        <w:t>3)</w:t>
      </w:r>
      <w:r w:rsidRPr="00922755">
        <w:tab/>
        <w:t>The total number of chairmen and vice-chairmen proposed by any administration should be fairly reasonable, so as to observe the principle of equitable distribution of posts among the Member States concerned</w:t>
      </w:r>
    </w:p>
    <w:p w14:paraId="624E00A1" w14:textId="77777777" w:rsidR="00201590" w:rsidRDefault="00201590" w:rsidP="00201590">
      <w:pPr>
        <w:tabs>
          <w:tab w:val="clear" w:pos="794"/>
          <w:tab w:val="left" w:pos="851"/>
        </w:tabs>
        <w:ind w:left="851" w:hanging="851"/>
      </w:pPr>
      <w:r w:rsidRPr="00922755">
        <w:t>4)</w:t>
      </w:r>
      <w:r w:rsidRPr="00922755">
        <w:tab/>
        <w:t>Regional representation in the advisory groups, study groups and other groups of all three Sectors should be taken into account, such that no single individual may hold more than one vice-chairmanship position in these groups in any one Sector, and only in exceptional cases hold such a position in more than one Sector</w:t>
      </w:r>
    </w:p>
    <w:p w14:paraId="624E00A2" w14:textId="77777777" w:rsidR="00201590" w:rsidRPr="00922755" w:rsidRDefault="00201590" w:rsidP="00201590">
      <w:pPr>
        <w:pStyle w:val="enumlev1"/>
      </w:pPr>
      <w:r w:rsidRPr="00922755">
        <w:t>5)</w:t>
      </w:r>
      <w:r w:rsidRPr="00922755">
        <w:tab/>
        <w:t>Each ITU region attending RA is encouraged, when assigning the positions to individual experienced professionals, to fully observe the principle of equitable geographical distribution among ITU regions, and the need to promote more efficient participation by the developing countries</w:t>
      </w:r>
    </w:p>
    <w:p w14:paraId="624E00A3" w14:textId="77777777" w:rsidR="00201590" w:rsidRDefault="00201590" w:rsidP="00201590">
      <w:pPr>
        <w:ind w:left="851" w:hanging="851"/>
      </w:pPr>
      <w:r w:rsidRPr="00922755">
        <w:t>6)</w:t>
      </w:r>
      <w:r w:rsidRPr="00922755">
        <w:tab/>
        <w:t>The above-mentioned guidelines may, to the extent practicable, be applied to CPM and SC</w:t>
      </w:r>
      <w:r w:rsidRPr="00922755">
        <w:noBreakHyphen/>
        <w:t>RPM in ITU</w:t>
      </w:r>
      <w:r w:rsidRPr="00922755">
        <w:noBreakHyphen/>
        <w:t>R</w:t>
      </w:r>
    </w:p>
    <w:p w14:paraId="624E00A4" w14:textId="77777777" w:rsidR="00A12BBA" w:rsidRPr="00643ACC" w:rsidRDefault="008B43C5" w:rsidP="008B43C5">
      <w:r>
        <w:t xml:space="preserve">PP-10 instructed the Director, BR </w:t>
      </w:r>
      <w:r w:rsidRPr="00922755">
        <w:t>to include th</w:t>
      </w:r>
      <w:r>
        <w:t xml:space="preserve">is </w:t>
      </w:r>
      <w:r w:rsidRPr="00922755">
        <w:t xml:space="preserve">matter in the agenda of the </w:t>
      </w:r>
      <w:r>
        <w:t>RAG</w:t>
      </w:r>
      <w:r w:rsidRPr="00922755">
        <w:t>, with a view to duly establishing the required harmonized criteria for the selection/appointment o</w:t>
      </w:r>
      <w:r w:rsidR="00201590">
        <w:t xml:space="preserve">f the above-mentioned positions and to </w:t>
      </w:r>
      <w:r w:rsidRPr="00922755">
        <w:t xml:space="preserve">make the necessary arrangements for </w:t>
      </w:r>
      <w:r w:rsidR="00201590">
        <w:t xml:space="preserve">the </w:t>
      </w:r>
      <w:r w:rsidRPr="00922755">
        <w:t>RA</w:t>
      </w:r>
      <w:r w:rsidRPr="00922755">
        <w:rPr>
          <w:szCs w:val="24"/>
        </w:rPr>
        <w:t xml:space="preserve"> </w:t>
      </w:r>
      <w:r w:rsidR="00282A04" w:rsidRPr="00922755">
        <w:t xml:space="preserve">to review the criteria referred to above </w:t>
      </w:r>
      <w:r w:rsidRPr="00922755">
        <w:t xml:space="preserve">in </w:t>
      </w:r>
      <w:r w:rsidR="00282A04">
        <w:t>its</w:t>
      </w:r>
      <w:r w:rsidRPr="00922755">
        <w:t xml:space="preserve"> respective resolutions, including by preparing and providing necessary information regarding the position(s) already held by individual persons from each country in all three ITU Sectors under </w:t>
      </w:r>
      <w:r w:rsidRPr="00922755">
        <w:rPr>
          <w:i/>
          <w:iCs/>
        </w:rPr>
        <w:t>instructs the Directors of the three Bureaux</w:t>
      </w:r>
      <w:r w:rsidR="00282A04" w:rsidRPr="00282A04">
        <w:rPr>
          <w:iCs/>
        </w:rPr>
        <w:t>.</w:t>
      </w:r>
    </w:p>
    <w:p w14:paraId="624E00A5" w14:textId="77777777" w:rsidR="00A0326A" w:rsidRPr="00922755" w:rsidRDefault="00A0326A" w:rsidP="006329EF">
      <w:pPr>
        <w:pStyle w:val="Heading2"/>
        <w:rPr>
          <w:rFonts w:eastAsia="MS Mincho"/>
          <w:lang w:eastAsia="ja-JP"/>
        </w:rPr>
      </w:pPr>
      <w:r>
        <w:t>3.10</w:t>
      </w:r>
      <w:r>
        <w:tab/>
        <w:t>Conformance and interoperability (</w:t>
      </w:r>
      <w:hyperlink r:id="rId31" w:anchor="res177" w:history="1">
        <w:r w:rsidR="006329EF">
          <w:rPr>
            <w:rStyle w:val="Hyperlink"/>
            <w:bCs/>
            <w:szCs w:val="24"/>
          </w:rPr>
          <w:t>Resolution 177 (Guadalajara, 2010)</w:t>
        </w:r>
      </w:hyperlink>
      <w:r>
        <w:t>)</w:t>
      </w:r>
    </w:p>
    <w:p w14:paraId="624E00A6" w14:textId="4DBB8465" w:rsidR="00520332" w:rsidRPr="008453C2" w:rsidRDefault="00520332" w:rsidP="004D780F">
      <w:r w:rsidRPr="00520332">
        <w:rPr>
          <w:rFonts w:eastAsia="SimSun"/>
        </w:rPr>
        <w:t xml:space="preserve">PP-10 invited </w:t>
      </w:r>
      <w:r>
        <w:rPr>
          <w:rFonts w:eastAsia="SimSun"/>
        </w:rPr>
        <w:t xml:space="preserve">the Member States </w:t>
      </w:r>
      <w:r w:rsidRPr="00922755">
        <w:rPr>
          <w:iCs/>
        </w:rPr>
        <w:t xml:space="preserve">to contribute to </w:t>
      </w:r>
      <w:r>
        <w:rPr>
          <w:iCs/>
        </w:rPr>
        <w:t>RA-</w:t>
      </w:r>
      <w:r w:rsidRPr="00922755">
        <w:rPr>
          <w:iCs/>
        </w:rPr>
        <w:t>12 in order for it to consider and take appropri</w:t>
      </w:r>
      <w:r>
        <w:rPr>
          <w:iCs/>
        </w:rPr>
        <w:t>ate actions as deemed necessary with respect to the provision</w:t>
      </w:r>
      <w:r w:rsidR="00996229">
        <w:rPr>
          <w:iCs/>
        </w:rPr>
        <w:t>s</w:t>
      </w:r>
      <w:r>
        <w:rPr>
          <w:iCs/>
        </w:rPr>
        <w:t xml:space="preserve"> of Resolution 177</w:t>
      </w:r>
      <w:r w:rsidR="00743574" w:rsidRPr="00743574">
        <w:t xml:space="preserve"> </w:t>
      </w:r>
      <w:r w:rsidR="00743574">
        <w:t>(Guadalajara, 2010)</w:t>
      </w:r>
      <w:r>
        <w:rPr>
          <w:iCs/>
        </w:rPr>
        <w:t>.</w:t>
      </w:r>
    </w:p>
    <w:p w14:paraId="624E00A7" w14:textId="77777777" w:rsidR="00520332" w:rsidRDefault="00D42612" w:rsidP="00255D7B">
      <w:pPr>
        <w:rPr>
          <w:rFonts w:eastAsia="SimSun"/>
          <w:szCs w:val="24"/>
        </w:rPr>
      </w:pPr>
      <w:r>
        <w:t>At the recent TSAG meeting, the Director, TSB p</w:t>
      </w:r>
      <w:r>
        <w:rPr>
          <w:rFonts w:eastAsia="SimSun"/>
          <w:szCs w:val="24"/>
        </w:rPr>
        <w:t xml:space="preserve">resented </w:t>
      </w:r>
      <w:hyperlink r:id="rId32" w:history="1">
        <w:r>
          <w:rPr>
            <w:rStyle w:val="Hyperlink"/>
            <w:rFonts w:eastAsia="SimSun"/>
            <w:szCs w:val="24"/>
          </w:rPr>
          <w:t>TD224</w:t>
        </w:r>
      </w:hyperlink>
      <w:r>
        <w:rPr>
          <w:szCs w:val="24"/>
        </w:rPr>
        <w:t xml:space="preserve"> </w:t>
      </w:r>
      <w:r>
        <w:rPr>
          <w:rFonts w:eastAsia="SimSun"/>
          <w:szCs w:val="24"/>
        </w:rPr>
        <w:t>“Elements of a business plan to implement the conformity and interoperability programme”, an outline of a business plan for the long term implementation of the programme including an initial estimate of over CHF500k/annum costing. TSAG welcomed the initiation of work on a business plan but recognized that the draft business plan which is under development on an on-going basis to be submitted to the Council in October 2011 would need to be considerably more detailed. TSB was requested to ensure that consultation be undertaken with all stakeholders on the development of the business plan.</w:t>
      </w:r>
    </w:p>
    <w:p w14:paraId="624E00A8" w14:textId="77777777" w:rsidR="00520332" w:rsidRPr="00710C80" w:rsidRDefault="00E4542A">
      <w:pPr>
        <w:rPr>
          <w:iCs/>
          <w:szCs w:val="24"/>
        </w:rPr>
      </w:pPr>
      <w:r>
        <w:rPr>
          <w:iCs/>
          <w:szCs w:val="24"/>
        </w:rPr>
        <w:t xml:space="preserve">An inter-sector task force </w:t>
      </w:r>
      <w:r w:rsidR="00996229">
        <w:rPr>
          <w:iCs/>
          <w:szCs w:val="24"/>
        </w:rPr>
        <w:t xml:space="preserve">involving the three Bureaux </w:t>
      </w:r>
      <w:r>
        <w:rPr>
          <w:iCs/>
          <w:szCs w:val="24"/>
        </w:rPr>
        <w:t xml:space="preserve">was set up </w:t>
      </w:r>
      <w:r w:rsidR="00996229">
        <w:rPr>
          <w:iCs/>
          <w:szCs w:val="24"/>
        </w:rPr>
        <w:t>with</w:t>
      </w:r>
      <w:r>
        <w:rPr>
          <w:iCs/>
          <w:szCs w:val="24"/>
        </w:rPr>
        <w:t xml:space="preserve">in the ITU on </w:t>
      </w:r>
      <w:r>
        <w:rPr>
          <w:szCs w:val="24"/>
          <w:lang w:eastAsia="zh-CN"/>
        </w:rPr>
        <w:t xml:space="preserve">the conformity and interoperability programme. </w:t>
      </w:r>
      <w:r w:rsidRPr="00710C80">
        <w:t xml:space="preserve">The BR is following developments with a view to exploring any future applicability of a </w:t>
      </w:r>
      <w:r w:rsidRPr="00710C80">
        <w:rPr>
          <w:szCs w:val="24"/>
          <w:lang w:eastAsia="zh-CN"/>
        </w:rPr>
        <w:t xml:space="preserve">conformity and interoperability programme as well as a </w:t>
      </w:r>
      <w:r w:rsidRPr="00710C80">
        <w:t>mark programme to ITU-R Recommendations.</w:t>
      </w:r>
    </w:p>
    <w:p w14:paraId="624E00A9" w14:textId="77777777" w:rsidR="00E4542A" w:rsidRPr="00710C80" w:rsidRDefault="00E4542A" w:rsidP="00E4542A">
      <w:pPr>
        <w:pStyle w:val="Heading1"/>
      </w:pPr>
      <w:r w:rsidRPr="00710C80">
        <w:rPr>
          <w:rFonts w:eastAsia="SimSun"/>
          <w:lang w:val="en-US" w:eastAsia="zh-CN"/>
        </w:rPr>
        <w:t>4</w:t>
      </w:r>
      <w:r w:rsidRPr="00710C80">
        <w:rPr>
          <w:rFonts w:eastAsia="SimSun"/>
          <w:lang w:val="en-US" w:eastAsia="zh-CN"/>
        </w:rPr>
        <w:tab/>
        <w:t>Study group activities</w:t>
      </w:r>
    </w:p>
    <w:p w14:paraId="624E00AA" w14:textId="77777777" w:rsidR="00E4542A" w:rsidRPr="00710C80" w:rsidRDefault="00E4542A" w:rsidP="00E4542A">
      <w:pPr>
        <w:rPr>
          <w:b/>
          <w:bCs/>
        </w:rPr>
      </w:pPr>
      <w:r w:rsidRPr="00710C80">
        <w:rPr>
          <w:b/>
          <w:bCs/>
        </w:rPr>
        <w:t>4.1</w:t>
      </w:r>
      <w:r w:rsidRPr="00710C80">
        <w:rPr>
          <w:b/>
          <w:bCs/>
        </w:rPr>
        <w:tab/>
        <w:t>Working methods</w:t>
      </w:r>
    </w:p>
    <w:p w14:paraId="624E00AB" w14:textId="77777777" w:rsidR="00E4542A" w:rsidRPr="00710C80" w:rsidRDefault="00E4542A" w:rsidP="00E4542A">
      <w:pPr>
        <w:tabs>
          <w:tab w:val="clear" w:pos="794"/>
          <w:tab w:val="left" w:pos="0"/>
        </w:tabs>
      </w:pPr>
      <w:r w:rsidRPr="00710C80">
        <w:t>Study Group activities have been pursued within a stable Study Group (SG) and Working Party (WP) structure according to the work programmes defined in the ITU-R Operational Plan. Working methods have been satisfactorily applied in accordance with Resolution ITU-R 1-5 (and the associated Guidelines), with increased emphasis placed on the use of electronic facilities that have brought considerable benefit to delegates as well as a significant economy in paper. Access to documentation during meetings via a dedicated Sharepoint website is the standard practice, with only a minimal number of paper copies printed for meetings held in Geneva. It is proposed that the forthcoming Study Group and Working Party move progressively towards being completely paperless, as is already the case with most of the ITU-T meetings. The use of Sharepoint facilities has been extended to meetings held outside of Geneva and all such meetings are now completely paperless.</w:t>
      </w:r>
    </w:p>
    <w:p w14:paraId="624E00AC" w14:textId="77777777" w:rsidR="00E4542A" w:rsidRPr="00710C80" w:rsidRDefault="00E4542A" w:rsidP="00E4542A">
      <w:pPr>
        <w:tabs>
          <w:tab w:val="clear" w:pos="794"/>
          <w:tab w:val="left" w:pos="0"/>
        </w:tabs>
      </w:pPr>
      <w:r w:rsidRPr="00710C80">
        <w:t>A file synchronization facility is being implemented for all Study Group/Working Party meetings to facilitate access to the most recent versions of documents during meetings.</w:t>
      </w:r>
    </w:p>
    <w:p w14:paraId="69077756" w14:textId="77777777" w:rsidR="006854B3" w:rsidRDefault="00E4542A" w:rsidP="006854B3">
      <w:pPr>
        <w:tabs>
          <w:tab w:val="clear" w:pos="794"/>
          <w:tab w:val="left" w:pos="851"/>
        </w:tabs>
      </w:pPr>
      <w:r w:rsidRPr="00710C80">
        <w:t>On an increasing number of occasions, the shortage of meeting rooms at ITU Headquarters is seriously hindering the effective planning of meetings. The problem is exacerbated by four main factors: i) the increasing number of meetings being arranged by all three Sectors and the General Secretariat, ii) the lack of meeting rooms with a capacity of around 150-200 participants, iii) the need to avoid overlap and clashes of meeting dates, and iv) the very long lead times required for bookings and the limited availability in alternative facilities such as CCV and CICG</w:t>
      </w:r>
      <w:r w:rsidR="006854B3">
        <w:t xml:space="preserve">. This problem will be particularly acute this year due to renovation work being carried out on Room B from May to October 2011. </w:t>
      </w:r>
    </w:p>
    <w:p w14:paraId="624E00AE" w14:textId="043F3D59" w:rsidR="00E4542A" w:rsidRPr="006854B3" w:rsidRDefault="00E4542A" w:rsidP="006854B3">
      <w:pPr>
        <w:tabs>
          <w:tab w:val="clear" w:pos="794"/>
          <w:tab w:val="left" w:pos="851"/>
        </w:tabs>
        <w:rPr>
          <w:rFonts w:ascii="Courier New" w:hAnsi="Courier New" w:cs="Courier New"/>
          <w:b/>
          <w:bCs/>
          <w:color w:val="0000FF"/>
          <w:sz w:val="20"/>
        </w:rPr>
      </w:pPr>
      <w:r w:rsidRPr="006854B3">
        <w:rPr>
          <w:b/>
          <w:bCs/>
        </w:rPr>
        <w:t>4.2</w:t>
      </w:r>
      <w:r w:rsidRPr="006854B3">
        <w:rPr>
          <w:b/>
          <w:bCs/>
        </w:rPr>
        <w:tab/>
        <w:t>Study Group preparations for WRC-12</w:t>
      </w:r>
    </w:p>
    <w:p w14:paraId="624E00AF" w14:textId="77777777" w:rsidR="00E4542A" w:rsidRPr="00710C80" w:rsidRDefault="00E4542A" w:rsidP="00E4542A">
      <w:pPr>
        <w:tabs>
          <w:tab w:val="clear" w:pos="794"/>
          <w:tab w:val="left" w:pos="851"/>
        </w:tabs>
      </w:pPr>
      <w:r w:rsidRPr="00710C80">
        <w:t>As noted in Section 6.1, the Study Groups prepared their elements of the draft CPM Report to WRC-12 according to schedule. The Study Groups are now finalizing proposed draft new and revised Recommendations and Reports that are referenced in the Annex of the CPM Report to WRC-12.</w:t>
      </w:r>
    </w:p>
    <w:p w14:paraId="624E00B0" w14:textId="77777777" w:rsidR="00E4542A" w:rsidRPr="00710C80" w:rsidRDefault="00E4542A" w:rsidP="00710C80">
      <w:pPr>
        <w:pStyle w:val="Heading2"/>
      </w:pPr>
      <w:r w:rsidRPr="00710C80">
        <w:t>4.3</w:t>
      </w:r>
      <w:r w:rsidRPr="00710C80">
        <w:tab/>
        <w:t>Notable activities in the Study Groups</w:t>
      </w:r>
    </w:p>
    <w:p w14:paraId="624E00B1" w14:textId="77777777" w:rsidR="00E4542A" w:rsidRPr="00710C80" w:rsidRDefault="00E4542A">
      <w:pPr>
        <w:pStyle w:val="ListParagraph"/>
        <w:numPr>
          <w:ilvl w:val="0"/>
          <w:numId w:val="38"/>
        </w:numPr>
        <w:spacing w:after="120"/>
        <w:jc w:val="left"/>
        <w:rPr>
          <w:i/>
          <w:szCs w:val="24"/>
        </w:rPr>
        <w:pPrChange w:id="6" w:author="rancy" w:date="2011-04-20T15:28:00Z">
          <w:pPr>
            <w:pStyle w:val="ListParagraph"/>
            <w:numPr>
              <w:numId w:val="38"/>
            </w:numPr>
            <w:tabs>
              <w:tab w:val="num" w:pos="720"/>
            </w:tabs>
            <w:ind w:hanging="360"/>
            <w:jc w:val="left"/>
          </w:pPr>
        </w:pPrChange>
      </w:pPr>
      <w:r w:rsidRPr="00710C80">
        <w:t>After four years of complex studies, WP 1C, with the authorization of SG 1, approved the complete new edition of the Handbook on Spectrum Monitoring (2011 Edition), which reflects the latest developments in telecommunication and monitoring technology</w:t>
      </w:r>
      <w:r w:rsidRPr="00710C80">
        <w:rPr>
          <w:szCs w:val="24"/>
        </w:rPr>
        <w:t xml:space="preserve"> and is recognised to be of particular benefit to developing countries</w:t>
      </w:r>
      <w:r w:rsidRPr="00710C80">
        <w:t>.</w:t>
      </w:r>
    </w:p>
    <w:p w14:paraId="624E00B2" w14:textId="77777777" w:rsidR="00E4542A" w:rsidRPr="00710C80" w:rsidRDefault="00E4542A">
      <w:pPr>
        <w:pStyle w:val="ListParagraph"/>
        <w:numPr>
          <w:ilvl w:val="0"/>
          <w:numId w:val="38"/>
        </w:numPr>
        <w:spacing w:after="240"/>
        <w:jc w:val="left"/>
        <w:pPrChange w:id="7" w:author="rancy" w:date="2011-04-20T15:29:00Z">
          <w:pPr>
            <w:pStyle w:val="ListParagraph"/>
            <w:numPr>
              <w:numId w:val="38"/>
            </w:numPr>
            <w:tabs>
              <w:tab w:val="num" w:pos="720"/>
            </w:tabs>
            <w:ind w:hanging="360"/>
            <w:jc w:val="left"/>
          </w:pPr>
        </w:pPrChange>
      </w:pPr>
      <w:r w:rsidRPr="00710C80">
        <w:t>With the approval of Report ITU-R M.2176 “Vision and requirements for the satellite radio interface(s) of IMT-Advanced”,</w:t>
      </w:r>
      <w:r w:rsidRPr="00710C80">
        <w:rPr>
          <w:rFonts w:ascii="Verdana" w:hAnsi="Verdana"/>
          <w:sz w:val="18"/>
          <w:szCs w:val="18"/>
        </w:rPr>
        <w:t xml:space="preserve"> </w:t>
      </w:r>
      <w:r w:rsidRPr="00710C80">
        <w:t>ITU-R has commenced the process of developing ITU-R Recommendations for the satellite component of the IMT-Advanced radio interface(s). This work is guided by Resolution ITU-R 57.</w:t>
      </w:r>
    </w:p>
    <w:p w14:paraId="624E00B3" w14:textId="77777777" w:rsidR="00E4542A" w:rsidRPr="00710C80" w:rsidRDefault="00E4542A">
      <w:pPr>
        <w:pStyle w:val="ListParagraph"/>
        <w:numPr>
          <w:ilvl w:val="0"/>
          <w:numId w:val="38"/>
        </w:numPr>
        <w:spacing w:after="240"/>
        <w:jc w:val="left"/>
        <w:pPrChange w:id="8" w:author="rancy" w:date="2011-04-20T15:29:00Z">
          <w:pPr>
            <w:pStyle w:val="ListParagraph"/>
            <w:numPr>
              <w:numId w:val="38"/>
            </w:numPr>
            <w:tabs>
              <w:tab w:val="num" w:pos="720"/>
            </w:tabs>
            <w:ind w:hanging="360"/>
            <w:jc w:val="left"/>
          </w:pPr>
        </w:pPrChange>
      </w:pPr>
      <w:r w:rsidRPr="00710C80">
        <w:t xml:space="preserve">The approval of Report ITU-R S.2199 “Studies on compatibility of broadband wireless access (BWA) systems and fixed-satellite service (FSS) networks in the 3 400-4 200 MHz band” reflects the successful joint work between SGs 4 and 5 </w:t>
      </w:r>
      <w:r w:rsidRPr="00710C80">
        <w:rPr>
          <w:lang w:eastAsia="ja-JP"/>
        </w:rPr>
        <w:t>conducted by the relevant Working Parties in both Study Groups.</w:t>
      </w:r>
    </w:p>
    <w:p w14:paraId="624E00B4" w14:textId="77777777" w:rsidR="00E4542A" w:rsidRPr="00710C80" w:rsidRDefault="00E4542A">
      <w:pPr>
        <w:pStyle w:val="ListParagraph"/>
        <w:numPr>
          <w:ilvl w:val="0"/>
          <w:numId w:val="38"/>
        </w:numPr>
        <w:spacing w:after="120"/>
        <w:jc w:val="left"/>
        <w:pPrChange w:id="9" w:author="rancy" w:date="2011-04-20T15:29:00Z">
          <w:pPr>
            <w:pStyle w:val="ListParagraph"/>
            <w:numPr>
              <w:numId w:val="38"/>
            </w:numPr>
            <w:tabs>
              <w:tab w:val="num" w:pos="720"/>
            </w:tabs>
            <w:ind w:hanging="360"/>
            <w:jc w:val="left"/>
          </w:pPr>
        </w:pPrChange>
      </w:pPr>
      <w:r w:rsidRPr="00710C80">
        <w:t xml:space="preserve">Work progressed on IMT-Advanced in accordance with the foreseen time-scales. Six candidate radio interface proposals were submitted to WP 5D and evaluated for compliance with minimum technical and operational requirements. The subsequent consensus building led to the selection of two radio interface technologies, LTE-Advanced and WirelessMAN-Advanced, to be included in the final standardization phase of IMT-Advanced. The ITU-R Recommendation containing the detailed technical specifications of IMT-Advanced are scheduled for adoption at the SG 5 meeting in November 2011, and to be sent to RA-12 for approval. </w:t>
      </w:r>
    </w:p>
    <w:p w14:paraId="624E00B5" w14:textId="77777777" w:rsidR="00E4542A" w:rsidRPr="00710C80" w:rsidRDefault="00E4542A">
      <w:pPr>
        <w:pStyle w:val="ListParagraph"/>
        <w:numPr>
          <w:ilvl w:val="0"/>
          <w:numId w:val="38"/>
        </w:numPr>
        <w:spacing w:after="120"/>
        <w:jc w:val="left"/>
        <w:pPrChange w:id="10" w:author="rancy" w:date="2011-04-20T15:29:00Z">
          <w:pPr>
            <w:pStyle w:val="ListParagraph"/>
            <w:numPr>
              <w:numId w:val="38"/>
            </w:numPr>
            <w:tabs>
              <w:tab w:val="num" w:pos="720"/>
            </w:tabs>
            <w:ind w:hanging="360"/>
            <w:jc w:val="left"/>
          </w:pPr>
        </w:pPrChange>
      </w:pPr>
      <w:r w:rsidRPr="00710C80">
        <w:rPr>
          <w:lang w:eastAsia="ja-JP"/>
        </w:rPr>
        <w:t>SG 6 co-hosted/participated in an ITU-R/ITU-T/EBU Workshop on Accessibility broadcasting and IPTV in November 2010. The Study Group also approved a Report, ITU-R BT.2207 “Accessibility to broadcasting services for persons with disabilities” at its October 2010 meeting.</w:t>
      </w:r>
    </w:p>
    <w:p w14:paraId="624E00B6" w14:textId="77777777" w:rsidR="00E4542A" w:rsidRPr="00710C80" w:rsidRDefault="00E4542A" w:rsidP="00E4542A">
      <w:pPr>
        <w:pStyle w:val="Heading2"/>
      </w:pPr>
      <w:r w:rsidRPr="00710C80">
        <w:t>4.4</w:t>
      </w:r>
      <w:r w:rsidRPr="00710C80">
        <w:tab/>
        <w:t>Liaison and collaboration with ITU-D and ITU-T, and with other organisations</w:t>
      </w:r>
    </w:p>
    <w:p w14:paraId="624E00B7" w14:textId="77777777" w:rsidR="00E4542A" w:rsidRPr="00710C80" w:rsidRDefault="00E4542A" w:rsidP="00E4542A">
      <w:r w:rsidRPr="00710C80">
        <w:t xml:space="preserve">Inter-sector activities have been very evident throughout the period, particularly concerning ITU’s priority topics of climate change and emergency communications, further details of which are contained in § 7. </w:t>
      </w:r>
    </w:p>
    <w:p w14:paraId="624E00B8" w14:textId="77777777" w:rsidR="00E4542A" w:rsidRPr="00710C80" w:rsidRDefault="00E4542A" w:rsidP="00E4542A">
      <w:r w:rsidRPr="00710C80">
        <w:rPr>
          <w:i/>
        </w:rPr>
        <w:t>Concerning ITU-D:</w:t>
      </w:r>
      <w:r w:rsidRPr="00710C80">
        <w:t xml:space="preserve"> Of particular importance has been ITU-R and BR’s contribution to several BDT Development Fora linked with the preparation for WTDC-10. These events provided an opportunity to present ITU-R’s standardization activities and, in turn, to demonstrate their contribution to Resolution 123 (Rev.Antalya, 2006) in bridging the standardization gap. BR was also present at the WTDC-10 Regional Preparatory Meetings held for the CIS, European and Arab regions. </w:t>
      </w:r>
    </w:p>
    <w:p w14:paraId="624E00B9" w14:textId="77777777" w:rsidR="00E4542A" w:rsidRPr="00710C80" w:rsidRDefault="00E4542A" w:rsidP="00E4542A">
      <w:pPr>
        <w:rPr>
          <w:szCs w:val="24"/>
        </w:rPr>
      </w:pPr>
      <w:r w:rsidRPr="00710C80">
        <w:rPr>
          <w:szCs w:val="24"/>
        </w:rPr>
        <w:t>Experts from ITU-R SG 1 will continue to assist in the development of the SMS4DC software application, in accordance with Resolution ITU-R 11-4.</w:t>
      </w:r>
    </w:p>
    <w:p w14:paraId="624E00BA" w14:textId="77777777" w:rsidR="00E4542A" w:rsidRPr="00710C80" w:rsidRDefault="00E4542A" w:rsidP="00E4542A">
      <w:pPr>
        <w:rPr>
          <w:szCs w:val="24"/>
        </w:rPr>
      </w:pPr>
      <w:r w:rsidRPr="00710C80">
        <w:rPr>
          <w:szCs w:val="24"/>
        </w:rPr>
        <w:t>In connection with ITU-D Study Group activities:</w:t>
      </w:r>
    </w:p>
    <w:p w14:paraId="624E00BB" w14:textId="77777777" w:rsidR="00E4542A" w:rsidRPr="00710C80" w:rsidRDefault="00E4542A" w:rsidP="00E4542A">
      <w:pPr>
        <w:numPr>
          <w:ilvl w:val="0"/>
          <w:numId w:val="39"/>
        </w:numPr>
        <w:textAlignment w:val="auto"/>
      </w:pPr>
      <w:r w:rsidRPr="00710C80">
        <w:t xml:space="preserve">BR contributed to the annual update of the Report of </w:t>
      </w:r>
      <w:r w:rsidRPr="00710C80">
        <w:rPr>
          <w:szCs w:val="24"/>
        </w:rPr>
        <w:t>Rapporteur Group</w:t>
      </w:r>
      <w:r w:rsidRPr="00710C80">
        <w:t xml:space="preserve"> 9-3/2 describing those studies and their outputs of particular interest to developing countries;</w:t>
      </w:r>
    </w:p>
    <w:p w14:paraId="624E00BC" w14:textId="77777777" w:rsidR="00E4542A" w:rsidRPr="00710C80" w:rsidRDefault="00E4542A" w:rsidP="00E4542A">
      <w:pPr>
        <w:numPr>
          <w:ilvl w:val="0"/>
          <w:numId w:val="39"/>
        </w:numPr>
        <w:textAlignment w:val="auto"/>
      </w:pPr>
      <w:r w:rsidRPr="00710C80">
        <w:rPr>
          <w:szCs w:val="24"/>
        </w:rPr>
        <w:t>ITU-R WP 7C provided information to the ITU-D Rapporteur Group on Question ITU</w:t>
      </w:r>
      <w:r w:rsidRPr="00710C80">
        <w:rPr>
          <w:szCs w:val="24"/>
        </w:rPr>
        <w:noBreakHyphen/>
        <w:t>D 22/2 on the use of radio-based remote sensing in disaster prediction, detection and mitigation;</w:t>
      </w:r>
    </w:p>
    <w:p w14:paraId="624E00BD" w14:textId="77777777" w:rsidR="00E4542A" w:rsidRPr="00710C80" w:rsidRDefault="00E4542A" w:rsidP="00E4542A">
      <w:pPr>
        <w:numPr>
          <w:ilvl w:val="0"/>
          <w:numId w:val="39"/>
        </w:numPr>
        <w:textAlignment w:val="auto"/>
      </w:pPr>
      <w:r w:rsidRPr="00710C80">
        <w:rPr>
          <w:szCs w:val="24"/>
        </w:rPr>
        <w:t>ITU-R SG 1 continued its active collaboration with ITU-D Study Group 2 in the implementation of the new phase of studies falling under ITU-D Resolution 9 (Rev. Hyderabad, 2010) and, based on the newly approved Handbook on Spectrum Monitoring, ITU-R WP 1C provided technical information on spectrum monitoring in support of the studies in response to Question ITU-D 23/1 on strategies and policies concerning human exposure to electromagnetic fields</w:t>
      </w:r>
      <w:r w:rsidRPr="00710C80">
        <w:t>;</w:t>
      </w:r>
    </w:p>
    <w:p w14:paraId="624E00BE" w14:textId="77777777" w:rsidR="00E4542A" w:rsidRPr="00710C80" w:rsidRDefault="00E4542A" w:rsidP="00E4542A">
      <w:pPr>
        <w:numPr>
          <w:ilvl w:val="0"/>
          <w:numId w:val="39"/>
        </w:numPr>
        <w:textAlignment w:val="auto"/>
      </w:pPr>
      <w:r w:rsidRPr="00710C80">
        <w:t>In addition to the continuing update of Report ITU-R BT.2140 on the transition from analogue to digital terrestrial broadcasting, ITU-R SG 6 has started the preparation of a Handbook on digital television (DTV) implementation. This Handbook will gather together all relevant technical material and will complement the Report and be of benefit to administrations that are planning migration. The work is foreseen to be of particular relevance to ITU-D;</w:t>
      </w:r>
    </w:p>
    <w:p w14:paraId="624E00BF" w14:textId="77777777" w:rsidR="00E4542A" w:rsidRPr="00710C80" w:rsidRDefault="00E4542A" w:rsidP="00E4542A">
      <w:pPr>
        <w:numPr>
          <w:ilvl w:val="0"/>
          <w:numId w:val="39"/>
        </w:numPr>
        <w:textAlignment w:val="auto"/>
      </w:pPr>
      <w:r w:rsidRPr="00710C80">
        <w:rPr>
          <w:szCs w:val="24"/>
        </w:rPr>
        <w:t xml:space="preserve">ITU-R WP 4C provided further information to ITU-D SG 2 on </w:t>
      </w:r>
      <w:r w:rsidRPr="00710C80">
        <w:rPr>
          <w:szCs w:val="24"/>
          <w:lang w:val="en-US" w:eastAsia="ja-JP"/>
        </w:rPr>
        <w:t>the use of MSS networks in the event of natural disasters and similar emergencies</w:t>
      </w:r>
      <w:r w:rsidRPr="00710C80">
        <w:rPr>
          <w:szCs w:val="24"/>
        </w:rPr>
        <w:t>.</w:t>
      </w:r>
    </w:p>
    <w:p w14:paraId="624E00C0" w14:textId="77777777" w:rsidR="00E4542A" w:rsidRDefault="00E4542A" w:rsidP="00E4542A">
      <w:pPr>
        <w:rPr>
          <w:highlight w:val="lightGray"/>
        </w:rPr>
      </w:pPr>
      <w:r w:rsidRPr="00710C80">
        <w:rPr>
          <w:i/>
        </w:rPr>
        <w:t xml:space="preserve">Concerning ITU-T: </w:t>
      </w:r>
      <w:r w:rsidRPr="00710C80">
        <w:t>In addition to climate change and emergency communications, topics of mutual interest between ITU-R and ITU-T include:</w:t>
      </w:r>
    </w:p>
    <w:p w14:paraId="624E00C1" w14:textId="77777777" w:rsidR="00E4542A" w:rsidRPr="00710C80" w:rsidRDefault="00E4542A" w:rsidP="00710C80">
      <w:pPr>
        <w:numPr>
          <w:ilvl w:val="0"/>
          <w:numId w:val="40"/>
        </w:numPr>
        <w:ind w:left="714" w:hanging="357"/>
        <w:textAlignment w:val="auto"/>
      </w:pPr>
      <w:r w:rsidRPr="00710C80">
        <w:t xml:space="preserve">ITU-T Resolution 72 on the effects of human exposure to radio-frequencies where studies in ITU-T SG 5 have been followed, particularly in ITU-R </w:t>
      </w:r>
      <w:r w:rsidR="00710C80" w:rsidRPr="00710C80">
        <w:t>SG</w:t>
      </w:r>
      <w:r w:rsidRPr="00710C80">
        <w:t xml:space="preserve"> 1, with respect to the monitoring and measurement of electromagnetic fields;</w:t>
      </w:r>
    </w:p>
    <w:p w14:paraId="624E00C2" w14:textId="77777777" w:rsidR="00E4542A" w:rsidRPr="00710C80" w:rsidRDefault="00E4542A" w:rsidP="00E4542A">
      <w:pPr>
        <w:numPr>
          <w:ilvl w:val="0"/>
          <w:numId w:val="40"/>
        </w:numPr>
        <w:tabs>
          <w:tab w:val="clear" w:pos="720"/>
          <w:tab w:val="clear" w:pos="794"/>
          <w:tab w:val="left" w:pos="709"/>
        </w:tabs>
        <w:ind w:left="714" w:hanging="357"/>
        <w:textAlignment w:val="auto"/>
      </w:pPr>
      <w:r w:rsidRPr="00710C80">
        <w:rPr>
          <w:szCs w:val="24"/>
        </w:rPr>
        <w:t>Standardization activities on power line telecommunication (PLT) systems. These are currently under study in ITU-T SG 15, for which i) ITU-R WP 1A has established a Rapporteur Group including representatives from ITU-T SG 15 to develop protection requirements and criteria of radiocommunication services</w:t>
      </w:r>
      <w:r w:rsidRPr="00710C80">
        <w:rPr>
          <w:color w:val="000000"/>
          <w:lang w:val="en-US"/>
        </w:rPr>
        <w:t xml:space="preserve"> in respect to the impact of PLT systems in the frequency bands of interest, and ii) an ITU Forum was organized jointly by BR and BDT to share this information and the progress made so far with other standardization organizations</w:t>
      </w:r>
      <w:r w:rsidRPr="00710C80">
        <w:rPr>
          <w:szCs w:val="24"/>
        </w:rPr>
        <w:t>;</w:t>
      </w:r>
    </w:p>
    <w:p w14:paraId="624E00C3" w14:textId="090EEE23" w:rsidR="00E4542A" w:rsidRPr="00710C80" w:rsidRDefault="00E4542A" w:rsidP="00F220B5">
      <w:pPr>
        <w:numPr>
          <w:ilvl w:val="0"/>
          <w:numId w:val="40"/>
        </w:numPr>
        <w:textAlignment w:val="auto"/>
      </w:pPr>
      <w:r w:rsidRPr="00710C80">
        <w:t xml:space="preserve">Activities in ITU-T </w:t>
      </w:r>
      <w:r w:rsidR="00710C80" w:rsidRPr="00710C80">
        <w:t>SG</w:t>
      </w:r>
      <w:r w:rsidRPr="00710C80">
        <w:t xml:space="preserve"> 13 on standards for future networks and next generation networks as well as mobility management and fixed-mobile convergence, having particularly in mind current studies in ITU-R </w:t>
      </w:r>
      <w:r w:rsidR="00710C80" w:rsidRPr="00710C80">
        <w:t>SG</w:t>
      </w:r>
      <w:r w:rsidRPr="00710C80">
        <w:t>s 4 and 5</w:t>
      </w:r>
      <w:r w:rsidR="00F220B5">
        <w:t>;</w:t>
      </w:r>
      <w:r w:rsidRPr="00710C80">
        <w:t xml:space="preserve">  </w:t>
      </w:r>
    </w:p>
    <w:p w14:paraId="624E00C4" w14:textId="4C9E0C5F" w:rsidR="00E4542A" w:rsidRPr="00710C80" w:rsidRDefault="00E4542A" w:rsidP="00F220B5">
      <w:pPr>
        <w:numPr>
          <w:ilvl w:val="0"/>
          <w:numId w:val="40"/>
        </w:numPr>
        <w:ind w:left="709"/>
        <w:textAlignment w:val="auto"/>
      </w:pPr>
      <w:r w:rsidRPr="00710C80">
        <w:t>Recent collaborative discussions with ITU-T, ISO and IEC with regard to issues related to IPR have involved the development of a draft revised Guidelines for implementation of the Common Patent Policy for ITU-T/ITU-R/ISO/IEC. It was prepared by the World Standards Cooperation (WSC) Patent Task Force and contains all the revisions proposed by ITU/ISO/IEC since the adoption of the Common Patent Guidelines in March 2007, in particular clarification on the explanation of the term “Patent” and introduction of a new paragraph on “Assignment or Transfer of Patent Rights”</w:t>
      </w:r>
      <w:r w:rsidR="00F220B5">
        <w:t>;</w:t>
      </w:r>
      <w:r w:rsidRPr="00710C80">
        <w:t xml:space="preserve"> </w:t>
      </w:r>
    </w:p>
    <w:p w14:paraId="624E00C5" w14:textId="77777777" w:rsidR="00E4542A" w:rsidRPr="00710C80" w:rsidRDefault="00E4542A" w:rsidP="00E4542A">
      <w:pPr>
        <w:numPr>
          <w:ilvl w:val="0"/>
          <w:numId w:val="40"/>
        </w:numPr>
        <w:textAlignment w:val="auto"/>
      </w:pPr>
      <w:r w:rsidRPr="00710C80">
        <w:t xml:space="preserve">The output report of the ITU/EBU Joint Workshop on Accessibility proposed the setting up of an ITU-T Focus Group on audio-video media accessibility, under the umbrella of ITU-T SG 16; the FG (see </w:t>
      </w:r>
      <w:hyperlink r:id="rId33" w:history="1">
        <w:r w:rsidRPr="00710C80">
          <w:rPr>
            <w:rStyle w:val="Hyperlink"/>
          </w:rPr>
          <w:t>terms of reference</w:t>
        </w:r>
      </w:hyperlink>
      <w:r w:rsidRPr="00710C80">
        <w:t>) will bring together experts from ITU-R, ITU-T and user organizations.</w:t>
      </w:r>
    </w:p>
    <w:p w14:paraId="624E00C6" w14:textId="77777777" w:rsidR="00E4542A" w:rsidRPr="00710C80" w:rsidRDefault="00E4542A" w:rsidP="00E4542A">
      <w:pPr>
        <w:rPr>
          <w:szCs w:val="24"/>
        </w:rPr>
      </w:pPr>
      <w:r w:rsidRPr="00710C80">
        <w:rPr>
          <w:szCs w:val="24"/>
        </w:rPr>
        <w:t xml:space="preserve">There continues to be a requirement for close coordination on a number of topics being addressed by ITU-T that impinge on radiocommunication issues to reduce the potential for overlap, duplication and conflict of work undertaken by the two Sectors. </w:t>
      </w:r>
    </w:p>
    <w:p w14:paraId="624E00C7" w14:textId="77777777" w:rsidR="00E4542A" w:rsidRPr="00710C80" w:rsidRDefault="00E4542A" w:rsidP="00710C80">
      <w:pPr>
        <w:ind w:right="-284"/>
      </w:pPr>
      <w:r w:rsidRPr="00710C80">
        <w:rPr>
          <w:i/>
        </w:rPr>
        <w:t>Concerning</w:t>
      </w:r>
      <w:r w:rsidR="00710C80" w:rsidRPr="00710C80">
        <w:rPr>
          <w:i/>
        </w:rPr>
        <w:t xml:space="preserve"> o</w:t>
      </w:r>
      <w:r w:rsidRPr="00710C80">
        <w:rPr>
          <w:i/>
        </w:rPr>
        <w:t xml:space="preserve">ther </w:t>
      </w:r>
      <w:r w:rsidR="00710C80" w:rsidRPr="00710C80">
        <w:rPr>
          <w:i/>
        </w:rPr>
        <w:t>o</w:t>
      </w:r>
      <w:r w:rsidRPr="00710C80">
        <w:rPr>
          <w:i/>
        </w:rPr>
        <w:t xml:space="preserve">rganizations: </w:t>
      </w:r>
      <w:r w:rsidRPr="00710C80">
        <w:t xml:space="preserve">Healthy liaison has continued between the ITU-R Study Groups and Other Organisations, with due reference to Resolution ITU-R 9-3 where required. ITU-R and BR representatives have continued their active involvement in the Global Standards Collaboration (GSC), including its annual meeting held on 30 August to 2 September 2010 hosted by CCSA. Liaison has also been evident with UN bodies and agencies in various fields, e.g. climate change and climate monitoring (WMO, UNFCCC, Global Humanitarian Forum, GEO, SFCG, NASA, ESA, JAXA) and EMF exposure (WHO).  </w:t>
      </w:r>
    </w:p>
    <w:p w14:paraId="624E00C8" w14:textId="77777777" w:rsidR="00E4542A" w:rsidRPr="00710C80" w:rsidRDefault="00E4542A" w:rsidP="00710C80">
      <w:pPr>
        <w:pStyle w:val="Heading1"/>
        <w:rPr>
          <w:lang w:val="pt-BR"/>
        </w:rPr>
      </w:pPr>
      <w:r w:rsidRPr="00710C80">
        <w:rPr>
          <w:lang w:val="pt-BR"/>
        </w:rPr>
        <w:t>5</w:t>
      </w:r>
      <w:r w:rsidRPr="00710C80">
        <w:rPr>
          <w:lang w:val="pt-BR"/>
        </w:rPr>
        <w:tab/>
        <w:t>RA-12 preparation</w:t>
      </w:r>
    </w:p>
    <w:p w14:paraId="624E00C9" w14:textId="34784C60" w:rsidR="00E4542A" w:rsidRPr="00710C80" w:rsidRDefault="00E4542A" w:rsidP="00CD26D3">
      <w:pPr>
        <w:rPr>
          <w:szCs w:val="24"/>
        </w:rPr>
      </w:pPr>
      <w:r w:rsidRPr="00710C80">
        <w:rPr>
          <w:szCs w:val="24"/>
        </w:rPr>
        <w:t>RA-12 is scheduled from 16 to 20 January 2012. Invitations were dispatched by the Secretary</w:t>
      </w:r>
      <w:r w:rsidR="00CD26D3">
        <w:rPr>
          <w:szCs w:val="24"/>
        </w:rPr>
        <w:noBreakHyphen/>
      </w:r>
      <w:r w:rsidRPr="00710C80">
        <w:rPr>
          <w:szCs w:val="24"/>
        </w:rPr>
        <w:t>General in Circular Letters DM-</w:t>
      </w:r>
      <w:r w:rsidR="00CD26D3">
        <w:rPr>
          <w:szCs w:val="24"/>
        </w:rPr>
        <w:t>1002 and 1003</w:t>
      </w:r>
      <w:r w:rsidRPr="00710C80">
        <w:rPr>
          <w:szCs w:val="24"/>
        </w:rPr>
        <w:t xml:space="preserve">. The </w:t>
      </w:r>
      <w:proofErr w:type="spellStart"/>
      <w:r w:rsidR="005611ED" w:rsidRPr="00EF0D10">
        <w:rPr>
          <w:szCs w:val="24"/>
        </w:rPr>
        <w:t>Radiocommunication</w:t>
      </w:r>
      <w:proofErr w:type="spellEnd"/>
      <w:r w:rsidR="005611ED" w:rsidRPr="00EF0D10">
        <w:rPr>
          <w:szCs w:val="24"/>
        </w:rPr>
        <w:t xml:space="preserve"> Assembly</w:t>
      </w:r>
      <w:r w:rsidRPr="00710C80">
        <w:rPr>
          <w:szCs w:val="24"/>
        </w:rPr>
        <w:t xml:space="preserve"> website is available at: </w:t>
      </w:r>
      <w:hyperlink r:id="rId34" w:history="1">
        <w:r w:rsidRPr="00710C80">
          <w:rPr>
            <w:rStyle w:val="Hyperlink"/>
            <w:szCs w:val="24"/>
          </w:rPr>
          <w:t>http://www.itu.int/ITU-R/go/RA-12</w:t>
        </w:r>
      </w:hyperlink>
      <w:r w:rsidRPr="00710C80">
        <w:rPr>
          <w:szCs w:val="24"/>
        </w:rPr>
        <w:t>.</w:t>
      </w:r>
    </w:p>
    <w:p w14:paraId="624E00CA" w14:textId="77777777" w:rsidR="00E4542A" w:rsidRPr="00710C80" w:rsidRDefault="00E4542A" w:rsidP="00710C80">
      <w:pPr>
        <w:tabs>
          <w:tab w:val="left" w:pos="720"/>
        </w:tabs>
        <w:overflowPunct/>
        <w:rPr>
          <w:bCs/>
        </w:rPr>
      </w:pPr>
      <w:r w:rsidRPr="00710C80">
        <w:t>The duties and functions of the Radiocommunication Assembly are defined in Article 13 of the Constitution and Article 8 of the Convention, while the working methods of the Assembly are described in § 1 of Resolution ITU-R 1-5.</w:t>
      </w:r>
    </w:p>
    <w:p w14:paraId="624E00CB" w14:textId="77777777" w:rsidR="00051F57" w:rsidRPr="00A3696F" w:rsidRDefault="00E4542A" w:rsidP="00E4542A">
      <w:pPr>
        <w:ind w:right="-284"/>
        <w:rPr>
          <w:lang w:val="pt-BR"/>
        </w:rPr>
      </w:pPr>
      <w:r w:rsidRPr="00710C80">
        <w:t>In view of the ready availability of the documents on the ITU web</w:t>
      </w:r>
      <w:r w:rsidR="00710C80">
        <w:t>site</w:t>
      </w:r>
      <w:r w:rsidRPr="00710C80">
        <w:t xml:space="preserve"> and of the file synchronization facilities that will be provided during RA-12, it is considered unnecessary to provide a CD-ROM of the output files at the end of the RA. Further, it is proposed that the Book of ITU-R Resolutions be compiled immediately after the RA and be made freely available in electronic format.</w:t>
      </w:r>
    </w:p>
    <w:p w14:paraId="624E00CC" w14:textId="77777777" w:rsidR="00861C2D" w:rsidRPr="00710C80" w:rsidRDefault="008E68B6" w:rsidP="00710C80">
      <w:pPr>
        <w:pStyle w:val="Heading1"/>
        <w:rPr>
          <w:lang w:val="en-US"/>
        </w:rPr>
      </w:pPr>
      <w:r w:rsidRPr="00A3696F">
        <w:rPr>
          <w:lang w:val="pt-BR"/>
        </w:rPr>
        <w:t>6</w:t>
      </w:r>
      <w:r w:rsidR="00F9582A" w:rsidRPr="00A3696F">
        <w:rPr>
          <w:lang w:val="pt-BR"/>
        </w:rPr>
        <w:tab/>
        <w:t>WRC</w:t>
      </w:r>
      <w:r w:rsidRPr="00A3696F">
        <w:rPr>
          <w:lang w:val="pt-BR"/>
        </w:rPr>
        <w:t>-12</w:t>
      </w:r>
      <w:r w:rsidR="00F9582A" w:rsidRPr="00A3696F">
        <w:rPr>
          <w:lang w:val="pt-BR"/>
        </w:rPr>
        <w:t xml:space="preserve"> </w:t>
      </w:r>
      <w:r w:rsidRPr="00A3696F">
        <w:rPr>
          <w:lang w:val="pt-BR"/>
        </w:rPr>
        <w:t>preparation</w:t>
      </w:r>
    </w:p>
    <w:p w14:paraId="624E00CD" w14:textId="77777777" w:rsidR="00710C80" w:rsidRPr="00710C80" w:rsidRDefault="00710C80" w:rsidP="00710C80">
      <w:pPr>
        <w:rPr>
          <w:szCs w:val="24"/>
        </w:rPr>
      </w:pPr>
      <w:r w:rsidRPr="00710C80">
        <w:rPr>
          <w:szCs w:val="24"/>
        </w:rPr>
        <w:t xml:space="preserve">WRC-12 is scheduled from 23 January to 17 February 2012. Invitations were dispatched by the Secretary-General in Circular Letters No. 11 and DM-11/1000 of 10 March 2011 and by BR in Circular Letters CA/196 of 6 April 2011. The </w:t>
      </w:r>
      <w:r>
        <w:rPr>
          <w:szCs w:val="24"/>
        </w:rPr>
        <w:t>C</w:t>
      </w:r>
      <w:r w:rsidRPr="00710C80">
        <w:rPr>
          <w:szCs w:val="24"/>
        </w:rPr>
        <w:t xml:space="preserve">onference website is available at: </w:t>
      </w:r>
      <w:hyperlink r:id="rId35" w:history="1">
        <w:r w:rsidRPr="00710C80">
          <w:rPr>
            <w:rStyle w:val="Hyperlink"/>
            <w:szCs w:val="24"/>
          </w:rPr>
          <w:t>http://www.itu.int/ITU-R/go/WRC-12</w:t>
        </w:r>
      </w:hyperlink>
      <w:r w:rsidRPr="00710C80">
        <w:rPr>
          <w:szCs w:val="24"/>
        </w:rPr>
        <w:t>.</w:t>
      </w:r>
    </w:p>
    <w:p w14:paraId="624E00CE" w14:textId="77777777" w:rsidR="00710C80" w:rsidRPr="00710C80" w:rsidRDefault="00710C80" w:rsidP="00710C80">
      <w:r w:rsidRPr="00710C80">
        <w:t xml:space="preserve">In accordance with Resolution 95 (Rev.WRC-07) and in connection with WRC-12 Agenda item 4, a general review of Resolutions and Recommendations of previous conferences was undertaken by BR and was presented directly to the Second Session of CPM-11 (CPM11-2) in Document </w:t>
      </w:r>
      <w:hyperlink r:id="rId36" w:history="1">
        <w:r w:rsidRPr="00710C80">
          <w:rPr>
            <w:rStyle w:val="Hyperlink"/>
          </w:rPr>
          <w:t>32</w:t>
        </w:r>
      </w:hyperlink>
      <w:r w:rsidRPr="00710C80">
        <w:t>, after consultation with the Chairmen and Vice-Chairmen of the RAG and Radiocommunication Study Groups, given that the consideration at a meeting of the RAG could not take place for schedule reasons. Annex 4-1 in Chapter 6 of the CPM Report to WRC-12 contains the proposals for consideration of the conference.</w:t>
      </w:r>
    </w:p>
    <w:p w14:paraId="624E00CF" w14:textId="77777777" w:rsidR="00710C80" w:rsidRPr="00710C80" w:rsidRDefault="00710C80" w:rsidP="00710C80">
      <w:r w:rsidRPr="00710C80">
        <w:t xml:space="preserve">In accordance with Resolution 28 (Rev.WRC-03) and in connection with WRC-12 Agenda item 2, a list of those ITU-R Recommendations incorporated by reference in the Radio Regulations (RR) which have been revised and approved during the elapsed study period, has been prepared by BR for possible inclusion in the CPM Report. In addition, in accordance with Resolution 27 (Rev. WRC-07), BR also identified </w:t>
      </w:r>
      <w:r w:rsidRPr="00710C80">
        <w:rPr>
          <w:rFonts w:eastAsia="SimSun"/>
          <w:lang w:eastAsia="zh-CN"/>
        </w:rPr>
        <w:t xml:space="preserve">the RR provisions and footnotes containing references to ITU-R Recommendations, as well as the RR provisions and footnotes containing references to WRC Resolutions that contain references to ITU-R Recommendations. </w:t>
      </w:r>
      <w:r w:rsidRPr="00710C80">
        <w:t>This information was presented to CPM11</w:t>
      </w:r>
      <w:r w:rsidRPr="00710C80">
        <w:noBreakHyphen/>
        <w:t xml:space="preserve">2 in Document </w:t>
      </w:r>
      <w:hyperlink r:id="rId37" w:history="1">
        <w:r w:rsidRPr="00710C80">
          <w:rPr>
            <w:rStyle w:val="Hyperlink"/>
          </w:rPr>
          <w:t>32</w:t>
        </w:r>
      </w:hyperlink>
      <w:r w:rsidRPr="00710C80">
        <w:t xml:space="preserve"> and was included § 6/2, Chapter 6 of the CPM Report to WRC-12.</w:t>
      </w:r>
    </w:p>
    <w:p w14:paraId="624E00D0" w14:textId="77777777" w:rsidR="00710C80" w:rsidRDefault="00710C80" w:rsidP="00710C80">
      <w:r w:rsidRPr="00710C80">
        <w:t xml:space="preserve">In connection with WRC-12 agenda item 8.1, a preliminary version of the Director’s Report to WRC-12 has been prepared for submission to CPM11-2 in Document </w:t>
      </w:r>
      <w:hyperlink r:id="rId38" w:history="1">
        <w:r w:rsidRPr="00710C80">
          <w:rPr>
            <w:rStyle w:val="Hyperlink"/>
          </w:rPr>
          <w:t>34</w:t>
        </w:r>
      </w:hyperlink>
      <w:r w:rsidRPr="00710C80">
        <w:t>.</w:t>
      </w:r>
    </w:p>
    <w:p w14:paraId="624E00D1" w14:textId="77777777" w:rsidR="00E83221" w:rsidRDefault="00710C80">
      <w:pPr>
        <w:tabs>
          <w:tab w:val="clear" w:pos="794"/>
          <w:tab w:val="clear" w:pos="1191"/>
          <w:tab w:val="clear" w:pos="1588"/>
          <w:tab w:val="clear" w:pos="1985"/>
        </w:tabs>
        <w:overflowPunct/>
        <w:textAlignment w:val="auto"/>
        <w:rPr>
          <w:bCs/>
        </w:rPr>
      </w:pPr>
      <w:r w:rsidRPr="00710C80">
        <w:rPr>
          <w:bCs/>
        </w:rPr>
        <w:t xml:space="preserve">A Preparatory Task Force for WRC-12 was established within the </w:t>
      </w:r>
      <w:r w:rsidR="00D456B4">
        <w:rPr>
          <w:bCs/>
        </w:rPr>
        <w:t xml:space="preserve"> ITU </w:t>
      </w:r>
      <w:r w:rsidRPr="00710C80">
        <w:rPr>
          <w:bCs/>
        </w:rPr>
        <w:t>to address all the administrative, logistical and financial preparatory actions.</w:t>
      </w:r>
      <w:r w:rsidR="004B2ADF" w:rsidRPr="00BE7548">
        <w:rPr>
          <w:bCs/>
        </w:rPr>
        <w:t xml:space="preserve"> </w:t>
      </w:r>
    </w:p>
    <w:p w14:paraId="624E00D2" w14:textId="77777777" w:rsidR="004B4881" w:rsidRPr="004B2ADF" w:rsidRDefault="004B4881" w:rsidP="004B4881">
      <w:pPr>
        <w:tabs>
          <w:tab w:val="clear" w:pos="794"/>
          <w:tab w:val="clear" w:pos="1191"/>
          <w:tab w:val="clear" w:pos="1588"/>
          <w:tab w:val="clear" w:pos="1985"/>
        </w:tabs>
        <w:overflowPunct/>
        <w:textAlignment w:val="auto"/>
        <w:rPr>
          <w:bCs/>
          <w:highlight w:val="green"/>
        </w:rPr>
      </w:pPr>
      <w:r>
        <w:rPr>
          <w:bCs/>
        </w:rPr>
        <w:t>As foreseen in Resolutions 80 (Rev. Marrakesh, 2002) and 72 (Rev. WRC-07), an Informal Group for the preparation of WRC-12 was established by the representatives of regional groups under the chairmanship of Dr. J-C. Albernaz of Brazil. The group met three times since 2009 and considered the matters related to the structure and officers of the Conference. Information on the Informal Group is found at the WRC-12 website.</w:t>
      </w:r>
    </w:p>
    <w:p w14:paraId="624E00D3" w14:textId="77777777" w:rsidR="00710C80" w:rsidRPr="00710C80" w:rsidRDefault="00710C80" w:rsidP="00710C80">
      <w:pPr>
        <w:pStyle w:val="Heading1"/>
        <w:rPr>
          <w:lang w:val="en-US" w:eastAsia="zh-CN"/>
        </w:rPr>
      </w:pPr>
      <w:r w:rsidRPr="00710C80">
        <w:rPr>
          <w:lang w:val="en-US" w:eastAsia="zh-CN"/>
        </w:rPr>
        <w:t>6.1</w:t>
      </w:r>
      <w:r w:rsidRPr="00710C80">
        <w:rPr>
          <w:lang w:val="en-US" w:eastAsia="zh-CN"/>
        </w:rPr>
        <w:tab/>
        <w:t>CPM11-2</w:t>
      </w:r>
    </w:p>
    <w:p w14:paraId="624E00D4" w14:textId="77777777" w:rsidR="00710C80" w:rsidRPr="00710C80" w:rsidRDefault="00710C80" w:rsidP="00710C80">
      <w:r w:rsidRPr="00710C80">
        <w:t>Preparations for the second session of CPM-11 (CPM11-2) were undertaken in accordance with the results of the first session, CPM11-1, as contained in Administrative Circular CA/171 and its Addendum 1.</w:t>
      </w:r>
    </w:p>
    <w:p w14:paraId="624E00D5" w14:textId="77777777" w:rsidR="00710C80" w:rsidRPr="00710C80" w:rsidRDefault="00710C80" w:rsidP="00710C80">
      <w:r w:rsidRPr="00710C80">
        <w:t xml:space="preserve">During the May-July 2010 period, final meetings were held of the “responsible groups” for draft CPM texts that were all provided before the deadline of 16 July 2010 and subsequently used to compile the draft CPM Report at the CPM-11 Management </w:t>
      </w:r>
      <w:r w:rsidRPr="00710C80">
        <w:rPr>
          <w:lang w:val="en-US"/>
        </w:rPr>
        <w:t xml:space="preserve">Team </w:t>
      </w:r>
      <w:r w:rsidRPr="00710C80">
        <w:t xml:space="preserve">Meeting held on 26-30 July 2010. The English version of the draft CPM Report was available on the ITU-R website (as Document </w:t>
      </w:r>
      <w:hyperlink r:id="rId39" w:history="1">
        <w:r w:rsidRPr="00710C80">
          <w:rPr>
            <w:rStyle w:val="Hyperlink"/>
          </w:rPr>
          <w:t>CPM11-2/1</w:t>
        </w:r>
      </w:hyperlink>
      <w:r w:rsidRPr="00710C80">
        <w:t xml:space="preserve">) on 13 August 2010. Extracts from the draft CPM Report on regulatory/procedural matters were prepared as a document to the Special Committee for its meeting 1-5 November 2010. The Report from the SC was available as Document </w:t>
      </w:r>
      <w:hyperlink r:id="rId40" w:history="1">
        <w:r w:rsidRPr="00710C80">
          <w:rPr>
            <w:rStyle w:val="Hyperlink"/>
          </w:rPr>
          <w:t>CPM11-2/2</w:t>
        </w:r>
      </w:hyperlink>
      <w:r w:rsidRPr="00710C80">
        <w:t xml:space="preserve"> on 12 November 2010. </w:t>
      </w:r>
    </w:p>
    <w:p w14:paraId="624E00D6" w14:textId="77777777" w:rsidR="00710C80" w:rsidRPr="00710C80" w:rsidRDefault="00710C80" w:rsidP="00D9794F">
      <w:r w:rsidRPr="00710C80">
        <w:t xml:space="preserve">As indicated in </w:t>
      </w:r>
      <w:r w:rsidR="00D9794F">
        <w:t>above</w:t>
      </w:r>
      <w:r w:rsidRPr="00710C80">
        <w:t xml:space="preserve">, BR also prepared Documents CPM11-2/ </w:t>
      </w:r>
      <w:hyperlink r:id="rId41" w:history="1">
        <w:r w:rsidRPr="00710C80">
          <w:rPr>
            <w:rStyle w:val="Hyperlink"/>
          </w:rPr>
          <w:t>32</w:t>
        </w:r>
      </w:hyperlink>
      <w:r w:rsidRPr="00710C80">
        <w:t xml:space="preserve">, </w:t>
      </w:r>
      <w:hyperlink r:id="rId42" w:history="1">
        <w:r w:rsidRPr="00710C80">
          <w:rPr>
            <w:rStyle w:val="Hyperlink"/>
          </w:rPr>
          <w:t>33</w:t>
        </w:r>
      </w:hyperlink>
      <w:r w:rsidRPr="00710C80">
        <w:t xml:space="preserve"> and </w:t>
      </w:r>
      <w:hyperlink r:id="rId43" w:history="1">
        <w:r w:rsidRPr="00710C80">
          <w:rPr>
            <w:rStyle w:val="Hyperlink"/>
          </w:rPr>
          <w:t>34</w:t>
        </w:r>
      </w:hyperlink>
      <w:r w:rsidRPr="00710C80">
        <w:t>, as well as an updated version of Annex 1 to the draft CPM Report in Corrigendum 1 to Document CPM11-2/</w:t>
      </w:r>
      <w:hyperlink r:id="rId44" w:history="1">
        <w:r w:rsidRPr="00710C80">
          <w:rPr>
            <w:rStyle w:val="Hyperlink"/>
          </w:rPr>
          <w:t>1</w:t>
        </w:r>
      </w:hyperlink>
      <w:r w:rsidRPr="00710C80">
        <w:t>.</w:t>
      </w:r>
    </w:p>
    <w:p w14:paraId="624E00D7" w14:textId="77777777" w:rsidR="000F43D8" w:rsidRDefault="00710C80" w:rsidP="00710C80">
      <w:pPr>
        <w:rPr>
          <w:lang w:eastAsia="zh-CN"/>
        </w:rPr>
      </w:pPr>
      <w:r w:rsidRPr="00710C80">
        <w:t xml:space="preserve">CPM11-2 was held in Geneva from 14 – 25 February 2011, the announcement for which was contained in Administrative Circular CA/191 + Addenda 1 and 3. </w:t>
      </w:r>
      <w:r w:rsidRPr="00710C80">
        <w:rPr>
          <w:lang w:eastAsia="zh-CN"/>
        </w:rPr>
        <w:t xml:space="preserve">CPM11-2 was attended by more than 1100 participants representing 109 ITU Member States and 69 Radiocommunication Sector Members, including international organizations. It considered 160 input contributions and approved the CPM Report to WRC-12 in all the six languages of the Union (see at: </w:t>
      </w:r>
      <w:hyperlink r:id="rId45" w:history="1">
        <w:r w:rsidRPr="00710C80">
          <w:rPr>
            <w:rStyle w:val="Hyperlink"/>
            <w:lang w:eastAsia="zh-CN"/>
          </w:rPr>
          <w:t>http://www.itu.int/md/R07-CPM11.02-R-0001</w:t>
        </w:r>
      </w:hyperlink>
      <w:r w:rsidRPr="00710C80">
        <w:rPr>
          <w:lang w:eastAsia="zh-CN"/>
        </w:rPr>
        <w:t>).</w:t>
      </w:r>
    </w:p>
    <w:p w14:paraId="624E00D8" w14:textId="77777777" w:rsidR="00D9794F" w:rsidRPr="00D9794F" w:rsidRDefault="00D9794F" w:rsidP="00D9794F">
      <w:pPr>
        <w:rPr>
          <w:lang w:val="en-US" w:eastAsia="zh-CN"/>
        </w:rPr>
      </w:pPr>
      <w:r w:rsidRPr="00D9794F">
        <w:rPr>
          <w:lang w:eastAsia="zh-CN"/>
        </w:rPr>
        <w:t xml:space="preserve">It is worth noting that </w:t>
      </w:r>
      <w:r w:rsidRPr="00D9794F">
        <w:t xml:space="preserve">the printed form of the </w:t>
      </w:r>
      <w:hyperlink r:id="rId46" w:history="1">
        <w:r w:rsidRPr="00D9794F">
          <w:rPr>
            <w:rStyle w:val="Hyperlink"/>
          </w:rPr>
          <w:t>CPM Report to WRC-12</w:t>
        </w:r>
      </w:hyperlink>
      <w:r w:rsidRPr="00D9794F">
        <w:t xml:space="preserve"> (in the six official languages) is availabl</w:t>
      </w:r>
      <w:r>
        <w:t>e for sale for the first time.</w:t>
      </w:r>
    </w:p>
    <w:p w14:paraId="624E00D9" w14:textId="77777777" w:rsidR="000F43D8" w:rsidRDefault="000F43D8">
      <w:pPr>
        <w:pStyle w:val="Heading1"/>
        <w:rPr>
          <w:lang w:val="en-US" w:eastAsia="zh-CN"/>
        </w:rPr>
      </w:pPr>
      <w:r>
        <w:rPr>
          <w:lang w:val="en-US" w:eastAsia="zh-CN"/>
        </w:rPr>
        <w:t>6.2</w:t>
      </w:r>
      <w:r>
        <w:rPr>
          <w:lang w:val="en-US" w:eastAsia="zh-CN"/>
        </w:rPr>
        <w:tab/>
      </w:r>
      <w:r w:rsidR="00132157">
        <w:rPr>
          <w:lang w:val="en-US" w:eastAsia="zh-CN"/>
        </w:rPr>
        <w:t xml:space="preserve">Other preparatory </w:t>
      </w:r>
      <w:r>
        <w:rPr>
          <w:lang w:val="en-US" w:eastAsia="zh-CN"/>
        </w:rPr>
        <w:t>activities</w:t>
      </w:r>
      <w:r w:rsidR="00132157">
        <w:rPr>
          <w:lang w:val="en-US" w:eastAsia="zh-CN"/>
        </w:rPr>
        <w:t xml:space="preserve"> for WRC-12</w:t>
      </w:r>
    </w:p>
    <w:p w14:paraId="624E00DA" w14:textId="77777777" w:rsidR="008A48E1" w:rsidRDefault="00D456B4" w:rsidP="00960F36">
      <w:pPr>
        <w:rPr>
          <w:color w:val="0000FF"/>
        </w:rPr>
      </w:pPr>
      <w:r>
        <w:rPr>
          <w:color w:val="000000"/>
        </w:rPr>
        <w:t xml:space="preserve">The </w:t>
      </w:r>
      <w:r w:rsidR="008A48E1" w:rsidRPr="00BE7548">
        <w:rPr>
          <w:color w:val="000000"/>
        </w:rPr>
        <w:t xml:space="preserve">BR organized the </w:t>
      </w:r>
      <w:hyperlink r:id="rId47" w:tgtFrame="_blank" w:history="1">
        <w:r w:rsidR="008A48E1" w:rsidRPr="00BE7548">
          <w:rPr>
            <w:rStyle w:val="Hyperlink"/>
            <w:color w:val="810081"/>
          </w:rPr>
          <w:t>2</w:t>
        </w:r>
        <w:r w:rsidR="008A48E1" w:rsidRPr="00BE7548">
          <w:rPr>
            <w:rStyle w:val="Hyperlink"/>
            <w:color w:val="810081"/>
            <w:vertAlign w:val="superscript"/>
          </w:rPr>
          <w:t>nd</w:t>
        </w:r>
        <w:r w:rsidR="008A48E1" w:rsidRPr="00BE7548">
          <w:rPr>
            <w:rStyle w:val="Hyperlink"/>
            <w:color w:val="810081"/>
          </w:rPr>
          <w:t xml:space="preserve"> ITU Information Meeting on WRC-12 Preparation</w:t>
        </w:r>
      </w:hyperlink>
      <w:r w:rsidR="008A48E1" w:rsidRPr="00BE7548">
        <w:rPr>
          <w:color w:val="0000FF"/>
        </w:rPr>
        <w:t xml:space="preserve"> </w:t>
      </w:r>
      <w:r w:rsidR="008A48E1" w:rsidRPr="00BE7548">
        <w:t>(Geneva, 24</w:t>
      </w:r>
      <w:r w:rsidR="00C2494A" w:rsidRPr="00BE7548">
        <w:noBreakHyphen/>
      </w:r>
      <w:r w:rsidR="008A48E1" w:rsidRPr="00BE7548">
        <w:t>25.11.10)</w:t>
      </w:r>
      <w:r w:rsidR="008A48E1" w:rsidRPr="00BE7548">
        <w:rPr>
          <w:color w:val="0000FF"/>
        </w:rPr>
        <w:t>.</w:t>
      </w:r>
      <w:r w:rsidR="008A48E1" w:rsidRPr="00BE7548">
        <w:rPr>
          <w:color w:val="000000"/>
        </w:rPr>
        <w:t xml:space="preserve"> The meeting was attended by 134 participants representing 54 countries and 18 companies and organizations including the following six regional telecommunication organizations</w:t>
      </w:r>
      <w:r w:rsidR="008A48E1" w:rsidRPr="00BE7548">
        <w:rPr>
          <w:color w:val="0000FF"/>
        </w:rPr>
        <w:t xml:space="preserve"> </w:t>
      </w:r>
      <w:r w:rsidR="008A48E1" w:rsidRPr="00BE7548">
        <w:rPr>
          <w:color w:val="000000"/>
        </w:rPr>
        <w:t>- APT, ASMG, ATU, CEPT, CITEL and RCC. Fellowships were given to 20 participants from the following Member States:  Benin, Burkina Faso, Burundi, Comoros, Dem. Rep. of the Congo, Djibouti, Eritrea, Ethiopia, Gambia, Haiti, Honduras, Kyrgyz Republic, Lao People’s Dem. Rep., Lesotho, Malawi, Myanmar, Rwanda, Uganda, Uzbekistan and Viet Nam.</w:t>
      </w:r>
    </w:p>
    <w:p w14:paraId="624E00DB" w14:textId="0243939C" w:rsidR="008A48E1" w:rsidRDefault="008A48E1" w:rsidP="00F220B5">
      <w:pPr>
        <w:rPr>
          <w:color w:val="0000FF"/>
        </w:rPr>
      </w:pPr>
      <w:r>
        <w:rPr>
          <w:color w:val="000000"/>
        </w:rPr>
        <w:t>Following the successful results of the 2009 and 2010 meetings, a 3</w:t>
      </w:r>
      <w:r>
        <w:rPr>
          <w:color w:val="000000"/>
          <w:vertAlign w:val="superscript"/>
        </w:rPr>
        <w:t>rd</w:t>
      </w:r>
      <w:r>
        <w:rPr>
          <w:color w:val="000000"/>
        </w:rPr>
        <w:t xml:space="preserve"> ITU Information Meeting on WRC-12 Preparation is </w:t>
      </w:r>
      <w:r w:rsidR="00D456B4">
        <w:rPr>
          <w:color w:val="000000"/>
        </w:rPr>
        <w:t xml:space="preserve">planned </w:t>
      </w:r>
      <w:r>
        <w:rPr>
          <w:color w:val="000000"/>
        </w:rPr>
        <w:t>for 7-8</w:t>
      </w:r>
      <w:r w:rsidR="00D456B4">
        <w:rPr>
          <w:color w:val="000000"/>
        </w:rPr>
        <w:t xml:space="preserve"> November 20</w:t>
      </w:r>
      <w:r>
        <w:rPr>
          <w:color w:val="000000"/>
        </w:rPr>
        <w:t>11 to focus on the presentation of positions and views from the regional groups based on the CPM Report and the Director’s Report to WRC</w:t>
      </w:r>
      <w:r w:rsidR="00F220B5">
        <w:rPr>
          <w:color w:val="000000"/>
        </w:rPr>
        <w:noBreakHyphen/>
      </w:r>
      <w:r>
        <w:rPr>
          <w:color w:val="000000"/>
        </w:rPr>
        <w:t>12.</w:t>
      </w:r>
    </w:p>
    <w:p w14:paraId="624E00DC" w14:textId="77777777" w:rsidR="000F43D8" w:rsidRDefault="000F43D8" w:rsidP="00960F36">
      <w:pPr>
        <w:rPr>
          <w:rFonts w:eastAsia="SimSun"/>
          <w:szCs w:val="24"/>
          <w:lang w:val="en-US" w:eastAsia="zh-CN"/>
        </w:rPr>
      </w:pPr>
      <w:r w:rsidRPr="007632FB">
        <w:rPr>
          <w:rFonts w:eastAsia="SimSun"/>
          <w:szCs w:val="24"/>
          <w:lang w:val="en-US" w:eastAsia="zh-CN"/>
        </w:rPr>
        <w:t xml:space="preserve">BR staff have been attending most of the WRC-12 preparatory meetings of the </w:t>
      </w:r>
      <w:r w:rsidRPr="00C845CC">
        <w:rPr>
          <w:rFonts w:eastAsia="SimSun"/>
          <w:szCs w:val="24"/>
          <w:lang w:val="en-US" w:eastAsia="zh-CN"/>
        </w:rPr>
        <w:t>regional groups</w:t>
      </w:r>
      <w:r w:rsidRPr="007632FB">
        <w:rPr>
          <w:rFonts w:eastAsia="SimSun"/>
          <w:szCs w:val="24"/>
          <w:lang w:val="en-US" w:eastAsia="zh-CN"/>
        </w:rPr>
        <w:t xml:space="preserve"> and when requested, making presentations on the progress of the ITU-R preparations</w:t>
      </w:r>
      <w:r>
        <w:rPr>
          <w:rFonts w:eastAsia="SimSun"/>
          <w:szCs w:val="24"/>
          <w:lang w:val="en-US" w:eastAsia="zh-CN"/>
        </w:rPr>
        <w:t xml:space="preserve">.  </w:t>
      </w:r>
    </w:p>
    <w:p w14:paraId="624E00DD" w14:textId="77777777" w:rsidR="000F43D8" w:rsidRDefault="004E563F" w:rsidP="00960F36">
      <w:pPr>
        <w:rPr>
          <w:rFonts w:eastAsia="SimSun"/>
          <w:szCs w:val="24"/>
          <w:lang w:val="en-US" w:eastAsia="zh-CN"/>
        </w:rPr>
      </w:pPr>
      <w:r>
        <w:rPr>
          <w:rFonts w:eastAsia="SimSun"/>
          <w:szCs w:val="24"/>
          <w:lang w:val="en-US" w:eastAsia="zh-CN"/>
        </w:rPr>
        <w:t>I</w:t>
      </w:r>
      <w:r w:rsidR="000F43D8">
        <w:rPr>
          <w:rFonts w:eastAsia="SimSun"/>
          <w:szCs w:val="24"/>
          <w:lang w:val="en-US" w:eastAsia="zh-CN"/>
        </w:rPr>
        <w:t xml:space="preserve">nformation on all the regional groups in charge of the preparation for WRC-12 are accessible from: </w:t>
      </w:r>
      <w:hyperlink r:id="rId48" w:history="1">
        <w:r w:rsidR="000F43D8" w:rsidRPr="00A14F37">
          <w:rPr>
            <w:rStyle w:val="Hyperlink"/>
            <w:rFonts w:eastAsia="SimSun"/>
            <w:szCs w:val="24"/>
            <w:lang w:val="en-US" w:eastAsia="zh-CN"/>
          </w:rPr>
          <w:t>http://www.itu.int/ITU-R/go/wrc-12-regional</w:t>
        </w:r>
      </w:hyperlink>
      <w:r w:rsidR="000F43D8">
        <w:rPr>
          <w:rFonts w:eastAsia="SimSun"/>
          <w:szCs w:val="24"/>
          <w:lang w:val="en-US" w:eastAsia="zh-CN"/>
        </w:rPr>
        <w:t>.</w:t>
      </w:r>
    </w:p>
    <w:p w14:paraId="624E00DE" w14:textId="77777777" w:rsidR="002B6B71" w:rsidRDefault="000F43D8" w:rsidP="002B6B71">
      <w:pPr>
        <w:pStyle w:val="Heading2"/>
      </w:pPr>
      <w:r>
        <w:rPr>
          <w:lang w:val="en-US" w:eastAsia="zh-CN"/>
        </w:rPr>
        <w:t>6.3</w:t>
      </w:r>
      <w:r w:rsidR="005D6EC1">
        <w:rPr>
          <w:lang w:val="en-US" w:eastAsia="zh-CN"/>
        </w:rPr>
        <w:tab/>
        <w:t xml:space="preserve">Resolution </w:t>
      </w:r>
      <w:r w:rsidR="00F90440">
        <w:rPr>
          <w:lang w:val="en-US" w:eastAsia="zh-CN"/>
        </w:rPr>
        <w:t>80</w:t>
      </w:r>
      <w:r w:rsidR="004E563F">
        <w:rPr>
          <w:lang w:val="en-US" w:eastAsia="zh-CN"/>
        </w:rPr>
        <w:t xml:space="preserve"> </w:t>
      </w:r>
      <w:r w:rsidR="00AB1309">
        <w:rPr>
          <w:lang w:val="en-US" w:eastAsia="zh-CN"/>
        </w:rPr>
        <w:t>(Rev.</w:t>
      </w:r>
      <w:r w:rsidR="005D6EC1">
        <w:rPr>
          <w:lang w:val="en-US" w:eastAsia="zh-CN"/>
        </w:rPr>
        <w:t>WRC-07)</w:t>
      </w:r>
      <w:r w:rsidR="005D6EC1" w:rsidRPr="00D1525B">
        <w:rPr>
          <w:highlight w:val="yellow"/>
        </w:rPr>
        <w:t xml:space="preserve"> </w:t>
      </w:r>
    </w:p>
    <w:p w14:paraId="624E00DF" w14:textId="77777777" w:rsidR="004E563F" w:rsidRPr="004E563F" w:rsidRDefault="004E563F" w:rsidP="004E563F">
      <w:r w:rsidRPr="004E563F">
        <w:t xml:space="preserve">Resolution </w:t>
      </w:r>
      <w:r w:rsidRPr="004E563F">
        <w:rPr>
          <w:b/>
          <w:bCs/>
        </w:rPr>
        <w:t>80 (Rev.WRC-07)</w:t>
      </w:r>
      <w:r w:rsidRPr="004E563F">
        <w:t xml:space="preserve"> “invites </w:t>
      </w:r>
      <w:r w:rsidRPr="004E563F">
        <w:rPr>
          <w:lang w:val="en-US" w:eastAsia="zh-CN"/>
        </w:rPr>
        <w:t xml:space="preserve">the other organs of the Radiocommunication Sector, in particular the RAG, to make relevant contributions to the Director of the Radiocommunication Bureau for inclusion in his report to each future World Radiocommunication Conference.” </w:t>
      </w:r>
    </w:p>
    <w:p w14:paraId="2BCC1AAF" w14:textId="77777777" w:rsidR="00F220B5" w:rsidRDefault="00F220B5">
      <w:pPr>
        <w:tabs>
          <w:tab w:val="clear" w:pos="794"/>
          <w:tab w:val="clear" w:pos="1191"/>
          <w:tab w:val="clear" w:pos="1588"/>
          <w:tab w:val="clear" w:pos="1985"/>
        </w:tabs>
        <w:overflowPunct/>
        <w:autoSpaceDE/>
        <w:autoSpaceDN/>
        <w:adjustRightInd/>
        <w:spacing w:before="0"/>
        <w:textAlignment w:val="auto"/>
      </w:pPr>
      <w:r>
        <w:br w:type="page"/>
      </w:r>
    </w:p>
    <w:p w14:paraId="624E00E0" w14:textId="758288EE" w:rsidR="0094383F" w:rsidRDefault="004E563F" w:rsidP="004E563F">
      <w:r w:rsidRPr="004E563F">
        <w:t xml:space="preserve">The </w:t>
      </w:r>
      <w:hyperlink r:id="rId49" w:history="1">
        <w:r w:rsidRPr="004E563F">
          <w:rPr>
            <w:rStyle w:val="Hyperlink"/>
          </w:rPr>
          <w:t>Report of the CPM to WRC-12</w:t>
        </w:r>
      </w:hyperlink>
      <w:r w:rsidRPr="004E563F">
        <w:t xml:space="preserve">, § </w:t>
      </w:r>
      <w:r w:rsidRPr="004E563F">
        <w:rPr>
          <w:lang w:val="en-US" w:eastAsia="zh-CN"/>
        </w:rPr>
        <w:t xml:space="preserve">6/8.1.3 contains information on the work already performed by ITU-R in response to Resolution </w:t>
      </w:r>
      <w:r w:rsidRPr="004E563F">
        <w:rPr>
          <w:b/>
          <w:bCs/>
          <w:lang w:val="en-US" w:eastAsia="zh-CN"/>
        </w:rPr>
        <w:t>80 (Rev.WRC-07)</w:t>
      </w:r>
      <w:r w:rsidRPr="004E563F">
        <w:rPr>
          <w:lang w:val="en-US" w:eastAsia="zh-CN"/>
        </w:rPr>
        <w:t>, in particular the development and approval of numerous ITU-R Recommendations and Reports related to improving equitable access to, and the efficient use of the geostationary-satellite orbit/spectrum resource</w:t>
      </w:r>
      <w:r w:rsidRPr="004E563F">
        <w:t>.</w:t>
      </w:r>
      <w:r w:rsidR="0094383F">
        <w:t xml:space="preserve"> </w:t>
      </w:r>
    </w:p>
    <w:p w14:paraId="624E00E1" w14:textId="77777777" w:rsidR="000D00A3" w:rsidRDefault="000D00A3" w:rsidP="0029482E">
      <w:pPr>
        <w:rPr>
          <w:highlight w:val="yellow"/>
        </w:rPr>
      </w:pPr>
      <w:r>
        <w:t>The Radio Regulations Board (RRB) was tasked under resolves 2 of Resolution 80 (Rev.WRC-07) “to consider and review possible draft recommendations and draft provisions linking the formal notification, coordination and registration procedures with the principles contained in Article 44 of the Constitution and No. 0.3 of the Preamble to the Radio Regulations”</w:t>
      </w:r>
      <w:r w:rsidR="002B6B71">
        <w:t>.</w:t>
      </w:r>
      <w:r>
        <w:t xml:space="preserve"> The Board focused its efforts in this regard on concepts to address issues the Board and the Bureau had faced since WRC</w:t>
      </w:r>
      <w:r>
        <w:noBreakHyphen/>
        <w:t xml:space="preserve">07 that affected the fulfilment of these principles. </w:t>
      </w:r>
    </w:p>
    <w:p w14:paraId="624E00E3" w14:textId="1A61A4C0" w:rsidR="0047494A" w:rsidRPr="00886824" w:rsidRDefault="002B6B71" w:rsidP="00886824">
      <w:pPr>
        <w:pStyle w:val="Tabletext"/>
        <w:spacing w:before="120" w:after="120"/>
        <w:rPr>
          <w:sz w:val="24"/>
          <w:szCs w:val="24"/>
        </w:rPr>
      </w:pPr>
      <w:r w:rsidRPr="0047494A">
        <w:rPr>
          <w:sz w:val="24"/>
          <w:szCs w:val="24"/>
        </w:rPr>
        <w:t xml:space="preserve">The following summarizes the work of the </w:t>
      </w:r>
      <w:r w:rsidR="0047494A" w:rsidRPr="0047494A">
        <w:rPr>
          <w:sz w:val="24"/>
          <w:szCs w:val="24"/>
        </w:rPr>
        <w:t>Board’s Working Group (WG) on Resolution 80</w:t>
      </w:r>
      <w:r w:rsidRPr="0047494A">
        <w:rPr>
          <w:sz w:val="24"/>
          <w:szCs w:val="24"/>
        </w:rPr>
        <w:t xml:space="preserve"> since the last RAG meeting</w:t>
      </w:r>
      <w:r w:rsidR="000D00A3" w:rsidRPr="0047494A">
        <w:rPr>
          <w:sz w:val="24"/>
          <w:szCs w:val="24"/>
        </w:rPr>
        <w:t>:</w:t>
      </w:r>
    </w:p>
    <w:tbl>
      <w:tblPr>
        <w:tblStyle w:val="TableGrid"/>
        <w:tblW w:w="0" w:type="auto"/>
        <w:tblLook w:val="04A0" w:firstRow="1" w:lastRow="0" w:firstColumn="1" w:lastColumn="0" w:noHBand="0" w:noVBand="1"/>
      </w:tblPr>
      <w:tblGrid>
        <w:gridCol w:w="9855"/>
      </w:tblGrid>
      <w:tr w:rsidR="0047494A" w14:paraId="624E00F5" w14:textId="77777777" w:rsidTr="002D16A7">
        <w:tc>
          <w:tcPr>
            <w:tcW w:w="9855" w:type="dxa"/>
            <w:shd w:val="clear" w:color="auto" w:fill="F2F2F2" w:themeFill="background1" w:themeFillShade="F2"/>
          </w:tcPr>
          <w:p w14:paraId="624E00E4" w14:textId="77777777" w:rsidR="0047494A" w:rsidRPr="002B6B71" w:rsidRDefault="0047494A" w:rsidP="00886824">
            <w:pPr>
              <w:pStyle w:val="Tabletext"/>
              <w:numPr>
                <w:ilvl w:val="0"/>
                <w:numId w:val="36"/>
              </w:numPr>
              <w:spacing w:before="80" w:after="0"/>
              <w:ind w:left="714" w:hanging="357"/>
              <w:rPr>
                <w:szCs w:val="24"/>
              </w:rPr>
            </w:pPr>
            <w:r w:rsidRPr="002B6B71">
              <w:t>At its 53</w:t>
            </w:r>
            <w:r w:rsidRPr="002B6B71">
              <w:rPr>
                <w:vertAlign w:val="superscript"/>
              </w:rPr>
              <w:t>rd</w:t>
            </w:r>
            <w:r w:rsidRPr="002B6B71">
              <w:t xml:space="preserve"> meeting (22-26 March 2010), the </w:t>
            </w:r>
            <w:r w:rsidRPr="002B6B71">
              <w:rPr>
                <w:szCs w:val="24"/>
              </w:rPr>
              <w:t xml:space="preserve">WG </w:t>
            </w:r>
            <w:r w:rsidRPr="002B6B71">
              <w:rPr>
                <w:rFonts w:eastAsia="SimSun"/>
                <w:lang w:val="en-US" w:eastAsia="zh-CN"/>
              </w:rPr>
              <w:t xml:space="preserve">decided the approach to be taken at the next meeting regarding its task under </w:t>
            </w:r>
            <w:r w:rsidRPr="002B6B71">
              <w:rPr>
                <w:rFonts w:eastAsia="SimSun"/>
                <w:i/>
                <w:iCs/>
                <w:lang w:val="en-US" w:eastAsia="zh-CN"/>
              </w:rPr>
              <w:t xml:space="preserve">resolves </w:t>
            </w:r>
            <w:r w:rsidRPr="002B6B71">
              <w:rPr>
                <w:rFonts w:eastAsia="SimSun"/>
                <w:lang w:val="en-US" w:eastAsia="zh-CN"/>
              </w:rPr>
              <w:t>2 of</w:t>
            </w:r>
            <w:r w:rsidRPr="002B6B71">
              <w:rPr>
                <w:rFonts w:eastAsia="SimSun"/>
                <w:i/>
                <w:iCs/>
                <w:lang w:val="en-US" w:eastAsia="zh-CN"/>
              </w:rPr>
              <w:t xml:space="preserve"> </w:t>
            </w:r>
            <w:r w:rsidRPr="002B6B71">
              <w:rPr>
                <w:rFonts w:eastAsia="SimSun"/>
                <w:lang w:val="en-US" w:eastAsia="zh-CN"/>
              </w:rPr>
              <w:t>Resolution 80 (Rev.WRC-07</w:t>
            </w:r>
            <w:r w:rsidRPr="002B6B71">
              <w:rPr>
                <w:rFonts w:eastAsia="SimSun"/>
                <w:i/>
                <w:iCs/>
                <w:lang w:val="en-US" w:eastAsia="zh-CN"/>
              </w:rPr>
              <w:t>)</w:t>
            </w:r>
            <w:r>
              <w:rPr>
                <w:rFonts w:eastAsia="SimSun"/>
                <w:i/>
                <w:iCs/>
                <w:lang w:val="en-US" w:eastAsia="zh-CN"/>
              </w:rPr>
              <w:t xml:space="preserve"> </w:t>
            </w:r>
            <w:r w:rsidRPr="002B6B71">
              <w:rPr>
                <w:rFonts w:eastAsia="SimSun"/>
                <w:lang w:val="en-US" w:eastAsia="zh-CN"/>
              </w:rPr>
              <w:t>would focus on issues that have arisen during the work of the Board, specifically:</w:t>
            </w:r>
          </w:p>
          <w:p w14:paraId="624E00E5" w14:textId="77777777" w:rsidR="0047494A" w:rsidRPr="002B6B71" w:rsidRDefault="0047494A" w:rsidP="0047494A">
            <w:pPr>
              <w:pStyle w:val="Tabletext"/>
              <w:tabs>
                <w:tab w:val="clear" w:pos="284"/>
                <w:tab w:val="left" w:pos="374"/>
              </w:tabs>
              <w:ind w:left="567"/>
              <w:rPr>
                <w:rFonts w:eastAsia="SimSun"/>
                <w:lang w:val="en-US" w:eastAsia="zh-CN"/>
              </w:rPr>
            </w:pPr>
            <w:r w:rsidRPr="002B6B71">
              <w:rPr>
                <w:rFonts w:eastAsia="SimSun"/>
                <w:lang w:val="en-US" w:eastAsia="zh-CN"/>
              </w:rPr>
              <w:t>1.</w:t>
            </w:r>
            <w:r w:rsidRPr="002B6B71">
              <w:rPr>
                <w:rFonts w:eastAsia="SimSun"/>
                <w:lang w:val="en-US" w:eastAsia="zh-CN"/>
              </w:rPr>
              <w:tab/>
              <w:t xml:space="preserve">Issues associated with No. 13.6 for further review: </w:t>
            </w:r>
          </w:p>
          <w:p w14:paraId="624E00E6" w14:textId="77777777" w:rsidR="0047494A" w:rsidRPr="002B6B71" w:rsidRDefault="0047494A" w:rsidP="0047494A">
            <w:pPr>
              <w:pStyle w:val="Tabletext"/>
              <w:ind w:left="927"/>
              <w:rPr>
                <w:rFonts w:eastAsia="SimSun"/>
                <w:lang w:val="en-US" w:eastAsia="zh-CN"/>
              </w:rPr>
            </w:pPr>
            <w:r w:rsidRPr="002B6B71">
              <w:rPr>
                <w:rFonts w:eastAsia="SimSun"/>
                <w:lang w:val="en-US" w:eastAsia="zh-CN"/>
              </w:rPr>
              <w:t>•</w:t>
            </w:r>
            <w:r w:rsidRPr="002B6B71">
              <w:rPr>
                <w:rFonts w:eastAsia="SimSun"/>
                <w:lang w:val="en-US" w:eastAsia="zh-CN"/>
              </w:rPr>
              <w:tab/>
              <w:t xml:space="preserve">The meaning of “reliable information”. </w:t>
            </w:r>
          </w:p>
          <w:p w14:paraId="624E00E7" w14:textId="77777777" w:rsidR="0047494A" w:rsidRPr="002B6B71" w:rsidRDefault="0047494A" w:rsidP="0047494A">
            <w:pPr>
              <w:pStyle w:val="Tabletext"/>
              <w:ind w:left="927"/>
              <w:rPr>
                <w:rFonts w:eastAsia="SimSun"/>
                <w:lang w:val="en-US" w:eastAsia="zh-CN"/>
              </w:rPr>
            </w:pPr>
            <w:r w:rsidRPr="002B6B71">
              <w:rPr>
                <w:rFonts w:eastAsia="SimSun"/>
                <w:lang w:val="en-US" w:eastAsia="zh-CN"/>
              </w:rPr>
              <w:t>•</w:t>
            </w:r>
            <w:r w:rsidRPr="002B6B71">
              <w:rPr>
                <w:rFonts w:eastAsia="SimSun"/>
                <w:lang w:val="en-US" w:eastAsia="zh-CN"/>
              </w:rPr>
              <w:tab/>
              <w:t xml:space="preserve">Number and timing of reminders. </w:t>
            </w:r>
          </w:p>
          <w:p w14:paraId="624E00E8" w14:textId="77777777" w:rsidR="0047494A" w:rsidRPr="002B6B71" w:rsidRDefault="0047494A" w:rsidP="0047494A">
            <w:pPr>
              <w:pStyle w:val="Tabletext"/>
              <w:ind w:left="927"/>
              <w:rPr>
                <w:rFonts w:eastAsia="SimSun"/>
                <w:lang w:val="en-US" w:eastAsia="zh-CN"/>
              </w:rPr>
            </w:pPr>
            <w:r w:rsidRPr="002B6B71">
              <w:rPr>
                <w:rFonts w:eastAsia="SimSun"/>
                <w:lang w:val="en-US" w:eastAsia="zh-CN"/>
              </w:rPr>
              <w:t>•</w:t>
            </w:r>
            <w:r w:rsidRPr="002B6B71">
              <w:rPr>
                <w:rFonts w:eastAsia="SimSun"/>
                <w:lang w:val="en-US" w:eastAsia="zh-CN"/>
              </w:rPr>
              <w:tab/>
              <w:t xml:space="preserve">What constitutes a response to an enquiry? </w:t>
            </w:r>
          </w:p>
          <w:p w14:paraId="624E00E9" w14:textId="77777777" w:rsidR="0047494A" w:rsidRPr="002B6B71" w:rsidRDefault="0047494A" w:rsidP="0047494A">
            <w:pPr>
              <w:pStyle w:val="Tabletext"/>
              <w:ind w:left="927"/>
              <w:rPr>
                <w:rFonts w:eastAsia="SimSun"/>
                <w:lang w:val="en-US" w:eastAsia="zh-CN"/>
              </w:rPr>
            </w:pPr>
            <w:r w:rsidRPr="002B6B71">
              <w:rPr>
                <w:rFonts w:eastAsia="SimSun"/>
                <w:lang w:val="en-US" w:eastAsia="zh-CN"/>
              </w:rPr>
              <w:t>•</w:t>
            </w:r>
            <w:r w:rsidRPr="002B6B71">
              <w:rPr>
                <w:rFonts w:eastAsia="SimSun"/>
                <w:lang w:val="en-US" w:eastAsia="zh-CN"/>
              </w:rPr>
              <w:tab/>
              <w:t xml:space="preserve">The meaning of “brought into regular operation”. </w:t>
            </w:r>
          </w:p>
          <w:p w14:paraId="624E00EA" w14:textId="77777777" w:rsidR="0047494A" w:rsidRPr="002B6B71" w:rsidRDefault="0047494A" w:rsidP="0047494A">
            <w:pPr>
              <w:pStyle w:val="Tabletext"/>
              <w:ind w:left="927"/>
              <w:rPr>
                <w:rFonts w:eastAsia="SimSun"/>
                <w:lang w:val="en-US" w:eastAsia="zh-CN"/>
              </w:rPr>
            </w:pPr>
            <w:r w:rsidRPr="002B6B71">
              <w:rPr>
                <w:rFonts w:eastAsia="SimSun"/>
                <w:lang w:val="en-US" w:eastAsia="zh-CN"/>
              </w:rPr>
              <w:t>•</w:t>
            </w:r>
            <w:r w:rsidRPr="002B6B71">
              <w:rPr>
                <w:rFonts w:eastAsia="SimSun"/>
                <w:lang w:val="en-US" w:eastAsia="zh-CN"/>
              </w:rPr>
              <w:tab/>
              <w:t xml:space="preserve">Cancellation of a network by the BR and confirmation by the Board. </w:t>
            </w:r>
          </w:p>
          <w:p w14:paraId="624E00EB" w14:textId="77777777" w:rsidR="0047494A" w:rsidRPr="002B6B71" w:rsidRDefault="0047494A" w:rsidP="0047494A">
            <w:pPr>
              <w:pStyle w:val="Tabletext"/>
              <w:tabs>
                <w:tab w:val="clear" w:pos="284"/>
                <w:tab w:val="clear" w:pos="567"/>
                <w:tab w:val="left" w:pos="388"/>
              </w:tabs>
              <w:ind w:left="567"/>
              <w:rPr>
                <w:rFonts w:eastAsia="SimSun"/>
                <w:lang w:val="en-US" w:eastAsia="zh-CN"/>
              </w:rPr>
            </w:pPr>
            <w:r w:rsidRPr="002B6B71">
              <w:rPr>
                <w:rFonts w:eastAsia="SimSun"/>
                <w:lang w:val="en-US" w:eastAsia="zh-CN"/>
              </w:rPr>
              <w:t>2.</w:t>
            </w:r>
            <w:r w:rsidRPr="002B6B71">
              <w:rPr>
                <w:rFonts w:eastAsia="SimSun"/>
                <w:lang w:val="en-US" w:eastAsia="zh-CN"/>
              </w:rPr>
              <w:tab/>
              <w:t>Considerations regarding the status of assignments involved in harmful interference situations (see Annex 6 to Document RRB09-2/4) and factors affecting the resolution of harmful interference.</w:t>
            </w:r>
          </w:p>
          <w:p w14:paraId="624E00EC" w14:textId="77777777" w:rsidR="0047494A" w:rsidRPr="002B6B71" w:rsidRDefault="0047494A" w:rsidP="0047494A">
            <w:pPr>
              <w:pStyle w:val="Tabletext"/>
              <w:tabs>
                <w:tab w:val="clear" w:pos="284"/>
                <w:tab w:val="clear" w:pos="567"/>
                <w:tab w:val="left" w:pos="388"/>
              </w:tabs>
              <w:ind w:left="567"/>
              <w:rPr>
                <w:rFonts w:eastAsia="SimSun"/>
                <w:lang w:val="en-US" w:eastAsia="zh-CN"/>
              </w:rPr>
            </w:pPr>
            <w:r w:rsidRPr="002B6B71">
              <w:rPr>
                <w:rFonts w:eastAsia="SimSun"/>
                <w:lang w:val="en-US" w:eastAsia="zh-CN"/>
              </w:rPr>
              <w:t>3.</w:t>
            </w:r>
            <w:r w:rsidRPr="002B6B71">
              <w:rPr>
                <w:rFonts w:eastAsia="SimSun"/>
                <w:lang w:val="en-US" w:eastAsia="zh-CN"/>
              </w:rPr>
              <w:tab/>
              <w:t xml:space="preserve">Considerations on Resolution 80 from Board Members (e.g. see Document RRB10-1/4, Annex 1). </w:t>
            </w:r>
          </w:p>
          <w:p w14:paraId="624E00ED" w14:textId="77777777" w:rsidR="0047494A" w:rsidRPr="002B6B71" w:rsidRDefault="0047494A" w:rsidP="0047494A">
            <w:pPr>
              <w:pStyle w:val="Tabletext"/>
              <w:tabs>
                <w:tab w:val="clear" w:pos="284"/>
                <w:tab w:val="clear" w:pos="567"/>
                <w:tab w:val="left" w:pos="374"/>
              </w:tabs>
              <w:ind w:left="567"/>
              <w:rPr>
                <w:rFonts w:eastAsia="SimSun"/>
                <w:lang w:val="en-US" w:eastAsia="zh-CN"/>
              </w:rPr>
            </w:pPr>
            <w:r w:rsidRPr="002B6B71">
              <w:rPr>
                <w:rFonts w:eastAsia="SimSun"/>
                <w:lang w:val="en-US" w:eastAsia="zh-CN"/>
              </w:rPr>
              <w:t>4.</w:t>
            </w:r>
            <w:r w:rsidRPr="002B6B71">
              <w:rPr>
                <w:rFonts w:eastAsia="SimSun"/>
                <w:lang w:val="en-US" w:eastAsia="zh-CN"/>
              </w:rPr>
              <w:tab/>
              <w:t xml:space="preserve">Difficulties experienced regarding satellite network coordination, particularly the situation where very few coordination agreements have been completed at the time of notification. </w:t>
            </w:r>
          </w:p>
          <w:p w14:paraId="624E00EE" w14:textId="77777777" w:rsidR="0047494A" w:rsidRPr="0047494A" w:rsidRDefault="0047494A" w:rsidP="0047494A">
            <w:pPr>
              <w:pStyle w:val="Tabletext"/>
              <w:numPr>
                <w:ilvl w:val="0"/>
                <w:numId w:val="36"/>
              </w:numPr>
              <w:tabs>
                <w:tab w:val="left" w:pos="9075"/>
              </w:tabs>
              <w:spacing w:before="60" w:after="60"/>
              <w:ind w:left="567"/>
              <w:rPr>
                <w:noProof/>
                <w:szCs w:val="24"/>
                <w:lang w:val="en-US" w:eastAsia="zh-CN"/>
              </w:rPr>
            </w:pPr>
            <w:r w:rsidRPr="0047494A">
              <w:rPr>
                <w:szCs w:val="24"/>
              </w:rPr>
              <w:t>At its 54</w:t>
            </w:r>
            <w:r w:rsidRPr="0047494A">
              <w:rPr>
                <w:szCs w:val="24"/>
                <w:vertAlign w:val="superscript"/>
              </w:rPr>
              <w:t>th</w:t>
            </w:r>
            <w:r w:rsidRPr="0047494A">
              <w:rPr>
                <w:szCs w:val="24"/>
              </w:rPr>
              <w:t xml:space="preserve"> meeting (5-13 July 2010), t</w:t>
            </w:r>
            <w:r w:rsidRPr="0047494A">
              <w:rPr>
                <w:rFonts w:eastAsia="SimSun"/>
                <w:szCs w:val="24"/>
                <w:lang w:val="en-US" w:eastAsia="zh-CN"/>
              </w:rPr>
              <w:t xml:space="preserve">he </w:t>
            </w:r>
            <w:r w:rsidRPr="0047494A">
              <w:rPr>
                <w:szCs w:val="24"/>
              </w:rPr>
              <w:t>WG</w:t>
            </w:r>
            <w:r w:rsidRPr="0047494A">
              <w:rPr>
                <w:rFonts w:eastAsia="SimSun"/>
                <w:szCs w:val="24"/>
                <w:lang w:val="en-US" w:eastAsia="zh-CN"/>
              </w:rPr>
              <w:t xml:space="preserve"> </w:t>
            </w:r>
            <w:r w:rsidRPr="0047494A">
              <w:rPr>
                <w:noProof/>
                <w:szCs w:val="24"/>
                <w:lang w:val="en-US" w:eastAsia="zh-CN"/>
              </w:rPr>
              <w:t>focused on issues that have arisen during the work of the Board, specifically:</w:t>
            </w:r>
          </w:p>
          <w:p w14:paraId="624E00EF" w14:textId="77777777" w:rsidR="0047494A" w:rsidRPr="002B6B71" w:rsidRDefault="0047494A" w:rsidP="00E86567">
            <w:pPr>
              <w:pStyle w:val="Tabletext"/>
              <w:tabs>
                <w:tab w:val="left" w:pos="9075"/>
              </w:tabs>
              <w:ind w:left="567"/>
              <w:rPr>
                <w:noProof/>
                <w:szCs w:val="24"/>
                <w:lang w:val="en-US" w:eastAsia="zh-CN"/>
              </w:rPr>
            </w:pPr>
            <w:r w:rsidRPr="002B6B71">
              <w:rPr>
                <w:noProof/>
                <w:szCs w:val="24"/>
                <w:lang w:val="en-US" w:eastAsia="zh-CN"/>
              </w:rPr>
              <w:t>•</w:t>
            </w:r>
            <w:r w:rsidRPr="002B6B71">
              <w:rPr>
                <w:noProof/>
                <w:szCs w:val="24"/>
                <w:lang w:val="en-US" w:eastAsia="zh-CN"/>
              </w:rPr>
              <w:tab/>
              <w:t>Issues associated with the application of  RR No. 13.6.</w:t>
            </w:r>
          </w:p>
          <w:p w14:paraId="624E00F0" w14:textId="77777777" w:rsidR="0047494A" w:rsidRPr="002B6B71" w:rsidRDefault="0047494A" w:rsidP="00E86567">
            <w:pPr>
              <w:pStyle w:val="Tabletext"/>
              <w:tabs>
                <w:tab w:val="left" w:pos="9075"/>
              </w:tabs>
              <w:ind w:left="567"/>
              <w:rPr>
                <w:noProof/>
                <w:szCs w:val="24"/>
                <w:lang w:val="en-US" w:eastAsia="zh-CN"/>
              </w:rPr>
            </w:pPr>
            <w:r w:rsidRPr="002B6B71">
              <w:rPr>
                <w:noProof/>
                <w:szCs w:val="24"/>
                <w:lang w:val="en-US" w:eastAsia="zh-CN"/>
              </w:rPr>
              <w:t>•</w:t>
            </w:r>
            <w:r w:rsidRPr="002B6B71">
              <w:rPr>
                <w:noProof/>
                <w:szCs w:val="24"/>
                <w:lang w:val="en-US" w:eastAsia="zh-CN"/>
              </w:rPr>
              <w:tab/>
              <w:t>Considerations regarding the status of assignments involved in harmful interference situations.</w:t>
            </w:r>
          </w:p>
          <w:p w14:paraId="624E00F1" w14:textId="77777777" w:rsidR="0047494A" w:rsidRPr="002B6B71" w:rsidRDefault="0047494A" w:rsidP="00E86567">
            <w:pPr>
              <w:pStyle w:val="Tabletext"/>
              <w:tabs>
                <w:tab w:val="left" w:pos="9075"/>
              </w:tabs>
              <w:ind w:left="567"/>
              <w:rPr>
                <w:noProof/>
                <w:szCs w:val="24"/>
                <w:lang w:val="en-US" w:eastAsia="zh-CN"/>
              </w:rPr>
            </w:pPr>
            <w:r w:rsidRPr="002B6B71">
              <w:rPr>
                <w:noProof/>
                <w:szCs w:val="24"/>
                <w:lang w:val="en-US" w:eastAsia="zh-CN"/>
              </w:rPr>
              <w:t>•</w:t>
            </w:r>
            <w:r w:rsidRPr="002B6B71">
              <w:rPr>
                <w:noProof/>
                <w:szCs w:val="24"/>
                <w:lang w:val="en-US" w:eastAsia="zh-CN"/>
              </w:rPr>
              <w:tab/>
              <w:t>Difficulties experienced regarding satellite network coordination including the application of RR No. 11.41.</w:t>
            </w:r>
          </w:p>
          <w:p w14:paraId="624E00F2" w14:textId="77777777" w:rsidR="0047494A" w:rsidRPr="002B6B71" w:rsidRDefault="0047494A" w:rsidP="0047494A">
            <w:pPr>
              <w:pStyle w:val="Tabletext"/>
              <w:tabs>
                <w:tab w:val="left" w:pos="9075"/>
              </w:tabs>
              <w:spacing w:before="60" w:after="60"/>
              <w:ind w:left="567"/>
              <w:rPr>
                <w:noProof/>
                <w:szCs w:val="24"/>
                <w:lang w:val="en-US" w:eastAsia="zh-CN"/>
              </w:rPr>
            </w:pPr>
            <w:r w:rsidRPr="002B6B71">
              <w:rPr>
                <w:noProof/>
                <w:szCs w:val="24"/>
                <w:lang w:val="en-US" w:eastAsia="zh-CN"/>
              </w:rPr>
              <w:t xml:space="preserve">The </w:t>
            </w:r>
            <w:r>
              <w:rPr>
                <w:noProof/>
                <w:szCs w:val="24"/>
                <w:lang w:val="en-US" w:eastAsia="zh-CN"/>
              </w:rPr>
              <w:t xml:space="preserve">WG </w:t>
            </w:r>
            <w:r w:rsidRPr="002B6B71">
              <w:rPr>
                <w:noProof/>
                <w:szCs w:val="24"/>
                <w:lang w:val="en-US" w:eastAsia="zh-CN"/>
              </w:rPr>
              <w:t xml:space="preserve">agreed to add monitoring and intentional harmful interference to the above list of issues and to include, in an annex to its report to WRC-12, considerations on other issues that were raised by Board Members related to its Resolution 80 (Rev.WRC-07) mandate. </w:t>
            </w:r>
          </w:p>
          <w:p w14:paraId="624E00F3" w14:textId="77777777" w:rsidR="0047494A" w:rsidRPr="00A44D41" w:rsidRDefault="0047494A" w:rsidP="00886824">
            <w:pPr>
              <w:pStyle w:val="Tabletext"/>
              <w:numPr>
                <w:ilvl w:val="0"/>
                <w:numId w:val="36"/>
              </w:numPr>
              <w:tabs>
                <w:tab w:val="clear" w:pos="567"/>
              </w:tabs>
              <w:spacing w:before="80" w:after="60"/>
              <w:ind w:left="714" w:hanging="357"/>
              <w:rPr>
                <w:rFonts w:eastAsia="SimSun"/>
                <w:szCs w:val="24"/>
              </w:rPr>
            </w:pPr>
            <w:r w:rsidRPr="002B6B71">
              <w:rPr>
                <w:szCs w:val="24"/>
              </w:rPr>
              <w:t>At its 55</w:t>
            </w:r>
            <w:r w:rsidRPr="002B6B71">
              <w:rPr>
                <w:szCs w:val="24"/>
                <w:vertAlign w:val="superscript"/>
              </w:rPr>
              <w:t>th</w:t>
            </w:r>
            <w:r w:rsidRPr="002B6B71">
              <w:rPr>
                <w:szCs w:val="24"/>
              </w:rPr>
              <w:t xml:space="preserve"> meeting (23 November-3 December 2010), t</w:t>
            </w:r>
            <w:r w:rsidRPr="002B6B71">
              <w:rPr>
                <w:rFonts w:eastAsia="SimSun"/>
                <w:szCs w:val="24"/>
                <w:lang w:val="en-US" w:eastAsia="zh-CN"/>
              </w:rPr>
              <w:t xml:space="preserve">he </w:t>
            </w:r>
            <w:r>
              <w:rPr>
                <w:rFonts w:eastAsia="SimSun"/>
                <w:szCs w:val="24"/>
                <w:lang w:val="en-US" w:eastAsia="zh-CN"/>
              </w:rPr>
              <w:t xml:space="preserve">WG </w:t>
            </w:r>
            <w:r w:rsidRPr="002B6B71">
              <w:rPr>
                <w:noProof/>
                <w:szCs w:val="24"/>
                <w:lang w:val="en-US" w:eastAsia="zh-CN"/>
              </w:rPr>
              <w:t>discussed the formulation of text on new issues raised at the 54</w:t>
            </w:r>
            <w:r w:rsidRPr="002B6B71">
              <w:rPr>
                <w:noProof/>
                <w:szCs w:val="24"/>
                <w:vertAlign w:val="superscript"/>
                <w:lang w:val="en-US" w:eastAsia="zh-CN"/>
              </w:rPr>
              <w:t>th</w:t>
            </w:r>
            <w:r w:rsidRPr="002B6B71">
              <w:rPr>
                <w:noProof/>
                <w:szCs w:val="24"/>
                <w:lang w:val="en-US" w:eastAsia="zh-CN"/>
              </w:rPr>
              <w:t xml:space="preserve"> meeting of the RRB (i.e. monitoring and intentional harmful interference), adjusted the text on the implementation of RR No. 13.6, and agreed that the draft report had matured to a sufficient state that it could be posted to the RRB website following the incorporation of the comments received during the 55</w:t>
            </w:r>
            <w:r w:rsidRPr="0047494A">
              <w:rPr>
                <w:noProof/>
                <w:szCs w:val="24"/>
                <w:vertAlign w:val="superscript"/>
                <w:lang w:val="en-US" w:eastAsia="zh-CN"/>
              </w:rPr>
              <w:t>th</w:t>
            </w:r>
            <w:r>
              <w:rPr>
                <w:noProof/>
                <w:szCs w:val="24"/>
                <w:lang w:val="en-US" w:eastAsia="zh-CN"/>
              </w:rPr>
              <w:t xml:space="preserve"> </w:t>
            </w:r>
            <w:r w:rsidRPr="002B6B71">
              <w:rPr>
                <w:noProof/>
                <w:szCs w:val="24"/>
                <w:lang w:val="en-US" w:eastAsia="zh-CN"/>
              </w:rPr>
              <w:t xml:space="preserve">meeting. The </w:t>
            </w:r>
            <w:r>
              <w:rPr>
                <w:noProof/>
                <w:szCs w:val="24"/>
                <w:lang w:val="en-US" w:eastAsia="zh-CN"/>
              </w:rPr>
              <w:t>WG</w:t>
            </w:r>
            <w:r w:rsidRPr="002B6B71">
              <w:rPr>
                <w:noProof/>
                <w:szCs w:val="24"/>
                <w:lang w:val="en-US" w:eastAsia="zh-CN"/>
              </w:rPr>
              <w:t xml:space="preserve"> </w:t>
            </w:r>
            <w:r>
              <w:rPr>
                <w:noProof/>
                <w:szCs w:val="24"/>
                <w:lang w:val="en-US" w:eastAsia="zh-CN"/>
              </w:rPr>
              <w:t>decided to</w:t>
            </w:r>
            <w:r w:rsidRPr="002B6B71">
              <w:rPr>
                <w:noProof/>
                <w:szCs w:val="24"/>
                <w:lang w:val="en-US" w:eastAsia="zh-CN"/>
              </w:rPr>
              <w:t xml:space="preserve"> further develop the report during 2011 and complete its work prior to WRC</w:t>
            </w:r>
            <w:r w:rsidRPr="002B6B71">
              <w:rPr>
                <w:noProof/>
                <w:szCs w:val="24"/>
                <w:lang w:val="en-US" w:eastAsia="zh-CN"/>
              </w:rPr>
              <w:noBreakHyphen/>
              <w:t>12.</w:t>
            </w:r>
          </w:p>
          <w:p w14:paraId="624E00F4" w14:textId="77777777" w:rsidR="00A44D41" w:rsidRPr="00A44D41" w:rsidRDefault="00A44D41" w:rsidP="00886824">
            <w:pPr>
              <w:pStyle w:val="ListParagraph"/>
              <w:numPr>
                <w:ilvl w:val="0"/>
                <w:numId w:val="36"/>
              </w:numPr>
              <w:spacing w:before="80"/>
              <w:ind w:left="714" w:hanging="357"/>
              <w:rPr>
                <w:rFonts w:asciiTheme="majorBidi" w:hAnsiTheme="majorBidi" w:cstheme="majorBidi"/>
                <w:sz w:val="22"/>
                <w:szCs w:val="22"/>
              </w:rPr>
            </w:pPr>
            <w:r w:rsidRPr="00A44D41">
              <w:rPr>
                <w:sz w:val="22"/>
                <w:szCs w:val="22"/>
              </w:rPr>
              <w:t>At its 56</w:t>
            </w:r>
            <w:r w:rsidRPr="00A44D41">
              <w:rPr>
                <w:sz w:val="22"/>
                <w:szCs w:val="22"/>
                <w:vertAlign w:val="superscript"/>
              </w:rPr>
              <w:t>th</w:t>
            </w:r>
            <w:r w:rsidRPr="00A44D41">
              <w:rPr>
                <w:sz w:val="22"/>
                <w:szCs w:val="22"/>
              </w:rPr>
              <w:t xml:space="preserve"> meeting (28 March -1 April 2011), </w:t>
            </w:r>
            <w:r>
              <w:rPr>
                <w:sz w:val="22"/>
                <w:szCs w:val="22"/>
              </w:rPr>
              <w:t>re</w:t>
            </w:r>
            <w:r w:rsidRPr="00A44D41">
              <w:rPr>
                <w:sz w:val="22"/>
                <w:szCs w:val="22"/>
              </w:rPr>
              <w:t>cogni</w:t>
            </w:r>
            <w:r>
              <w:rPr>
                <w:sz w:val="22"/>
                <w:szCs w:val="22"/>
              </w:rPr>
              <w:t>z</w:t>
            </w:r>
            <w:r w:rsidRPr="00A44D41">
              <w:rPr>
                <w:sz w:val="22"/>
                <w:szCs w:val="22"/>
              </w:rPr>
              <w:t>ing that the work will have to be completed at the next (57</w:t>
            </w:r>
            <w:r w:rsidRPr="00A44D41">
              <w:rPr>
                <w:sz w:val="22"/>
                <w:szCs w:val="22"/>
                <w:vertAlign w:val="superscript"/>
              </w:rPr>
              <w:t>th</w:t>
            </w:r>
            <w:r w:rsidRPr="00A44D41">
              <w:rPr>
                <w:sz w:val="22"/>
                <w:szCs w:val="22"/>
              </w:rPr>
              <w:t xml:space="preserve">) meeting of the Board in order to be included in the Report of the Director of the Radiocommunication Bureau to WRC-12 four months prior to the conference, the Board decided to finish the work begun by the previous Board adding </w:t>
            </w:r>
            <w:r w:rsidRPr="00A44D41">
              <w:rPr>
                <w:rFonts w:asciiTheme="majorBidi" w:hAnsiTheme="majorBidi" w:cstheme="majorBidi"/>
                <w:sz w:val="22"/>
                <w:szCs w:val="22"/>
              </w:rPr>
              <w:t>the following items to the report: executive summary; table of contents; expanded discussion of the BR’s workshops on the efficient use of the spectrum/orbit resource; new section on leasing considerations; new section on Resolution 49 (Rev. WRC-07); new annex(es) provided by Board Members, if any (in particular, the effect of the use of steerable beams and of maximum/minimum parameters on coordination).</w:t>
            </w:r>
          </w:p>
        </w:tc>
      </w:tr>
    </w:tbl>
    <w:p w14:paraId="624E00F6" w14:textId="77777777" w:rsidR="0047494A" w:rsidRPr="0047494A" w:rsidRDefault="0047494A" w:rsidP="000D00A3">
      <w:pPr>
        <w:pStyle w:val="Tabletext"/>
        <w:spacing w:before="120" w:after="0"/>
        <w:rPr>
          <w:sz w:val="24"/>
          <w:szCs w:val="24"/>
        </w:rPr>
      </w:pPr>
    </w:p>
    <w:p w14:paraId="624E00F7" w14:textId="77777777" w:rsidR="000D00A3" w:rsidRDefault="000D00A3" w:rsidP="00C376B5">
      <w:pPr>
        <w:spacing w:before="60"/>
        <w:rPr>
          <w:highlight w:val="yellow"/>
        </w:rPr>
      </w:pPr>
      <w:r>
        <w:t xml:space="preserve">The </w:t>
      </w:r>
      <w:hyperlink r:id="rId50" w:history="1">
        <w:r w:rsidRPr="000D00A3">
          <w:rPr>
            <w:rStyle w:val="Hyperlink"/>
          </w:rPr>
          <w:t>Draft Report by the RRB on Resolution 80</w:t>
        </w:r>
      </w:hyperlink>
      <w:r>
        <w:t xml:space="preserve"> </w:t>
      </w:r>
      <w:r w:rsidR="00132157">
        <w:t xml:space="preserve">has been </w:t>
      </w:r>
      <w:r>
        <w:t>posted on the RRB website</w:t>
      </w:r>
      <w:r w:rsidR="00132157">
        <w:t>. It</w:t>
      </w:r>
      <w:r>
        <w:t xml:space="preserve"> considers the application of No. 13.6 of the Radio Regulations, the status of assignments involved in certain unresolved harmful interference situations, and difficulties experienced in satellite network coordination and notification. The RRB will further develop the report during 2011 and complete its work prior to WRC</w:t>
      </w:r>
      <w:r w:rsidR="00132157">
        <w:t>-</w:t>
      </w:r>
      <w:r>
        <w:t>12.</w:t>
      </w:r>
    </w:p>
    <w:p w14:paraId="624E00F8" w14:textId="77777777" w:rsidR="00CA723D" w:rsidRDefault="00CA723D" w:rsidP="00CA723D">
      <w:pPr>
        <w:pStyle w:val="Heading2"/>
      </w:pPr>
      <w:r>
        <w:t>6.4</w:t>
      </w:r>
      <w:r>
        <w:tab/>
        <w:t>Emergency communications database</w:t>
      </w:r>
    </w:p>
    <w:p w14:paraId="624E00F9" w14:textId="77777777" w:rsidR="00CA723D" w:rsidRPr="00CA723D" w:rsidRDefault="00CA723D" w:rsidP="00CA723D">
      <w:pPr>
        <w:rPr>
          <w:bCs/>
        </w:rPr>
      </w:pPr>
      <w:r>
        <w:rPr>
          <w:bCs/>
          <w:lang w:val="en-US"/>
        </w:rPr>
        <w:t xml:space="preserve">With relation to the implementation </w:t>
      </w:r>
      <w:r>
        <w:rPr>
          <w:szCs w:val="24"/>
          <w:lang w:val="en-US"/>
        </w:rPr>
        <w:t>of Resolution 647 (WRC-07)</w:t>
      </w:r>
      <w:r>
        <w:rPr>
          <w:bCs/>
          <w:lang w:val="en-US"/>
        </w:rPr>
        <w:t xml:space="preserve">, BR set up a website at: </w:t>
      </w:r>
      <w:hyperlink r:id="rId51" w:history="1">
        <w:r w:rsidRPr="00032C06">
          <w:rPr>
            <w:rStyle w:val="Hyperlink"/>
            <w:bCs/>
            <w:lang w:val="en-US"/>
          </w:rPr>
          <w:t>http://www.itu.int/ITU-R/go/res647</w:t>
        </w:r>
      </w:hyperlink>
      <w:r>
        <w:rPr>
          <w:bCs/>
        </w:rPr>
        <w:t xml:space="preserve"> containing the entry point to the terrestrial and space related databases of</w:t>
      </w:r>
      <w:r w:rsidRPr="00CA723D">
        <w:rPr>
          <w:rFonts w:asciiTheme="majorBidi" w:hAnsiTheme="majorBidi" w:cstheme="majorBidi"/>
          <w:sz w:val="36"/>
          <w:szCs w:val="28"/>
        </w:rPr>
        <w:t xml:space="preserve"> </w:t>
      </w:r>
      <w:r w:rsidRPr="00CA723D">
        <w:rPr>
          <w:rFonts w:asciiTheme="majorBidi" w:hAnsiTheme="majorBidi" w:cstheme="majorBidi"/>
          <w:color w:val="000000"/>
          <w:szCs w:val="24"/>
        </w:rPr>
        <w:t>available frequencies/frequency bands for use in emergency situations as submitted by responsible administrations</w:t>
      </w:r>
      <w:r>
        <w:rPr>
          <w:rFonts w:asciiTheme="majorBidi" w:hAnsiTheme="majorBidi" w:cstheme="majorBidi"/>
          <w:color w:val="000000"/>
          <w:szCs w:val="24"/>
        </w:rPr>
        <w:t>.</w:t>
      </w:r>
    </w:p>
    <w:p w14:paraId="624E00FA" w14:textId="77777777" w:rsidR="00CA723D" w:rsidRDefault="00DC4893">
      <w:r>
        <w:t>It</w:t>
      </w:r>
      <w:r w:rsidR="00132157">
        <w:t xml:space="preserve"> wa</w:t>
      </w:r>
      <w:r>
        <w:t>s noted that until the date of the preparation of this report, the BR had only received data from the following administrations: Argentina, Saudi Arabia, Bahrain, Myanmar, Brunei Darussalam, Canada, Spain Egypt, Italy, Jordan, Kuwait, Malaysia, New Zealand, Oman, Seychelles, Syria, Thailand, UAE, Uzbekistan for terrestrial services, and Canada, Czech Republic, UK, Malaysia and Romania for space services.</w:t>
      </w:r>
    </w:p>
    <w:p w14:paraId="624E00FB" w14:textId="77777777" w:rsidR="00CA723D" w:rsidRPr="00084871" w:rsidRDefault="00CA723D" w:rsidP="008B3AD2">
      <w:pPr>
        <w:rPr>
          <w:lang w:val="en-US"/>
        </w:rPr>
      </w:pPr>
      <w:r w:rsidRPr="00084871">
        <w:rPr>
          <w:lang w:val="en-US"/>
        </w:rPr>
        <w:t>In order to achieve the objectives of Res</w:t>
      </w:r>
      <w:r>
        <w:rPr>
          <w:lang w:val="en-US"/>
        </w:rPr>
        <w:t xml:space="preserve">olution </w:t>
      </w:r>
      <w:r w:rsidRPr="00084871">
        <w:rPr>
          <w:lang w:val="en-US"/>
        </w:rPr>
        <w:t xml:space="preserve">647 </w:t>
      </w:r>
      <w:r>
        <w:rPr>
          <w:lang w:val="en-US"/>
        </w:rPr>
        <w:t xml:space="preserve">(WRC-07), </w:t>
      </w:r>
      <w:r w:rsidR="008B3AD2">
        <w:rPr>
          <w:rFonts w:asciiTheme="majorBidi" w:hAnsiTheme="majorBidi" w:cstheme="majorBidi"/>
          <w:szCs w:val="24"/>
        </w:rPr>
        <w:t>administrations are strongly encouraged to communicate to the BR</w:t>
      </w:r>
      <w:r w:rsidRPr="00084871">
        <w:rPr>
          <w:lang w:val="en-US"/>
        </w:rPr>
        <w:t xml:space="preserve">, as soon as possible, the available frequencies and information about their spectrum management practices for use in an event of </w:t>
      </w:r>
      <w:r w:rsidR="00BE7548">
        <w:rPr>
          <w:lang w:val="en-US"/>
        </w:rPr>
        <w:t xml:space="preserve">disaster or emergency situation </w:t>
      </w:r>
      <w:r w:rsidR="00BE7548" w:rsidRPr="004E563F">
        <w:rPr>
          <w:lang w:val="en-US"/>
        </w:rPr>
        <w:t>(see Circular Letter CR/323 of 31 March 2011).</w:t>
      </w:r>
    </w:p>
    <w:p w14:paraId="624E00FC" w14:textId="77777777" w:rsidR="00177E61" w:rsidRDefault="00177E61" w:rsidP="00177E61">
      <w:pPr>
        <w:pStyle w:val="Heading2"/>
      </w:pPr>
      <w:r>
        <w:t>6</w:t>
      </w:r>
      <w:r w:rsidR="00CA723D">
        <w:t>.5</w:t>
      </w:r>
      <w:r>
        <w:tab/>
      </w:r>
      <w:r>
        <w:rPr>
          <w:lang w:val="en-US"/>
        </w:rPr>
        <w:t xml:space="preserve">Conference-related </w:t>
      </w:r>
      <w:r>
        <w:t>software development</w:t>
      </w:r>
    </w:p>
    <w:p w14:paraId="624E00FD" w14:textId="77777777" w:rsidR="00177E61" w:rsidRPr="00C75078" w:rsidRDefault="00177E61" w:rsidP="004E563F">
      <w:pPr>
        <w:rPr>
          <w:color w:val="1F497D"/>
        </w:rPr>
      </w:pPr>
      <w:r w:rsidRPr="004E563F">
        <w:rPr>
          <w:rFonts w:asciiTheme="majorBidi" w:hAnsiTheme="majorBidi" w:cstheme="majorBidi"/>
          <w:i/>
          <w:iCs/>
          <w:szCs w:val="24"/>
        </w:rPr>
        <w:t>Space services:</w:t>
      </w:r>
      <w:r>
        <w:rPr>
          <w:rFonts w:asciiTheme="majorBidi" w:hAnsiTheme="majorBidi" w:cstheme="majorBidi"/>
          <w:szCs w:val="24"/>
        </w:rPr>
        <w:t xml:space="preserve"> </w:t>
      </w:r>
      <w:r w:rsidRPr="000F43D8">
        <w:rPr>
          <w:rFonts w:asciiTheme="majorBidi" w:hAnsiTheme="majorBidi" w:cstheme="majorBidi"/>
          <w:szCs w:val="24"/>
        </w:rPr>
        <w:t xml:space="preserve">Appendix 30B </w:t>
      </w:r>
      <w:r>
        <w:rPr>
          <w:rFonts w:asciiTheme="majorBidi" w:hAnsiTheme="majorBidi" w:cstheme="majorBidi"/>
          <w:szCs w:val="24"/>
        </w:rPr>
        <w:t>A</w:t>
      </w:r>
      <w:r w:rsidRPr="000F43D8">
        <w:rPr>
          <w:rFonts w:asciiTheme="majorBidi" w:hAnsiTheme="majorBidi" w:cstheme="majorBidi"/>
          <w:szCs w:val="24"/>
        </w:rPr>
        <w:t xml:space="preserve">rticles 6 and 8 data have been loaded to the SNS database and SNS Online queries adapted to make this data available via the SNS Online </w:t>
      </w:r>
      <w:r>
        <w:rPr>
          <w:rFonts w:asciiTheme="majorBidi" w:hAnsiTheme="majorBidi" w:cstheme="majorBidi"/>
          <w:szCs w:val="24"/>
        </w:rPr>
        <w:t>w</w:t>
      </w:r>
      <w:r w:rsidRPr="000F43D8">
        <w:rPr>
          <w:rFonts w:asciiTheme="majorBidi" w:hAnsiTheme="majorBidi" w:cstheme="majorBidi"/>
          <w:szCs w:val="24"/>
        </w:rPr>
        <w:t xml:space="preserve">ebsite at:  </w:t>
      </w:r>
      <w:hyperlink r:id="rId52" w:history="1">
        <w:r w:rsidRPr="000F43D8">
          <w:rPr>
            <w:rStyle w:val="Hyperlink"/>
            <w:rFonts w:asciiTheme="majorBidi" w:hAnsiTheme="majorBidi" w:cstheme="majorBidi"/>
            <w:szCs w:val="24"/>
          </w:rPr>
          <w:t>http://www.itu.int/sns/plans.html</w:t>
        </w:r>
      </w:hyperlink>
      <w:r>
        <w:rPr>
          <w:rFonts w:asciiTheme="majorBidi" w:hAnsiTheme="majorBidi" w:cstheme="majorBidi"/>
          <w:szCs w:val="24"/>
        </w:rPr>
        <w:t xml:space="preserve"> (see Circular Letter </w:t>
      </w:r>
      <w:hyperlink r:id="rId53" w:history="1">
        <w:r w:rsidRPr="0027133E">
          <w:rPr>
            <w:rStyle w:val="Hyperlink"/>
            <w:rFonts w:asciiTheme="majorBidi" w:hAnsiTheme="majorBidi" w:cstheme="majorBidi"/>
            <w:szCs w:val="24"/>
          </w:rPr>
          <w:t>CR/321</w:t>
        </w:r>
      </w:hyperlink>
      <w:r>
        <w:rPr>
          <w:rFonts w:asciiTheme="majorBidi" w:hAnsiTheme="majorBidi" w:cstheme="majorBidi"/>
          <w:szCs w:val="24"/>
        </w:rPr>
        <w:t xml:space="preserve"> of 11.12.10).</w:t>
      </w:r>
      <w:r w:rsidRPr="00C75078">
        <w:rPr>
          <w:rFonts w:asciiTheme="majorBidi" w:hAnsiTheme="majorBidi" w:cstheme="majorBidi"/>
          <w:szCs w:val="24"/>
        </w:rPr>
        <w:t xml:space="preserve"> </w:t>
      </w:r>
      <w:r w:rsidRPr="000F43D8">
        <w:rPr>
          <w:rFonts w:asciiTheme="majorBidi" w:hAnsiTheme="majorBidi" w:cstheme="majorBidi"/>
          <w:color w:val="000000"/>
          <w:szCs w:val="24"/>
        </w:rPr>
        <w:t xml:space="preserve">A new intranet application was developed to enable </w:t>
      </w:r>
      <w:r>
        <w:rPr>
          <w:rFonts w:asciiTheme="majorBidi" w:hAnsiTheme="majorBidi" w:cstheme="majorBidi"/>
          <w:color w:val="000000"/>
          <w:szCs w:val="24"/>
        </w:rPr>
        <w:t xml:space="preserve">the </w:t>
      </w:r>
      <w:r w:rsidRPr="000F43D8">
        <w:rPr>
          <w:rFonts w:asciiTheme="majorBidi" w:hAnsiTheme="majorBidi" w:cstheme="majorBidi"/>
          <w:color w:val="000000"/>
          <w:szCs w:val="24"/>
        </w:rPr>
        <w:t xml:space="preserve">capture </w:t>
      </w:r>
      <w:r w:rsidR="00C3355F">
        <w:rPr>
          <w:rFonts w:asciiTheme="majorBidi" w:hAnsiTheme="majorBidi" w:cstheme="majorBidi"/>
          <w:color w:val="000000"/>
          <w:szCs w:val="24"/>
        </w:rPr>
        <w:t xml:space="preserve">of </w:t>
      </w:r>
      <w:r w:rsidRPr="000F43D8">
        <w:rPr>
          <w:rFonts w:asciiTheme="majorBidi" w:hAnsiTheme="majorBidi" w:cstheme="majorBidi"/>
          <w:color w:val="000000"/>
          <w:szCs w:val="24"/>
        </w:rPr>
        <w:t xml:space="preserve">service area </w:t>
      </w:r>
      <w:r w:rsidRPr="000F43D8">
        <w:rPr>
          <w:rFonts w:asciiTheme="majorBidi" w:hAnsiTheme="majorBidi" w:cstheme="majorBidi"/>
          <w:szCs w:val="24"/>
        </w:rPr>
        <w:t xml:space="preserve">exclusion requests received under </w:t>
      </w:r>
      <w:r>
        <w:rPr>
          <w:rFonts w:asciiTheme="majorBidi" w:hAnsiTheme="majorBidi" w:cstheme="majorBidi"/>
          <w:szCs w:val="24"/>
        </w:rPr>
        <w:t xml:space="preserve">RR </w:t>
      </w:r>
      <w:r w:rsidRPr="000F43D8">
        <w:rPr>
          <w:rFonts w:asciiTheme="majorBidi" w:hAnsiTheme="majorBidi" w:cstheme="majorBidi"/>
          <w:szCs w:val="24"/>
        </w:rPr>
        <w:t>No.</w:t>
      </w:r>
      <w:r w:rsidRPr="000F43D8">
        <w:rPr>
          <w:rFonts w:asciiTheme="majorBidi" w:hAnsiTheme="majorBidi" w:cstheme="majorBidi"/>
          <w:b/>
          <w:bCs/>
          <w:szCs w:val="24"/>
        </w:rPr>
        <w:t>23.13</w:t>
      </w:r>
      <w:r>
        <w:rPr>
          <w:rFonts w:asciiTheme="majorBidi" w:hAnsiTheme="majorBidi" w:cstheme="majorBidi"/>
          <w:szCs w:val="24"/>
        </w:rPr>
        <w:t>;</w:t>
      </w:r>
      <w:r w:rsidRPr="000F43D8">
        <w:rPr>
          <w:rFonts w:asciiTheme="majorBidi" w:hAnsiTheme="majorBidi" w:cstheme="majorBidi"/>
          <w:szCs w:val="24"/>
        </w:rPr>
        <w:t> </w:t>
      </w:r>
      <w:r>
        <w:rPr>
          <w:rFonts w:asciiTheme="majorBidi" w:hAnsiTheme="majorBidi" w:cstheme="majorBidi"/>
          <w:szCs w:val="24"/>
        </w:rPr>
        <w:t>n</w:t>
      </w:r>
      <w:r w:rsidRPr="000F43D8">
        <w:rPr>
          <w:rFonts w:asciiTheme="majorBidi" w:hAnsiTheme="majorBidi" w:cstheme="majorBidi"/>
          <w:szCs w:val="24"/>
        </w:rPr>
        <w:t xml:space="preserve">ew queries were developed in </w:t>
      </w:r>
      <w:r w:rsidRPr="000F43D8">
        <w:rPr>
          <w:rFonts w:asciiTheme="majorBidi" w:hAnsiTheme="majorBidi" w:cstheme="majorBidi"/>
          <w:b/>
          <w:bCs/>
          <w:color w:val="000000"/>
          <w:szCs w:val="24"/>
        </w:rPr>
        <w:t>Space Network List (SNL)</w:t>
      </w:r>
      <w:r w:rsidRPr="000F43D8">
        <w:rPr>
          <w:rFonts w:asciiTheme="majorBidi" w:hAnsiTheme="majorBidi" w:cstheme="majorBidi"/>
          <w:szCs w:val="24"/>
        </w:rPr>
        <w:t xml:space="preserve"> to display </w:t>
      </w:r>
      <w:r>
        <w:rPr>
          <w:rFonts w:asciiTheme="majorBidi" w:hAnsiTheme="majorBidi" w:cstheme="majorBidi"/>
          <w:szCs w:val="24"/>
        </w:rPr>
        <w:t>s</w:t>
      </w:r>
      <w:r w:rsidRPr="000F43D8">
        <w:rPr>
          <w:rFonts w:asciiTheme="majorBidi" w:hAnsiTheme="majorBidi" w:cstheme="majorBidi"/>
          <w:szCs w:val="24"/>
        </w:rPr>
        <w:t>ervice area exclusion requests under No.</w:t>
      </w:r>
      <w:r w:rsidRPr="000F43D8">
        <w:rPr>
          <w:rFonts w:asciiTheme="majorBidi" w:hAnsiTheme="majorBidi" w:cstheme="majorBidi"/>
          <w:b/>
          <w:bCs/>
          <w:szCs w:val="24"/>
        </w:rPr>
        <w:t>23.13</w:t>
      </w:r>
      <w:r w:rsidRPr="000F43D8">
        <w:rPr>
          <w:rFonts w:asciiTheme="majorBidi" w:hAnsiTheme="majorBidi" w:cstheme="majorBidi"/>
          <w:szCs w:val="24"/>
        </w:rPr>
        <w:t>.</w:t>
      </w:r>
    </w:p>
    <w:p w14:paraId="624E00FE" w14:textId="77777777" w:rsidR="006578DA" w:rsidRDefault="00177E61" w:rsidP="006578DA">
      <w:pPr>
        <w:spacing w:before="240"/>
      </w:pPr>
      <w:r w:rsidRPr="004E563F">
        <w:rPr>
          <w:rFonts w:asciiTheme="majorBidi" w:hAnsiTheme="majorBidi" w:cstheme="majorBidi"/>
          <w:i/>
          <w:iCs/>
          <w:szCs w:val="24"/>
        </w:rPr>
        <w:t>Terrestrial services:</w:t>
      </w:r>
      <w:r w:rsidR="006578DA" w:rsidRPr="006578DA">
        <w:t xml:space="preserve"> </w:t>
      </w:r>
      <w:r w:rsidR="006578DA">
        <w:t xml:space="preserve">The development and integration into </w:t>
      </w:r>
      <w:r w:rsidR="006578DA">
        <w:rPr>
          <w:b/>
          <w:bCs/>
          <w:i/>
          <w:iCs/>
        </w:rPr>
        <w:t>TerRaSys</w:t>
      </w:r>
      <w:r w:rsidR="006578DA">
        <w:t xml:space="preserve"> of the </w:t>
      </w:r>
      <w:r w:rsidR="006578DA">
        <w:rPr>
          <w:b/>
          <w:bCs/>
          <w:i/>
          <w:iCs/>
        </w:rPr>
        <w:t>GE06</w:t>
      </w:r>
      <w:r w:rsidR="006578DA">
        <w:t xml:space="preserve"> Agreement portion relating to the notifications under </w:t>
      </w:r>
      <w:r w:rsidR="006578DA" w:rsidRPr="006578DA">
        <w:t>Article 5</w:t>
      </w:r>
      <w:r w:rsidR="006578DA">
        <w:t xml:space="preserve"> has been completed. This is now stable in production, including the associated technical examination and BR IFIC publication modules. The modifications to the Terrestrial Database, resulting from the modifications to the RR </w:t>
      </w:r>
      <w:r w:rsidR="006578DA" w:rsidRPr="006578DA">
        <w:t>Appendix 4</w:t>
      </w:r>
      <w:r w:rsidR="006578DA">
        <w:rPr>
          <w:i/>
          <w:iCs/>
        </w:rPr>
        <w:t xml:space="preserve"> </w:t>
      </w:r>
      <w:r w:rsidR="006578DA" w:rsidRPr="006578DA">
        <w:t>(Rev WRC 07)</w:t>
      </w:r>
      <w:r w:rsidR="006578DA">
        <w:t xml:space="preserve"> were completed. All other </w:t>
      </w:r>
      <w:r w:rsidR="006578DA">
        <w:rPr>
          <w:b/>
          <w:bCs/>
          <w:i/>
          <w:iCs/>
        </w:rPr>
        <w:t xml:space="preserve">TerRaSys </w:t>
      </w:r>
      <w:r w:rsidR="006578DA">
        <w:t>modules concerning the capture and validation of the electronic notifications (</w:t>
      </w:r>
      <w:r w:rsidR="006578DA">
        <w:rPr>
          <w:b/>
          <w:bCs/>
          <w:i/>
          <w:iCs/>
        </w:rPr>
        <w:t>TerRaNotices</w:t>
      </w:r>
      <w:r w:rsidR="006578DA">
        <w:t xml:space="preserve"> and </w:t>
      </w:r>
      <w:r w:rsidR="006578DA">
        <w:rPr>
          <w:b/>
          <w:bCs/>
          <w:i/>
          <w:iCs/>
        </w:rPr>
        <w:t>TerRaNV</w:t>
      </w:r>
      <w:r w:rsidR="006578DA">
        <w:t xml:space="preserve">) were aligned accordingly and made available to the administrations on the terrestrial BR IFIC. </w:t>
      </w:r>
    </w:p>
    <w:p w14:paraId="624E00FF" w14:textId="77777777" w:rsidR="000F43D8" w:rsidRDefault="000F43D8" w:rsidP="004E563F">
      <w:pPr>
        <w:pStyle w:val="Heading1"/>
        <w:spacing w:before="240"/>
        <w:rPr>
          <w:lang w:val="en-US" w:eastAsia="zh-CN"/>
        </w:rPr>
      </w:pPr>
      <w:r>
        <w:rPr>
          <w:lang w:val="en-US" w:eastAsia="zh-CN"/>
        </w:rPr>
        <w:t>7</w:t>
      </w:r>
      <w:r>
        <w:rPr>
          <w:lang w:val="en-US" w:eastAsia="zh-CN"/>
        </w:rPr>
        <w:tab/>
        <w:t>Operational Planning</w:t>
      </w:r>
    </w:p>
    <w:p w14:paraId="624E0100" w14:textId="77777777" w:rsidR="000F43D8" w:rsidRPr="00D872CB" w:rsidRDefault="000F43D8" w:rsidP="000F43D8">
      <w:r w:rsidRPr="00D872CB">
        <w:t>The draft Operational Plan for the period 20</w:t>
      </w:r>
      <w:r>
        <w:t>12</w:t>
      </w:r>
      <w:r w:rsidRPr="00D872CB">
        <w:t>-201</w:t>
      </w:r>
      <w:r>
        <w:t>5</w:t>
      </w:r>
      <w:r w:rsidRPr="00D872CB">
        <w:t xml:space="preserve"> is available at</w:t>
      </w:r>
      <w:r>
        <w:t>:</w:t>
      </w:r>
      <w:r w:rsidRPr="00D872CB">
        <w:t xml:space="preserve"> </w:t>
      </w:r>
      <w:r w:rsidRPr="00D872CB">
        <w:br/>
      </w:r>
      <w:hyperlink r:id="rId54" w:tgtFrame="_blank" w:history="1">
        <w:r>
          <w:rPr>
            <w:rStyle w:val="Hyperlink"/>
            <w:szCs w:val="24"/>
          </w:rPr>
          <w:t>http://www.itu.int/ITU-R/go/operational-plans/</w:t>
        </w:r>
      </w:hyperlink>
      <w:r w:rsidRPr="00D872CB">
        <w:t xml:space="preserve"> for the consideration of RAG. This plan is structured in a result-based way so as to ensure a complete linkage with the budget and other financial tools of the </w:t>
      </w:r>
      <w:smartTag w:uri="urn:schemas-microsoft-com:office:smarttags" w:element="place">
        <w:r w:rsidRPr="00D872CB">
          <w:t>Union</w:t>
        </w:r>
      </w:smartTag>
      <w:r w:rsidRPr="00D872CB">
        <w:t>. It also addresses the strategic aspects of ITU-R and provides appropriate linkage with the strategic plan of ITU.</w:t>
      </w:r>
    </w:p>
    <w:p w14:paraId="624E0101" w14:textId="77777777" w:rsidR="000F43D8" w:rsidRDefault="000F43D8" w:rsidP="000F43D8">
      <w:r>
        <w:t xml:space="preserve">The </w:t>
      </w:r>
      <w:r w:rsidR="004E563F">
        <w:t xml:space="preserve">Performance Report </w:t>
      </w:r>
      <w:r>
        <w:t xml:space="preserve">for 2010 is available at: </w:t>
      </w:r>
      <w:hyperlink r:id="rId55" w:history="1">
        <w:r w:rsidRPr="0084602B">
          <w:rPr>
            <w:rStyle w:val="Hyperlink"/>
          </w:rPr>
          <w:t>http://www.itu.int/ITU-R/go/performance-reports/</w:t>
        </w:r>
      </w:hyperlink>
      <w:r>
        <w:t>. It aims at providing the relevant information regarding the implementation of the outputs and activities foreseen in the ITU</w:t>
      </w:r>
      <w:r>
        <w:noBreakHyphen/>
        <w:t>R Operational Plan for 2010. The Performance Report provides the comparison between the realized results and the expected ones as well as the respective key performance indicators. These are specified with each major Objective and within each relevant output in the document.</w:t>
      </w:r>
    </w:p>
    <w:p w14:paraId="624E0102" w14:textId="77777777" w:rsidR="002F340E" w:rsidRDefault="000F43D8" w:rsidP="005C1D8E">
      <w:pPr>
        <w:pStyle w:val="Heading1"/>
        <w:rPr>
          <w:lang w:val="en-US" w:eastAsia="zh-CN"/>
        </w:rPr>
      </w:pPr>
      <w:r>
        <w:rPr>
          <w:lang w:val="en-US" w:eastAsia="zh-CN"/>
        </w:rPr>
        <w:t>8</w:t>
      </w:r>
      <w:r w:rsidR="002F340E">
        <w:rPr>
          <w:lang w:val="en-US" w:eastAsia="zh-CN"/>
        </w:rPr>
        <w:tab/>
      </w:r>
      <w:r w:rsidR="00AB1309">
        <w:rPr>
          <w:lang w:val="en-US" w:eastAsia="zh-CN"/>
        </w:rPr>
        <w:t>S</w:t>
      </w:r>
      <w:r w:rsidR="002F340E">
        <w:rPr>
          <w:lang w:val="en-US" w:eastAsia="zh-CN"/>
        </w:rPr>
        <w:t xml:space="preserve">eminars and </w:t>
      </w:r>
      <w:r w:rsidR="00AB1309">
        <w:rPr>
          <w:lang w:val="en-US" w:eastAsia="zh-CN"/>
        </w:rPr>
        <w:t>W</w:t>
      </w:r>
      <w:r w:rsidR="002F340E">
        <w:rPr>
          <w:lang w:val="en-US" w:eastAsia="zh-CN"/>
        </w:rPr>
        <w:t>orkshops</w:t>
      </w:r>
    </w:p>
    <w:p w14:paraId="624E0103" w14:textId="77777777" w:rsidR="003D0AB2" w:rsidRDefault="00AB1309">
      <w:pPr>
        <w:rPr>
          <w:bCs/>
          <w:lang w:val="en-US" w:eastAsia="zh-CN"/>
        </w:rPr>
      </w:pPr>
      <w:r>
        <w:rPr>
          <w:bCs/>
          <w:lang w:val="en-US" w:eastAsia="zh-CN"/>
        </w:rPr>
        <w:t>S</w:t>
      </w:r>
      <w:r w:rsidR="003D0AB2">
        <w:rPr>
          <w:bCs/>
          <w:lang w:val="en-US" w:eastAsia="zh-CN"/>
        </w:rPr>
        <w:t xml:space="preserve">eminars and </w:t>
      </w:r>
      <w:r>
        <w:rPr>
          <w:bCs/>
          <w:lang w:val="en-US" w:eastAsia="zh-CN"/>
        </w:rPr>
        <w:t>W</w:t>
      </w:r>
      <w:r w:rsidR="003D0AB2">
        <w:rPr>
          <w:bCs/>
          <w:lang w:val="en-US" w:eastAsia="zh-CN"/>
        </w:rPr>
        <w:t xml:space="preserve">orkshops organized directly by </w:t>
      </w:r>
      <w:r w:rsidR="00132157">
        <w:rPr>
          <w:bCs/>
          <w:lang w:val="en-US" w:eastAsia="zh-CN"/>
        </w:rPr>
        <w:t xml:space="preserve">the </w:t>
      </w:r>
      <w:r w:rsidR="003D0AB2">
        <w:rPr>
          <w:bCs/>
          <w:lang w:val="en-US" w:eastAsia="zh-CN"/>
        </w:rPr>
        <w:t>ITU</w:t>
      </w:r>
      <w:r w:rsidR="003D0AB2">
        <w:rPr>
          <w:bCs/>
          <w:lang w:val="en-US" w:eastAsia="zh-CN"/>
        </w:rPr>
        <w:noBreakHyphen/>
        <w:t xml:space="preserve">R or in cooperation with other Sectors </w:t>
      </w:r>
      <w:r w:rsidR="00132157">
        <w:rPr>
          <w:bCs/>
          <w:lang w:val="en-US" w:eastAsia="zh-CN"/>
        </w:rPr>
        <w:t xml:space="preserve">and/or regional or national entities </w:t>
      </w:r>
      <w:r w:rsidR="00170375">
        <w:rPr>
          <w:bCs/>
          <w:lang w:val="en-US" w:eastAsia="zh-CN"/>
        </w:rPr>
        <w:t xml:space="preserve">are listed </w:t>
      </w:r>
      <w:r w:rsidR="003D0AB2">
        <w:rPr>
          <w:bCs/>
          <w:lang w:val="en-US" w:eastAsia="zh-CN"/>
        </w:rPr>
        <w:t xml:space="preserve">at: </w:t>
      </w:r>
      <w:hyperlink r:id="rId56" w:history="1">
        <w:r w:rsidR="003D0AB2" w:rsidRPr="00302A9F">
          <w:rPr>
            <w:rStyle w:val="Hyperlink"/>
            <w:bCs/>
            <w:lang w:val="en-US" w:eastAsia="zh-CN"/>
          </w:rPr>
          <w:t>http://www.itu.int/ITU-R/go/seminars</w:t>
        </w:r>
      </w:hyperlink>
      <w:r w:rsidR="003D0AB2">
        <w:rPr>
          <w:bCs/>
          <w:lang w:val="en-US" w:eastAsia="zh-CN"/>
        </w:rPr>
        <w:t>.</w:t>
      </w:r>
    </w:p>
    <w:p w14:paraId="624E0104" w14:textId="77777777" w:rsidR="003D0AB2" w:rsidRDefault="00B1508A" w:rsidP="003D0AB2">
      <w:pPr>
        <w:rPr>
          <w:bCs/>
          <w:lang w:val="en-US" w:eastAsia="zh-CN"/>
        </w:rPr>
      </w:pPr>
      <w:r w:rsidRPr="004B2ADF">
        <w:rPr>
          <w:bCs/>
          <w:lang w:val="en-US" w:eastAsia="zh-CN"/>
        </w:rPr>
        <w:t>T</w:t>
      </w:r>
      <w:r w:rsidR="003D0AB2" w:rsidRPr="004B2ADF">
        <w:rPr>
          <w:bCs/>
          <w:lang w:val="en-US" w:eastAsia="zh-CN"/>
        </w:rPr>
        <w:t>he following events took place since the last RAG meeting</w:t>
      </w:r>
      <w:r w:rsidR="00170375" w:rsidRPr="004B2ADF">
        <w:rPr>
          <w:bCs/>
          <w:lang w:val="en-US" w:eastAsia="zh-CN"/>
        </w:rPr>
        <w:t xml:space="preserve"> with the participation of BR staff</w:t>
      </w:r>
      <w:r w:rsidR="003D0AB2" w:rsidRPr="004B2ADF">
        <w:rPr>
          <w:bCs/>
          <w:lang w:val="en-US" w:eastAsia="zh-CN"/>
        </w:rPr>
        <w:t>:</w:t>
      </w:r>
    </w:p>
    <w:p w14:paraId="624E0105" w14:textId="77777777" w:rsidR="002B3506" w:rsidRDefault="002B3506" w:rsidP="003D0AB2">
      <w:pPr>
        <w:rPr>
          <w:bCs/>
          <w:lang w:val="en-US" w:eastAsia="zh-CN"/>
        </w:rPr>
      </w:pPr>
    </w:p>
    <w:tbl>
      <w:tblPr>
        <w:tblpPr w:leftFromText="180" w:rightFromText="180" w:vertAnchor="text" w:tblpXSpec="center" w:tblpY="1"/>
        <w:tblOverlap w:val="never"/>
        <w:tblW w:w="8387" w:type="dxa"/>
        <w:tblLayout w:type="fixed"/>
        <w:tblCellMar>
          <w:left w:w="0" w:type="dxa"/>
          <w:right w:w="0" w:type="dxa"/>
        </w:tblCellMar>
        <w:tblLook w:val="04A0" w:firstRow="1" w:lastRow="0" w:firstColumn="1" w:lastColumn="0" w:noHBand="0" w:noVBand="1"/>
        <w:tblPrChange w:id="11" w:author="rancy" w:date="2011-04-20T15:45:00Z">
          <w:tblPr>
            <w:tblW w:w="8387" w:type="dxa"/>
            <w:jc w:val="center"/>
            <w:tblInd w:w="85" w:type="dxa"/>
            <w:tblLayout w:type="fixed"/>
            <w:tblCellMar>
              <w:left w:w="0" w:type="dxa"/>
              <w:right w:w="0" w:type="dxa"/>
            </w:tblCellMar>
            <w:tblLook w:val="04A0" w:firstRow="1" w:lastRow="0" w:firstColumn="1" w:lastColumn="0" w:noHBand="0" w:noVBand="1"/>
          </w:tblPr>
        </w:tblPrChange>
      </w:tblPr>
      <w:tblGrid>
        <w:gridCol w:w="4962"/>
        <w:gridCol w:w="1865"/>
        <w:gridCol w:w="1560"/>
        <w:tblGridChange w:id="12">
          <w:tblGrid>
            <w:gridCol w:w="1921"/>
            <w:gridCol w:w="3041"/>
            <w:gridCol w:w="1865"/>
            <w:gridCol w:w="56"/>
            <w:gridCol w:w="1504"/>
            <w:gridCol w:w="361"/>
            <w:gridCol w:w="1560"/>
          </w:tblGrid>
        </w:tblGridChange>
      </w:tblGrid>
      <w:tr w:rsidR="00170375" w:rsidRPr="002B3506" w14:paraId="624E0109" w14:textId="77777777" w:rsidTr="00132157">
        <w:trPr>
          <w:trHeight w:val="315"/>
          <w:trPrChange w:id="13" w:author="rancy" w:date="2011-04-20T15:45:00Z">
            <w:trPr>
              <w:gridBefore w:val="1"/>
              <w:trHeight w:val="315"/>
              <w:jc w:val="center"/>
            </w:trPr>
          </w:trPrChange>
        </w:trPr>
        <w:tc>
          <w:tcPr>
            <w:tcW w:w="496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Change w:id="14" w:author="rancy" w:date="2011-04-20T15:45:00Z">
              <w:tcPr>
                <w:tcW w:w="4962" w:type="dxa"/>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14:paraId="624E0106" w14:textId="77777777" w:rsidR="00170375" w:rsidRPr="002B3506" w:rsidRDefault="00170375">
            <w:pPr>
              <w:spacing w:before="0"/>
              <w:jc w:val="center"/>
              <w:rPr>
                <w:rFonts w:eastAsiaTheme="minorEastAsia"/>
                <w:b/>
                <w:bCs/>
                <w:sz w:val="22"/>
                <w:szCs w:val="22"/>
              </w:rPr>
            </w:pPr>
            <w:r w:rsidRPr="002B3506">
              <w:rPr>
                <w:b/>
                <w:bCs/>
                <w:sz w:val="22"/>
                <w:szCs w:val="22"/>
              </w:rPr>
              <w:t>Title</w:t>
            </w:r>
          </w:p>
        </w:tc>
        <w:tc>
          <w:tcPr>
            <w:tcW w:w="186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Change w:id="15" w:author="rancy" w:date="2011-04-20T15:45:00Z">
              <w:tcPr>
                <w:tcW w:w="1865"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tcPrChange>
          </w:tcPr>
          <w:p w14:paraId="624E0107" w14:textId="77777777" w:rsidR="00170375" w:rsidRPr="002B3506" w:rsidRDefault="00170375">
            <w:pPr>
              <w:spacing w:before="0"/>
              <w:jc w:val="center"/>
              <w:rPr>
                <w:rFonts w:eastAsiaTheme="minorEastAsia"/>
                <w:b/>
                <w:bCs/>
                <w:sz w:val="22"/>
                <w:szCs w:val="22"/>
              </w:rPr>
            </w:pPr>
            <w:r w:rsidRPr="002B3506">
              <w:rPr>
                <w:b/>
                <w:bCs/>
                <w:sz w:val="22"/>
                <w:szCs w:val="22"/>
              </w:rPr>
              <w:t>Place</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6" w:author="rancy" w:date="2011-04-20T15:45:00Z">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24E0108" w14:textId="77777777" w:rsidR="00170375" w:rsidRPr="002B3506" w:rsidRDefault="00170375">
            <w:pPr>
              <w:spacing w:before="0"/>
              <w:jc w:val="center"/>
              <w:rPr>
                <w:rFonts w:eastAsiaTheme="minorEastAsia"/>
                <w:b/>
                <w:bCs/>
                <w:sz w:val="22"/>
                <w:szCs w:val="22"/>
              </w:rPr>
            </w:pPr>
            <w:r w:rsidRPr="002B3506">
              <w:rPr>
                <w:b/>
                <w:bCs/>
                <w:sz w:val="22"/>
                <w:szCs w:val="22"/>
              </w:rPr>
              <w:t>Date</w:t>
            </w:r>
          </w:p>
        </w:tc>
      </w:tr>
      <w:tr w:rsidR="00170375" w:rsidRPr="002B3506" w14:paraId="624E010B" w14:textId="77777777" w:rsidTr="00132157">
        <w:trPr>
          <w:trHeight w:val="315"/>
          <w:trPrChange w:id="17" w:author="rancy" w:date="2011-04-20T15:45:00Z">
            <w:trPr>
              <w:gridBefore w:val="1"/>
              <w:trHeight w:val="315"/>
              <w:jc w:val="center"/>
            </w:trPr>
          </w:trPrChange>
        </w:trPr>
        <w:tc>
          <w:tcPr>
            <w:tcW w:w="8387" w:type="dxa"/>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Change w:id="18" w:author="rancy" w:date="2011-04-20T15:45:00Z">
              <w:tcPr>
                <w:tcW w:w="8387" w:type="dxa"/>
                <w:gridSpan w:val="6"/>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tcPrChange>
          </w:tcPr>
          <w:p w14:paraId="624E010A" w14:textId="77777777" w:rsidR="00170375" w:rsidRPr="002B3506" w:rsidRDefault="00170375">
            <w:pPr>
              <w:spacing w:before="0"/>
              <w:jc w:val="center"/>
              <w:rPr>
                <w:b/>
                <w:bCs/>
                <w:sz w:val="22"/>
                <w:szCs w:val="22"/>
              </w:rPr>
            </w:pPr>
            <w:r w:rsidRPr="002B3506">
              <w:rPr>
                <w:b/>
                <w:bCs/>
                <w:sz w:val="22"/>
                <w:szCs w:val="22"/>
                <w:lang w:val="fr-FR"/>
              </w:rPr>
              <w:t>Radiocommunication Seminar</w:t>
            </w:r>
          </w:p>
        </w:tc>
      </w:tr>
      <w:tr w:rsidR="00170375" w:rsidRPr="002B3506" w14:paraId="624E010F" w14:textId="77777777" w:rsidTr="00132157">
        <w:trPr>
          <w:trHeight w:val="300"/>
          <w:trPrChange w:id="19" w:author="rancy" w:date="2011-04-20T15:45:00Z">
            <w:trPr>
              <w:gridBefore w:val="1"/>
              <w:trHeight w:val="300"/>
              <w:jc w:val="center"/>
            </w:trPr>
          </w:trPrChange>
        </w:trPr>
        <w:tc>
          <w:tcPr>
            <w:tcW w:w="496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Change w:id="20" w:author="rancy" w:date="2011-04-20T15:45:00Z">
              <w:tcPr>
                <w:tcW w:w="4962" w:type="dxa"/>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14:paraId="624E010C" w14:textId="77777777" w:rsidR="00170375" w:rsidRPr="002B3506" w:rsidRDefault="00E979B6">
            <w:pPr>
              <w:spacing w:before="0" w:line="276" w:lineRule="auto"/>
              <w:rPr>
                <w:rFonts w:eastAsiaTheme="minorEastAsia"/>
                <w:sz w:val="22"/>
                <w:szCs w:val="22"/>
              </w:rPr>
            </w:pPr>
            <w:r>
              <w:fldChar w:fldCharType="begin"/>
            </w:r>
            <w:r>
              <w:instrText xml:space="preserve"> HYPERLINK "http://www.itu.int/ITU-R/index.asp?category=conferences&amp;rlink=wrs-10&amp;lang=en" </w:instrText>
            </w:r>
            <w:r>
              <w:fldChar w:fldCharType="separate"/>
            </w:r>
            <w:r w:rsidR="00170375" w:rsidRPr="002B3506">
              <w:rPr>
                <w:rStyle w:val="Hyperlink"/>
                <w:sz w:val="22"/>
                <w:szCs w:val="22"/>
              </w:rPr>
              <w:t xml:space="preserve">World </w:t>
            </w:r>
            <w:proofErr w:type="spellStart"/>
            <w:r w:rsidR="00170375" w:rsidRPr="002B3506">
              <w:rPr>
                <w:rStyle w:val="Hyperlink"/>
                <w:sz w:val="22"/>
                <w:szCs w:val="22"/>
              </w:rPr>
              <w:t>Radiocommunication</w:t>
            </w:r>
            <w:proofErr w:type="spellEnd"/>
            <w:r w:rsidR="00170375" w:rsidRPr="002B3506">
              <w:rPr>
                <w:rStyle w:val="Hyperlink"/>
                <w:sz w:val="22"/>
                <w:szCs w:val="22"/>
              </w:rPr>
              <w:t xml:space="preserve"> Seminar</w:t>
            </w:r>
            <w:r>
              <w:rPr>
                <w:rStyle w:val="Hyperlink"/>
                <w:sz w:val="22"/>
                <w:szCs w:val="22"/>
              </w:rPr>
              <w:fldChar w:fldCharType="end"/>
            </w:r>
            <w:r w:rsidR="00823DE6" w:rsidRPr="002B3506">
              <w:rPr>
                <w:sz w:val="22"/>
                <w:szCs w:val="22"/>
              </w:rPr>
              <w:t xml:space="preserve"> (WRS-10)</w:t>
            </w:r>
          </w:p>
        </w:tc>
        <w:tc>
          <w:tcPr>
            <w:tcW w:w="186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Change w:id="21" w:author="rancy" w:date="2011-04-20T15:45:00Z">
              <w:tcPr>
                <w:tcW w:w="1865"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tcPrChange>
          </w:tcPr>
          <w:p w14:paraId="624E010D" w14:textId="77777777" w:rsidR="00170375" w:rsidRPr="002B3506" w:rsidRDefault="00170375">
            <w:pPr>
              <w:spacing w:before="0" w:line="276" w:lineRule="auto"/>
              <w:rPr>
                <w:rFonts w:eastAsiaTheme="minorEastAsia"/>
                <w:sz w:val="22"/>
                <w:szCs w:val="22"/>
              </w:rPr>
            </w:pPr>
            <w:r w:rsidRPr="002B3506">
              <w:rPr>
                <w:sz w:val="22"/>
                <w:szCs w:val="22"/>
              </w:rPr>
              <w:t>Geneva</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22" w:author="rancy" w:date="2011-04-20T15:45:00Z">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24E010E" w14:textId="77777777" w:rsidR="00170375" w:rsidRPr="002B3506" w:rsidRDefault="00170375">
            <w:pPr>
              <w:spacing w:before="0" w:line="276" w:lineRule="auto"/>
              <w:rPr>
                <w:rFonts w:eastAsiaTheme="minorEastAsia"/>
                <w:sz w:val="22"/>
                <w:szCs w:val="22"/>
              </w:rPr>
            </w:pPr>
            <w:r w:rsidRPr="002B3506">
              <w:rPr>
                <w:sz w:val="22"/>
                <w:szCs w:val="22"/>
              </w:rPr>
              <w:t>6-10.12.10</w:t>
            </w:r>
          </w:p>
        </w:tc>
      </w:tr>
      <w:tr w:rsidR="00170375" w:rsidRPr="002B3506" w14:paraId="624E0111" w14:textId="77777777" w:rsidTr="00132157">
        <w:trPr>
          <w:trHeight w:val="300"/>
          <w:trPrChange w:id="23" w:author="rancy" w:date="2011-04-20T15:45:00Z">
            <w:trPr>
              <w:gridBefore w:val="1"/>
              <w:trHeight w:val="300"/>
              <w:jc w:val="center"/>
            </w:trPr>
          </w:trPrChange>
        </w:trPr>
        <w:tc>
          <w:tcPr>
            <w:tcW w:w="8387" w:type="dxa"/>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Change w:id="24" w:author="rancy" w:date="2011-04-20T15:45:00Z">
              <w:tcPr>
                <w:tcW w:w="8387" w:type="dxa"/>
                <w:gridSpan w:val="6"/>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tcPrChange>
          </w:tcPr>
          <w:p w14:paraId="624E0110" w14:textId="77777777" w:rsidR="00170375" w:rsidRPr="002B3506" w:rsidRDefault="00170375">
            <w:pPr>
              <w:spacing w:before="0" w:line="276" w:lineRule="auto"/>
              <w:jc w:val="center"/>
              <w:rPr>
                <w:sz w:val="22"/>
                <w:szCs w:val="22"/>
              </w:rPr>
            </w:pPr>
            <w:r w:rsidRPr="002B3506">
              <w:rPr>
                <w:b/>
                <w:bCs/>
                <w:sz w:val="22"/>
                <w:szCs w:val="22"/>
                <w:lang w:val="fr-FR"/>
              </w:rPr>
              <w:t>Space Seminars &amp; Workshops</w:t>
            </w:r>
          </w:p>
        </w:tc>
      </w:tr>
      <w:tr w:rsidR="00170375" w:rsidRPr="002B3506" w14:paraId="624E0115" w14:textId="77777777" w:rsidTr="00132157">
        <w:trPr>
          <w:trHeight w:val="300"/>
          <w:trPrChange w:id="25" w:author="rancy" w:date="2011-04-20T15:45:00Z">
            <w:trPr>
              <w:gridBefore w:val="1"/>
              <w:trHeight w:val="300"/>
              <w:jc w:val="center"/>
            </w:trPr>
          </w:trPrChange>
        </w:trPr>
        <w:tc>
          <w:tcPr>
            <w:tcW w:w="496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Change w:id="26" w:author="rancy" w:date="2011-04-20T15:45:00Z">
              <w:tcPr>
                <w:tcW w:w="4962" w:type="dxa"/>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14:paraId="624E0112" w14:textId="77777777" w:rsidR="00170375" w:rsidRPr="002B3506" w:rsidRDefault="00E979B6">
            <w:pPr>
              <w:spacing w:before="0"/>
              <w:rPr>
                <w:rFonts w:eastAsiaTheme="minorEastAsia"/>
                <w:sz w:val="22"/>
                <w:szCs w:val="22"/>
              </w:rPr>
            </w:pPr>
            <w:r>
              <w:fldChar w:fldCharType="begin"/>
            </w:r>
            <w:r>
              <w:instrText xml:space="preserve"> HYPERLINK "http://www.itu.int/ITU-R/index.asp?category=conferences&amp;rlink=moscow-2010&amp;lang=en" </w:instrText>
            </w:r>
            <w:r>
              <w:fldChar w:fldCharType="separate"/>
            </w:r>
            <w:r w:rsidR="00170375" w:rsidRPr="002B3506">
              <w:rPr>
                <w:rStyle w:val="Hyperlink"/>
                <w:sz w:val="22"/>
                <w:szCs w:val="22"/>
              </w:rPr>
              <w:t xml:space="preserve">Regional workshop (BR/BDT) on </w:t>
            </w:r>
            <w:proofErr w:type="spellStart"/>
            <w:r w:rsidR="00170375" w:rsidRPr="002B3506">
              <w:rPr>
                <w:rStyle w:val="Hyperlink"/>
                <w:sz w:val="22"/>
                <w:szCs w:val="22"/>
              </w:rPr>
              <w:t>SpaceCom</w:t>
            </w:r>
            <w:proofErr w:type="spellEnd"/>
            <w:r w:rsidR="00170375" w:rsidRPr="002B3506">
              <w:rPr>
                <w:rStyle w:val="Hyperlink"/>
                <w:sz w:val="22"/>
                <w:szCs w:val="22"/>
              </w:rPr>
              <w:t xml:space="preserve"> software</w:t>
            </w:r>
            <w:r>
              <w:rPr>
                <w:rStyle w:val="Hyperlink"/>
                <w:sz w:val="22"/>
                <w:szCs w:val="22"/>
              </w:rPr>
              <w:fldChar w:fldCharType="end"/>
            </w:r>
          </w:p>
        </w:tc>
        <w:tc>
          <w:tcPr>
            <w:tcW w:w="186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Change w:id="27" w:author="rancy" w:date="2011-04-20T15:45:00Z">
              <w:tcPr>
                <w:tcW w:w="1865"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tcPrChange>
          </w:tcPr>
          <w:p w14:paraId="624E0113" w14:textId="77777777" w:rsidR="00170375" w:rsidRPr="002B3506" w:rsidRDefault="00170375">
            <w:pPr>
              <w:spacing w:before="0"/>
              <w:rPr>
                <w:rFonts w:eastAsiaTheme="minorEastAsia"/>
                <w:sz w:val="22"/>
                <w:szCs w:val="22"/>
              </w:rPr>
            </w:pPr>
            <w:r w:rsidRPr="002B3506">
              <w:rPr>
                <w:sz w:val="22"/>
                <w:szCs w:val="22"/>
              </w:rPr>
              <w:t>Moscow</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28" w:author="rancy" w:date="2011-04-20T15:45:00Z">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24E0114" w14:textId="77777777" w:rsidR="00170375" w:rsidRPr="002B3506" w:rsidRDefault="00170375">
            <w:pPr>
              <w:spacing w:before="0"/>
              <w:rPr>
                <w:rFonts w:eastAsiaTheme="minorEastAsia"/>
                <w:sz w:val="22"/>
                <w:szCs w:val="22"/>
              </w:rPr>
            </w:pPr>
            <w:r w:rsidRPr="002B3506">
              <w:rPr>
                <w:sz w:val="22"/>
                <w:szCs w:val="22"/>
              </w:rPr>
              <w:t>2-3.3.10</w:t>
            </w:r>
          </w:p>
        </w:tc>
      </w:tr>
      <w:tr w:rsidR="00AA4B90" w:rsidRPr="002B3506" w14:paraId="624E0119" w14:textId="77777777" w:rsidTr="00132157">
        <w:trPr>
          <w:trHeight w:val="300"/>
          <w:trPrChange w:id="29" w:author="rancy" w:date="2011-04-20T15:45:00Z">
            <w:trPr>
              <w:gridBefore w:val="1"/>
              <w:trHeight w:val="300"/>
              <w:jc w:val="center"/>
            </w:trPr>
          </w:trPrChange>
        </w:trPr>
        <w:tc>
          <w:tcPr>
            <w:tcW w:w="496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30" w:author="rancy" w:date="2011-04-20T15:45:00Z">
              <w:tcPr>
                <w:tcW w:w="4962"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14:paraId="624E0116" w14:textId="77777777" w:rsidR="00AA4B90" w:rsidRPr="002B3506" w:rsidRDefault="00AA4B90">
            <w:pPr>
              <w:spacing w:before="0" w:line="276" w:lineRule="auto"/>
              <w:rPr>
                <w:sz w:val="22"/>
                <w:szCs w:val="22"/>
              </w:rPr>
            </w:pPr>
            <w:r w:rsidRPr="002B3506">
              <w:rPr>
                <w:sz w:val="22"/>
                <w:szCs w:val="22"/>
              </w:rPr>
              <w:t>ITU-R Sub-regional Space Regulatory Workshop</w:t>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hideMark/>
            <w:tcPrChange w:id="31"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14:paraId="624E0117" w14:textId="77777777" w:rsidR="00AA4B90" w:rsidRPr="002B3506" w:rsidRDefault="00AA4B90">
            <w:pPr>
              <w:spacing w:before="0"/>
              <w:rPr>
                <w:sz w:val="22"/>
                <w:szCs w:val="22"/>
              </w:rPr>
            </w:pPr>
            <w:r w:rsidRPr="002B3506">
              <w:rPr>
                <w:sz w:val="22"/>
                <w:szCs w:val="22"/>
              </w:rPr>
              <w:t>Wellington, New Zealand</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Change w:id="32" w:author="rancy" w:date="2011-04-20T15:45:00Z">
              <w:tcPr>
                <w:tcW w:w="156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624E0118" w14:textId="77777777" w:rsidR="00AA4B90" w:rsidRPr="002B3506" w:rsidRDefault="00AA4B90">
            <w:pPr>
              <w:spacing w:before="0"/>
              <w:rPr>
                <w:sz w:val="22"/>
                <w:szCs w:val="22"/>
              </w:rPr>
            </w:pPr>
            <w:r w:rsidRPr="002B3506">
              <w:rPr>
                <w:sz w:val="22"/>
                <w:szCs w:val="22"/>
              </w:rPr>
              <w:t>26-30</w:t>
            </w:r>
            <w:r w:rsidR="002B3506">
              <w:rPr>
                <w:sz w:val="22"/>
                <w:szCs w:val="22"/>
              </w:rPr>
              <w:t>.4.10</w:t>
            </w:r>
          </w:p>
        </w:tc>
      </w:tr>
      <w:tr w:rsidR="00170375" w:rsidRPr="002B3506" w14:paraId="624E011D" w14:textId="77777777" w:rsidTr="00132157">
        <w:trPr>
          <w:trHeight w:val="772"/>
          <w:trPrChange w:id="33" w:author="rancy" w:date="2011-04-20T15:45:00Z">
            <w:trPr>
              <w:gridBefore w:val="1"/>
              <w:trHeight w:val="772"/>
              <w:jc w:val="center"/>
            </w:trPr>
          </w:trPrChange>
        </w:trPr>
        <w:tc>
          <w:tcPr>
            <w:tcW w:w="496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34" w:author="rancy" w:date="2011-04-20T15:45:00Z">
              <w:tcPr>
                <w:tcW w:w="4962"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14:paraId="624E011A" w14:textId="77777777" w:rsidR="00170375" w:rsidRPr="002B3506" w:rsidRDefault="00E979B6">
            <w:pPr>
              <w:spacing w:before="0" w:line="276" w:lineRule="auto"/>
              <w:rPr>
                <w:rFonts w:eastAsiaTheme="minorEastAsia"/>
                <w:sz w:val="22"/>
                <w:szCs w:val="22"/>
              </w:rPr>
            </w:pPr>
            <w:r>
              <w:fldChar w:fldCharType="begin"/>
            </w:r>
            <w:r>
              <w:instrText xml:space="preserve"> HYPERLINK "http://groups.itu.int/Default.aspx?alias=groups.itu.int/br-ssd" </w:instrText>
            </w:r>
            <w:r>
              <w:fldChar w:fldCharType="separate"/>
            </w:r>
            <w:r w:rsidR="00170375" w:rsidRPr="002B3506">
              <w:rPr>
                <w:rStyle w:val="Hyperlink"/>
                <w:sz w:val="22"/>
                <w:szCs w:val="22"/>
              </w:rPr>
              <w:t>ITU/IDA workshop on efficient use of spectrum/orbit resource</w:t>
            </w:r>
            <w:r>
              <w:rPr>
                <w:rStyle w:val="Hyperlink"/>
                <w:sz w:val="22"/>
                <w:szCs w:val="22"/>
              </w:rPr>
              <w:fldChar w:fldCharType="end"/>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hideMark/>
            <w:tcPrChange w:id="35"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14:paraId="624E011B" w14:textId="77777777" w:rsidR="00170375" w:rsidRPr="002B3506" w:rsidRDefault="00170375">
            <w:pPr>
              <w:spacing w:before="0" w:line="276" w:lineRule="auto"/>
              <w:rPr>
                <w:rFonts w:eastAsiaTheme="minorEastAsia"/>
                <w:sz w:val="22"/>
                <w:szCs w:val="22"/>
              </w:rPr>
            </w:pPr>
            <w:r w:rsidRPr="002B3506">
              <w:rPr>
                <w:sz w:val="22"/>
                <w:szCs w:val="22"/>
              </w:rPr>
              <w:t>Singapore</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Change w:id="36" w:author="rancy" w:date="2011-04-20T15:45:00Z">
              <w:tcPr>
                <w:tcW w:w="156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624E011C" w14:textId="77777777" w:rsidR="00170375" w:rsidRPr="002B3506" w:rsidRDefault="00170375">
            <w:pPr>
              <w:spacing w:before="0" w:line="276" w:lineRule="auto"/>
              <w:rPr>
                <w:rFonts w:eastAsiaTheme="minorEastAsia"/>
                <w:sz w:val="22"/>
                <w:szCs w:val="22"/>
              </w:rPr>
            </w:pPr>
            <w:r w:rsidRPr="002B3506">
              <w:rPr>
                <w:sz w:val="22"/>
                <w:szCs w:val="22"/>
              </w:rPr>
              <w:t>17-18.6.10</w:t>
            </w:r>
          </w:p>
        </w:tc>
      </w:tr>
      <w:tr w:rsidR="00170375" w:rsidRPr="002B3506" w14:paraId="624E0121" w14:textId="77777777" w:rsidTr="00132157">
        <w:trPr>
          <w:trHeight w:val="300"/>
          <w:trPrChange w:id="37" w:author="rancy" w:date="2011-04-20T15:45:00Z">
            <w:trPr>
              <w:gridBefore w:val="1"/>
              <w:trHeight w:val="300"/>
              <w:jc w:val="center"/>
            </w:trPr>
          </w:trPrChange>
        </w:trPr>
        <w:tc>
          <w:tcPr>
            <w:tcW w:w="496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38" w:author="rancy" w:date="2011-04-20T15:45:00Z">
              <w:tcPr>
                <w:tcW w:w="4962"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14:paraId="624E011E" w14:textId="77777777" w:rsidR="00170375" w:rsidRPr="002B3506" w:rsidRDefault="00170375">
            <w:pPr>
              <w:spacing w:before="0"/>
              <w:rPr>
                <w:rFonts w:eastAsiaTheme="minorEastAsia"/>
                <w:sz w:val="22"/>
                <w:szCs w:val="22"/>
              </w:rPr>
            </w:pPr>
            <w:r w:rsidRPr="002B3506">
              <w:rPr>
                <w:sz w:val="22"/>
                <w:szCs w:val="22"/>
              </w:rPr>
              <w:t>Training on spectrum management for ASEAN countries</w:t>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hideMark/>
            <w:tcPrChange w:id="39"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14:paraId="624E011F" w14:textId="77777777" w:rsidR="00170375" w:rsidRPr="002B3506" w:rsidRDefault="00170375">
            <w:pPr>
              <w:spacing w:before="0"/>
              <w:rPr>
                <w:rFonts w:eastAsiaTheme="minorEastAsia"/>
                <w:sz w:val="22"/>
                <w:szCs w:val="22"/>
              </w:rPr>
            </w:pPr>
            <w:r w:rsidRPr="002B3506">
              <w:rPr>
                <w:sz w:val="22"/>
                <w:szCs w:val="22"/>
              </w:rPr>
              <w:t>Hanoi</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Change w:id="40" w:author="rancy" w:date="2011-04-20T15:45:00Z">
              <w:tcPr>
                <w:tcW w:w="156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624E0120" w14:textId="77777777" w:rsidR="00170375" w:rsidRPr="002B3506" w:rsidRDefault="00170375">
            <w:pPr>
              <w:spacing w:before="0"/>
              <w:rPr>
                <w:rFonts w:eastAsiaTheme="minorEastAsia"/>
                <w:sz w:val="22"/>
                <w:szCs w:val="22"/>
              </w:rPr>
            </w:pPr>
            <w:r w:rsidRPr="002B3506">
              <w:rPr>
                <w:sz w:val="22"/>
                <w:szCs w:val="22"/>
              </w:rPr>
              <w:t>23-27</w:t>
            </w:r>
            <w:r w:rsidR="002B3506">
              <w:rPr>
                <w:sz w:val="22"/>
                <w:szCs w:val="22"/>
              </w:rPr>
              <w:t>.8.10</w:t>
            </w:r>
          </w:p>
        </w:tc>
      </w:tr>
      <w:tr w:rsidR="00170375" w:rsidRPr="002B3506" w14:paraId="624E0125" w14:textId="77777777" w:rsidTr="00132157">
        <w:trPr>
          <w:trHeight w:val="300"/>
          <w:trPrChange w:id="41" w:author="rancy" w:date="2011-04-20T15:45:00Z">
            <w:trPr>
              <w:gridBefore w:val="1"/>
              <w:trHeight w:val="300"/>
              <w:jc w:val="center"/>
            </w:trPr>
          </w:trPrChange>
        </w:trPr>
        <w:tc>
          <w:tcPr>
            <w:tcW w:w="496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42" w:author="rancy" w:date="2011-04-20T15:45:00Z">
              <w:tcPr>
                <w:tcW w:w="4962"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14:paraId="624E0122" w14:textId="77777777" w:rsidR="00170375" w:rsidRPr="002B3506" w:rsidRDefault="00170375">
            <w:pPr>
              <w:spacing w:before="0" w:line="276" w:lineRule="auto"/>
              <w:rPr>
                <w:rFonts w:eastAsiaTheme="minorEastAsia"/>
                <w:sz w:val="22"/>
                <w:szCs w:val="22"/>
              </w:rPr>
            </w:pPr>
            <w:r w:rsidRPr="002B3506">
              <w:rPr>
                <w:sz w:val="22"/>
                <w:szCs w:val="22"/>
              </w:rPr>
              <w:t>CITEL/BR Workshop on Appendix 30B</w:t>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hideMark/>
            <w:tcPrChange w:id="43"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14:paraId="624E0123" w14:textId="77777777" w:rsidR="00170375" w:rsidRPr="002B3506" w:rsidRDefault="00170375">
            <w:pPr>
              <w:spacing w:before="0" w:line="276" w:lineRule="auto"/>
              <w:rPr>
                <w:rFonts w:eastAsiaTheme="minorEastAsia"/>
                <w:sz w:val="22"/>
                <w:szCs w:val="22"/>
              </w:rPr>
            </w:pPr>
            <w:r w:rsidRPr="002B3506">
              <w:rPr>
                <w:sz w:val="22"/>
                <w:szCs w:val="22"/>
              </w:rPr>
              <w:t>Fortaleza, Brazil</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Change w:id="44" w:author="rancy" w:date="2011-04-20T15:45:00Z">
              <w:tcPr>
                <w:tcW w:w="156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624E0124" w14:textId="77777777" w:rsidR="00170375" w:rsidRPr="002B3506" w:rsidRDefault="00170375">
            <w:pPr>
              <w:spacing w:before="0" w:line="276" w:lineRule="auto"/>
              <w:rPr>
                <w:rFonts w:eastAsiaTheme="minorEastAsia"/>
                <w:sz w:val="22"/>
                <w:szCs w:val="22"/>
              </w:rPr>
            </w:pPr>
            <w:r w:rsidRPr="002B3506">
              <w:rPr>
                <w:sz w:val="22"/>
                <w:szCs w:val="22"/>
              </w:rPr>
              <w:t>1-2.9.10</w:t>
            </w:r>
          </w:p>
        </w:tc>
      </w:tr>
      <w:tr w:rsidR="00170375" w:rsidRPr="002B3506" w14:paraId="624E0129" w14:textId="77777777" w:rsidTr="00132157">
        <w:trPr>
          <w:trHeight w:val="300"/>
          <w:trPrChange w:id="45" w:author="rancy" w:date="2011-04-20T15:45:00Z">
            <w:trPr>
              <w:gridBefore w:val="1"/>
              <w:trHeight w:val="300"/>
              <w:jc w:val="center"/>
            </w:trPr>
          </w:trPrChange>
        </w:trPr>
        <w:tc>
          <w:tcPr>
            <w:tcW w:w="4962"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Change w:id="46" w:author="rancy" w:date="2011-04-20T15:45:00Z">
              <w:tcPr>
                <w:tcW w:w="4962" w:type="dxa"/>
                <w:gridSpan w:val="3"/>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tcPrChange>
          </w:tcPr>
          <w:p w14:paraId="624E0126" w14:textId="77777777" w:rsidR="00170375" w:rsidRPr="002B3506" w:rsidRDefault="00170375">
            <w:pPr>
              <w:spacing w:before="0" w:line="276" w:lineRule="auto"/>
              <w:rPr>
                <w:rFonts w:eastAsiaTheme="minorEastAsia"/>
                <w:sz w:val="22"/>
                <w:szCs w:val="22"/>
              </w:rPr>
            </w:pPr>
            <w:r w:rsidRPr="002B3506">
              <w:rPr>
                <w:sz w:val="22"/>
                <w:szCs w:val="22"/>
              </w:rPr>
              <w:t>ITU (BR/BDT) - Training Workshop on Satellite</w:t>
            </w:r>
          </w:p>
        </w:tc>
        <w:tc>
          <w:tcPr>
            <w:tcW w:w="1865" w:type="dxa"/>
            <w:tcBorders>
              <w:top w:val="nil"/>
              <w:left w:val="nil"/>
              <w:bottom w:val="single" w:sz="4" w:space="0" w:color="auto"/>
              <w:right w:val="single" w:sz="8" w:space="0" w:color="auto"/>
            </w:tcBorders>
            <w:noWrap/>
            <w:tcMar>
              <w:top w:w="0" w:type="dxa"/>
              <w:left w:w="108" w:type="dxa"/>
              <w:bottom w:w="0" w:type="dxa"/>
              <w:right w:w="108" w:type="dxa"/>
            </w:tcMar>
            <w:hideMark/>
            <w:tcPrChange w:id="47" w:author="rancy" w:date="2011-04-20T15:45:00Z">
              <w:tcPr>
                <w:tcW w:w="1865" w:type="dxa"/>
                <w:gridSpan w:val="2"/>
                <w:tcBorders>
                  <w:top w:val="nil"/>
                  <w:left w:val="nil"/>
                  <w:bottom w:val="single" w:sz="4" w:space="0" w:color="auto"/>
                  <w:right w:val="single" w:sz="8" w:space="0" w:color="auto"/>
                </w:tcBorders>
                <w:noWrap/>
                <w:tcMar>
                  <w:top w:w="0" w:type="dxa"/>
                  <w:left w:w="108" w:type="dxa"/>
                  <w:bottom w:w="0" w:type="dxa"/>
                  <w:right w:w="108" w:type="dxa"/>
                </w:tcMar>
                <w:hideMark/>
              </w:tcPr>
            </w:tcPrChange>
          </w:tcPr>
          <w:p w14:paraId="624E0127" w14:textId="77777777" w:rsidR="00170375" w:rsidRPr="002B3506" w:rsidRDefault="00170375">
            <w:pPr>
              <w:spacing w:before="0" w:line="276" w:lineRule="auto"/>
              <w:rPr>
                <w:rFonts w:eastAsiaTheme="minorEastAsia"/>
                <w:sz w:val="22"/>
                <w:szCs w:val="22"/>
              </w:rPr>
            </w:pPr>
            <w:r w:rsidRPr="002B3506">
              <w:rPr>
                <w:sz w:val="22"/>
                <w:szCs w:val="22"/>
              </w:rPr>
              <w:t>Bangkok</w:t>
            </w:r>
          </w:p>
        </w:tc>
        <w:tc>
          <w:tcPr>
            <w:tcW w:w="1560" w:type="dxa"/>
            <w:tcBorders>
              <w:top w:val="nil"/>
              <w:left w:val="nil"/>
              <w:bottom w:val="single" w:sz="4" w:space="0" w:color="auto"/>
              <w:right w:val="single" w:sz="8" w:space="0" w:color="auto"/>
            </w:tcBorders>
            <w:tcMar>
              <w:top w:w="0" w:type="dxa"/>
              <w:left w:w="108" w:type="dxa"/>
              <w:bottom w:w="0" w:type="dxa"/>
              <w:right w:w="108" w:type="dxa"/>
            </w:tcMar>
            <w:hideMark/>
            <w:tcPrChange w:id="48" w:author="rancy" w:date="2011-04-20T15:45:00Z">
              <w:tcPr>
                <w:tcW w:w="1560" w:type="dxa"/>
                <w:tcBorders>
                  <w:top w:val="nil"/>
                  <w:left w:val="nil"/>
                  <w:bottom w:val="single" w:sz="4" w:space="0" w:color="auto"/>
                  <w:right w:val="single" w:sz="8" w:space="0" w:color="auto"/>
                </w:tcBorders>
                <w:tcMar>
                  <w:top w:w="0" w:type="dxa"/>
                  <w:left w:w="108" w:type="dxa"/>
                  <w:bottom w:w="0" w:type="dxa"/>
                  <w:right w:w="108" w:type="dxa"/>
                </w:tcMar>
                <w:hideMark/>
              </w:tcPr>
            </w:tcPrChange>
          </w:tcPr>
          <w:p w14:paraId="624E0128" w14:textId="77777777" w:rsidR="00170375" w:rsidRPr="002B3506" w:rsidRDefault="00170375">
            <w:pPr>
              <w:spacing w:before="0" w:line="276" w:lineRule="auto"/>
              <w:rPr>
                <w:rFonts w:eastAsiaTheme="minorEastAsia"/>
                <w:sz w:val="22"/>
                <w:szCs w:val="22"/>
              </w:rPr>
            </w:pPr>
            <w:r w:rsidRPr="002B3506">
              <w:rPr>
                <w:sz w:val="22"/>
                <w:szCs w:val="22"/>
              </w:rPr>
              <w:t>28-30.9.10</w:t>
            </w:r>
          </w:p>
        </w:tc>
      </w:tr>
      <w:tr w:rsidR="00170375" w:rsidRPr="002B3506" w14:paraId="624E012B" w14:textId="77777777" w:rsidTr="00132157">
        <w:trPr>
          <w:trHeight w:val="417"/>
          <w:trPrChange w:id="49" w:author="rancy" w:date="2011-04-20T15:45:00Z">
            <w:trPr>
              <w:gridBefore w:val="1"/>
              <w:trHeight w:val="417"/>
              <w:jc w:val="center"/>
            </w:trPr>
          </w:trPrChange>
        </w:trPr>
        <w:tc>
          <w:tcPr>
            <w:tcW w:w="8387" w:type="dxa"/>
            <w:gridSpan w:val="3"/>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tcPrChange w:id="50" w:author="rancy" w:date="2011-04-20T15:45:00Z">
              <w:tcPr>
                <w:tcW w:w="8387" w:type="dxa"/>
                <w:gridSpan w:val="6"/>
                <w:tcBorders>
                  <w:top w:val="single" w:sz="4" w:space="0" w:color="auto"/>
                  <w:left w:val="single" w:sz="8" w:space="0" w:color="auto"/>
                  <w:bottom w:val="single" w:sz="4" w:space="0" w:color="auto"/>
                  <w:right w:val="single" w:sz="8" w:space="0" w:color="auto"/>
                </w:tcBorders>
                <w:noWrap/>
                <w:tcMar>
                  <w:top w:w="0" w:type="dxa"/>
                  <w:left w:w="108" w:type="dxa"/>
                  <w:bottom w:w="0" w:type="dxa"/>
                  <w:right w:w="108" w:type="dxa"/>
                </w:tcMar>
              </w:tcPr>
            </w:tcPrChange>
          </w:tcPr>
          <w:p w14:paraId="624E012A" w14:textId="77777777" w:rsidR="00170375" w:rsidRPr="002B3506" w:rsidRDefault="00170375">
            <w:pPr>
              <w:spacing w:before="0" w:line="276" w:lineRule="auto"/>
              <w:jc w:val="center"/>
              <w:rPr>
                <w:sz w:val="22"/>
                <w:szCs w:val="22"/>
              </w:rPr>
            </w:pPr>
            <w:r w:rsidRPr="002B3506">
              <w:rPr>
                <w:b/>
                <w:bCs/>
                <w:sz w:val="22"/>
                <w:szCs w:val="22"/>
              </w:rPr>
              <w:t xml:space="preserve">Terrestrial </w:t>
            </w:r>
            <w:r w:rsidRPr="002B3506">
              <w:rPr>
                <w:b/>
                <w:bCs/>
                <w:sz w:val="22"/>
                <w:szCs w:val="22"/>
                <w:lang w:val="fr-FR"/>
              </w:rPr>
              <w:t>Seminars and Workshops</w:t>
            </w:r>
          </w:p>
        </w:tc>
      </w:tr>
      <w:tr w:rsidR="00170375" w:rsidRPr="002B3506" w14:paraId="624E012F" w14:textId="77777777" w:rsidTr="00132157">
        <w:trPr>
          <w:trHeight w:val="300"/>
          <w:trPrChange w:id="51" w:author="rancy" w:date="2011-04-20T15:45:00Z">
            <w:trPr>
              <w:gridBefore w:val="1"/>
              <w:trHeight w:val="300"/>
              <w:jc w:val="center"/>
            </w:trPr>
          </w:trPrChange>
        </w:trPr>
        <w:tc>
          <w:tcPr>
            <w:tcW w:w="496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Change w:id="52" w:author="rancy" w:date="2011-04-20T15:45:00Z">
              <w:tcPr>
                <w:tcW w:w="4962" w:type="dxa"/>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14:paraId="624E012C" w14:textId="77777777" w:rsidR="00170375" w:rsidRPr="002B3506" w:rsidRDefault="0044253D">
            <w:pPr>
              <w:spacing w:before="0" w:line="276" w:lineRule="auto"/>
              <w:rPr>
                <w:rFonts w:eastAsiaTheme="minorEastAsia"/>
                <w:sz w:val="22"/>
                <w:szCs w:val="22"/>
              </w:rPr>
            </w:pPr>
            <w:r w:rsidRPr="002B3506">
              <w:rPr>
                <w:sz w:val="22"/>
                <w:szCs w:val="22"/>
              </w:rPr>
              <w:t>ITU-AICTO</w:t>
            </w:r>
            <w:r>
              <w:rPr>
                <w:sz w:val="22"/>
                <w:szCs w:val="22"/>
              </w:rPr>
              <w:t xml:space="preserve"> </w:t>
            </w:r>
            <w:r w:rsidR="00170375" w:rsidRPr="002B3506">
              <w:rPr>
                <w:sz w:val="22"/>
                <w:szCs w:val="22"/>
              </w:rPr>
              <w:t>Radio spectrum management workshop on terrestrial services</w:t>
            </w:r>
          </w:p>
        </w:tc>
        <w:tc>
          <w:tcPr>
            <w:tcW w:w="186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Change w:id="53" w:author="rancy" w:date="2011-04-20T15:45:00Z">
              <w:tcPr>
                <w:tcW w:w="1865"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tcPrChange>
          </w:tcPr>
          <w:p w14:paraId="624E012D" w14:textId="77777777" w:rsidR="00170375" w:rsidRPr="002B3506" w:rsidRDefault="00170375">
            <w:pPr>
              <w:spacing w:before="0" w:line="276" w:lineRule="auto"/>
              <w:rPr>
                <w:rFonts w:eastAsiaTheme="minorEastAsia"/>
                <w:sz w:val="22"/>
                <w:szCs w:val="22"/>
              </w:rPr>
            </w:pPr>
            <w:r w:rsidRPr="002B3506">
              <w:rPr>
                <w:sz w:val="22"/>
                <w:szCs w:val="22"/>
              </w:rPr>
              <w:t>Tunis</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54" w:author="rancy" w:date="2011-04-20T15:45:00Z">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24E012E" w14:textId="77777777" w:rsidR="00170375" w:rsidRPr="002B3506" w:rsidRDefault="00170375">
            <w:pPr>
              <w:spacing w:before="0" w:line="276" w:lineRule="auto"/>
              <w:rPr>
                <w:rFonts w:eastAsiaTheme="minorEastAsia"/>
                <w:sz w:val="22"/>
                <w:szCs w:val="22"/>
              </w:rPr>
            </w:pPr>
            <w:r w:rsidRPr="002B3506">
              <w:rPr>
                <w:sz w:val="22"/>
                <w:szCs w:val="22"/>
              </w:rPr>
              <w:t>18-20.5.10</w:t>
            </w:r>
          </w:p>
        </w:tc>
      </w:tr>
      <w:tr w:rsidR="00170375" w:rsidRPr="002B3506" w14:paraId="624E0133" w14:textId="77777777" w:rsidTr="00132157">
        <w:trPr>
          <w:trHeight w:val="507"/>
          <w:trPrChange w:id="55" w:author="rancy" w:date="2011-04-20T15:45:00Z">
            <w:trPr>
              <w:gridBefore w:val="1"/>
              <w:trHeight w:val="507"/>
              <w:jc w:val="center"/>
            </w:trPr>
          </w:trPrChange>
        </w:trPr>
        <w:tc>
          <w:tcPr>
            <w:tcW w:w="4962"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Change w:id="56" w:author="rancy" w:date="2011-04-20T15:45:00Z">
              <w:tcPr>
                <w:tcW w:w="4962" w:type="dxa"/>
                <w:gridSpan w:val="3"/>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tcPrChange>
          </w:tcPr>
          <w:p w14:paraId="624E0130" w14:textId="77777777" w:rsidR="00170375" w:rsidRPr="002B3506" w:rsidRDefault="00170375">
            <w:pPr>
              <w:spacing w:before="0"/>
              <w:rPr>
                <w:rFonts w:eastAsiaTheme="minorEastAsia"/>
                <w:sz w:val="22"/>
                <w:szCs w:val="22"/>
              </w:rPr>
            </w:pPr>
            <w:r w:rsidRPr="002B3506">
              <w:rPr>
                <w:sz w:val="22"/>
                <w:szCs w:val="22"/>
              </w:rPr>
              <w:t>CoE-CIS workshop on radio monitoring and enhancement</w:t>
            </w:r>
          </w:p>
        </w:tc>
        <w:tc>
          <w:tcPr>
            <w:tcW w:w="1865" w:type="dxa"/>
            <w:tcBorders>
              <w:top w:val="nil"/>
              <w:left w:val="nil"/>
              <w:bottom w:val="single" w:sz="4" w:space="0" w:color="auto"/>
              <w:right w:val="single" w:sz="8" w:space="0" w:color="auto"/>
            </w:tcBorders>
            <w:noWrap/>
            <w:tcMar>
              <w:top w:w="0" w:type="dxa"/>
              <w:left w:w="108" w:type="dxa"/>
              <w:bottom w:w="0" w:type="dxa"/>
              <w:right w:w="108" w:type="dxa"/>
            </w:tcMar>
            <w:hideMark/>
            <w:tcPrChange w:id="57" w:author="rancy" w:date="2011-04-20T15:45:00Z">
              <w:tcPr>
                <w:tcW w:w="1865" w:type="dxa"/>
                <w:gridSpan w:val="2"/>
                <w:tcBorders>
                  <w:top w:val="nil"/>
                  <w:left w:val="nil"/>
                  <w:bottom w:val="single" w:sz="4" w:space="0" w:color="auto"/>
                  <w:right w:val="single" w:sz="8" w:space="0" w:color="auto"/>
                </w:tcBorders>
                <w:noWrap/>
                <w:tcMar>
                  <w:top w:w="0" w:type="dxa"/>
                  <w:left w:w="108" w:type="dxa"/>
                  <w:bottom w:w="0" w:type="dxa"/>
                  <w:right w:w="108" w:type="dxa"/>
                </w:tcMar>
                <w:hideMark/>
              </w:tcPr>
            </w:tcPrChange>
          </w:tcPr>
          <w:p w14:paraId="624E0131" w14:textId="77777777" w:rsidR="00170375" w:rsidRPr="002B3506" w:rsidRDefault="00170375">
            <w:pPr>
              <w:spacing w:before="0"/>
              <w:rPr>
                <w:rFonts w:eastAsiaTheme="minorEastAsia"/>
                <w:sz w:val="22"/>
                <w:szCs w:val="22"/>
              </w:rPr>
            </w:pPr>
            <w:r w:rsidRPr="002B3506">
              <w:rPr>
                <w:sz w:val="22"/>
                <w:szCs w:val="22"/>
              </w:rPr>
              <w:t>Kiev</w:t>
            </w:r>
          </w:p>
        </w:tc>
        <w:tc>
          <w:tcPr>
            <w:tcW w:w="1560" w:type="dxa"/>
            <w:tcBorders>
              <w:top w:val="nil"/>
              <w:left w:val="nil"/>
              <w:bottom w:val="single" w:sz="4" w:space="0" w:color="auto"/>
              <w:right w:val="single" w:sz="8" w:space="0" w:color="auto"/>
            </w:tcBorders>
            <w:tcMar>
              <w:top w:w="0" w:type="dxa"/>
              <w:left w:w="108" w:type="dxa"/>
              <w:bottom w:w="0" w:type="dxa"/>
              <w:right w:w="108" w:type="dxa"/>
            </w:tcMar>
            <w:hideMark/>
            <w:tcPrChange w:id="58" w:author="rancy" w:date="2011-04-20T15:45:00Z">
              <w:tcPr>
                <w:tcW w:w="1560" w:type="dxa"/>
                <w:tcBorders>
                  <w:top w:val="nil"/>
                  <w:left w:val="nil"/>
                  <w:bottom w:val="single" w:sz="4" w:space="0" w:color="auto"/>
                  <w:right w:val="single" w:sz="8" w:space="0" w:color="auto"/>
                </w:tcBorders>
                <w:tcMar>
                  <w:top w:w="0" w:type="dxa"/>
                  <w:left w:w="108" w:type="dxa"/>
                  <w:bottom w:w="0" w:type="dxa"/>
                  <w:right w:w="108" w:type="dxa"/>
                </w:tcMar>
                <w:hideMark/>
              </w:tcPr>
            </w:tcPrChange>
          </w:tcPr>
          <w:p w14:paraId="624E0132" w14:textId="77777777" w:rsidR="00170375" w:rsidRPr="002B3506" w:rsidRDefault="00170375">
            <w:pPr>
              <w:spacing w:before="0"/>
              <w:rPr>
                <w:rFonts w:eastAsiaTheme="minorEastAsia"/>
                <w:sz w:val="22"/>
                <w:szCs w:val="22"/>
              </w:rPr>
            </w:pPr>
            <w:r w:rsidRPr="002B3506">
              <w:rPr>
                <w:sz w:val="22"/>
                <w:szCs w:val="22"/>
              </w:rPr>
              <w:t>7-9.9.10</w:t>
            </w:r>
          </w:p>
        </w:tc>
      </w:tr>
      <w:tr w:rsidR="00170375" w:rsidRPr="002B3506" w14:paraId="624E0135" w14:textId="77777777" w:rsidTr="00132157">
        <w:trPr>
          <w:trHeight w:val="426"/>
          <w:trPrChange w:id="59" w:author="rancy" w:date="2011-04-20T15:45:00Z">
            <w:trPr>
              <w:gridBefore w:val="1"/>
              <w:trHeight w:val="426"/>
              <w:jc w:val="center"/>
            </w:trPr>
          </w:trPrChange>
        </w:trPr>
        <w:tc>
          <w:tcPr>
            <w:tcW w:w="8387" w:type="dxa"/>
            <w:gridSpan w:val="3"/>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Change w:id="60" w:author="rancy" w:date="2011-04-20T15:45:00Z">
              <w:tcPr>
                <w:tcW w:w="8387" w:type="dxa"/>
                <w:gridSpan w:val="6"/>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tcPrChange>
          </w:tcPr>
          <w:p w14:paraId="624E0134" w14:textId="77777777" w:rsidR="00170375" w:rsidRPr="002B3506" w:rsidRDefault="00170375">
            <w:pPr>
              <w:spacing w:before="0"/>
              <w:jc w:val="center"/>
              <w:rPr>
                <w:sz w:val="22"/>
                <w:szCs w:val="22"/>
              </w:rPr>
            </w:pPr>
            <w:r w:rsidRPr="002B3506">
              <w:rPr>
                <w:b/>
                <w:bCs/>
                <w:sz w:val="22"/>
                <w:szCs w:val="22"/>
              </w:rPr>
              <w:t>General</w:t>
            </w:r>
          </w:p>
        </w:tc>
      </w:tr>
      <w:tr w:rsidR="00170375" w:rsidRPr="002B3506" w14:paraId="624E0139" w14:textId="77777777" w:rsidTr="00132157">
        <w:trPr>
          <w:trHeight w:val="300"/>
          <w:trPrChange w:id="61" w:author="rancy" w:date="2011-04-20T15:45:00Z">
            <w:trPr>
              <w:gridBefore w:val="1"/>
              <w:trHeight w:val="300"/>
              <w:jc w:val="center"/>
            </w:trPr>
          </w:trPrChange>
        </w:trPr>
        <w:tc>
          <w:tcPr>
            <w:tcW w:w="496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62" w:author="rancy" w:date="2011-04-20T15:45:00Z">
              <w:tcPr>
                <w:tcW w:w="4962"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14:paraId="624E0136" w14:textId="77777777" w:rsidR="00170375" w:rsidRPr="002B3506" w:rsidRDefault="00170375">
            <w:pPr>
              <w:spacing w:before="0"/>
              <w:rPr>
                <w:rFonts w:eastAsiaTheme="minorEastAsia"/>
                <w:sz w:val="22"/>
                <w:szCs w:val="22"/>
              </w:rPr>
            </w:pPr>
            <w:r w:rsidRPr="002B3506">
              <w:rPr>
                <w:sz w:val="22"/>
                <w:szCs w:val="22"/>
              </w:rPr>
              <w:t>ANCOM 1</w:t>
            </w:r>
            <w:r w:rsidRPr="002B3506">
              <w:rPr>
                <w:sz w:val="22"/>
                <w:szCs w:val="22"/>
                <w:vertAlign w:val="superscript"/>
              </w:rPr>
              <w:t>st</w:t>
            </w:r>
            <w:r w:rsidRPr="002B3506">
              <w:rPr>
                <w:sz w:val="22"/>
                <w:szCs w:val="22"/>
              </w:rPr>
              <w:t xml:space="preserve"> meeting on digital dividend</w:t>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hideMark/>
            <w:tcPrChange w:id="63"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14:paraId="624E0137" w14:textId="77777777" w:rsidR="00170375" w:rsidRPr="002B3506" w:rsidRDefault="00170375">
            <w:pPr>
              <w:spacing w:before="0"/>
              <w:rPr>
                <w:rFonts w:eastAsiaTheme="minorEastAsia"/>
                <w:sz w:val="22"/>
                <w:szCs w:val="22"/>
              </w:rPr>
            </w:pPr>
            <w:r w:rsidRPr="002B3506">
              <w:rPr>
                <w:sz w:val="22"/>
                <w:szCs w:val="22"/>
              </w:rPr>
              <w:t>Bucharest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Change w:id="64" w:author="rancy" w:date="2011-04-20T15:45:00Z">
              <w:tcPr>
                <w:tcW w:w="156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624E0138" w14:textId="77777777" w:rsidR="00170375" w:rsidRPr="002B3506" w:rsidRDefault="00170375">
            <w:pPr>
              <w:spacing w:before="0"/>
              <w:rPr>
                <w:rFonts w:eastAsiaTheme="minorEastAsia"/>
                <w:sz w:val="22"/>
                <w:szCs w:val="22"/>
              </w:rPr>
            </w:pPr>
            <w:r w:rsidRPr="002B3506">
              <w:rPr>
                <w:sz w:val="22"/>
                <w:szCs w:val="22"/>
              </w:rPr>
              <w:t>30.3.10</w:t>
            </w:r>
          </w:p>
        </w:tc>
      </w:tr>
      <w:tr w:rsidR="00170375" w:rsidRPr="002B3506" w14:paraId="624E013D" w14:textId="77777777" w:rsidTr="00132157">
        <w:trPr>
          <w:trHeight w:val="300"/>
          <w:trPrChange w:id="65" w:author="rancy" w:date="2011-04-20T15:45:00Z">
            <w:trPr>
              <w:gridBefore w:val="1"/>
              <w:trHeight w:val="300"/>
              <w:jc w:val="center"/>
            </w:trPr>
          </w:trPrChange>
        </w:trPr>
        <w:tc>
          <w:tcPr>
            <w:tcW w:w="496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66" w:author="rancy" w:date="2011-04-20T15:45:00Z">
              <w:tcPr>
                <w:tcW w:w="4962"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14:paraId="624E013A" w14:textId="77777777" w:rsidR="00170375" w:rsidRPr="002B3506" w:rsidRDefault="00170375">
            <w:pPr>
              <w:spacing w:before="0"/>
              <w:rPr>
                <w:rFonts w:eastAsiaTheme="minorEastAsia"/>
                <w:sz w:val="22"/>
                <w:szCs w:val="22"/>
              </w:rPr>
            </w:pPr>
            <w:r w:rsidRPr="002B3506">
              <w:rPr>
                <w:sz w:val="22"/>
                <w:szCs w:val="22"/>
              </w:rPr>
              <w:t>CRASA/SADC Forum</w:t>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hideMark/>
            <w:tcPrChange w:id="67"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14:paraId="624E013B" w14:textId="77777777" w:rsidR="00170375" w:rsidRPr="002B3506" w:rsidRDefault="00170375">
            <w:pPr>
              <w:spacing w:before="0"/>
              <w:rPr>
                <w:rFonts w:eastAsiaTheme="minorEastAsia"/>
                <w:sz w:val="22"/>
                <w:szCs w:val="22"/>
              </w:rPr>
            </w:pPr>
            <w:r w:rsidRPr="002B3506">
              <w:rPr>
                <w:sz w:val="22"/>
                <w:szCs w:val="22"/>
              </w:rPr>
              <w:t>Maseru</w:t>
            </w:r>
            <w:r w:rsidR="00150F3C">
              <w:rPr>
                <w:sz w:val="22"/>
                <w:szCs w:val="22"/>
              </w:rPr>
              <w:t>, Lesotho</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Change w:id="68" w:author="rancy" w:date="2011-04-20T15:45:00Z">
              <w:tcPr>
                <w:tcW w:w="156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624E013C" w14:textId="77777777" w:rsidR="00170375" w:rsidRPr="002B3506" w:rsidRDefault="00170375">
            <w:pPr>
              <w:spacing w:before="0"/>
              <w:rPr>
                <w:rFonts w:eastAsiaTheme="minorEastAsia"/>
                <w:sz w:val="22"/>
                <w:szCs w:val="22"/>
              </w:rPr>
            </w:pPr>
            <w:r w:rsidRPr="002B3506">
              <w:rPr>
                <w:sz w:val="22"/>
                <w:szCs w:val="22"/>
              </w:rPr>
              <w:t>26-28.4.10</w:t>
            </w:r>
          </w:p>
        </w:tc>
      </w:tr>
      <w:tr w:rsidR="0090740D" w:rsidRPr="002B3506" w14:paraId="624E0141" w14:textId="77777777" w:rsidTr="00132157">
        <w:trPr>
          <w:trHeight w:val="300"/>
          <w:trPrChange w:id="69" w:author="rancy" w:date="2011-04-20T15:45:00Z">
            <w:trPr>
              <w:gridBefore w:val="1"/>
              <w:trHeight w:val="300"/>
              <w:jc w:val="center"/>
            </w:trPr>
          </w:trPrChange>
        </w:trPr>
        <w:tc>
          <w:tcPr>
            <w:tcW w:w="496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70" w:author="rancy" w:date="2011-04-20T15:45:00Z">
              <w:tcPr>
                <w:tcW w:w="4962"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14:paraId="624E013E" w14:textId="77777777" w:rsidR="0090740D" w:rsidRPr="0090740D" w:rsidRDefault="00E979B6">
            <w:pPr>
              <w:spacing w:before="0"/>
              <w:rPr>
                <w:sz w:val="22"/>
                <w:szCs w:val="22"/>
              </w:rPr>
            </w:pPr>
            <w:r>
              <w:fldChar w:fldCharType="begin"/>
            </w:r>
            <w:r>
              <w:instrText xml:space="preserve"> HYPERLINK "http://www.itu.int/ITU-D/tech/events/DevelopmentForums/2010/EUR/RDF10_EUR_Program.html" </w:instrText>
            </w:r>
            <w:r>
              <w:fldChar w:fldCharType="separate"/>
            </w:r>
            <w:r w:rsidR="00681EC2">
              <w:rPr>
                <w:rStyle w:val="Hyperlink"/>
                <w:sz w:val="22"/>
              </w:rPr>
              <w:t>ITU-D Regional Development Forum for the Europe and CIS Countries: "NGN and Broadband"</w:t>
            </w:r>
            <w:r>
              <w:rPr>
                <w:rStyle w:val="Hyperlink"/>
                <w:sz w:val="22"/>
              </w:rPr>
              <w:fldChar w:fldCharType="end"/>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hideMark/>
            <w:tcPrChange w:id="71"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14:paraId="624E013F" w14:textId="77777777" w:rsidR="0090740D" w:rsidRPr="0090740D" w:rsidRDefault="0090740D">
            <w:pPr>
              <w:spacing w:before="0"/>
              <w:rPr>
                <w:sz w:val="22"/>
                <w:szCs w:val="22"/>
              </w:rPr>
            </w:pPr>
            <w:r w:rsidRPr="0090740D">
              <w:rPr>
                <w:sz w:val="22"/>
              </w:rPr>
              <w:t>Chisinau, Moldova</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Change w:id="72" w:author="rancy" w:date="2011-04-20T15:45:00Z">
              <w:tcPr>
                <w:tcW w:w="156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624E0140" w14:textId="77777777" w:rsidR="0090740D" w:rsidRPr="002B3506" w:rsidRDefault="0090740D">
            <w:pPr>
              <w:spacing w:before="0"/>
              <w:rPr>
                <w:sz w:val="22"/>
                <w:szCs w:val="22"/>
              </w:rPr>
            </w:pPr>
            <w:r>
              <w:rPr>
                <w:sz w:val="22"/>
                <w:szCs w:val="22"/>
              </w:rPr>
              <w:t>4-6.5.10</w:t>
            </w:r>
          </w:p>
        </w:tc>
      </w:tr>
      <w:tr w:rsidR="00170375" w:rsidRPr="002B3506" w14:paraId="624E0145" w14:textId="77777777" w:rsidTr="00132157">
        <w:trPr>
          <w:trHeight w:val="300"/>
          <w:trPrChange w:id="73" w:author="rancy" w:date="2011-04-20T15:45:00Z">
            <w:trPr>
              <w:gridBefore w:val="1"/>
              <w:trHeight w:val="300"/>
              <w:jc w:val="center"/>
            </w:trPr>
          </w:trPrChange>
        </w:trPr>
        <w:tc>
          <w:tcPr>
            <w:tcW w:w="496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74" w:author="rancy" w:date="2011-04-20T15:45:00Z">
              <w:tcPr>
                <w:tcW w:w="4962"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14:paraId="624E0142" w14:textId="77777777" w:rsidR="00170375" w:rsidRPr="002B3506" w:rsidRDefault="00E979B6">
            <w:pPr>
              <w:spacing w:before="0"/>
              <w:rPr>
                <w:rFonts w:eastAsiaTheme="minorEastAsia"/>
                <w:sz w:val="22"/>
                <w:szCs w:val="22"/>
              </w:rPr>
            </w:pPr>
            <w:r>
              <w:fldChar w:fldCharType="begin"/>
            </w:r>
            <w:r>
              <w:instrText xml:space="preserve"> HYPERLINK "http://www.itu.int/ITU-R/index.asp?category=conferences&amp;rlink=tashkent-2010&amp;lang=en" </w:instrText>
            </w:r>
            <w:r>
              <w:fldChar w:fldCharType="separate"/>
            </w:r>
            <w:r w:rsidR="00170375" w:rsidRPr="002B3506">
              <w:rPr>
                <w:rStyle w:val="Hyperlink"/>
                <w:sz w:val="22"/>
                <w:szCs w:val="22"/>
              </w:rPr>
              <w:t>Regional seminar (BR/BDT) on management of radiofrequency and satellite orbit at international level</w:t>
            </w:r>
            <w:r>
              <w:rPr>
                <w:rStyle w:val="Hyperlink"/>
                <w:sz w:val="22"/>
                <w:szCs w:val="22"/>
              </w:rPr>
              <w:fldChar w:fldCharType="end"/>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hideMark/>
            <w:tcPrChange w:id="75"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14:paraId="624E0143" w14:textId="77777777" w:rsidR="00170375" w:rsidRPr="002B3506" w:rsidRDefault="00170375">
            <w:pPr>
              <w:spacing w:before="0"/>
              <w:rPr>
                <w:rFonts w:eastAsiaTheme="minorEastAsia"/>
                <w:sz w:val="22"/>
                <w:szCs w:val="22"/>
              </w:rPr>
            </w:pPr>
            <w:r w:rsidRPr="002B3506">
              <w:rPr>
                <w:sz w:val="22"/>
                <w:szCs w:val="22"/>
              </w:rPr>
              <w:t>Tashkent</w:t>
            </w:r>
            <w:r w:rsidR="00150F3C">
              <w:rPr>
                <w:sz w:val="22"/>
                <w:szCs w:val="22"/>
              </w:rPr>
              <w:t>, Uzbekistan</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Change w:id="76" w:author="rancy" w:date="2011-04-20T15:45:00Z">
              <w:tcPr>
                <w:tcW w:w="156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624E0144" w14:textId="77777777" w:rsidR="00170375" w:rsidRPr="002B3506" w:rsidRDefault="00170375">
            <w:pPr>
              <w:spacing w:before="0"/>
              <w:rPr>
                <w:rFonts w:eastAsiaTheme="minorEastAsia"/>
                <w:sz w:val="22"/>
                <w:szCs w:val="22"/>
              </w:rPr>
            </w:pPr>
            <w:r w:rsidRPr="002B3506">
              <w:rPr>
                <w:sz w:val="22"/>
                <w:szCs w:val="22"/>
              </w:rPr>
              <w:t>20-23.6.10</w:t>
            </w:r>
          </w:p>
        </w:tc>
      </w:tr>
      <w:tr w:rsidR="00170375" w:rsidRPr="002B3506" w14:paraId="624E0149" w14:textId="77777777" w:rsidTr="00132157">
        <w:trPr>
          <w:trHeight w:val="300"/>
          <w:trPrChange w:id="77" w:author="rancy" w:date="2011-04-20T15:45:00Z">
            <w:trPr>
              <w:gridBefore w:val="1"/>
              <w:trHeight w:val="300"/>
              <w:jc w:val="center"/>
            </w:trPr>
          </w:trPrChange>
        </w:trPr>
        <w:tc>
          <w:tcPr>
            <w:tcW w:w="496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78" w:author="rancy" w:date="2011-04-20T15:45:00Z">
              <w:tcPr>
                <w:tcW w:w="4962"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14:paraId="624E0146" w14:textId="77777777" w:rsidR="00170375" w:rsidRPr="00681EC2" w:rsidRDefault="00E979B6">
            <w:pPr>
              <w:spacing w:before="0"/>
            </w:pPr>
            <w:r>
              <w:fldChar w:fldCharType="begin"/>
            </w:r>
            <w:r>
              <w:instrText xml:space="preserve"> HYPERLINK "http://www.itu.int/ITU-D/tech/events/DevelopmentForums/2010/AFR/RDF10_AFR_Program.html" </w:instrText>
            </w:r>
            <w:r>
              <w:fldChar w:fldCharType="separate"/>
            </w:r>
            <w:r w:rsidR="00681EC2" w:rsidRPr="00681EC2">
              <w:rPr>
                <w:rStyle w:val="Hyperlink"/>
                <w:sz w:val="22"/>
              </w:rPr>
              <w:t>ITU-D Regional Development Forum for the Africa Region: "Modern Spectrum Management and Transition from Analogue to Digital Broadcasting - Trends and Technologies"</w:t>
            </w:r>
            <w:r>
              <w:rPr>
                <w:rStyle w:val="Hyperlink"/>
                <w:sz w:val="22"/>
              </w:rPr>
              <w:fldChar w:fldCharType="end"/>
            </w:r>
            <w:r w:rsidR="00681EC2" w:rsidRPr="00681EC2">
              <w:rPr>
                <w:sz w:val="22"/>
              </w:rPr>
              <w:t xml:space="preserve"> </w:t>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hideMark/>
            <w:tcPrChange w:id="79"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14:paraId="624E0147" w14:textId="77777777" w:rsidR="00170375" w:rsidRPr="002B3506" w:rsidRDefault="00170375">
            <w:pPr>
              <w:spacing w:before="0"/>
              <w:rPr>
                <w:rFonts w:eastAsiaTheme="minorEastAsia"/>
                <w:sz w:val="22"/>
                <w:szCs w:val="22"/>
              </w:rPr>
            </w:pPr>
            <w:r w:rsidRPr="002B3506">
              <w:rPr>
                <w:sz w:val="22"/>
                <w:szCs w:val="22"/>
              </w:rPr>
              <w:t>Banjul</w:t>
            </w:r>
            <w:r w:rsidR="00150F3C">
              <w:rPr>
                <w:sz w:val="22"/>
                <w:szCs w:val="22"/>
              </w:rPr>
              <w:t>, Gambia</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Change w:id="80" w:author="rancy" w:date="2011-04-20T15:45:00Z">
              <w:tcPr>
                <w:tcW w:w="156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624E0148" w14:textId="77777777" w:rsidR="00170375" w:rsidRPr="002B3506" w:rsidRDefault="00170375">
            <w:pPr>
              <w:spacing w:before="0"/>
              <w:rPr>
                <w:rFonts w:eastAsiaTheme="minorEastAsia"/>
                <w:sz w:val="22"/>
                <w:szCs w:val="22"/>
              </w:rPr>
            </w:pPr>
            <w:r w:rsidRPr="002B3506">
              <w:rPr>
                <w:sz w:val="22"/>
                <w:szCs w:val="22"/>
              </w:rPr>
              <w:t>14-16.7.10</w:t>
            </w:r>
          </w:p>
        </w:tc>
      </w:tr>
      <w:tr w:rsidR="00170375" w:rsidRPr="002B3506" w14:paraId="624E014D" w14:textId="77777777" w:rsidTr="00132157">
        <w:trPr>
          <w:trHeight w:val="300"/>
          <w:trPrChange w:id="81" w:author="rancy" w:date="2011-04-20T15:45:00Z">
            <w:trPr>
              <w:gridBefore w:val="1"/>
              <w:trHeight w:val="300"/>
              <w:jc w:val="center"/>
            </w:trPr>
          </w:trPrChange>
        </w:trPr>
        <w:tc>
          <w:tcPr>
            <w:tcW w:w="496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Change w:id="82" w:author="rancy" w:date="2011-04-20T15:45:00Z">
              <w:tcPr>
                <w:tcW w:w="4962"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14:paraId="624E014A" w14:textId="77777777" w:rsidR="00170375" w:rsidRPr="002B3506" w:rsidRDefault="00170375">
            <w:pPr>
              <w:spacing w:before="0"/>
              <w:rPr>
                <w:rFonts w:eastAsiaTheme="minorEastAsia"/>
                <w:sz w:val="22"/>
                <w:szCs w:val="22"/>
              </w:rPr>
            </w:pPr>
            <w:r w:rsidRPr="002B3506">
              <w:rPr>
                <w:sz w:val="22"/>
                <w:szCs w:val="22"/>
              </w:rPr>
              <w:t>RAPF Workshop on Migration to Digital Broadcasting</w:t>
            </w:r>
          </w:p>
        </w:tc>
        <w:tc>
          <w:tcPr>
            <w:tcW w:w="1865" w:type="dxa"/>
            <w:tcBorders>
              <w:top w:val="nil"/>
              <w:left w:val="nil"/>
              <w:bottom w:val="single" w:sz="8" w:space="0" w:color="auto"/>
              <w:right w:val="single" w:sz="8" w:space="0" w:color="auto"/>
            </w:tcBorders>
            <w:noWrap/>
            <w:tcMar>
              <w:top w:w="0" w:type="dxa"/>
              <w:left w:w="108" w:type="dxa"/>
              <w:bottom w:w="0" w:type="dxa"/>
              <w:right w:w="108" w:type="dxa"/>
            </w:tcMar>
            <w:hideMark/>
            <w:tcPrChange w:id="83" w:author="rancy" w:date="2011-04-20T15:45:00Z">
              <w:tcPr>
                <w:tcW w:w="186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tcPrChange>
          </w:tcPr>
          <w:p w14:paraId="624E014B" w14:textId="77777777" w:rsidR="00170375" w:rsidRPr="002B3506" w:rsidRDefault="00170375">
            <w:pPr>
              <w:spacing w:before="0"/>
              <w:rPr>
                <w:rFonts w:eastAsiaTheme="minorEastAsia"/>
                <w:sz w:val="22"/>
                <w:szCs w:val="22"/>
              </w:rPr>
            </w:pPr>
            <w:r w:rsidRPr="002B3506">
              <w:rPr>
                <w:sz w:val="22"/>
                <w:szCs w:val="22"/>
              </w:rPr>
              <w:t>Bamako</w:t>
            </w:r>
            <w:r w:rsidR="00150F3C">
              <w:rPr>
                <w:sz w:val="22"/>
                <w:szCs w:val="22"/>
              </w:rPr>
              <w:t>, Mali</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Change w:id="84" w:author="rancy" w:date="2011-04-20T15:45:00Z">
              <w:tcPr>
                <w:tcW w:w="1560"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624E014C" w14:textId="77777777" w:rsidR="00170375" w:rsidRPr="002B3506" w:rsidRDefault="00170375">
            <w:pPr>
              <w:spacing w:before="0"/>
              <w:rPr>
                <w:rFonts w:eastAsiaTheme="minorEastAsia"/>
                <w:sz w:val="22"/>
                <w:szCs w:val="22"/>
                <w:lang w:val="en-US"/>
              </w:rPr>
            </w:pPr>
            <w:r w:rsidRPr="002B3506">
              <w:rPr>
                <w:sz w:val="22"/>
                <w:szCs w:val="22"/>
              </w:rPr>
              <w:t>31</w:t>
            </w:r>
            <w:r w:rsidR="00B0425A" w:rsidRPr="002B3506">
              <w:rPr>
                <w:sz w:val="22"/>
                <w:szCs w:val="22"/>
              </w:rPr>
              <w:t>.8</w:t>
            </w:r>
            <w:r w:rsidRPr="002B3506">
              <w:rPr>
                <w:sz w:val="22"/>
                <w:szCs w:val="22"/>
              </w:rPr>
              <w:t xml:space="preserve"> – 4</w:t>
            </w:r>
            <w:r w:rsidR="00B0425A" w:rsidRPr="002B3506">
              <w:rPr>
                <w:sz w:val="22"/>
                <w:szCs w:val="22"/>
              </w:rPr>
              <w:t>.9.10</w:t>
            </w:r>
          </w:p>
        </w:tc>
      </w:tr>
      <w:tr w:rsidR="00170375" w:rsidRPr="002B3506" w14:paraId="624E0151" w14:textId="77777777" w:rsidTr="00132157">
        <w:trPr>
          <w:trHeight w:val="300"/>
          <w:trPrChange w:id="85" w:author="rancy" w:date="2011-04-20T15:45:00Z">
            <w:trPr>
              <w:gridBefore w:val="1"/>
              <w:trHeight w:val="300"/>
              <w:jc w:val="center"/>
            </w:trPr>
          </w:trPrChange>
        </w:trPr>
        <w:tc>
          <w:tcPr>
            <w:tcW w:w="4962"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Change w:id="86" w:author="rancy" w:date="2011-04-20T15:45:00Z">
              <w:tcPr>
                <w:tcW w:w="4962" w:type="dxa"/>
                <w:gridSpan w:val="3"/>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tcPrChange>
          </w:tcPr>
          <w:p w14:paraId="624E014E" w14:textId="77777777" w:rsidR="00170375" w:rsidRPr="002B3506" w:rsidRDefault="00E979B6">
            <w:pPr>
              <w:spacing w:before="0"/>
              <w:rPr>
                <w:rFonts w:eastAsiaTheme="minorEastAsia"/>
                <w:sz w:val="22"/>
                <w:szCs w:val="22"/>
              </w:rPr>
            </w:pPr>
            <w:r>
              <w:fldChar w:fldCharType="begin"/>
            </w:r>
            <w:r>
              <w:instrText xml:space="preserve"> HYPERLINK "http://www.emceurope.eu/2010/" </w:instrText>
            </w:r>
            <w:r>
              <w:fldChar w:fldCharType="separate"/>
            </w:r>
            <w:r w:rsidR="00170375" w:rsidRPr="002B3506">
              <w:rPr>
                <w:rStyle w:val="Hyperlink"/>
                <w:sz w:val="22"/>
                <w:szCs w:val="22"/>
              </w:rPr>
              <w:t>EMC Europe 2010</w:t>
            </w:r>
            <w:r>
              <w:rPr>
                <w:rStyle w:val="Hyperlink"/>
                <w:sz w:val="22"/>
                <w:szCs w:val="22"/>
              </w:rPr>
              <w:fldChar w:fldCharType="end"/>
            </w:r>
          </w:p>
        </w:tc>
        <w:tc>
          <w:tcPr>
            <w:tcW w:w="1865" w:type="dxa"/>
            <w:tcBorders>
              <w:top w:val="nil"/>
              <w:left w:val="nil"/>
              <w:bottom w:val="single" w:sz="4" w:space="0" w:color="auto"/>
              <w:right w:val="single" w:sz="8" w:space="0" w:color="auto"/>
            </w:tcBorders>
            <w:noWrap/>
            <w:tcMar>
              <w:top w:w="0" w:type="dxa"/>
              <w:left w:w="108" w:type="dxa"/>
              <w:bottom w:w="0" w:type="dxa"/>
              <w:right w:w="108" w:type="dxa"/>
            </w:tcMar>
            <w:hideMark/>
            <w:tcPrChange w:id="87" w:author="rancy" w:date="2011-04-20T15:45:00Z">
              <w:tcPr>
                <w:tcW w:w="1865" w:type="dxa"/>
                <w:gridSpan w:val="2"/>
                <w:tcBorders>
                  <w:top w:val="nil"/>
                  <w:left w:val="nil"/>
                  <w:bottom w:val="single" w:sz="4" w:space="0" w:color="auto"/>
                  <w:right w:val="single" w:sz="8" w:space="0" w:color="auto"/>
                </w:tcBorders>
                <w:noWrap/>
                <w:tcMar>
                  <w:top w:w="0" w:type="dxa"/>
                  <w:left w:w="108" w:type="dxa"/>
                  <w:bottom w:w="0" w:type="dxa"/>
                  <w:right w:w="108" w:type="dxa"/>
                </w:tcMar>
                <w:hideMark/>
              </w:tcPr>
            </w:tcPrChange>
          </w:tcPr>
          <w:p w14:paraId="624E014F" w14:textId="77777777" w:rsidR="00170375" w:rsidRPr="002B3506" w:rsidRDefault="00170375">
            <w:pPr>
              <w:spacing w:before="0"/>
              <w:rPr>
                <w:rFonts w:eastAsiaTheme="minorEastAsia"/>
                <w:sz w:val="22"/>
                <w:szCs w:val="22"/>
              </w:rPr>
            </w:pPr>
            <w:r w:rsidRPr="002B3506">
              <w:rPr>
                <w:sz w:val="22"/>
                <w:szCs w:val="22"/>
              </w:rPr>
              <w:t>Wroclaw</w:t>
            </w:r>
            <w:r w:rsidR="00150F3C">
              <w:rPr>
                <w:sz w:val="22"/>
                <w:szCs w:val="22"/>
              </w:rPr>
              <w:t>, Poland</w:t>
            </w:r>
          </w:p>
        </w:tc>
        <w:tc>
          <w:tcPr>
            <w:tcW w:w="1560" w:type="dxa"/>
            <w:tcBorders>
              <w:top w:val="nil"/>
              <w:left w:val="nil"/>
              <w:bottom w:val="single" w:sz="4" w:space="0" w:color="auto"/>
              <w:right w:val="single" w:sz="8" w:space="0" w:color="auto"/>
            </w:tcBorders>
            <w:tcMar>
              <w:top w:w="0" w:type="dxa"/>
              <w:left w:w="108" w:type="dxa"/>
              <w:bottom w:w="0" w:type="dxa"/>
              <w:right w:w="108" w:type="dxa"/>
            </w:tcMar>
            <w:hideMark/>
            <w:tcPrChange w:id="88" w:author="rancy" w:date="2011-04-20T15:45:00Z">
              <w:tcPr>
                <w:tcW w:w="1560" w:type="dxa"/>
                <w:tcBorders>
                  <w:top w:val="nil"/>
                  <w:left w:val="nil"/>
                  <w:bottom w:val="single" w:sz="4" w:space="0" w:color="auto"/>
                  <w:right w:val="single" w:sz="8" w:space="0" w:color="auto"/>
                </w:tcBorders>
                <w:tcMar>
                  <w:top w:w="0" w:type="dxa"/>
                  <w:left w:w="108" w:type="dxa"/>
                  <w:bottom w:w="0" w:type="dxa"/>
                  <w:right w:w="108" w:type="dxa"/>
                </w:tcMar>
                <w:hideMark/>
              </w:tcPr>
            </w:tcPrChange>
          </w:tcPr>
          <w:p w14:paraId="624E0150" w14:textId="77777777" w:rsidR="00170375" w:rsidRPr="002B3506" w:rsidRDefault="00170375">
            <w:pPr>
              <w:spacing w:before="0"/>
              <w:rPr>
                <w:rFonts w:eastAsiaTheme="minorEastAsia"/>
                <w:sz w:val="22"/>
                <w:szCs w:val="22"/>
                <w:lang w:val="en-US"/>
              </w:rPr>
            </w:pPr>
            <w:r w:rsidRPr="002B3506">
              <w:rPr>
                <w:sz w:val="22"/>
                <w:szCs w:val="22"/>
              </w:rPr>
              <w:t>13-17</w:t>
            </w:r>
            <w:r w:rsidR="00B0425A" w:rsidRPr="002B3506">
              <w:rPr>
                <w:sz w:val="22"/>
                <w:szCs w:val="22"/>
              </w:rPr>
              <w:t>.9.10</w:t>
            </w:r>
          </w:p>
        </w:tc>
      </w:tr>
      <w:tr w:rsidR="0090740D" w:rsidRPr="002B3506" w14:paraId="624E0155" w14:textId="77777777" w:rsidTr="00132157">
        <w:trPr>
          <w:trHeight w:val="300"/>
          <w:trPrChange w:id="89" w:author="rancy" w:date="2011-04-20T15:45:00Z">
            <w:trPr>
              <w:gridBefore w:val="1"/>
              <w:trHeight w:val="300"/>
              <w:jc w:val="center"/>
            </w:trPr>
          </w:trPrChange>
        </w:trPr>
        <w:tc>
          <w:tcPr>
            <w:tcW w:w="4962"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Change w:id="90" w:author="rancy" w:date="2011-04-20T15:45:00Z">
              <w:tcPr>
                <w:tcW w:w="4962" w:type="dxa"/>
                <w:gridSpan w:val="3"/>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tcPrChange>
          </w:tcPr>
          <w:p w14:paraId="624E0152" w14:textId="77777777" w:rsidR="0090740D" w:rsidRPr="0090740D" w:rsidRDefault="00E979B6">
            <w:pPr>
              <w:spacing w:before="0"/>
              <w:rPr>
                <w:sz w:val="22"/>
                <w:szCs w:val="22"/>
              </w:rPr>
            </w:pPr>
            <w:r>
              <w:fldChar w:fldCharType="begin"/>
            </w:r>
            <w:r>
              <w:instrText xml:space="preserve"> HYPERLINK "http://www.itu.int/ITU-T/worksem/climatechange/201011/index.html" </w:instrText>
            </w:r>
            <w:r>
              <w:fldChar w:fldCharType="separate"/>
            </w:r>
            <w:r w:rsidR="0090740D" w:rsidRPr="0090740D">
              <w:rPr>
                <w:rStyle w:val="Hyperlink"/>
                <w:sz w:val="22"/>
                <w:szCs w:val="22"/>
              </w:rPr>
              <w:t>ITU Symposium on ICTs and the Environment &amp; Climate Change</w:t>
            </w:r>
            <w:r>
              <w:rPr>
                <w:rStyle w:val="Hyperlink"/>
                <w:sz w:val="22"/>
                <w:szCs w:val="22"/>
              </w:rPr>
              <w:fldChar w:fldCharType="end"/>
            </w:r>
          </w:p>
        </w:tc>
        <w:tc>
          <w:tcPr>
            <w:tcW w:w="1865" w:type="dxa"/>
            <w:tcBorders>
              <w:top w:val="nil"/>
              <w:left w:val="nil"/>
              <w:bottom w:val="single" w:sz="4" w:space="0" w:color="auto"/>
              <w:right w:val="single" w:sz="8" w:space="0" w:color="auto"/>
            </w:tcBorders>
            <w:noWrap/>
            <w:tcMar>
              <w:top w:w="0" w:type="dxa"/>
              <w:left w:w="108" w:type="dxa"/>
              <w:bottom w:w="0" w:type="dxa"/>
              <w:right w:w="108" w:type="dxa"/>
            </w:tcMar>
            <w:hideMark/>
            <w:tcPrChange w:id="91" w:author="rancy" w:date="2011-04-20T15:45:00Z">
              <w:tcPr>
                <w:tcW w:w="1865" w:type="dxa"/>
                <w:gridSpan w:val="2"/>
                <w:tcBorders>
                  <w:top w:val="nil"/>
                  <w:left w:val="nil"/>
                  <w:bottom w:val="single" w:sz="4" w:space="0" w:color="auto"/>
                  <w:right w:val="single" w:sz="8" w:space="0" w:color="auto"/>
                </w:tcBorders>
                <w:noWrap/>
                <w:tcMar>
                  <w:top w:w="0" w:type="dxa"/>
                  <w:left w:w="108" w:type="dxa"/>
                  <w:bottom w:w="0" w:type="dxa"/>
                  <w:right w:w="108" w:type="dxa"/>
                </w:tcMar>
                <w:hideMark/>
              </w:tcPr>
            </w:tcPrChange>
          </w:tcPr>
          <w:p w14:paraId="624E0153" w14:textId="77777777" w:rsidR="0090740D" w:rsidRPr="0090740D" w:rsidRDefault="0090740D">
            <w:pPr>
              <w:spacing w:before="0"/>
              <w:rPr>
                <w:sz w:val="22"/>
                <w:szCs w:val="22"/>
              </w:rPr>
            </w:pPr>
            <w:r w:rsidRPr="0090740D">
              <w:rPr>
                <w:sz w:val="22"/>
                <w:szCs w:val="22"/>
              </w:rPr>
              <w:t>Cairo</w:t>
            </w:r>
          </w:p>
        </w:tc>
        <w:tc>
          <w:tcPr>
            <w:tcW w:w="1560" w:type="dxa"/>
            <w:tcBorders>
              <w:top w:val="nil"/>
              <w:left w:val="nil"/>
              <w:bottom w:val="single" w:sz="4" w:space="0" w:color="auto"/>
              <w:right w:val="single" w:sz="8" w:space="0" w:color="auto"/>
            </w:tcBorders>
            <w:tcMar>
              <w:top w:w="0" w:type="dxa"/>
              <w:left w:w="108" w:type="dxa"/>
              <w:bottom w:w="0" w:type="dxa"/>
              <w:right w:w="108" w:type="dxa"/>
            </w:tcMar>
            <w:hideMark/>
            <w:tcPrChange w:id="92" w:author="rancy" w:date="2011-04-20T15:45:00Z">
              <w:tcPr>
                <w:tcW w:w="1560" w:type="dxa"/>
                <w:tcBorders>
                  <w:top w:val="nil"/>
                  <w:left w:val="nil"/>
                  <w:bottom w:val="single" w:sz="4" w:space="0" w:color="auto"/>
                  <w:right w:val="single" w:sz="8" w:space="0" w:color="auto"/>
                </w:tcBorders>
                <w:tcMar>
                  <w:top w:w="0" w:type="dxa"/>
                  <w:left w:w="108" w:type="dxa"/>
                  <w:bottom w:w="0" w:type="dxa"/>
                  <w:right w:w="108" w:type="dxa"/>
                </w:tcMar>
                <w:hideMark/>
              </w:tcPr>
            </w:tcPrChange>
          </w:tcPr>
          <w:p w14:paraId="624E0154" w14:textId="77777777" w:rsidR="0090740D" w:rsidRPr="0090740D" w:rsidRDefault="0090740D">
            <w:pPr>
              <w:spacing w:before="0"/>
              <w:rPr>
                <w:sz w:val="22"/>
                <w:szCs w:val="22"/>
              </w:rPr>
            </w:pPr>
            <w:r w:rsidRPr="0090740D">
              <w:rPr>
                <w:sz w:val="22"/>
                <w:szCs w:val="22"/>
              </w:rPr>
              <w:t>2-3.11.10</w:t>
            </w:r>
          </w:p>
        </w:tc>
      </w:tr>
      <w:tr w:rsidR="00822A9B" w:rsidRPr="002B3506" w14:paraId="624E0159" w14:textId="77777777" w:rsidTr="00132157">
        <w:trPr>
          <w:trHeight w:val="300"/>
          <w:trPrChange w:id="93" w:author="rancy" w:date="2011-04-20T15:45:00Z">
            <w:trPr>
              <w:gridBefore w:val="1"/>
              <w:trHeight w:val="300"/>
              <w:jc w:val="center"/>
            </w:trPr>
          </w:trPrChange>
        </w:trPr>
        <w:tc>
          <w:tcPr>
            <w:tcW w:w="4962" w:type="dxa"/>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Change w:id="94" w:author="rancy" w:date="2011-04-20T15:45:00Z">
              <w:tcPr>
                <w:tcW w:w="4962" w:type="dxa"/>
                <w:gridSpan w:val="3"/>
                <w:tcBorders>
                  <w:top w:val="nil"/>
                  <w:left w:val="single" w:sz="8" w:space="0" w:color="auto"/>
                  <w:bottom w:val="single" w:sz="4" w:space="0" w:color="auto"/>
                  <w:right w:val="single" w:sz="8" w:space="0" w:color="auto"/>
                </w:tcBorders>
                <w:noWrap/>
                <w:tcMar>
                  <w:top w:w="0" w:type="dxa"/>
                  <w:left w:w="108" w:type="dxa"/>
                  <w:bottom w:w="0" w:type="dxa"/>
                  <w:right w:w="108" w:type="dxa"/>
                </w:tcMar>
                <w:hideMark/>
              </w:tcPr>
            </w:tcPrChange>
          </w:tcPr>
          <w:p w14:paraId="624E0156" w14:textId="77777777" w:rsidR="00822A9B" w:rsidRPr="00822A9B" w:rsidRDefault="00E979B6">
            <w:pPr>
              <w:spacing w:before="0"/>
              <w:rPr>
                <w:sz w:val="22"/>
                <w:szCs w:val="22"/>
              </w:rPr>
            </w:pPr>
            <w:r>
              <w:fldChar w:fldCharType="begin"/>
            </w:r>
            <w:r>
              <w:instrText xml:space="preserve"> HYPERLINK "http://www.itu.int/ITU-D/tech/events/DevelopmentForums/2010/ARB/RDF10_ARB_Program.html" </w:instrText>
            </w:r>
            <w:r>
              <w:fldChar w:fldCharType="separate"/>
            </w:r>
            <w:r w:rsidR="00681EC2">
              <w:rPr>
                <w:rStyle w:val="Hyperlink"/>
                <w:sz w:val="22"/>
              </w:rPr>
              <w:t>ITU-D Regional Development Forum for the Arab Region: "NGN and Broadband"</w:t>
            </w:r>
            <w:r>
              <w:rPr>
                <w:rStyle w:val="Hyperlink"/>
                <w:sz w:val="22"/>
              </w:rPr>
              <w:fldChar w:fldCharType="end"/>
            </w:r>
          </w:p>
        </w:tc>
        <w:tc>
          <w:tcPr>
            <w:tcW w:w="1865" w:type="dxa"/>
            <w:tcBorders>
              <w:top w:val="nil"/>
              <w:left w:val="nil"/>
              <w:bottom w:val="single" w:sz="4" w:space="0" w:color="auto"/>
              <w:right w:val="single" w:sz="8" w:space="0" w:color="auto"/>
            </w:tcBorders>
            <w:noWrap/>
            <w:tcMar>
              <w:top w:w="0" w:type="dxa"/>
              <w:left w:w="108" w:type="dxa"/>
              <w:bottom w:w="0" w:type="dxa"/>
              <w:right w:w="108" w:type="dxa"/>
            </w:tcMar>
            <w:hideMark/>
            <w:tcPrChange w:id="95" w:author="rancy" w:date="2011-04-20T15:45:00Z">
              <w:tcPr>
                <w:tcW w:w="1865" w:type="dxa"/>
                <w:gridSpan w:val="2"/>
                <w:tcBorders>
                  <w:top w:val="nil"/>
                  <w:left w:val="nil"/>
                  <w:bottom w:val="single" w:sz="4" w:space="0" w:color="auto"/>
                  <w:right w:val="single" w:sz="8" w:space="0" w:color="auto"/>
                </w:tcBorders>
                <w:noWrap/>
                <w:tcMar>
                  <w:top w:w="0" w:type="dxa"/>
                  <w:left w:w="108" w:type="dxa"/>
                  <w:bottom w:w="0" w:type="dxa"/>
                  <w:right w:w="108" w:type="dxa"/>
                </w:tcMar>
                <w:hideMark/>
              </w:tcPr>
            </w:tcPrChange>
          </w:tcPr>
          <w:p w14:paraId="624E0157" w14:textId="77777777" w:rsidR="00822A9B" w:rsidRPr="0090740D" w:rsidRDefault="00822A9B">
            <w:pPr>
              <w:spacing w:before="0"/>
              <w:rPr>
                <w:sz w:val="22"/>
                <w:szCs w:val="22"/>
              </w:rPr>
            </w:pPr>
            <w:r>
              <w:rPr>
                <w:sz w:val="22"/>
                <w:szCs w:val="22"/>
              </w:rPr>
              <w:t>Cairo</w:t>
            </w:r>
          </w:p>
        </w:tc>
        <w:tc>
          <w:tcPr>
            <w:tcW w:w="1560" w:type="dxa"/>
            <w:tcBorders>
              <w:top w:val="nil"/>
              <w:left w:val="nil"/>
              <w:bottom w:val="single" w:sz="4" w:space="0" w:color="auto"/>
              <w:right w:val="single" w:sz="8" w:space="0" w:color="auto"/>
            </w:tcBorders>
            <w:tcMar>
              <w:top w:w="0" w:type="dxa"/>
              <w:left w:w="108" w:type="dxa"/>
              <w:bottom w:w="0" w:type="dxa"/>
              <w:right w:w="108" w:type="dxa"/>
            </w:tcMar>
            <w:hideMark/>
            <w:tcPrChange w:id="96" w:author="rancy" w:date="2011-04-20T15:45:00Z">
              <w:tcPr>
                <w:tcW w:w="1560" w:type="dxa"/>
                <w:tcBorders>
                  <w:top w:val="nil"/>
                  <w:left w:val="nil"/>
                  <w:bottom w:val="single" w:sz="4" w:space="0" w:color="auto"/>
                  <w:right w:val="single" w:sz="8" w:space="0" w:color="auto"/>
                </w:tcBorders>
                <w:tcMar>
                  <w:top w:w="0" w:type="dxa"/>
                  <w:left w:w="108" w:type="dxa"/>
                  <w:bottom w:w="0" w:type="dxa"/>
                  <w:right w:w="108" w:type="dxa"/>
                </w:tcMar>
                <w:hideMark/>
              </w:tcPr>
            </w:tcPrChange>
          </w:tcPr>
          <w:p w14:paraId="624E0158" w14:textId="77777777" w:rsidR="00822A9B" w:rsidRPr="0090740D" w:rsidRDefault="00822A9B">
            <w:pPr>
              <w:spacing w:before="0"/>
              <w:rPr>
                <w:sz w:val="22"/>
                <w:szCs w:val="22"/>
              </w:rPr>
            </w:pPr>
            <w:r>
              <w:rPr>
                <w:sz w:val="22"/>
                <w:szCs w:val="22"/>
              </w:rPr>
              <w:t>13-15.12.10</w:t>
            </w:r>
          </w:p>
        </w:tc>
      </w:tr>
      <w:tr w:rsidR="00D1165D" w:rsidRPr="002B3506" w14:paraId="624E015D" w14:textId="77777777" w:rsidTr="00132157">
        <w:trPr>
          <w:trHeight w:val="300"/>
        </w:trPr>
        <w:tc>
          <w:tcPr>
            <w:tcW w:w="4962" w:type="dxa"/>
            <w:tcBorders>
              <w:top w:val="nil"/>
              <w:left w:val="single" w:sz="8" w:space="0" w:color="auto"/>
              <w:bottom w:val="single" w:sz="4" w:space="0" w:color="auto"/>
              <w:right w:val="single" w:sz="8" w:space="0" w:color="auto"/>
            </w:tcBorders>
            <w:noWrap/>
            <w:tcMar>
              <w:top w:w="0" w:type="dxa"/>
              <w:left w:w="108" w:type="dxa"/>
              <w:bottom w:w="0" w:type="dxa"/>
              <w:right w:w="108" w:type="dxa"/>
            </w:tcMar>
          </w:tcPr>
          <w:p w14:paraId="624E015A" w14:textId="77777777" w:rsidR="00D1165D" w:rsidRPr="002B3506" w:rsidRDefault="00D1165D" w:rsidP="00D1165D">
            <w:pPr>
              <w:spacing w:before="0"/>
              <w:rPr>
                <w:sz w:val="22"/>
                <w:szCs w:val="22"/>
              </w:rPr>
            </w:pPr>
            <w:r>
              <w:rPr>
                <w:sz w:val="22"/>
                <w:szCs w:val="22"/>
              </w:rPr>
              <w:t>ITU-ANFR workshop for spectrum management in the Pacific Islands</w:t>
            </w:r>
          </w:p>
        </w:tc>
        <w:tc>
          <w:tcPr>
            <w:tcW w:w="1865" w:type="dxa"/>
            <w:tcBorders>
              <w:top w:val="nil"/>
              <w:left w:val="nil"/>
              <w:bottom w:val="single" w:sz="4" w:space="0" w:color="auto"/>
              <w:right w:val="single" w:sz="8" w:space="0" w:color="auto"/>
            </w:tcBorders>
            <w:noWrap/>
            <w:tcMar>
              <w:top w:w="0" w:type="dxa"/>
              <w:left w:w="108" w:type="dxa"/>
              <w:bottom w:w="0" w:type="dxa"/>
              <w:right w:w="108" w:type="dxa"/>
            </w:tcMar>
          </w:tcPr>
          <w:p w14:paraId="624E015B" w14:textId="77777777" w:rsidR="00D1165D" w:rsidRPr="002B3506" w:rsidRDefault="00D1165D" w:rsidP="00D1165D">
            <w:pPr>
              <w:spacing w:before="0"/>
              <w:rPr>
                <w:sz w:val="22"/>
                <w:szCs w:val="22"/>
              </w:rPr>
            </w:pPr>
            <w:r>
              <w:rPr>
                <w:sz w:val="22"/>
                <w:szCs w:val="22"/>
              </w:rPr>
              <w:t>Nouméa, New Caledonia</w:t>
            </w:r>
          </w:p>
        </w:tc>
        <w:tc>
          <w:tcPr>
            <w:tcW w:w="1560" w:type="dxa"/>
            <w:tcBorders>
              <w:top w:val="nil"/>
              <w:left w:val="nil"/>
              <w:bottom w:val="single" w:sz="4" w:space="0" w:color="auto"/>
              <w:right w:val="single" w:sz="8" w:space="0" w:color="auto"/>
            </w:tcBorders>
            <w:tcMar>
              <w:top w:w="0" w:type="dxa"/>
              <w:left w:w="108" w:type="dxa"/>
              <w:bottom w:w="0" w:type="dxa"/>
              <w:right w:w="108" w:type="dxa"/>
            </w:tcMar>
          </w:tcPr>
          <w:p w14:paraId="624E015C" w14:textId="77777777" w:rsidR="00D1165D" w:rsidRPr="002B3506" w:rsidRDefault="00D1165D" w:rsidP="00D23B58">
            <w:pPr>
              <w:spacing w:before="0"/>
              <w:rPr>
                <w:sz w:val="22"/>
                <w:szCs w:val="22"/>
              </w:rPr>
            </w:pPr>
            <w:r>
              <w:rPr>
                <w:sz w:val="22"/>
                <w:szCs w:val="22"/>
              </w:rPr>
              <w:t>11-15</w:t>
            </w:r>
            <w:r w:rsidR="00D23B58">
              <w:rPr>
                <w:sz w:val="22"/>
                <w:szCs w:val="22"/>
              </w:rPr>
              <w:t>.4.</w:t>
            </w:r>
            <w:r>
              <w:rPr>
                <w:sz w:val="22"/>
                <w:szCs w:val="22"/>
              </w:rPr>
              <w:t>11</w:t>
            </w:r>
          </w:p>
        </w:tc>
      </w:tr>
      <w:tr w:rsidR="00D1165D" w:rsidRPr="002B3506" w14:paraId="624E0161" w14:textId="77777777" w:rsidTr="00132157">
        <w:trPr>
          <w:trHeight w:val="300"/>
        </w:trPr>
        <w:tc>
          <w:tcPr>
            <w:tcW w:w="4962" w:type="dxa"/>
            <w:tcBorders>
              <w:top w:val="nil"/>
              <w:left w:val="single" w:sz="8" w:space="0" w:color="auto"/>
              <w:bottom w:val="single" w:sz="4" w:space="0" w:color="auto"/>
              <w:right w:val="single" w:sz="8" w:space="0" w:color="auto"/>
            </w:tcBorders>
            <w:noWrap/>
            <w:tcMar>
              <w:top w:w="0" w:type="dxa"/>
              <w:left w:w="108" w:type="dxa"/>
              <w:bottom w:w="0" w:type="dxa"/>
              <w:right w:w="108" w:type="dxa"/>
            </w:tcMar>
          </w:tcPr>
          <w:p w14:paraId="624E015E" w14:textId="77777777" w:rsidR="00D1165D" w:rsidRDefault="00D1165D">
            <w:pPr>
              <w:spacing w:before="0"/>
            </w:pPr>
            <w:r>
              <w:t xml:space="preserve">ITU-AICTO </w:t>
            </w:r>
            <w:r w:rsidR="00E661A9">
              <w:t xml:space="preserve">radio spectrum management </w:t>
            </w:r>
            <w:r>
              <w:t>workshop on terrestrial services</w:t>
            </w:r>
          </w:p>
        </w:tc>
        <w:tc>
          <w:tcPr>
            <w:tcW w:w="1865" w:type="dxa"/>
            <w:tcBorders>
              <w:top w:val="nil"/>
              <w:left w:val="nil"/>
              <w:bottom w:val="single" w:sz="4" w:space="0" w:color="auto"/>
              <w:right w:val="single" w:sz="8" w:space="0" w:color="auto"/>
            </w:tcBorders>
            <w:noWrap/>
            <w:tcMar>
              <w:top w:w="0" w:type="dxa"/>
              <w:left w:w="108" w:type="dxa"/>
              <w:bottom w:w="0" w:type="dxa"/>
              <w:right w:w="108" w:type="dxa"/>
            </w:tcMar>
          </w:tcPr>
          <w:p w14:paraId="624E015F" w14:textId="77777777" w:rsidR="00D1165D" w:rsidRDefault="00D1165D">
            <w:pPr>
              <w:spacing w:before="0"/>
              <w:rPr>
                <w:sz w:val="22"/>
                <w:szCs w:val="22"/>
              </w:rPr>
            </w:pPr>
            <w:r>
              <w:rPr>
                <w:sz w:val="22"/>
                <w:szCs w:val="22"/>
              </w:rPr>
              <w:t>Amman, Jordan</w:t>
            </w:r>
          </w:p>
        </w:tc>
        <w:tc>
          <w:tcPr>
            <w:tcW w:w="1560" w:type="dxa"/>
            <w:tcBorders>
              <w:top w:val="nil"/>
              <w:left w:val="nil"/>
              <w:bottom w:val="single" w:sz="4" w:space="0" w:color="auto"/>
              <w:right w:val="single" w:sz="8" w:space="0" w:color="auto"/>
            </w:tcBorders>
            <w:tcMar>
              <w:top w:w="0" w:type="dxa"/>
              <w:left w:w="108" w:type="dxa"/>
              <w:bottom w:w="0" w:type="dxa"/>
              <w:right w:w="108" w:type="dxa"/>
            </w:tcMar>
          </w:tcPr>
          <w:p w14:paraId="624E0160" w14:textId="77777777" w:rsidR="00D1165D" w:rsidRDefault="00D1165D" w:rsidP="00D1165D">
            <w:pPr>
              <w:spacing w:before="0"/>
              <w:rPr>
                <w:sz w:val="22"/>
                <w:szCs w:val="22"/>
              </w:rPr>
            </w:pPr>
            <w:r>
              <w:rPr>
                <w:sz w:val="22"/>
                <w:szCs w:val="22"/>
              </w:rPr>
              <w:t>10-12.5.11</w:t>
            </w:r>
          </w:p>
        </w:tc>
      </w:tr>
      <w:tr w:rsidR="00D1165D" w:rsidRPr="002B3506" w14:paraId="624E0165" w14:textId="77777777" w:rsidTr="00132157">
        <w:trPr>
          <w:trHeight w:val="300"/>
        </w:trPr>
        <w:tc>
          <w:tcPr>
            <w:tcW w:w="4962" w:type="dxa"/>
            <w:tcBorders>
              <w:top w:val="nil"/>
              <w:left w:val="single" w:sz="8" w:space="0" w:color="auto"/>
              <w:bottom w:val="single" w:sz="4" w:space="0" w:color="auto"/>
              <w:right w:val="single" w:sz="8" w:space="0" w:color="auto"/>
            </w:tcBorders>
            <w:noWrap/>
            <w:tcMar>
              <w:top w:w="0" w:type="dxa"/>
              <w:left w:w="108" w:type="dxa"/>
              <w:bottom w:w="0" w:type="dxa"/>
              <w:right w:w="108" w:type="dxa"/>
            </w:tcMar>
          </w:tcPr>
          <w:p w14:paraId="624E0162" w14:textId="77777777" w:rsidR="00D1165D" w:rsidRDefault="00D1165D" w:rsidP="00410F8C">
            <w:pPr>
              <w:spacing w:before="0"/>
            </w:pPr>
            <w:r>
              <w:t xml:space="preserve">Regional </w:t>
            </w:r>
            <w:r w:rsidR="00E661A9">
              <w:t xml:space="preserve">spectrum management and migration </w:t>
            </w:r>
            <w:r>
              <w:t>to DTTB workshop</w:t>
            </w:r>
          </w:p>
        </w:tc>
        <w:tc>
          <w:tcPr>
            <w:tcW w:w="1865" w:type="dxa"/>
            <w:tcBorders>
              <w:top w:val="nil"/>
              <w:left w:val="nil"/>
              <w:bottom w:val="single" w:sz="4" w:space="0" w:color="auto"/>
              <w:right w:val="single" w:sz="8" w:space="0" w:color="auto"/>
            </w:tcBorders>
            <w:noWrap/>
            <w:tcMar>
              <w:top w:w="0" w:type="dxa"/>
              <w:left w:w="108" w:type="dxa"/>
              <w:bottom w:w="0" w:type="dxa"/>
              <w:right w:w="108" w:type="dxa"/>
            </w:tcMar>
          </w:tcPr>
          <w:p w14:paraId="624E0163" w14:textId="77777777" w:rsidR="00D1165D" w:rsidRDefault="00D1165D">
            <w:pPr>
              <w:spacing w:before="0"/>
              <w:rPr>
                <w:sz w:val="22"/>
                <w:szCs w:val="22"/>
              </w:rPr>
            </w:pPr>
            <w:r>
              <w:rPr>
                <w:sz w:val="22"/>
                <w:szCs w:val="22"/>
              </w:rPr>
              <w:t>Hanoi</w:t>
            </w:r>
            <w:r w:rsidR="00E661A9">
              <w:rPr>
                <w:sz w:val="22"/>
                <w:szCs w:val="22"/>
              </w:rPr>
              <w:t>, Vietnam</w:t>
            </w:r>
          </w:p>
        </w:tc>
        <w:tc>
          <w:tcPr>
            <w:tcW w:w="1560" w:type="dxa"/>
            <w:tcBorders>
              <w:top w:val="nil"/>
              <w:left w:val="nil"/>
              <w:bottom w:val="single" w:sz="4" w:space="0" w:color="auto"/>
              <w:right w:val="single" w:sz="8" w:space="0" w:color="auto"/>
            </w:tcBorders>
            <w:tcMar>
              <w:top w:w="0" w:type="dxa"/>
              <w:left w:w="108" w:type="dxa"/>
              <w:bottom w:w="0" w:type="dxa"/>
              <w:right w:w="108" w:type="dxa"/>
            </w:tcMar>
          </w:tcPr>
          <w:p w14:paraId="624E0164" w14:textId="77777777" w:rsidR="00D1165D" w:rsidRDefault="00D1165D">
            <w:pPr>
              <w:spacing w:before="0"/>
              <w:rPr>
                <w:sz w:val="22"/>
                <w:szCs w:val="22"/>
              </w:rPr>
            </w:pPr>
            <w:r>
              <w:rPr>
                <w:sz w:val="22"/>
                <w:szCs w:val="22"/>
              </w:rPr>
              <w:t>26-27.5.11</w:t>
            </w:r>
          </w:p>
        </w:tc>
      </w:tr>
      <w:tr w:rsidR="00170375" w:rsidRPr="002B3506" w14:paraId="624E0167" w14:textId="77777777" w:rsidTr="00D1165D">
        <w:trPr>
          <w:trHeight w:val="300"/>
          <w:trPrChange w:id="97" w:author="rancy" w:date="2011-04-20T15:45:00Z">
            <w:trPr>
              <w:gridBefore w:val="1"/>
              <w:trHeight w:val="300"/>
              <w:jc w:val="center"/>
            </w:trPr>
          </w:trPrChange>
        </w:trPr>
        <w:tc>
          <w:tcPr>
            <w:tcW w:w="8387" w:type="dxa"/>
            <w:gridSpan w:val="3"/>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Change w:id="98" w:author="rancy" w:date="2011-04-20T15:45:00Z">
              <w:tcPr>
                <w:tcW w:w="8387" w:type="dxa"/>
                <w:gridSpan w:val="6"/>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tcPrChange>
          </w:tcPr>
          <w:p w14:paraId="624E0166" w14:textId="77777777" w:rsidR="00170375" w:rsidRPr="002B3506" w:rsidRDefault="00170375">
            <w:pPr>
              <w:spacing w:before="0"/>
              <w:jc w:val="center"/>
              <w:rPr>
                <w:sz w:val="22"/>
                <w:szCs w:val="22"/>
              </w:rPr>
            </w:pPr>
            <w:r w:rsidRPr="002B3506">
              <w:rPr>
                <w:b/>
                <w:bCs/>
                <w:sz w:val="22"/>
                <w:szCs w:val="22"/>
              </w:rPr>
              <w:t>Study Group issues</w:t>
            </w:r>
          </w:p>
        </w:tc>
      </w:tr>
      <w:tr w:rsidR="00170375" w:rsidRPr="002B3506" w14:paraId="624E016B" w14:textId="77777777" w:rsidTr="00D1165D">
        <w:trPr>
          <w:trHeight w:val="300"/>
          <w:trPrChange w:id="99" w:author="rancy" w:date="2011-04-20T15:45:00Z">
            <w:trPr>
              <w:gridBefore w:val="1"/>
              <w:trHeight w:val="300"/>
              <w:jc w:val="center"/>
            </w:trPr>
          </w:trPrChange>
        </w:trPr>
        <w:tc>
          <w:tcPr>
            <w:tcW w:w="496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Change w:id="100" w:author="rancy" w:date="2011-04-20T15:45:00Z">
              <w:tcPr>
                <w:tcW w:w="4962" w:type="dxa"/>
                <w:gridSpan w:val="3"/>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tcPrChange>
          </w:tcPr>
          <w:p w14:paraId="624E0168" w14:textId="77777777" w:rsidR="00170375" w:rsidRPr="002B3506" w:rsidRDefault="00170375">
            <w:pPr>
              <w:spacing w:before="0"/>
              <w:rPr>
                <w:rFonts w:eastAsiaTheme="minorEastAsia"/>
                <w:sz w:val="22"/>
                <w:szCs w:val="22"/>
              </w:rPr>
            </w:pPr>
            <w:r w:rsidRPr="002B3506">
              <w:rPr>
                <w:sz w:val="22"/>
                <w:szCs w:val="22"/>
              </w:rPr>
              <w:t xml:space="preserve">ITU-EBU Joint Workshop on Accessibility to Broadcasting and IPTV </w:t>
            </w:r>
            <w:r w:rsidR="00681EC2" w:rsidRPr="002B3506">
              <w:rPr>
                <w:sz w:val="22"/>
                <w:szCs w:val="22"/>
              </w:rPr>
              <w:t>access for all</w:t>
            </w:r>
          </w:p>
        </w:tc>
        <w:tc>
          <w:tcPr>
            <w:tcW w:w="186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Change w:id="101" w:author="rancy" w:date="2011-04-20T15:45:00Z">
              <w:tcPr>
                <w:tcW w:w="1865"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tcPrChange>
          </w:tcPr>
          <w:p w14:paraId="624E0169" w14:textId="77777777" w:rsidR="00170375" w:rsidRPr="002B3506" w:rsidRDefault="00170375">
            <w:pPr>
              <w:spacing w:before="0"/>
              <w:rPr>
                <w:rFonts w:eastAsiaTheme="minorEastAsia"/>
                <w:sz w:val="22"/>
                <w:szCs w:val="22"/>
              </w:rPr>
            </w:pPr>
            <w:r w:rsidRPr="002B3506">
              <w:rPr>
                <w:sz w:val="22"/>
                <w:szCs w:val="22"/>
              </w:rPr>
              <w:t>Geneva</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02" w:author="rancy" w:date="2011-04-20T15:45:00Z">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24E016A" w14:textId="77777777" w:rsidR="00170375" w:rsidRPr="002B3506" w:rsidRDefault="00170375">
            <w:pPr>
              <w:spacing w:before="0"/>
              <w:rPr>
                <w:rFonts w:eastAsiaTheme="minorEastAsia"/>
                <w:sz w:val="22"/>
                <w:szCs w:val="22"/>
              </w:rPr>
            </w:pPr>
            <w:r w:rsidRPr="002B3506">
              <w:rPr>
                <w:sz w:val="22"/>
                <w:szCs w:val="22"/>
              </w:rPr>
              <w:t>23-24</w:t>
            </w:r>
            <w:r w:rsidR="00B0425A" w:rsidRPr="002B3506">
              <w:rPr>
                <w:sz w:val="22"/>
                <w:szCs w:val="22"/>
              </w:rPr>
              <w:t>.11.10</w:t>
            </w:r>
          </w:p>
        </w:tc>
      </w:tr>
      <w:tr w:rsidR="00D1165D" w:rsidRPr="002B3506" w14:paraId="624E016F" w14:textId="77777777" w:rsidTr="00D1165D">
        <w:trPr>
          <w:trHeight w:val="300"/>
        </w:trPr>
        <w:tc>
          <w:tcPr>
            <w:tcW w:w="4962" w:type="dxa"/>
            <w:tcBorders>
              <w:top w:val="single" w:sz="8" w:space="0" w:color="auto"/>
            </w:tcBorders>
            <w:noWrap/>
            <w:tcMar>
              <w:top w:w="0" w:type="dxa"/>
              <w:left w:w="108" w:type="dxa"/>
              <w:bottom w:w="0" w:type="dxa"/>
              <w:right w:w="108" w:type="dxa"/>
            </w:tcMar>
          </w:tcPr>
          <w:p w14:paraId="624E016C" w14:textId="77777777" w:rsidR="00D1165D" w:rsidRPr="002B3506" w:rsidRDefault="00D1165D">
            <w:pPr>
              <w:spacing w:before="0"/>
              <w:rPr>
                <w:sz w:val="22"/>
                <w:szCs w:val="22"/>
              </w:rPr>
            </w:pPr>
          </w:p>
        </w:tc>
        <w:tc>
          <w:tcPr>
            <w:tcW w:w="1865" w:type="dxa"/>
            <w:tcBorders>
              <w:top w:val="single" w:sz="8" w:space="0" w:color="auto"/>
            </w:tcBorders>
            <w:noWrap/>
            <w:tcMar>
              <w:top w:w="0" w:type="dxa"/>
              <w:left w:w="108" w:type="dxa"/>
              <w:bottom w:w="0" w:type="dxa"/>
              <w:right w:w="108" w:type="dxa"/>
            </w:tcMar>
          </w:tcPr>
          <w:p w14:paraId="624E016D" w14:textId="77777777" w:rsidR="00D1165D" w:rsidRPr="002B3506" w:rsidRDefault="00D1165D">
            <w:pPr>
              <w:spacing w:before="0"/>
              <w:rPr>
                <w:sz w:val="22"/>
                <w:szCs w:val="22"/>
              </w:rPr>
            </w:pPr>
          </w:p>
        </w:tc>
        <w:tc>
          <w:tcPr>
            <w:tcW w:w="1560" w:type="dxa"/>
            <w:tcBorders>
              <w:top w:val="single" w:sz="8" w:space="0" w:color="auto"/>
            </w:tcBorders>
            <w:tcMar>
              <w:top w:w="0" w:type="dxa"/>
              <w:left w:w="108" w:type="dxa"/>
              <w:bottom w:w="0" w:type="dxa"/>
              <w:right w:w="108" w:type="dxa"/>
            </w:tcMar>
          </w:tcPr>
          <w:p w14:paraId="624E016E" w14:textId="77777777" w:rsidR="00D1165D" w:rsidRPr="002B3506" w:rsidRDefault="00D1165D">
            <w:pPr>
              <w:spacing w:before="0"/>
              <w:rPr>
                <w:sz w:val="22"/>
                <w:szCs w:val="22"/>
              </w:rPr>
            </w:pPr>
          </w:p>
        </w:tc>
      </w:tr>
    </w:tbl>
    <w:p w14:paraId="624E0171" w14:textId="4FB6ACA2" w:rsidR="00AA4B90" w:rsidRDefault="00132157" w:rsidP="00C376B5">
      <w:pPr>
        <w:rPr>
          <w:rFonts w:asciiTheme="majorBidi" w:hAnsiTheme="majorBidi" w:cstheme="majorBidi"/>
          <w:szCs w:val="24"/>
          <w:lang w:val="en-AU"/>
        </w:rPr>
      </w:pPr>
      <w:r>
        <w:rPr>
          <w:rFonts w:asciiTheme="majorBidi" w:eastAsiaTheme="minorEastAsia" w:hAnsiTheme="majorBidi" w:cstheme="majorBidi"/>
          <w:szCs w:val="24"/>
        </w:rPr>
        <w:br w:type="textWrapping" w:clear="all"/>
      </w:r>
      <w:r w:rsidR="00AA4B90" w:rsidRPr="009B2CDD">
        <w:rPr>
          <w:rFonts w:asciiTheme="majorBidi" w:eastAsiaTheme="minorEastAsia" w:hAnsiTheme="majorBidi" w:cstheme="majorBidi"/>
          <w:szCs w:val="24"/>
        </w:rPr>
        <w:t xml:space="preserve">In addition, BR Space Service </w:t>
      </w:r>
      <w:r w:rsidR="005F4448" w:rsidRPr="009B2CDD">
        <w:rPr>
          <w:rFonts w:asciiTheme="majorBidi" w:eastAsiaTheme="minorEastAsia" w:hAnsiTheme="majorBidi" w:cstheme="majorBidi"/>
          <w:szCs w:val="24"/>
        </w:rPr>
        <w:t>D</w:t>
      </w:r>
      <w:r w:rsidR="00AA4B90" w:rsidRPr="009B2CDD">
        <w:rPr>
          <w:rFonts w:asciiTheme="majorBidi" w:eastAsiaTheme="minorEastAsia" w:hAnsiTheme="majorBidi" w:cstheme="majorBidi"/>
          <w:szCs w:val="24"/>
        </w:rPr>
        <w:t xml:space="preserve">epartment </w:t>
      </w:r>
      <w:r w:rsidR="00AA4B90" w:rsidRPr="009B2CDD">
        <w:rPr>
          <w:szCs w:val="24"/>
          <w:lang w:val="en-AU"/>
        </w:rPr>
        <w:t>held meetings</w:t>
      </w:r>
      <w:r w:rsidR="00AA4B90" w:rsidRPr="009B2CDD">
        <w:rPr>
          <w:rFonts w:asciiTheme="majorBidi" w:hAnsiTheme="majorBidi" w:cstheme="majorBidi"/>
          <w:szCs w:val="24"/>
          <w:lang w:val="en-AU"/>
        </w:rPr>
        <w:t xml:space="preserve"> and w</w:t>
      </w:r>
      <w:r w:rsidR="00AA4B90" w:rsidRPr="009B2CDD">
        <w:rPr>
          <w:szCs w:val="24"/>
          <w:lang w:val="en-AU"/>
        </w:rPr>
        <w:t xml:space="preserve">orkshop </w:t>
      </w:r>
      <w:r w:rsidR="00AA4B90" w:rsidRPr="009B2CDD">
        <w:rPr>
          <w:rFonts w:asciiTheme="majorBidi" w:hAnsiTheme="majorBidi" w:cstheme="majorBidi"/>
          <w:szCs w:val="24"/>
          <w:lang w:val="en-AU"/>
        </w:rPr>
        <w:t xml:space="preserve">on </w:t>
      </w:r>
      <w:r w:rsidR="00AA4B90" w:rsidRPr="009B2CDD">
        <w:rPr>
          <w:szCs w:val="24"/>
          <w:lang w:val="en-AU"/>
        </w:rPr>
        <w:t xml:space="preserve">with representatives of </w:t>
      </w:r>
      <w:r w:rsidR="00AA4B90" w:rsidRPr="009B2CDD">
        <w:rPr>
          <w:rFonts w:asciiTheme="majorBidi" w:hAnsiTheme="majorBidi" w:cstheme="majorBidi"/>
          <w:szCs w:val="24"/>
          <w:lang w:val="en-AU"/>
        </w:rPr>
        <w:t xml:space="preserve">Venezuela, </w:t>
      </w:r>
      <w:r w:rsidR="00823DE6" w:rsidRPr="009B2CDD">
        <w:rPr>
          <w:rFonts w:asciiTheme="majorBidi" w:hAnsiTheme="majorBidi" w:cstheme="majorBidi"/>
          <w:szCs w:val="24"/>
          <w:lang w:val="en-AU"/>
        </w:rPr>
        <w:t>t</w:t>
      </w:r>
      <w:r w:rsidR="00AA4B90" w:rsidRPr="009B2CDD">
        <w:rPr>
          <w:rFonts w:asciiTheme="majorBidi" w:hAnsiTheme="majorBidi" w:cstheme="majorBidi"/>
          <w:szCs w:val="24"/>
          <w:lang w:val="en-AU"/>
        </w:rPr>
        <w:t xml:space="preserve">he Netherlands and Bolivia during the first </w:t>
      </w:r>
      <w:r w:rsidR="005F4448" w:rsidRPr="009B2CDD">
        <w:rPr>
          <w:rFonts w:asciiTheme="majorBidi" w:hAnsiTheme="majorBidi" w:cstheme="majorBidi"/>
          <w:szCs w:val="24"/>
          <w:lang w:val="en-AU"/>
        </w:rPr>
        <w:t>half</w:t>
      </w:r>
      <w:r w:rsidR="00AA4B90" w:rsidRPr="009B2CDD">
        <w:rPr>
          <w:rFonts w:asciiTheme="majorBidi" w:hAnsiTheme="majorBidi" w:cstheme="majorBidi"/>
          <w:szCs w:val="24"/>
          <w:lang w:val="en-AU"/>
        </w:rPr>
        <w:t xml:space="preserve"> of 2010</w:t>
      </w:r>
      <w:r w:rsidR="00823DE6" w:rsidRPr="009B2CDD">
        <w:rPr>
          <w:rFonts w:asciiTheme="majorBidi" w:hAnsiTheme="majorBidi" w:cstheme="majorBidi"/>
          <w:szCs w:val="24"/>
          <w:lang w:val="en-AU"/>
        </w:rPr>
        <w:t xml:space="preserve"> in Geneva</w:t>
      </w:r>
      <w:r w:rsidR="00AD41BF" w:rsidRPr="009B2CDD">
        <w:rPr>
          <w:rFonts w:asciiTheme="majorBidi" w:hAnsiTheme="majorBidi" w:cstheme="majorBidi"/>
          <w:szCs w:val="24"/>
          <w:lang w:val="en-AU"/>
        </w:rPr>
        <w:t>, and participated in the</w:t>
      </w:r>
      <w:r w:rsidR="00AD41BF" w:rsidRPr="009B2CDD">
        <w:rPr>
          <w:rFonts w:asciiTheme="majorBidi" w:hAnsiTheme="majorBidi" w:cstheme="majorBidi"/>
          <w:sz w:val="28"/>
          <w:szCs w:val="24"/>
          <w:lang w:val="en-AU"/>
        </w:rPr>
        <w:t xml:space="preserve"> </w:t>
      </w:r>
      <w:r w:rsidR="00AD41BF" w:rsidRPr="009B2CDD">
        <w:rPr>
          <w:szCs w:val="22"/>
          <w:lang w:val="en-AU"/>
        </w:rPr>
        <w:t>UN OOSA/ESA Small satellite workshop</w:t>
      </w:r>
      <w:r w:rsidR="00AD41BF" w:rsidRPr="009B2CDD">
        <w:rPr>
          <w:rFonts w:asciiTheme="majorBidi" w:hAnsiTheme="majorBidi" w:cstheme="majorBidi"/>
          <w:szCs w:val="24"/>
          <w:lang w:val="en-AU"/>
        </w:rPr>
        <w:t xml:space="preserve"> (Graz, Austria)</w:t>
      </w:r>
      <w:r w:rsidR="00AA4B90" w:rsidRPr="009B2CDD">
        <w:rPr>
          <w:rFonts w:asciiTheme="majorBidi" w:hAnsiTheme="majorBidi" w:cstheme="majorBidi"/>
          <w:szCs w:val="24"/>
          <w:lang w:val="en-AU"/>
        </w:rPr>
        <w:t>.</w:t>
      </w:r>
      <w:r w:rsidR="00681EC2" w:rsidRPr="009B2CDD">
        <w:rPr>
          <w:rFonts w:asciiTheme="majorBidi" w:hAnsiTheme="majorBidi" w:cstheme="majorBidi"/>
          <w:szCs w:val="24"/>
          <w:lang w:val="en-AU"/>
        </w:rPr>
        <w:t xml:space="preserve"> </w:t>
      </w:r>
      <w:r w:rsidR="00CD0335" w:rsidRPr="009B2CDD">
        <w:rPr>
          <w:rFonts w:asciiTheme="majorBidi" w:hAnsiTheme="majorBidi" w:cstheme="majorBidi"/>
          <w:szCs w:val="24"/>
          <w:lang w:val="en-AU"/>
        </w:rPr>
        <w:t xml:space="preserve">BR </w:t>
      </w:r>
      <w:r w:rsidR="00681EC2" w:rsidRPr="009B2CDD">
        <w:rPr>
          <w:rFonts w:asciiTheme="majorBidi" w:hAnsiTheme="majorBidi" w:cstheme="majorBidi"/>
          <w:szCs w:val="24"/>
          <w:lang w:val="en-AU"/>
        </w:rPr>
        <w:t>Study Group Department participate</w:t>
      </w:r>
      <w:r w:rsidR="00CD0335" w:rsidRPr="009B2CDD">
        <w:rPr>
          <w:rFonts w:asciiTheme="majorBidi" w:hAnsiTheme="majorBidi" w:cstheme="majorBidi"/>
          <w:szCs w:val="24"/>
          <w:lang w:val="en-AU"/>
        </w:rPr>
        <w:t>d</w:t>
      </w:r>
      <w:r w:rsidR="00681EC2" w:rsidRPr="009B2CDD">
        <w:rPr>
          <w:rFonts w:asciiTheme="majorBidi" w:hAnsiTheme="majorBidi" w:cstheme="majorBidi"/>
          <w:szCs w:val="24"/>
          <w:lang w:val="en-AU"/>
        </w:rPr>
        <w:t xml:space="preserve"> in UN meetings related to climate change (e.g., UNFCC Climate Change Talks, T</w:t>
      </w:r>
      <w:r w:rsidR="00CD0335" w:rsidRPr="009B2CDD">
        <w:rPr>
          <w:rFonts w:asciiTheme="majorBidi" w:hAnsiTheme="majorBidi" w:cstheme="majorBidi"/>
          <w:szCs w:val="24"/>
          <w:lang w:val="en-AU"/>
        </w:rPr>
        <w:t>ianjin, China; COP16 in Cancun, Mexico), the 15</w:t>
      </w:r>
      <w:r w:rsidR="00CD0335" w:rsidRPr="009B2CDD">
        <w:rPr>
          <w:rFonts w:asciiTheme="majorBidi" w:hAnsiTheme="majorBidi" w:cstheme="majorBidi"/>
          <w:szCs w:val="24"/>
          <w:vertAlign w:val="superscript"/>
          <w:lang w:val="en-AU"/>
        </w:rPr>
        <w:t>th</w:t>
      </w:r>
      <w:r w:rsidR="00CD0335" w:rsidRPr="009B2CDD">
        <w:rPr>
          <w:rFonts w:asciiTheme="majorBidi" w:hAnsiTheme="majorBidi" w:cstheme="majorBidi"/>
          <w:szCs w:val="24"/>
          <w:lang w:val="en-AU"/>
        </w:rPr>
        <w:t xml:space="preserve"> meeting of the Global Standards Collaboration, and the 24</w:t>
      </w:r>
      <w:r w:rsidR="00CD0335" w:rsidRPr="009B2CDD">
        <w:rPr>
          <w:rFonts w:asciiTheme="majorBidi" w:hAnsiTheme="majorBidi" w:cstheme="majorBidi"/>
          <w:szCs w:val="24"/>
          <w:vertAlign w:val="superscript"/>
          <w:lang w:val="en-AU"/>
        </w:rPr>
        <w:t>th</w:t>
      </w:r>
      <w:r w:rsidR="00CD0335" w:rsidRPr="009B2CDD">
        <w:rPr>
          <w:rFonts w:asciiTheme="majorBidi" w:hAnsiTheme="majorBidi" w:cstheme="majorBidi"/>
          <w:szCs w:val="24"/>
          <w:lang w:val="en-AU"/>
        </w:rPr>
        <w:t xml:space="preserve"> meeting of the Wireless World Research Forum (Penang</w:t>
      </w:r>
      <w:r w:rsidR="006A1FAC" w:rsidRPr="009B2CDD">
        <w:rPr>
          <w:rFonts w:asciiTheme="majorBidi" w:hAnsiTheme="majorBidi" w:cstheme="majorBidi"/>
          <w:szCs w:val="24"/>
          <w:lang w:val="en-AU"/>
        </w:rPr>
        <w:t>, Malaysia), as well as the 34</w:t>
      </w:r>
      <w:r w:rsidR="006A1FAC" w:rsidRPr="009B2CDD">
        <w:rPr>
          <w:rFonts w:asciiTheme="majorBidi" w:hAnsiTheme="majorBidi" w:cstheme="majorBidi"/>
          <w:szCs w:val="24"/>
          <w:vertAlign w:val="superscript"/>
          <w:lang w:val="en-AU"/>
        </w:rPr>
        <w:t>th</w:t>
      </w:r>
      <w:r w:rsidR="006A1FAC" w:rsidRPr="009B2CDD">
        <w:rPr>
          <w:rFonts w:asciiTheme="majorBidi" w:hAnsiTheme="majorBidi" w:cstheme="majorBidi"/>
          <w:szCs w:val="24"/>
          <w:lang w:val="en-AU"/>
        </w:rPr>
        <w:t xml:space="preserve"> Joint Meeting of RCC on EMC.</w:t>
      </w:r>
      <w:r w:rsidR="006A1FAC">
        <w:rPr>
          <w:rFonts w:asciiTheme="majorBidi" w:hAnsiTheme="majorBidi" w:cstheme="majorBidi"/>
          <w:szCs w:val="24"/>
          <w:lang w:val="en-AU"/>
        </w:rPr>
        <w:t xml:space="preserve"> </w:t>
      </w:r>
    </w:p>
    <w:p w14:paraId="624E0172" w14:textId="3B127F9E" w:rsidR="00823DE6" w:rsidRDefault="00823DE6" w:rsidP="00C376B5">
      <w:pPr>
        <w:rPr>
          <w:rFonts w:asciiTheme="majorBidi" w:hAnsiTheme="majorBidi" w:cstheme="majorBidi"/>
          <w:szCs w:val="24"/>
          <w:lang w:val="en-AU"/>
        </w:rPr>
      </w:pPr>
      <w:r>
        <w:rPr>
          <w:rFonts w:asciiTheme="majorBidi" w:hAnsiTheme="majorBidi" w:cstheme="majorBidi"/>
          <w:szCs w:val="24"/>
          <w:lang w:val="en-AU"/>
        </w:rPr>
        <w:t>The WRS-10 was attended by 469 participants of 115 Member States and 21 representatives of 11</w:t>
      </w:r>
      <w:r w:rsidR="00C376B5">
        <w:rPr>
          <w:rFonts w:asciiTheme="majorBidi" w:hAnsiTheme="majorBidi" w:cstheme="majorBidi"/>
          <w:szCs w:val="24"/>
          <w:lang w:val="en-AU"/>
        </w:rPr>
        <w:t> </w:t>
      </w:r>
      <w:r>
        <w:rPr>
          <w:rFonts w:asciiTheme="majorBidi" w:hAnsiTheme="majorBidi" w:cstheme="majorBidi"/>
          <w:szCs w:val="24"/>
          <w:lang w:val="en-AU"/>
        </w:rPr>
        <w:t>organizations; 36 fellowships were granted to delegates of the following countries:</w:t>
      </w:r>
      <w:r w:rsidR="009E3A9B">
        <w:rPr>
          <w:rFonts w:asciiTheme="majorBidi" w:hAnsiTheme="majorBidi" w:cstheme="majorBidi"/>
          <w:szCs w:val="24"/>
          <w:lang w:val="en-AU"/>
        </w:rPr>
        <w:t xml:space="preserve"> Benin, Bhutan, Burkina Faso, Burundi, Cameroun, </w:t>
      </w:r>
      <w:r w:rsidR="000D0ACE">
        <w:rPr>
          <w:rFonts w:asciiTheme="majorBidi" w:hAnsiTheme="majorBidi" w:cstheme="majorBidi"/>
          <w:szCs w:val="24"/>
          <w:lang w:val="en-AU"/>
        </w:rPr>
        <w:t xml:space="preserve">Central African Republic, Chad, Comoros, </w:t>
      </w:r>
      <w:r w:rsidR="00A307DD">
        <w:rPr>
          <w:rFonts w:asciiTheme="majorBidi" w:hAnsiTheme="majorBidi" w:cstheme="majorBidi"/>
          <w:szCs w:val="24"/>
          <w:lang w:val="en-AU"/>
        </w:rPr>
        <w:t>Democratic Republic of the Congo, C</w:t>
      </w:r>
      <w:r w:rsidR="00A307DD">
        <w:rPr>
          <w:rFonts w:asciiTheme="majorBidi" w:hAnsiTheme="majorBidi" w:cstheme="majorBidi"/>
          <w:szCs w:val="24"/>
          <w:lang w:val="en-US"/>
        </w:rPr>
        <w:t>ô</w:t>
      </w:r>
      <w:r w:rsidR="008D238C">
        <w:rPr>
          <w:rFonts w:asciiTheme="majorBidi" w:hAnsiTheme="majorBidi" w:cstheme="majorBidi"/>
          <w:szCs w:val="24"/>
          <w:lang w:val="en-US"/>
        </w:rPr>
        <w:t xml:space="preserve">te </w:t>
      </w:r>
      <w:r w:rsidR="00A307DD">
        <w:rPr>
          <w:rFonts w:asciiTheme="majorBidi" w:hAnsiTheme="majorBidi" w:cstheme="majorBidi"/>
          <w:szCs w:val="24"/>
          <w:lang w:val="en-AU"/>
        </w:rPr>
        <w:t xml:space="preserve">d’Ivoire, Cuba, Djibouti, </w:t>
      </w:r>
      <w:r w:rsidR="002D16A7">
        <w:rPr>
          <w:rFonts w:asciiTheme="majorBidi" w:hAnsiTheme="majorBidi" w:cstheme="majorBidi"/>
          <w:szCs w:val="24"/>
          <w:lang w:val="en-AU"/>
        </w:rPr>
        <w:t>Ethiopia, Eritrea, Gambia, Haiti, Indonesia, Kyrgyzstan,</w:t>
      </w:r>
      <w:r w:rsidR="008D238C">
        <w:rPr>
          <w:rFonts w:asciiTheme="majorBidi" w:hAnsiTheme="majorBidi" w:cstheme="majorBidi"/>
          <w:szCs w:val="24"/>
          <w:lang w:val="en-AU"/>
        </w:rPr>
        <w:t xml:space="preserve"> Lao</w:t>
      </w:r>
      <w:r w:rsidR="00C2494A" w:rsidRPr="00C2494A">
        <w:rPr>
          <w:color w:val="000000"/>
        </w:rPr>
        <w:t xml:space="preserve"> </w:t>
      </w:r>
      <w:r w:rsidR="00C2494A">
        <w:rPr>
          <w:color w:val="000000"/>
        </w:rPr>
        <w:t>People’s Dem. Rep.</w:t>
      </w:r>
      <w:r w:rsidR="008D238C">
        <w:rPr>
          <w:rFonts w:asciiTheme="majorBidi" w:hAnsiTheme="majorBidi" w:cstheme="majorBidi"/>
          <w:szCs w:val="24"/>
          <w:lang w:val="en-AU"/>
        </w:rPr>
        <w:t>, Lesotho, Madagascar, Maldives, Mali, Mauritania, Moldova, Mongolia, Mozambique, Myanmar, Nepal, Niger, Pakistan, Papua New Guinea, Rwanda, Samoa, Senegal, Sudan, Tajikistan, Uganda, Vietnam, and Yemen.</w:t>
      </w:r>
      <w:r w:rsidR="002D16A7">
        <w:rPr>
          <w:rFonts w:asciiTheme="majorBidi" w:hAnsiTheme="majorBidi" w:cstheme="majorBidi"/>
          <w:szCs w:val="24"/>
          <w:lang w:val="en-AU"/>
        </w:rPr>
        <w:t xml:space="preserve"> </w:t>
      </w:r>
    </w:p>
    <w:p w14:paraId="624E0173" w14:textId="77777777" w:rsidR="00AA4B90" w:rsidRDefault="00AA4B90" w:rsidP="008453C2">
      <w:pPr>
        <w:rPr>
          <w:rFonts w:asciiTheme="majorBidi" w:eastAsiaTheme="minorEastAsia" w:hAnsiTheme="majorBidi" w:cstheme="majorBidi"/>
          <w:szCs w:val="24"/>
        </w:rPr>
      </w:pPr>
      <w:r w:rsidRPr="00AA4B90">
        <w:rPr>
          <w:rFonts w:asciiTheme="majorBidi" w:eastAsiaTheme="minorEastAsia" w:hAnsiTheme="majorBidi" w:cstheme="majorBidi"/>
          <w:szCs w:val="24"/>
        </w:rPr>
        <w:t>For 2011, the BR</w:t>
      </w:r>
      <w:r>
        <w:rPr>
          <w:rFonts w:asciiTheme="majorBidi" w:eastAsiaTheme="minorEastAsia" w:hAnsiTheme="majorBidi" w:cstheme="majorBidi"/>
          <w:szCs w:val="24"/>
        </w:rPr>
        <w:t xml:space="preserve">, in cooperation with the BDT, is planning to hold several </w:t>
      </w:r>
      <w:r w:rsidR="008D742C">
        <w:rPr>
          <w:rFonts w:asciiTheme="majorBidi" w:eastAsiaTheme="minorEastAsia" w:hAnsiTheme="majorBidi" w:cstheme="majorBidi"/>
          <w:szCs w:val="24"/>
        </w:rPr>
        <w:t xml:space="preserve">ITU workshops </w:t>
      </w:r>
      <w:r w:rsidR="00823DE6">
        <w:rPr>
          <w:rFonts w:asciiTheme="majorBidi" w:eastAsiaTheme="minorEastAsia" w:hAnsiTheme="majorBidi" w:cstheme="majorBidi"/>
          <w:szCs w:val="24"/>
        </w:rPr>
        <w:t xml:space="preserve">on </w:t>
      </w:r>
      <w:r>
        <w:rPr>
          <w:rFonts w:asciiTheme="majorBidi" w:eastAsiaTheme="minorEastAsia" w:hAnsiTheme="majorBidi" w:cstheme="majorBidi"/>
          <w:szCs w:val="24"/>
        </w:rPr>
        <w:t>spectrum man</w:t>
      </w:r>
      <w:r w:rsidR="00823DE6">
        <w:rPr>
          <w:rFonts w:asciiTheme="majorBidi" w:eastAsiaTheme="minorEastAsia" w:hAnsiTheme="majorBidi" w:cstheme="majorBidi"/>
          <w:szCs w:val="24"/>
        </w:rPr>
        <w:t xml:space="preserve">agement, </w:t>
      </w:r>
      <w:r w:rsidR="008D742C">
        <w:rPr>
          <w:rFonts w:asciiTheme="majorBidi" w:eastAsiaTheme="minorEastAsia" w:hAnsiTheme="majorBidi" w:cstheme="majorBidi"/>
          <w:szCs w:val="24"/>
        </w:rPr>
        <w:t xml:space="preserve">with a particular emphasis on the transition to digital terrestrial </w:t>
      </w:r>
      <w:r w:rsidR="00823DE6">
        <w:rPr>
          <w:rFonts w:asciiTheme="majorBidi" w:eastAsiaTheme="minorEastAsia" w:hAnsiTheme="majorBidi" w:cstheme="majorBidi"/>
          <w:szCs w:val="24"/>
        </w:rPr>
        <w:t>broadcasting</w:t>
      </w:r>
      <w:r w:rsidR="008D742C">
        <w:rPr>
          <w:rFonts w:asciiTheme="majorBidi" w:eastAsiaTheme="minorEastAsia" w:hAnsiTheme="majorBidi" w:cstheme="majorBidi"/>
          <w:szCs w:val="24"/>
        </w:rPr>
        <w:t xml:space="preserve"> and digital dividend. These workshops are intended to address the specific spectrum management requirements at sub-regional level. They will be organised jointly with interested parties in each sub-region, in close cooperation with the BDT and ITU regional offices. T</w:t>
      </w:r>
      <w:r w:rsidR="00823DE6">
        <w:rPr>
          <w:rFonts w:asciiTheme="majorBidi" w:eastAsiaTheme="minorEastAsia" w:hAnsiTheme="majorBidi" w:cstheme="majorBidi"/>
          <w:szCs w:val="24"/>
        </w:rPr>
        <w:t xml:space="preserve">he detailed programme is available </w:t>
      </w:r>
      <w:r w:rsidR="00823DE6" w:rsidRPr="008453C2">
        <w:rPr>
          <w:rFonts w:asciiTheme="majorBidi" w:eastAsiaTheme="minorEastAsia" w:hAnsiTheme="majorBidi" w:cstheme="majorBidi"/>
          <w:szCs w:val="24"/>
        </w:rPr>
        <w:t>on the ITU</w:t>
      </w:r>
      <w:r w:rsidR="008453C2">
        <w:rPr>
          <w:rFonts w:asciiTheme="majorBidi" w:eastAsiaTheme="minorEastAsia" w:hAnsiTheme="majorBidi" w:cstheme="majorBidi"/>
          <w:szCs w:val="24"/>
        </w:rPr>
        <w:t>-R</w:t>
      </w:r>
      <w:r w:rsidR="00823DE6" w:rsidRPr="008453C2">
        <w:rPr>
          <w:rFonts w:asciiTheme="majorBidi" w:eastAsiaTheme="minorEastAsia" w:hAnsiTheme="majorBidi" w:cstheme="majorBidi"/>
          <w:szCs w:val="24"/>
        </w:rPr>
        <w:t xml:space="preserve"> website</w:t>
      </w:r>
      <w:r w:rsidR="008453C2">
        <w:rPr>
          <w:rFonts w:asciiTheme="majorBidi" w:eastAsiaTheme="minorEastAsia" w:hAnsiTheme="majorBidi" w:cstheme="majorBidi"/>
          <w:szCs w:val="24"/>
        </w:rPr>
        <w:t xml:space="preserve"> (see at “ Seminar/Workshops”)</w:t>
      </w:r>
      <w:r w:rsidR="00823DE6">
        <w:rPr>
          <w:rFonts w:asciiTheme="majorBidi" w:eastAsiaTheme="minorEastAsia" w:hAnsiTheme="majorBidi" w:cstheme="majorBidi"/>
          <w:szCs w:val="24"/>
        </w:rPr>
        <w:t>.</w:t>
      </w:r>
    </w:p>
    <w:p w14:paraId="624E0174" w14:textId="77777777" w:rsidR="00A246E8" w:rsidRDefault="00A246E8" w:rsidP="00A246E8">
      <w:pPr>
        <w:pStyle w:val="Heading2"/>
      </w:pPr>
      <w:r>
        <w:t>8.1</w:t>
      </w:r>
      <w:r>
        <w:tab/>
        <w:t>Inter-sectoral coordination of seminars and workshops</w:t>
      </w:r>
    </w:p>
    <w:p w14:paraId="624E0175" w14:textId="77777777" w:rsidR="00A246E8" w:rsidRDefault="00A246E8" w:rsidP="00A246E8">
      <w:r>
        <w:t>The Plenipotentiary Conference in Annex 2 of Decision 5 identifies a number of measures aimed at reducing expenditure in the 2012-2015 budget period and, to this end, calls for the “coordination and harmonization of seminars and workshops organized by the General Secretariat and the three Sectors in order to avoid duplication of the subjects covered and to optimize secretariat attendance”.</w:t>
      </w:r>
    </w:p>
    <w:p w14:paraId="624E0176" w14:textId="77777777" w:rsidR="00A246E8" w:rsidRDefault="00A246E8">
      <w:r>
        <w:t xml:space="preserve">The three Directors of Bureaux </w:t>
      </w:r>
      <w:r w:rsidR="00BB5AA4">
        <w:t xml:space="preserve">decided </w:t>
      </w:r>
      <w:r>
        <w:t xml:space="preserve">to set up a </w:t>
      </w:r>
      <w:r w:rsidR="00BB5AA4">
        <w:t xml:space="preserve">joint </w:t>
      </w:r>
      <w:r>
        <w:t>Task Force to rationalize</w:t>
      </w:r>
      <w:r w:rsidR="00BB5AA4">
        <w:t>, coordinate</w:t>
      </w:r>
      <w:r>
        <w:t xml:space="preserve"> and consolidate the events held on a same topic. </w:t>
      </w:r>
      <w:r w:rsidR="00BB5AA4">
        <w:t>H</w:t>
      </w:r>
      <w:r>
        <w:t xml:space="preserve">enceforth, all workshops and seminars </w:t>
      </w:r>
      <w:r w:rsidR="00BB5AA4">
        <w:t xml:space="preserve">will </w:t>
      </w:r>
      <w:r>
        <w:t>be branded ITU to reflect the “One ITU” concept and no longer as sector-specific events.</w:t>
      </w:r>
    </w:p>
    <w:p w14:paraId="624E0177" w14:textId="77777777" w:rsidR="00A246E8" w:rsidRDefault="00A246E8" w:rsidP="00A246E8">
      <w:r>
        <w:t>The Task Force met several times in the first and second quarters of 2011 to 1) identify what events were being planned from the very early stage in order to find synergies at the very outset, 2) identify candidates for merging and 3) when merging of events is not feasible for example in the case of different target audience, identify areas for cross-fertilization (selection of timing and venue back-to-back with existing events to decrease administrative overheads such as participation of experts, logistical arrangements, travel costs, use of internal expertise, coordination of contents, etc.).</w:t>
      </w:r>
    </w:p>
    <w:p w14:paraId="4F443D25" w14:textId="77777777" w:rsidR="008E252E" w:rsidRDefault="008E252E">
      <w:pPr>
        <w:tabs>
          <w:tab w:val="clear" w:pos="794"/>
          <w:tab w:val="clear" w:pos="1191"/>
          <w:tab w:val="clear" w:pos="1588"/>
          <w:tab w:val="clear" w:pos="1985"/>
        </w:tabs>
        <w:overflowPunct/>
        <w:autoSpaceDE/>
        <w:autoSpaceDN/>
        <w:adjustRightInd/>
        <w:spacing w:before="0"/>
        <w:textAlignment w:val="auto"/>
      </w:pPr>
      <w:r>
        <w:br w:type="page"/>
      </w:r>
    </w:p>
    <w:p w14:paraId="624E0178" w14:textId="0DBAB87D" w:rsidR="00A246E8" w:rsidRDefault="00A246E8" w:rsidP="00A246E8">
      <w:r>
        <w:t>The Task Force also identified the list of topical areas where inter-sectoral coordination was found to be necessary and focal points from each Bureau and from the General Secretariat were nominated for each of the following topics: accessibility, advisory groups, conformance and interoperability an, ITU Academy, spectrum management, broadcasting, statistics, security, emergency telecommunications and climate change.</w:t>
      </w:r>
    </w:p>
    <w:p w14:paraId="624E0179" w14:textId="77777777" w:rsidR="00CE2404" w:rsidRDefault="00A246E8" w:rsidP="00CE2404">
      <w:pPr>
        <w:pStyle w:val="Heading1"/>
      </w:pPr>
      <w:r>
        <w:rPr>
          <w:rFonts w:asciiTheme="majorBidi" w:eastAsiaTheme="minorEastAsia" w:hAnsiTheme="majorBidi" w:cstheme="majorBidi"/>
          <w:szCs w:val="24"/>
        </w:rPr>
        <w:t>9</w:t>
      </w:r>
      <w:r w:rsidR="00CE2404">
        <w:rPr>
          <w:rFonts w:asciiTheme="majorBidi" w:eastAsiaTheme="minorEastAsia" w:hAnsiTheme="majorBidi" w:cstheme="majorBidi"/>
          <w:szCs w:val="24"/>
        </w:rPr>
        <w:t xml:space="preserve"> </w:t>
      </w:r>
      <w:r w:rsidR="00CE2404">
        <w:rPr>
          <w:rFonts w:asciiTheme="majorBidi" w:eastAsiaTheme="minorEastAsia" w:hAnsiTheme="majorBidi" w:cstheme="majorBidi"/>
          <w:szCs w:val="24"/>
        </w:rPr>
        <w:tab/>
      </w:r>
      <w:r w:rsidR="00CE2404">
        <w:t>Statistics on Sector Members and Associates</w:t>
      </w:r>
    </w:p>
    <w:p w14:paraId="624E017A" w14:textId="77777777" w:rsidR="00CE2404" w:rsidRPr="00ED5D96" w:rsidRDefault="00ED5D96" w:rsidP="00ED5D96">
      <w:r>
        <w:t xml:space="preserve">The </w:t>
      </w:r>
      <w:r w:rsidRPr="00C636D1">
        <w:t xml:space="preserve">statistics </w:t>
      </w:r>
      <w:r>
        <w:t>on Sector Members and Associates will be presented in an addendum to this document.</w:t>
      </w:r>
    </w:p>
    <w:p w14:paraId="624E017B" w14:textId="77777777" w:rsidR="00CE2404" w:rsidRDefault="00CE2404">
      <w:pPr>
        <w:tabs>
          <w:tab w:val="clear" w:pos="794"/>
          <w:tab w:val="clear" w:pos="1191"/>
          <w:tab w:val="clear" w:pos="1588"/>
          <w:tab w:val="clear" w:pos="1985"/>
        </w:tabs>
        <w:overflowPunct/>
        <w:autoSpaceDE/>
        <w:autoSpaceDN/>
        <w:adjustRightInd/>
        <w:spacing w:before="0"/>
        <w:textAlignment w:val="auto"/>
        <w:rPr>
          <w:rFonts w:asciiTheme="majorBidi" w:eastAsiaTheme="minorEastAsia" w:hAnsiTheme="majorBidi" w:cstheme="majorBidi"/>
          <w:szCs w:val="24"/>
        </w:rPr>
      </w:pPr>
    </w:p>
    <w:p w14:paraId="624E017C" w14:textId="77777777" w:rsidR="000E716A" w:rsidRDefault="000E716A" w:rsidP="000E716A">
      <w:pPr>
        <w:pStyle w:val="BodyText2"/>
        <w:spacing w:before="60" w:after="100"/>
      </w:pPr>
    </w:p>
    <w:p w14:paraId="624E017D" w14:textId="77777777" w:rsidR="007E28CA" w:rsidRPr="00395953" w:rsidRDefault="00A80790" w:rsidP="00A80790">
      <w:pPr>
        <w:jc w:val="center"/>
        <w:rPr>
          <w:bCs/>
          <w:lang w:eastAsia="zh-CN"/>
        </w:rPr>
      </w:pPr>
      <w:r>
        <w:rPr>
          <w:bCs/>
          <w:lang w:eastAsia="zh-CN"/>
        </w:rPr>
        <w:t>_____________</w:t>
      </w:r>
    </w:p>
    <w:sectPr w:rsidR="007E28CA" w:rsidRPr="00395953" w:rsidSect="00B10E62">
      <w:headerReference w:type="even" r:id="rId57"/>
      <w:headerReference w:type="default" r:id="rId58"/>
      <w:footerReference w:type="even" r:id="rId59"/>
      <w:footerReference w:type="default" r:id="rId60"/>
      <w:headerReference w:type="first" r:id="rId61"/>
      <w:footerReference w:type="first" r:id="rId6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F0534" w14:textId="77777777" w:rsidR="00886824" w:rsidRDefault="00886824">
      <w:r>
        <w:separator/>
      </w:r>
    </w:p>
  </w:endnote>
  <w:endnote w:type="continuationSeparator" w:id="0">
    <w:p w14:paraId="767B1961" w14:textId="77777777" w:rsidR="00886824" w:rsidRDefault="0088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C0F57" w14:textId="77777777" w:rsidR="003B07CA" w:rsidRDefault="003B07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E0187" w14:textId="7643B38A" w:rsidR="00886824" w:rsidRPr="008A5BB4" w:rsidRDefault="00886824" w:rsidP="003B07CA">
    <w:pPr>
      <w:pStyle w:val="Footer"/>
      <w:rPr>
        <w:sz w:val="14"/>
        <w:szCs w:val="14"/>
        <w:lang w:val="en-US"/>
      </w:rPr>
    </w:pPr>
    <w:r w:rsidRPr="008A5BB4">
      <w:rPr>
        <w:sz w:val="14"/>
        <w:szCs w:val="14"/>
        <w:lang w:val="en-US"/>
      </w:rPr>
      <w:t>M:\BRIAP\STAFF\MILLET\RAG\RAG1</w:t>
    </w:r>
    <w:r>
      <w:rPr>
        <w:sz w:val="14"/>
        <w:szCs w:val="14"/>
        <w:lang w:val="en-US"/>
      </w:rPr>
      <w:t>1</w:t>
    </w:r>
    <w:r w:rsidRPr="008A5BB4">
      <w:rPr>
        <w:sz w:val="14"/>
        <w:szCs w:val="14"/>
        <w:lang w:val="en-US"/>
      </w:rPr>
      <w:t>\DOCS\001</w:t>
    </w:r>
    <w:r w:rsidR="00465F3E">
      <w:rPr>
        <w:sz w:val="14"/>
        <w:szCs w:val="14"/>
        <w:lang w:val="en-US"/>
      </w:rPr>
      <w:t>R1</w:t>
    </w:r>
    <w:r w:rsidRPr="008A5BB4">
      <w:rPr>
        <w:sz w:val="14"/>
        <w:szCs w:val="14"/>
        <w:lang w:val="en-US"/>
      </w:rPr>
      <w:t>E</w:t>
    </w:r>
    <w:r w:rsidR="003B07CA">
      <w:rPr>
        <w:sz w:val="14"/>
        <w:szCs w:val="14"/>
        <w:lang w:val="en-US"/>
      </w:rPr>
      <w:t>.</w:t>
    </w:r>
    <w:r w:rsidRPr="008A5BB4">
      <w:rPr>
        <w:sz w:val="14"/>
        <w:szCs w:val="14"/>
        <w:lang w:val="en-US"/>
      </w:rPr>
      <w:t>DOC</w:t>
    </w:r>
  </w:p>
  <w:p w14:paraId="624E0188" w14:textId="77777777" w:rsidR="00886824" w:rsidRPr="008A5BB4" w:rsidRDefault="00886824">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E0189" w14:textId="1E4BA814" w:rsidR="00886824" w:rsidRPr="008A5BB4" w:rsidRDefault="00886824" w:rsidP="00956C6B">
    <w:pPr>
      <w:pStyle w:val="Footer"/>
      <w:rPr>
        <w:sz w:val="14"/>
        <w:szCs w:val="14"/>
        <w:lang w:val="en-US"/>
      </w:rPr>
    </w:pPr>
    <w:r w:rsidRPr="008A5BB4">
      <w:rPr>
        <w:sz w:val="14"/>
        <w:szCs w:val="14"/>
        <w:lang w:val="en-US"/>
      </w:rPr>
      <w:t>M:\BRIAP\STAFF\MILLET\RAG\RAG1</w:t>
    </w:r>
    <w:r>
      <w:rPr>
        <w:sz w:val="14"/>
        <w:szCs w:val="14"/>
        <w:lang w:val="en-US"/>
      </w:rPr>
      <w:t>1</w:t>
    </w:r>
    <w:r w:rsidRPr="008A5BB4">
      <w:rPr>
        <w:sz w:val="14"/>
        <w:szCs w:val="14"/>
        <w:lang w:val="en-US"/>
      </w:rPr>
      <w:t>\DOCS\001</w:t>
    </w:r>
    <w:r w:rsidR="00465F3E">
      <w:rPr>
        <w:sz w:val="14"/>
        <w:szCs w:val="14"/>
        <w:lang w:val="en-US"/>
      </w:rPr>
      <w:t>R1</w:t>
    </w:r>
    <w:r w:rsidRPr="008A5BB4">
      <w:rPr>
        <w:sz w:val="14"/>
        <w:szCs w:val="14"/>
        <w:lang w:val="en-US"/>
      </w:rPr>
      <w:t>E</w:t>
    </w:r>
    <w:r w:rsidR="00956C6B">
      <w:rPr>
        <w:sz w:val="14"/>
        <w:szCs w:val="14"/>
        <w:lang w:val="en-US"/>
      </w:rPr>
      <w:t>.</w:t>
    </w:r>
    <w:r w:rsidRPr="008A5BB4">
      <w:rPr>
        <w:sz w:val="14"/>
        <w:szCs w:val="14"/>
        <w:lang w:val="en-US"/>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5DB1D" w14:textId="77777777" w:rsidR="00886824" w:rsidRDefault="00886824">
      <w:r>
        <w:t>____________________</w:t>
      </w:r>
    </w:p>
  </w:footnote>
  <w:footnote w:type="continuationSeparator" w:id="0">
    <w:p w14:paraId="0D19A586" w14:textId="77777777" w:rsidR="00886824" w:rsidRDefault="00886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BD056" w14:textId="77777777" w:rsidR="003B07CA" w:rsidRDefault="003B07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E0185" w14:textId="77777777" w:rsidR="00886824" w:rsidRPr="00465F3E" w:rsidRDefault="00886824">
    <w:pPr>
      <w:pStyle w:val="Header"/>
      <w:rPr>
        <w:lang w:val="en-US"/>
      </w:rPr>
    </w:pPr>
    <w:r>
      <w:rPr>
        <w:lang w:val="es-ES"/>
      </w:rPr>
      <w:t xml:space="preserve">- </w:t>
    </w:r>
    <w:r>
      <w:fldChar w:fldCharType="begin"/>
    </w:r>
    <w:r>
      <w:instrText xml:space="preserve"> PAGE </w:instrText>
    </w:r>
    <w:r>
      <w:fldChar w:fldCharType="separate"/>
    </w:r>
    <w:r w:rsidR="00A667F8">
      <w:rPr>
        <w:noProof/>
      </w:rPr>
      <w:t>6</w:t>
    </w:r>
    <w:r>
      <w:rPr>
        <w:noProof/>
      </w:rPr>
      <w:fldChar w:fldCharType="end"/>
    </w:r>
    <w:r w:rsidRPr="00465F3E">
      <w:rPr>
        <w:lang w:val="en-US"/>
      </w:rPr>
      <w:t xml:space="preserve"> -</w:t>
    </w:r>
  </w:p>
  <w:p w14:paraId="624E0186" w14:textId="017EBDCB" w:rsidR="00886824" w:rsidRPr="00465F3E" w:rsidRDefault="00886824" w:rsidP="004E505A">
    <w:pPr>
      <w:pStyle w:val="Header"/>
      <w:rPr>
        <w:lang w:val="en-US"/>
      </w:rPr>
    </w:pPr>
    <w:r w:rsidRPr="00465F3E">
      <w:rPr>
        <w:lang w:val="en-US"/>
      </w:rPr>
      <w:t>RAG11-1/1</w:t>
    </w:r>
    <w:r w:rsidR="00465F3E" w:rsidRPr="00465F3E">
      <w:rPr>
        <w:lang w:val="en-US"/>
      </w:rPr>
      <w:t>(Rev.</w:t>
    </w:r>
    <w:r w:rsidR="00465F3E">
      <w:rPr>
        <w:lang w:val="en-US"/>
      </w:rPr>
      <w:t>1)</w:t>
    </w:r>
    <w:r w:rsidRPr="00465F3E">
      <w:rPr>
        <w:lang w:val="en-U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EF459" w14:textId="77777777" w:rsidR="003B07CA" w:rsidRDefault="003B07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4">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30"/>
  </w:num>
  <w:num w:numId="13">
    <w:abstractNumId w:val="32"/>
  </w:num>
  <w:num w:numId="14">
    <w:abstractNumId w:val="26"/>
  </w:num>
  <w:num w:numId="15">
    <w:abstractNumId w:val="23"/>
  </w:num>
  <w:num w:numId="16">
    <w:abstractNumId w:val="31"/>
  </w:num>
  <w:num w:numId="17">
    <w:abstractNumId w:val="22"/>
  </w:num>
  <w:num w:numId="18">
    <w:abstractNumId w:val="10"/>
  </w:num>
  <w:num w:numId="19">
    <w:abstractNumId w:val="14"/>
  </w:num>
  <w:num w:numId="20">
    <w:abstractNumId w:val="15"/>
  </w:num>
  <w:num w:numId="21">
    <w:abstractNumId w:val="20"/>
  </w:num>
  <w:num w:numId="22">
    <w:abstractNumId w:val="34"/>
  </w:num>
  <w:num w:numId="23">
    <w:abstractNumId w:val="24"/>
  </w:num>
  <w:num w:numId="24">
    <w:abstractNumId w:val="25"/>
  </w:num>
  <w:num w:numId="25">
    <w:abstractNumId w:val="11"/>
  </w:num>
  <w:num w:numId="26">
    <w:abstractNumId w:val="21"/>
  </w:num>
  <w:num w:numId="27">
    <w:abstractNumId w:val="13"/>
  </w:num>
  <w:num w:numId="28">
    <w:abstractNumId w:val="18"/>
  </w:num>
  <w:num w:numId="29">
    <w:abstractNumId w:val="28"/>
  </w:num>
  <w:num w:numId="30">
    <w:abstractNumId w:val="36"/>
  </w:num>
  <w:num w:numId="31">
    <w:abstractNumId w:val="33"/>
  </w:num>
  <w:num w:numId="32">
    <w:abstractNumId w:val="29"/>
  </w:num>
  <w:num w:numId="33">
    <w:abstractNumId w:val="19"/>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35"/>
  </w:num>
  <w:num w:numId="38">
    <w:abstractNumId w:val="24"/>
  </w:num>
  <w:num w:numId="39">
    <w:abstractNumId w:val="25"/>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9C"/>
    <w:rsid w:val="00001087"/>
    <w:rsid w:val="0000329A"/>
    <w:rsid w:val="000149CD"/>
    <w:rsid w:val="00020106"/>
    <w:rsid w:val="00021007"/>
    <w:rsid w:val="0004059F"/>
    <w:rsid w:val="000447A6"/>
    <w:rsid w:val="00051F57"/>
    <w:rsid w:val="00057DAF"/>
    <w:rsid w:val="00062BB9"/>
    <w:rsid w:val="0006614B"/>
    <w:rsid w:val="00076C26"/>
    <w:rsid w:val="00083608"/>
    <w:rsid w:val="000845BE"/>
    <w:rsid w:val="00084871"/>
    <w:rsid w:val="00087F59"/>
    <w:rsid w:val="00093C73"/>
    <w:rsid w:val="000B0E00"/>
    <w:rsid w:val="000B4D42"/>
    <w:rsid w:val="000C0FEC"/>
    <w:rsid w:val="000C5E0B"/>
    <w:rsid w:val="000D00A3"/>
    <w:rsid w:val="000D0ACE"/>
    <w:rsid w:val="000D0AFB"/>
    <w:rsid w:val="000D423B"/>
    <w:rsid w:val="000D4D18"/>
    <w:rsid w:val="000D5C8B"/>
    <w:rsid w:val="000E3510"/>
    <w:rsid w:val="000E3604"/>
    <w:rsid w:val="000E716A"/>
    <w:rsid w:val="000F275A"/>
    <w:rsid w:val="000F43D8"/>
    <w:rsid w:val="000F738C"/>
    <w:rsid w:val="00107E5A"/>
    <w:rsid w:val="00114C9C"/>
    <w:rsid w:val="00116905"/>
    <w:rsid w:val="00121CE0"/>
    <w:rsid w:val="001225EE"/>
    <w:rsid w:val="00130A81"/>
    <w:rsid w:val="00132157"/>
    <w:rsid w:val="001340DC"/>
    <w:rsid w:val="0013473D"/>
    <w:rsid w:val="00135391"/>
    <w:rsid w:val="0014514C"/>
    <w:rsid w:val="001462D8"/>
    <w:rsid w:val="00147382"/>
    <w:rsid w:val="001501A5"/>
    <w:rsid w:val="00150F3C"/>
    <w:rsid w:val="00152B3F"/>
    <w:rsid w:val="001539C7"/>
    <w:rsid w:val="00153EEE"/>
    <w:rsid w:val="00162C4A"/>
    <w:rsid w:val="001702BF"/>
    <w:rsid w:val="00170375"/>
    <w:rsid w:val="001722B2"/>
    <w:rsid w:val="00174F91"/>
    <w:rsid w:val="00177E61"/>
    <w:rsid w:val="0018254B"/>
    <w:rsid w:val="00185654"/>
    <w:rsid w:val="00192342"/>
    <w:rsid w:val="00194AD3"/>
    <w:rsid w:val="001A5A4C"/>
    <w:rsid w:val="001A71BE"/>
    <w:rsid w:val="001C0A8E"/>
    <w:rsid w:val="001D2334"/>
    <w:rsid w:val="001D5265"/>
    <w:rsid w:val="001D6B4D"/>
    <w:rsid w:val="001D6E77"/>
    <w:rsid w:val="001D7D93"/>
    <w:rsid w:val="001E190A"/>
    <w:rsid w:val="001E44BD"/>
    <w:rsid w:val="001E5A76"/>
    <w:rsid w:val="001E692F"/>
    <w:rsid w:val="001E73F1"/>
    <w:rsid w:val="001F4646"/>
    <w:rsid w:val="001F73BE"/>
    <w:rsid w:val="00201590"/>
    <w:rsid w:val="00205C2C"/>
    <w:rsid w:val="00221986"/>
    <w:rsid w:val="00233B6E"/>
    <w:rsid w:val="002359BE"/>
    <w:rsid w:val="00250E1D"/>
    <w:rsid w:val="00252B08"/>
    <w:rsid w:val="00254085"/>
    <w:rsid w:val="0025580E"/>
    <w:rsid w:val="00255D7B"/>
    <w:rsid w:val="0026346E"/>
    <w:rsid w:val="0027133E"/>
    <w:rsid w:val="00272B16"/>
    <w:rsid w:val="00273854"/>
    <w:rsid w:val="00282A04"/>
    <w:rsid w:val="00283232"/>
    <w:rsid w:val="00290C20"/>
    <w:rsid w:val="0029482E"/>
    <w:rsid w:val="00295E27"/>
    <w:rsid w:val="002A2D54"/>
    <w:rsid w:val="002A6FC3"/>
    <w:rsid w:val="002B224F"/>
    <w:rsid w:val="002B3506"/>
    <w:rsid w:val="002B6B71"/>
    <w:rsid w:val="002C7683"/>
    <w:rsid w:val="002D064F"/>
    <w:rsid w:val="002D16A7"/>
    <w:rsid w:val="002E6592"/>
    <w:rsid w:val="002F340E"/>
    <w:rsid w:val="002F63C5"/>
    <w:rsid w:val="00303349"/>
    <w:rsid w:val="003065AC"/>
    <w:rsid w:val="003102C3"/>
    <w:rsid w:val="0031077A"/>
    <w:rsid w:val="003221F3"/>
    <w:rsid w:val="00323E85"/>
    <w:rsid w:val="0033041D"/>
    <w:rsid w:val="00341CC2"/>
    <w:rsid w:val="003425F8"/>
    <w:rsid w:val="00342659"/>
    <w:rsid w:val="0034529C"/>
    <w:rsid w:val="00346BAE"/>
    <w:rsid w:val="00362FB4"/>
    <w:rsid w:val="00363AF1"/>
    <w:rsid w:val="00363DD1"/>
    <w:rsid w:val="00370DA9"/>
    <w:rsid w:val="00375DE0"/>
    <w:rsid w:val="00380478"/>
    <w:rsid w:val="00381BFC"/>
    <w:rsid w:val="00382569"/>
    <w:rsid w:val="003901D1"/>
    <w:rsid w:val="003907D4"/>
    <w:rsid w:val="00395256"/>
    <w:rsid w:val="00395953"/>
    <w:rsid w:val="003A0B83"/>
    <w:rsid w:val="003B07CA"/>
    <w:rsid w:val="003B317F"/>
    <w:rsid w:val="003B3ECF"/>
    <w:rsid w:val="003B55F3"/>
    <w:rsid w:val="003C27D0"/>
    <w:rsid w:val="003D0AB2"/>
    <w:rsid w:val="003D1C8D"/>
    <w:rsid w:val="003D2EFD"/>
    <w:rsid w:val="003E4E3F"/>
    <w:rsid w:val="003E6E41"/>
    <w:rsid w:val="003F2683"/>
    <w:rsid w:val="003F70FB"/>
    <w:rsid w:val="003F7677"/>
    <w:rsid w:val="0040305D"/>
    <w:rsid w:val="00405539"/>
    <w:rsid w:val="00406282"/>
    <w:rsid w:val="004069C9"/>
    <w:rsid w:val="00407BC7"/>
    <w:rsid w:val="00410F8C"/>
    <w:rsid w:val="00411C59"/>
    <w:rsid w:val="00411DE5"/>
    <w:rsid w:val="00415FA0"/>
    <w:rsid w:val="004215B0"/>
    <w:rsid w:val="00424DCA"/>
    <w:rsid w:val="0042612F"/>
    <w:rsid w:val="004267D8"/>
    <w:rsid w:val="0043586E"/>
    <w:rsid w:val="00436940"/>
    <w:rsid w:val="0043747F"/>
    <w:rsid w:val="0044253D"/>
    <w:rsid w:val="004520C3"/>
    <w:rsid w:val="0045496A"/>
    <w:rsid w:val="00455427"/>
    <w:rsid w:val="00462C3A"/>
    <w:rsid w:val="00465F3E"/>
    <w:rsid w:val="00466E55"/>
    <w:rsid w:val="0047494A"/>
    <w:rsid w:val="00474CCC"/>
    <w:rsid w:val="00475AE9"/>
    <w:rsid w:val="00476F39"/>
    <w:rsid w:val="004804EF"/>
    <w:rsid w:val="00484678"/>
    <w:rsid w:val="0048556B"/>
    <w:rsid w:val="00490C67"/>
    <w:rsid w:val="00492617"/>
    <w:rsid w:val="004A3728"/>
    <w:rsid w:val="004A66E4"/>
    <w:rsid w:val="004B2ADF"/>
    <w:rsid w:val="004B468C"/>
    <w:rsid w:val="004B4881"/>
    <w:rsid w:val="004C4FD8"/>
    <w:rsid w:val="004D780F"/>
    <w:rsid w:val="004E505A"/>
    <w:rsid w:val="004E563F"/>
    <w:rsid w:val="004E5A6D"/>
    <w:rsid w:val="0050169F"/>
    <w:rsid w:val="005034E8"/>
    <w:rsid w:val="00504017"/>
    <w:rsid w:val="00513BEA"/>
    <w:rsid w:val="0051648F"/>
    <w:rsid w:val="0051782D"/>
    <w:rsid w:val="00520332"/>
    <w:rsid w:val="00534555"/>
    <w:rsid w:val="0053462E"/>
    <w:rsid w:val="00547DF9"/>
    <w:rsid w:val="00552474"/>
    <w:rsid w:val="0055452F"/>
    <w:rsid w:val="005611ED"/>
    <w:rsid w:val="005625A4"/>
    <w:rsid w:val="0056792E"/>
    <w:rsid w:val="00576A0F"/>
    <w:rsid w:val="005803A5"/>
    <w:rsid w:val="0058124D"/>
    <w:rsid w:val="00585978"/>
    <w:rsid w:val="00587D68"/>
    <w:rsid w:val="00591E9F"/>
    <w:rsid w:val="00593033"/>
    <w:rsid w:val="00594405"/>
    <w:rsid w:val="005A1189"/>
    <w:rsid w:val="005A4D54"/>
    <w:rsid w:val="005A59BA"/>
    <w:rsid w:val="005A6914"/>
    <w:rsid w:val="005C190E"/>
    <w:rsid w:val="005C1D8E"/>
    <w:rsid w:val="005C3FCB"/>
    <w:rsid w:val="005C528C"/>
    <w:rsid w:val="005C6906"/>
    <w:rsid w:val="005D4564"/>
    <w:rsid w:val="005D6EC1"/>
    <w:rsid w:val="005E0B32"/>
    <w:rsid w:val="005F2407"/>
    <w:rsid w:val="005F4448"/>
    <w:rsid w:val="005F4A85"/>
    <w:rsid w:val="005F504B"/>
    <w:rsid w:val="005F5897"/>
    <w:rsid w:val="00600636"/>
    <w:rsid w:val="00601807"/>
    <w:rsid w:val="00603A3C"/>
    <w:rsid w:val="0060773B"/>
    <w:rsid w:val="00612CE6"/>
    <w:rsid w:val="006132D5"/>
    <w:rsid w:val="00620EE9"/>
    <w:rsid w:val="00622F9B"/>
    <w:rsid w:val="00625ACA"/>
    <w:rsid w:val="00626B39"/>
    <w:rsid w:val="006329EF"/>
    <w:rsid w:val="006337B8"/>
    <w:rsid w:val="00642FB8"/>
    <w:rsid w:val="00643ACC"/>
    <w:rsid w:val="00646F21"/>
    <w:rsid w:val="006476FF"/>
    <w:rsid w:val="0065517E"/>
    <w:rsid w:val="006578DA"/>
    <w:rsid w:val="00660002"/>
    <w:rsid w:val="006623F8"/>
    <w:rsid w:val="00665157"/>
    <w:rsid w:val="006676B1"/>
    <w:rsid w:val="00667C49"/>
    <w:rsid w:val="006704F5"/>
    <w:rsid w:val="00673D9A"/>
    <w:rsid w:val="00681EC2"/>
    <w:rsid w:val="006820C9"/>
    <w:rsid w:val="00683C7F"/>
    <w:rsid w:val="00684AA9"/>
    <w:rsid w:val="006854B3"/>
    <w:rsid w:val="00690DAD"/>
    <w:rsid w:val="006A1FAC"/>
    <w:rsid w:val="006A3934"/>
    <w:rsid w:val="006A3E35"/>
    <w:rsid w:val="006A3FBE"/>
    <w:rsid w:val="006B09B1"/>
    <w:rsid w:val="006B1CC2"/>
    <w:rsid w:val="006C1A3D"/>
    <w:rsid w:val="006C3558"/>
    <w:rsid w:val="006C39AB"/>
    <w:rsid w:val="006D08AE"/>
    <w:rsid w:val="006D21CB"/>
    <w:rsid w:val="006D2445"/>
    <w:rsid w:val="006D36FE"/>
    <w:rsid w:val="006D3CED"/>
    <w:rsid w:val="006E59F5"/>
    <w:rsid w:val="006E6364"/>
    <w:rsid w:val="006E6D69"/>
    <w:rsid w:val="006F1DDB"/>
    <w:rsid w:val="007013A7"/>
    <w:rsid w:val="007029A5"/>
    <w:rsid w:val="00704EA2"/>
    <w:rsid w:val="00710C80"/>
    <w:rsid w:val="00712178"/>
    <w:rsid w:val="00723667"/>
    <w:rsid w:val="00724C3D"/>
    <w:rsid w:val="00725BEA"/>
    <w:rsid w:val="007266DA"/>
    <w:rsid w:val="00727B6E"/>
    <w:rsid w:val="00732249"/>
    <w:rsid w:val="00734A81"/>
    <w:rsid w:val="00735BA0"/>
    <w:rsid w:val="007425F2"/>
    <w:rsid w:val="00743574"/>
    <w:rsid w:val="007467D7"/>
    <w:rsid w:val="007468BC"/>
    <w:rsid w:val="00746EC5"/>
    <w:rsid w:val="00753034"/>
    <w:rsid w:val="0075704C"/>
    <w:rsid w:val="007632FB"/>
    <w:rsid w:val="00791B04"/>
    <w:rsid w:val="007945EA"/>
    <w:rsid w:val="007A064F"/>
    <w:rsid w:val="007A12CF"/>
    <w:rsid w:val="007A299C"/>
    <w:rsid w:val="007B0F50"/>
    <w:rsid w:val="007C4F8B"/>
    <w:rsid w:val="007E28CA"/>
    <w:rsid w:val="007F087F"/>
    <w:rsid w:val="007F0E18"/>
    <w:rsid w:val="007F24E1"/>
    <w:rsid w:val="007F28FE"/>
    <w:rsid w:val="007F55F4"/>
    <w:rsid w:val="007F651C"/>
    <w:rsid w:val="00802801"/>
    <w:rsid w:val="008051C9"/>
    <w:rsid w:val="00812F57"/>
    <w:rsid w:val="00814D26"/>
    <w:rsid w:val="00817FE6"/>
    <w:rsid w:val="00820BCF"/>
    <w:rsid w:val="008212B6"/>
    <w:rsid w:val="00822A9B"/>
    <w:rsid w:val="00823553"/>
    <w:rsid w:val="00823DE6"/>
    <w:rsid w:val="00824ADB"/>
    <w:rsid w:val="00825ABF"/>
    <w:rsid w:val="008261D5"/>
    <w:rsid w:val="00827A36"/>
    <w:rsid w:val="008323A1"/>
    <w:rsid w:val="00833822"/>
    <w:rsid w:val="00836D09"/>
    <w:rsid w:val="008422BB"/>
    <w:rsid w:val="008453C2"/>
    <w:rsid w:val="0084602B"/>
    <w:rsid w:val="008558A1"/>
    <w:rsid w:val="00855B4C"/>
    <w:rsid w:val="00861C2D"/>
    <w:rsid w:val="0087115D"/>
    <w:rsid w:val="0087161B"/>
    <w:rsid w:val="00886824"/>
    <w:rsid w:val="0088755C"/>
    <w:rsid w:val="00890BC2"/>
    <w:rsid w:val="008954AA"/>
    <w:rsid w:val="00895B55"/>
    <w:rsid w:val="008A4564"/>
    <w:rsid w:val="008A48E1"/>
    <w:rsid w:val="008A56A5"/>
    <w:rsid w:val="008A5BB4"/>
    <w:rsid w:val="008A6932"/>
    <w:rsid w:val="008B06FC"/>
    <w:rsid w:val="008B3AD2"/>
    <w:rsid w:val="008B40D9"/>
    <w:rsid w:val="008B43C5"/>
    <w:rsid w:val="008B7446"/>
    <w:rsid w:val="008C02B6"/>
    <w:rsid w:val="008C0B81"/>
    <w:rsid w:val="008C1250"/>
    <w:rsid w:val="008C1346"/>
    <w:rsid w:val="008C2136"/>
    <w:rsid w:val="008C25F1"/>
    <w:rsid w:val="008C34A4"/>
    <w:rsid w:val="008D238C"/>
    <w:rsid w:val="008D742C"/>
    <w:rsid w:val="008D7715"/>
    <w:rsid w:val="008E1C29"/>
    <w:rsid w:val="008E252E"/>
    <w:rsid w:val="008E321B"/>
    <w:rsid w:val="008E68B6"/>
    <w:rsid w:val="008F1F07"/>
    <w:rsid w:val="008F2B32"/>
    <w:rsid w:val="008F4657"/>
    <w:rsid w:val="00900D16"/>
    <w:rsid w:val="009010EE"/>
    <w:rsid w:val="0090740D"/>
    <w:rsid w:val="0091039B"/>
    <w:rsid w:val="00913E53"/>
    <w:rsid w:val="0091443D"/>
    <w:rsid w:val="00914DF4"/>
    <w:rsid w:val="00917F88"/>
    <w:rsid w:val="00920D5A"/>
    <w:rsid w:val="009249B9"/>
    <w:rsid w:val="00924B9F"/>
    <w:rsid w:val="00931C34"/>
    <w:rsid w:val="00937B03"/>
    <w:rsid w:val="0094383F"/>
    <w:rsid w:val="009456BE"/>
    <w:rsid w:val="009540C3"/>
    <w:rsid w:val="00956C6B"/>
    <w:rsid w:val="00960F36"/>
    <w:rsid w:val="00965060"/>
    <w:rsid w:val="00970057"/>
    <w:rsid w:val="00974C12"/>
    <w:rsid w:val="0098015B"/>
    <w:rsid w:val="00982680"/>
    <w:rsid w:val="0098442C"/>
    <w:rsid w:val="00996229"/>
    <w:rsid w:val="009A137B"/>
    <w:rsid w:val="009A4596"/>
    <w:rsid w:val="009B20DE"/>
    <w:rsid w:val="009B2CDD"/>
    <w:rsid w:val="009C0DC9"/>
    <w:rsid w:val="009C16F8"/>
    <w:rsid w:val="009C521B"/>
    <w:rsid w:val="009C59B9"/>
    <w:rsid w:val="009D2408"/>
    <w:rsid w:val="009D4491"/>
    <w:rsid w:val="009D5CFC"/>
    <w:rsid w:val="009D6081"/>
    <w:rsid w:val="009E3A9B"/>
    <w:rsid w:val="009E4DBC"/>
    <w:rsid w:val="009F0137"/>
    <w:rsid w:val="009F2160"/>
    <w:rsid w:val="009F3D2E"/>
    <w:rsid w:val="009F6692"/>
    <w:rsid w:val="00A0326A"/>
    <w:rsid w:val="00A038FA"/>
    <w:rsid w:val="00A05E32"/>
    <w:rsid w:val="00A06654"/>
    <w:rsid w:val="00A10DA0"/>
    <w:rsid w:val="00A1279E"/>
    <w:rsid w:val="00A12BBA"/>
    <w:rsid w:val="00A16CB2"/>
    <w:rsid w:val="00A1733F"/>
    <w:rsid w:val="00A20AB1"/>
    <w:rsid w:val="00A20AD5"/>
    <w:rsid w:val="00A22D97"/>
    <w:rsid w:val="00A23E26"/>
    <w:rsid w:val="00A246E8"/>
    <w:rsid w:val="00A25404"/>
    <w:rsid w:val="00A263CE"/>
    <w:rsid w:val="00A26889"/>
    <w:rsid w:val="00A27ECF"/>
    <w:rsid w:val="00A307DD"/>
    <w:rsid w:val="00A322A5"/>
    <w:rsid w:val="00A3696F"/>
    <w:rsid w:val="00A43ACF"/>
    <w:rsid w:val="00A44D41"/>
    <w:rsid w:val="00A451C9"/>
    <w:rsid w:val="00A47E56"/>
    <w:rsid w:val="00A50605"/>
    <w:rsid w:val="00A54E5F"/>
    <w:rsid w:val="00A5516C"/>
    <w:rsid w:val="00A62089"/>
    <w:rsid w:val="00A620A1"/>
    <w:rsid w:val="00A64143"/>
    <w:rsid w:val="00A64728"/>
    <w:rsid w:val="00A667F8"/>
    <w:rsid w:val="00A80790"/>
    <w:rsid w:val="00A8348E"/>
    <w:rsid w:val="00A852C2"/>
    <w:rsid w:val="00A86695"/>
    <w:rsid w:val="00A913BA"/>
    <w:rsid w:val="00A92123"/>
    <w:rsid w:val="00A941E2"/>
    <w:rsid w:val="00AA26F8"/>
    <w:rsid w:val="00AA32BF"/>
    <w:rsid w:val="00AA4B90"/>
    <w:rsid w:val="00AA5E79"/>
    <w:rsid w:val="00AB1309"/>
    <w:rsid w:val="00AB6207"/>
    <w:rsid w:val="00AC2193"/>
    <w:rsid w:val="00AC5D24"/>
    <w:rsid w:val="00AD21E9"/>
    <w:rsid w:val="00AD41BF"/>
    <w:rsid w:val="00AD5D1A"/>
    <w:rsid w:val="00AE40E0"/>
    <w:rsid w:val="00AE588C"/>
    <w:rsid w:val="00AE66ED"/>
    <w:rsid w:val="00B0050A"/>
    <w:rsid w:val="00B0425A"/>
    <w:rsid w:val="00B04373"/>
    <w:rsid w:val="00B05704"/>
    <w:rsid w:val="00B074A2"/>
    <w:rsid w:val="00B10E62"/>
    <w:rsid w:val="00B11BA5"/>
    <w:rsid w:val="00B1508A"/>
    <w:rsid w:val="00B16B4B"/>
    <w:rsid w:val="00B25A3A"/>
    <w:rsid w:val="00B35251"/>
    <w:rsid w:val="00B35D47"/>
    <w:rsid w:val="00B473B5"/>
    <w:rsid w:val="00B5075D"/>
    <w:rsid w:val="00B52992"/>
    <w:rsid w:val="00B57898"/>
    <w:rsid w:val="00B618EF"/>
    <w:rsid w:val="00B65E00"/>
    <w:rsid w:val="00B72B8A"/>
    <w:rsid w:val="00B75A60"/>
    <w:rsid w:val="00B90E72"/>
    <w:rsid w:val="00B90F36"/>
    <w:rsid w:val="00B9375D"/>
    <w:rsid w:val="00BA15EF"/>
    <w:rsid w:val="00BA7F01"/>
    <w:rsid w:val="00BB2A02"/>
    <w:rsid w:val="00BB4ADA"/>
    <w:rsid w:val="00BB5AA4"/>
    <w:rsid w:val="00BC075A"/>
    <w:rsid w:val="00BC72C9"/>
    <w:rsid w:val="00BD399F"/>
    <w:rsid w:val="00BD6E64"/>
    <w:rsid w:val="00BD7223"/>
    <w:rsid w:val="00BE1F57"/>
    <w:rsid w:val="00BE7548"/>
    <w:rsid w:val="00BF39BB"/>
    <w:rsid w:val="00BF6736"/>
    <w:rsid w:val="00C02143"/>
    <w:rsid w:val="00C069AD"/>
    <w:rsid w:val="00C07FE9"/>
    <w:rsid w:val="00C143DC"/>
    <w:rsid w:val="00C153C8"/>
    <w:rsid w:val="00C16E0B"/>
    <w:rsid w:val="00C2263A"/>
    <w:rsid w:val="00C226F4"/>
    <w:rsid w:val="00C2494A"/>
    <w:rsid w:val="00C25047"/>
    <w:rsid w:val="00C30A3C"/>
    <w:rsid w:val="00C3355F"/>
    <w:rsid w:val="00C338B1"/>
    <w:rsid w:val="00C3399E"/>
    <w:rsid w:val="00C3425F"/>
    <w:rsid w:val="00C376B5"/>
    <w:rsid w:val="00C37890"/>
    <w:rsid w:val="00C43AEE"/>
    <w:rsid w:val="00C57C4D"/>
    <w:rsid w:val="00C636D1"/>
    <w:rsid w:val="00C63AE5"/>
    <w:rsid w:val="00C75078"/>
    <w:rsid w:val="00C845CC"/>
    <w:rsid w:val="00C85857"/>
    <w:rsid w:val="00C92A87"/>
    <w:rsid w:val="00CA60B0"/>
    <w:rsid w:val="00CA723D"/>
    <w:rsid w:val="00CA7899"/>
    <w:rsid w:val="00CB0F3A"/>
    <w:rsid w:val="00CB7F4E"/>
    <w:rsid w:val="00CC2D20"/>
    <w:rsid w:val="00CC5313"/>
    <w:rsid w:val="00CD0023"/>
    <w:rsid w:val="00CD0335"/>
    <w:rsid w:val="00CD26D3"/>
    <w:rsid w:val="00CD2B21"/>
    <w:rsid w:val="00CE1C53"/>
    <w:rsid w:val="00CE1DEC"/>
    <w:rsid w:val="00CE20C1"/>
    <w:rsid w:val="00CE2404"/>
    <w:rsid w:val="00CE62B2"/>
    <w:rsid w:val="00CE6FDB"/>
    <w:rsid w:val="00CF3CD8"/>
    <w:rsid w:val="00CF5307"/>
    <w:rsid w:val="00CF5ECC"/>
    <w:rsid w:val="00CF6EFF"/>
    <w:rsid w:val="00D0037A"/>
    <w:rsid w:val="00D01BAB"/>
    <w:rsid w:val="00D02106"/>
    <w:rsid w:val="00D02852"/>
    <w:rsid w:val="00D10918"/>
    <w:rsid w:val="00D1165D"/>
    <w:rsid w:val="00D135F1"/>
    <w:rsid w:val="00D226CE"/>
    <w:rsid w:val="00D22D5C"/>
    <w:rsid w:val="00D23AD9"/>
    <w:rsid w:val="00D23B58"/>
    <w:rsid w:val="00D33A41"/>
    <w:rsid w:val="00D424DF"/>
    <w:rsid w:val="00D42612"/>
    <w:rsid w:val="00D456B4"/>
    <w:rsid w:val="00D47178"/>
    <w:rsid w:val="00D476FB"/>
    <w:rsid w:val="00D5017E"/>
    <w:rsid w:val="00D50A33"/>
    <w:rsid w:val="00D566FE"/>
    <w:rsid w:val="00D769B3"/>
    <w:rsid w:val="00D80A4C"/>
    <w:rsid w:val="00D8149F"/>
    <w:rsid w:val="00D83981"/>
    <w:rsid w:val="00D85CBA"/>
    <w:rsid w:val="00D872CB"/>
    <w:rsid w:val="00D91C7F"/>
    <w:rsid w:val="00D9794F"/>
    <w:rsid w:val="00DA66F5"/>
    <w:rsid w:val="00DC409C"/>
    <w:rsid w:val="00DC47A9"/>
    <w:rsid w:val="00DC4893"/>
    <w:rsid w:val="00DC4D21"/>
    <w:rsid w:val="00DC66EF"/>
    <w:rsid w:val="00DD52BA"/>
    <w:rsid w:val="00DF3D87"/>
    <w:rsid w:val="00E11865"/>
    <w:rsid w:val="00E169AC"/>
    <w:rsid w:val="00E22B52"/>
    <w:rsid w:val="00E27750"/>
    <w:rsid w:val="00E301FE"/>
    <w:rsid w:val="00E30921"/>
    <w:rsid w:val="00E3144D"/>
    <w:rsid w:val="00E32DE7"/>
    <w:rsid w:val="00E36518"/>
    <w:rsid w:val="00E37220"/>
    <w:rsid w:val="00E37793"/>
    <w:rsid w:val="00E433EA"/>
    <w:rsid w:val="00E4542A"/>
    <w:rsid w:val="00E46D5B"/>
    <w:rsid w:val="00E50A4F"/>
    <w:rsid w:val="00E5465E"/>
    <w:rsid w:val="00E54B96"/>
    <w:rsid w:val="00E54FD3"/>
    <w:rsid w:val="00E632CD"/>
    <w:rsid w:val="00E661A9"/>
    <w:rsid w:val="00E74D28"/>
    <w:rsid w:val="00E820BB"/>
    <w:rsid w:val="00E83221"/>
    <w:rsid w:val="00E86567"/>
    <w:rsid w:val="00E91301"/>
    <w:rsid w:val="00E966F7"/>
    <w:rsid w:val="00E979B6"/>
    <w:rsid w:val="00EA1624"/>
    <w:rsid w:val="00EC6ACC"/>
    <w:rsid w:val="00ED0A23"/>
    <w:rsid w:val="00ED13A2"/>
    <w:rsid w:val="00ED5D96"/>
    <w:rsid w:val="00EE0585"/>
    <w:rsid w:val="00EE4121"/>
    <w:rsid w:val="00EE44D4"/>
    <w:rsid w:val="00EF0D10"/>
    <w:rsid w:val="00EF27F5"/>
    <w:rsid w:val="00EF6D34"/>
    <w:rsid w:val="00F00EBD"/>
    <w:rsid w:val="00F028C1"/>
    <w:rsid w:val="00F02B8C"/>
    <w:rsid w:val="00F06849"/>
    <w:rsid w:val="00F220B5"/>
    <w:rsid w:val="00F27C58"/>
    <w:rsid w:val="00F349E0"/>
    <w:rsid w:val="00F36FFF"/>
    <w:rsid w:val="00F50FD6"/>
    <w:rsid w:val="00F53BE7"/>
    <w:rsid w:val="00F55BB8"/>
    <w:rsid w:val="00F5795F"/>
    <w:rsid w:val="00F61335"/>
    <w:rsid w:val="00F620E2"/>
    <w:rsid w:val="00F8528E"/>
    <w:rsid w:val="00F90440"/>
    <w:rsid w:val="00F94326"/>
    <w:rsid w:val="00F9582A"/>
    <w:rsid w:val="00FA4497"/>
    <w:rsid w:val="00FB1E59"/>
    <w:rsid w:val="00FC21B6"/>
    <w:rsid w:val="00FC3D94"/>
    <w:rsid w:val="00FD0474"/>
    <w:rsid w:val="00FD27BF"/>
    <w:rsid w:val="00FD4C32"/>
    <w:rsid w:val="00FE6880"/>
    <w:rsid w:val="00FF5B6E"/>
    <w:rsid w:val="00FF66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14:docId w14:val="624E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10E62"/>
    <w:rPr>
      <w:position w:val="6"/>
      <w:sz w:val="18"/>
    </w:rPr>
  </w:style>
  <w:style w:type="paragraph" w:styleId="FootnoteText">
    <w:name w:val="footnote text"/>
    <w:basedOn w:val="Note"/>
    <w:link w:val="FootnoteTextChar"/>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basedOn w:val="Normal"/>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DefaultParagraphFont"/>
    <w:uiPriority w:val="99"/>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10E62"/>
    <w:rPr>
      <w:position w:val="6"/>
      <w:sz w:val="18"/>
    </w:rPr>
  </w:style>
  <w:style w:type="paragraph" w:styleId="FootnoteText">
    <w:name w:val="footnote text"/>
    <w:basedOn w:val="Note"/>
    <w:link w:val="FootnoteTextChar"/>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basedOn w:val="Normal"/>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DefaultParagraphFont"/>
    <w:uiPriority w:val="99"/>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uiPriority w:val="99"/>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6347">
      <w:bodyDiv w:val="1"/>
      <w:marLeft w:val="0"/>
      <w:marRight w:val="0"/>
      <w:marTop w:val="0"/>
      <w:marBottom w:val="0"/>
      <w:divBdr>
        <w:top w:val="none" w:sz="0" w:space="0" w:color="auto"/>
        <w:left w:val="none" w:sz="0" w:space="0" w:color="auto"/>
        <w:bottom w:val="none" w:sz="0" w:space="0" w:color="auto"/>
        <w:right w:val="none" w:sz="0" w:space="0" w:color="auto"/>
      </w:divBdr>
    </w:div>
    <w:div w:id="306278240">
      <w:bodyDiv w:val="1"/>
      <w:marLeft w:val="0"/>
      <w:marRight w:val="0"/>
      <w:marTop w:val="0"/>
      <w:marBottom w:val="0"/>
      <w:divBdr>
        <w:top w:val="none" w:sz="0" w:space="0" w:color="auto"/>
        <w:left w:val="none" w:sz="0" w:space="0" w:color="auto"/>
        <w:bottom w:val="none" w:sz="0" w:space="0" w:color="auto"/>
        <w:right w:val="none" w:sz="0" w:space="0" w:color="auto"/>
      </w:divBdr>
    </w:div>
    <w:div w:id="426854680">
      <w:bodyDiv w:val="1"/>
      <w:marLeft w:val="0"/>
      <w:marRight w:val="0"/>
      <w:marTop w:val="0"/>
      <w:marBottom w:val="0"/>
      <w:divBdr>
        <w:top w:val="none" w:sz="0" w:space="0" w:color="auto"/>
        <w:left w:val="none" w:sz="0" w:space="0" w:color="auto"/>
        <w:bottom w:val="none" w:sz="0" w:space="0" w:color="auto"/>
        <w:right w:val="none" w:sz="0" w:space="0" w:color="auto"/>
      </w:divBdr>
    </w:div>
    <w:div w:id="461578371">
      <w:bodyDiv w:val="1"/>
      <w:marLeft w:val="0"/>
      <w:marRight w:val="0"/>
      <w:marTop w:val="0"/>
      <w:marBottom w:val="0"/>
      <w:divBdr>
        <w:top w:val="none" w:sz="0" w:space="0" w:color="auto"/>
        <w:left w:val="none" w:sz="0" w:space="0" w:color="auto"/>
        <w:bottom w:val="none" w:sz="0" w:space="0" w:color="auto"/>
        <w:right w:val="none" w:sz="0" w:space="0" w:color="auto"/>
      </w:divBdr>
    </w:div>
    <w:div w:id="489828901">
      <w:bodyDiv w:val="1"/>
      <w:marLeft w:val="0"/>
      <w:marRight w:val="0"/>
      <w:marTop w:val="0"/>
      <w:marBottom w:val="0"/>
      <w:divBdr>
        <w:top w:val="none" w:sz="0" w:space="0" w:color="auto"/>
        <w:left w:val="none" w:sz="0" w:space="0" w:color="auto"/>
        <w:bottom w:val="none" w:sz="0" w:space="0" w:color="auto"/>
        <w:right w:val="none" w:sz="0" w:space="0" w:color="auto"/>
      </w:divBdr>
    </w:div>
    <w:div w:id="507211957">
      <w:bodyDiv w:val="1"/>
      <w:marLeft w:val="0"/>
      <w:marRight w:val="0"/>
      <w:marTop w:val="0"/>
      <w:marBottom w:val="0"/>
      <w:divBdr>
        <w:top w:val="none" w:sz="0" w:space="0" w:color="auto"/>
        <w:left w:val="none" w:sz="0" w:space="0" w:color="auto"/>
        <w:bottom w:val="none" w:sz="0" w:space="0" w:color="auto"/>
        <w:right w:val="none" w:sz="0" w:space="0" w:color="auto"/>
      </w:divBdr>
    </w:div>
    <w:div w:id="640814463">
      <w:bodyDiv w:val="1"/>
      <w:marLeft w:val="0"/>
      <w:marRight w:val="0"/>
      <w:marTop w:val="0"/>
      <w:marBottom w:val="0"/>
      <w:divBdr>
        <w:top w:val="none" w:sz="0" w:space="0" w:color="auto"/>
        <w:left w:val="none" w:sz="0" w:space="0" w:color="auto"/>
        <w:bottom w:val="none" w:sz="0" w:space="0" w:color="auto"/>
        <w:right w:val="none" w:sz="0" w:space="0" w:color="auto"/>
      </w:divBdr>
    </w:div>
    <w:div w:id="732969829">
      <w:bodyDiv w:val="1"/>
      <w:marLeft w:val="0"/>
      <w:marRight w:val="0"/>
      <w:marTop w:val="0"/>
      <w:marBottom w:val="0"/>
      <w:divBdr>
        <w:top w:val="none" w:sz="0" w:space="0" w:color="auto"/>
        <w:left w:val="none" w:sz="0" w:space="0" w:color="auto"/>
        <w:bottom w:val="none" w:sz="0" w:space="0" w:color="auto"/>
        <w:right w:val="none" w:sz="0" w:space="0" w:color="auto"/>
      </w:divBdr>
    </w:div>
    <w:div w:id="759447943">
      <w:bodyDiv w:val="1"/>
      <w:marLeft w:val="0"/>
      <w:marRight w:val="0"/>
      <w:marTop w:val="0"/>
      <w:marBottom w:val="0"/>
      <w:divBdr>
        <w:top w:val="none" w:sz="0" w:space="0" w:color="auto"/>
        <w:left w:val="none" w:sz="0" w:space="0" w:color="auto"/>
        <w:bottom w:val="none" w:sz="0" w:space="0" w:color="auto"/>
        <w:right w:val="none" w:sz="0" w:space="0" w:color="auto"/>
      </w:divBdr>
    </w:div>
    <w:div w:id="762461507">
      <w:bodyDiv w:val="1"/>
      <w:marLeft w:val="0"/>
      <w:marRight w:val="0"/>
      <w:marTop w:val="0"/>
      <w:marBottom w:val="0"/>
      <w:divBdr>
        <w:top w:val="none" w:sz="0" w:space="0" w:color="auto"/>
        <w:left w:val="none" w:sz="0" w:space="0" w:color="auto"/>
        <w:bottom w:val="none" w:sz="0" w:space="0" w:color="auto"/>
        <w:right w:val="none" w:sz="0" w:space="0" w:color="auto"/>
      </w:divBdr>
    </w:div>
    <w:div w:id="782925277">
      <w:bodyDiv w:val="1"/>
      <w:marLeft w:val="0"/>
      <w:marRight w:val="0"/>
      <w:marTop w:val="0"/>
      <w:marBottom w:val="0"/>
      <w:divBdr>
        <w:top w:val="none" w:sz="0" w:space="0" w:color="auto"/>
        <w:left w:val="none" w:sz="0" w:space="0" w:color="auto"/>
        <w:bottom w:val="none" w:sz="0" w:space="0" w:color="auto"/>
        <w:right w:val="none" w:sz="0" w:space="0" w:color="auto"/>
      </w:divBdr>
    </w:div>
    <w:div w:id="1041632119">
      <w:bodyDiv w:val="1"/>
      <w:marLeft w:val="0"/>
      <w:marRight w:val="0"/>
      <w:marTop w:val="0"/>
      <w:marBottom w:val="0"/>
      <w:divBdr>
        <w:top w:val="none" w:sz="0" w:space="0" w:color="auto"/>
        <w:left w:val="none" w:sz="0" w:space="0" w:color="auto"/>
        <w:bottom w:val="none" w:sz="0" w:space="0" w:color="auto"/>
        <w:right w:val="none" w:sz="0" w:space="0" w:color="auto"/>
      </w:divBdr>
      <w:divsChild>
        <w:div w:id="1703361075">
          <w:marLeft w:val="0"/>
          <w:marRight w:val="0"/>
          <w:marTop w:val="0"/>
          <w:marBottom w:val="0"/>
          <w:divBdr>
            <w:top w:val="none" w:sz="0" w:space="0" w:color="auto"/>
            <w:left w:val="none" w:sz="0" w:space="0" w:color="auto"/>
            <w:bottom w:val="none" w:sz="0" w:space="0" w:color="auto"/>
            <w:right w:val="none" w:sz="0" w:space="0" w:color="auto"/>
          </w:divBdr>
        </w:div>
      </w:divsChild>
    </w:div>
    <w:div w:id="1197888528">
      <w:bodyDiv w:val="1"/>
      <w:marLeft w:val="0"/>
      <w:marRight w:val="0"/>
      <w:marTop w:val="0"/>
      <w:marBottom w:val="0"/>
      <w:divBdr>
        <w:top w:val="none" w:sz="0" w:space="0" w:color="auto"/>
        <w:left w:val="none" w:sz="0" w:space="0" w:color="auto"/>
        <w:bottom w:val="none" w:sz="0" w:space="0" w:color="auto"/>
        <w:right w:val="none" w:sz="0" w:space="0" w:color="auto"/>
      </w:divBdr>
    </w:div>
    <w:div w:id="1342512027">
      <w:bodyDiv w:val="1"/>
      <w:marLeft w:val="0"/>
      <w:marRight w:val="0"/>
      <w:marTop w:val="0"/>
      <w:marBottom w:val="0"/>
      <w:divBdr>
        <w:top w:val="none" w:sz="0" w:space="0" w:color="auto"/>
        <w:left w:val="none" w:sz="0" w:space="0" w:color="auto"/>
        <w:bottom w:val="none" w:sz="0" w:space="0" w:color="auto"/>
        <w:right w:val="none" w:sz="0" w:space="0" w:color="auto"/>
      </w:divBdr>
    </w:div>
    <w:div w:id="1405835575">
      <w:bodyDiv w:val="1"/>
      <w:marLeft w:val="0"/>
      <w:marRight w:val="0"/>
      <w:marTop w:val="0"/>
      <w:marBottom w:val="0"/>
      <w:divBdr>
        <w:top w:val="none" w:sz="0" w:space="0" w:color="auto"/>
        <w:left w:val="none" w:sz="0" w:space="0" w:color="auto"/>
        <w:bottom w:val="none" w:sz="0" w:space="0" w:color="auto"/>
        <w:right w:val="none" w:sz="0" w:space="0" w:color="auto"/>
      </w:divBdr>
    </w:div>
    <w:div w:id="1537156964">
      <w:bodyDiv w:val="1"/>
      <w:marLeft w:val="0"/>
      <w:marRight w:val="0"/>
      <w:marTop w:val="0"/>
      <w:marBottom w:val="0"/>
      <w:divBdr>
        <w:top w:val="none" w:sz="0" w:space="0" w:color="auto"/>
        <w:left w:val="none" w:sz="0" w:space="0" w:color="auto"/>
        <w:bottom w:val="none" w:sz="0" w:space="0" w:color="auto"/>
        <w:right w:val="none" w:sz="0" w:space="0" w:color="auto"/>
      </w:divBdr>
    </w:div>
    <w:div w:id="1575385616">
      <w:bodyDiv w:val="1"/>
      <w:marLeft w:val="0"/>
      <w:marRight w:val="0"/>
      <w:marTop w:val="0"/>
      <w:marBottom w:val="0"/>
      <w:divBdr>
        <w:top w:val="none" w:sz="0" w:space="0" w:color="auto"/>
        <w:left w:val="none" w:sz="0" w:space="0" w:color="auto"/>
        <w:bottom w:val="none" w:sz="0" w:space="0" w:color="auto"/>
        <w:right w:val="none" w:sz="0" w:space="0" w:color="auto"/>
      </w:divBdr>
    </w:div>
    <w:div w:id="1679382504">
      <w:bodyDiv w:val="1"/>
      <w:marLeft w:val="0"/>
      <w:marRight w:val="0"/>
      <w:marTop w:val="0"/>
      <w:marBottom w:val="0"/>
      <w:divBdr>
        <w:top w:val="none" w:sz="0" w:space="0" w:color="auto"/>
        <w:left w:val="none" w:sz="0" w:space="0" w:color="auto"/>
        <w:bottom w:val="none" w:sz="0" w:space="0" w:color="auto"/>
        <w:right w:val="none" w:sz="0" w:space="0" w:color="auto"/>
      </w:divBdr>
    </w:div>
    <w:div w:id="1869366971">
      <w:bodyDiv w:val="1"/>
      <w:marLeft w:val="0"/>
      <w:marRight w:val="0"/>
      <w:marTop w:val="0"/>
      <w:marBottom w:val="0"/>
      <w:divBdr>
        <w:top w:val="none" w:sz="0" w:space="0" w:color="auto"/>
        <w:left w:val="none" w:sz="0" w:space="0" w:color="auto"/>
        <w:bottom w:val="none" w:sz="0" w:space="0" w:color="auto"/>
        <w:right w:val="none" w:sz="0" w:space="0" w:color="auto"/>
      </w:divBdr>
    </w:div>
    <w:div w:id="1882396236">
      <w:bodyDiv w:val="1"/>
      <w:marLeft w:val="0"/>
      <w:marRight w:val="0"/>
      <w:marTop w:val="0"/>
      <w:marBottom w:val="0"/>
      <w:divBdr>
        <w:top w:val="none" w:sz="0" w:space="0" w:color="auto"/>
        <w:left w:val="none" w:sz="0" w:space="0" w:color="auto"/>
        <w:bottom w:val="none" w:sz="0" w:space="0" w:color="auto"/>
        <w:right w:val="none" w:sz="0" w:space="0" w:color="auto"/>
      </w:divBdr>
    </w:div>
    <w:div w:id="2100439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00-CA-CIR-0194/en" TargetMode="External"/><Relationship Id="rId18" Type="http://schemas.openxmlformats.org/officeDocument/2006/relationships/image" Target="media/image2.emf"/><Relationship Id="rId26" Type="http://schemas.openxmlformats.org/officeDocument/2006/relationships/hyperlink" Target="http://www.itu.int/pub/R-SP-LM.V-2011" TargetMode="External"/><Relationship Id="rId39" Type="http://schemas.openxmlformats.org/officeDocument/2006/relationships/hyperlink" Target="http://www.itu.int/md/R07-CPM11.02-C-0001/en" TargetMode="External"/><Relationship Id="rId21" Type="http://schemas.openxmlformats.org/officeDocument/2006/relationships/hyperlink" Target="http://www.itu.int/cgi-bin/htsh/mm/scripts/mm.list?_search=UNIV&amp;_languageid=1" TargetMode="External"/><Relationship Id="rId34" Type="http://schemas.openxmlformats.org/officeDocument/2006/relationships/hyperlink" Target="http://www.itu.int/ITU-R/go/RA-12" TargetMode="External"/><Relationship Id="rId42" Type="http://schemas.openxmlformats.org/officeDocument/2006/relationships/hyperlink" Target="http://www.itu.int/md/R07-CPM11.02-C-0033/en" TargetMode="External"/><Relationship Id="rId47" Type="http://schemas.openxmlformats.org/officeDocument/2006/relationships/hyperlink" Target="https://www.itu.int/exchweb/bin/redir.asp?URL=http://www.itu.int/ITU-R/index.asp?category=conferences%26rlink=wrc-12-info-10%26lang=en" TargetMode="External"/><Relationship Id="rId50" Type="http://schemas.openxmlformats.org/officeDocument/2006/relationships/hyperlink" Target="http://www.itu.int/md/R10-RRB.10.3-INF-0001/en" TargetMode="External"/><Relationship Id="rId55" Type="http://schemas.openxmlformats.org/officeDocument/2006/relationships/hyperlink" Target="http://www.itu.int/ITU-R/go/performance-reports/%20" TargetMode="External"/><Relationship Id="rId63" Type="http://schemas.openxmlformats.org/officeDocument/2006/relationships/fontTable" Target="fontTable.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itu.int/md/S10-CL-C-0014/en" TargetMode="External"/><Relationship Id="rId20" Type="http://schemas.openxmlformats.org/officeDocument/2006/relationships/hyperlink" Target="http://www.itu.int/council/Basic-Texts/ResDecRec-PP10-e.docx" TargetMode="External"/><Relationship Id="rId29" Type="http://schemas.openxmlformats.org/officeDocument/2006/relationships/hyperlink" Target="http://www.itu.int/md/T09-TSAG-110208-TD-GEN-0247/en" TargetMode="External"/><Relationship Id="rId41" Type="http://schemas.openxmlformats.org/officeDocument/2006/relationships/hyperlink" Target="http://www.itu.int/md/R07-CPM11.02-C-0032/en" TargetMode="External"/><Relationship Id="rId54" Type="http://schemas.openxmlformats.org/officeDocument/2006/relationships/hyperlink" Target="http://www.itu.int/ITU-R/go/operational-plans/en"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itu.int/council/Basic-Texts/ResDecRec-PP10-e.docx" TargetMode="External"/><Relationship Id="rId32" Type="http://schemas.openxmlformats.org/officeDocument/2006/relationships/hyperlink" Target="http://www.itu.int/md/T09-TSAG-110208-TD-GEN-0224/en" TargetMode="External"/><Relationship Id="rId37" Type="http://schemas.openxmlformats.org/officeDocument/2006/relationships/hyperlink" Target="http://www.itu.int/md/R07-CPM11.02-C-0033/en" TargetMode="External"/><Relationship Id="rId40" Type="http://schemas.openxmlformats.org/officeDocument/2006/relationships/hyperlink" Target="http://www.itu.int/md/R07-CPM11.02-C-0002/en" TargetMode="External"/><Relationship Id="rId45" Type="http://schemas.openxmlformats.org/officeDocument/2006/relationships/hyperlink" Target="http://www.itu.int/md/R07-CPM11.02-R-0001" TargetMode="External"/><Relationship Id="rId53" Type="http://schemas.openxmlformats.org/officeDocument/2006/relationships/hyperlink" Target="http://www.itu.int/md/R00-CR-CIR-0321/en" TargetMode="External"/><Relationship Id="rId58"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itu.int/council/cext-2010/" TargetMode="External"/><Relationship Id="rId23" Type="http://schemas.openxmlformats.org/officeDocument/2006/relationships/hyperlink" Target="http://www.itu.int/council/Basic-Texts/ResDecRec-PP10-e.docx" TargetMode="External"/><Relationship Id="rId28" Type="http://schemas.openxmlformats.org/officeDocument/2006/relationships/hyperlink" Target="http://www.itu.int/council/Basic-Texts/ResDecRec-PP10-e.docx" TargetMode="External"/><Relationship Id="rId36" Type="http://schemas.openxmlformats.org/officeDocument/2006/relationships/hyperlink" Target="http://www.itu.int/md/R07-CPM11.02-C-0032/en" TargetMode="External"/><Relationship Id="rId49" Type="http://schemas.openxmlformats.org/officeDocument/2006/relationships/hyperlink" Target="http://www.itu.int/md/R07-CPM11.02-R-0001/en"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package" Target="embeddings/Microsoft_Excel_Worksheet1.xlsx"/><Relationship Id="rId31" Type="http://schemas.openxmlformats.org/officeDocument/2006/relationships/hyperlink" Target="http://www.itu.int/council/Basic-Texts/ResDecRec-PP10-e.docx" TargetMode="External"/><Relationship Id="rId44" Type="http://schemas.openxmlformats.org/officeDocument/2006/relationships/hyperlink" Target="http://www.itu.int/md/R07-CPM11.02-C-0001/en" TargetMode="External"/><Relationship Id="rId52" Type="http://schemas.openxmlformats.org/officeDocument/2006/relationships/hyperlink" Target="http://www.itu.int/sns/plans.html"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council/C2010/" TargetMode="External"/><Relationship Id="rId22" Type="http://schemas.openxmlformats.org/officeDocument/2006/relationships/hyperlink" Target="http://www.itu.int/council/Basic-Texts/ResDecRec-PP10-e.docx" TargetMode="External"/><Relationship Id="rId27" Type="http://schemas.openxmlformats.org/officeDocument/2006/relationships/hyperlink" Target="http://www.itu.int/council/Basic-Texts/ResDecRec-PP10-e.docx" TargetMode="External"/><Relationship Id="rId30" Type="http://schemas.openxmlformats.org/officeDocument/2006/relationships/hyperlink" Target="http://www.itu.int/council/Basic-Texts/ResDecRec-PP10-e.docx" TargetMode="External"/><Relationship Id="rId35" Type="http://schemas.openxmlformats.org/officeDocument/2006/relationships/hyperlink" Target="http://www.itu.int/ITU-R/go/WRC-12" TargetMode="External"/><Relationship Id="rId43" Type="http://schemas.openxmlformats.org/officeDocument/2006/relationships/hyperlink" Target="http://www.itu.int/md/R07-CPM11.02-C-0034/en" TargetMode="External"/><Relationship Id="rId48" Type="http://schemas.openxmlformats.org/officeDocument/2006/relationships/hyperlink" Target="http://www.itu.int/ITU-R/go/wrc-12-regional" TargetMode="External"/><Relationship Id="rId56" Type="http://schemas.openxmlformats.org/officeDocument/2006/relationships/hyperlink" Target="http://www.itu.int/ITU-R/go/seminars"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itu.int/ITU-R/go/res647"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itu.int/council/Basic-Texts/ResDecRec-PP10-e.docx" TargetMode="External"/><Relationship Id="rId25" Type="http://schemas.openxmlformats.org/officeDocument/2006/relationships/hyperlink" Target="http://www.itu.int/pub/R-HDB-23" TargetMode="External"/><Relationship Id="rId33" Type="http://schemas.openxmlformats.org/officeDocument/2006/relationships/hyperlink" Target="http://www.itu.int/en/ITU-T/focusgroups/avaccessibility/Pages/tor.aspx" TargetMode="External"/><Relationship Id="rId38" Type="http://schemas.openxmlformats.org/officeDocument/2006/relationships/hyperlink" Target="http://www.itu.int/md/R07-CPM11.02-C-0034/en" TargetMode="External"/><Relationship Id="rId46" Type="http://schemas.openxmlformats.org/officeDocument/2006/relationships/hyperlink" Target="http://www.itu.int/pub/R-ACT-CPM.1-2011" TargetMode="External"/><Relationship Id="rId5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liamc\Application%20Data\Microsoft\Templates\POOL%20E%20-%20ITU\PE_RAG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6EC1E-ED12-45B6-98D8-E5DC5442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FE8248-8BBE-4147-B40D-E01F31ED84B8}">
  <ds:schemaRefs>
    <ds:schemaRef ds:uri="http://schemas.microsoft.com/sharepoint/v3/contenttype/forms"/>
  </ds:schemaRefs>
</ds:datastoreItem>
</file>

<file path=customXml/itemProps3.xml><?xml version="1.0" encoding="utf-8"?>
<ds:datastoreItem xmlns:ds="http://schemas.openxmlformats.org/officeDocument/2006/customXml" ds:itemID="{8C5CF0B2-7EF8-4B26-8A2C-E4AB6F578773}">
  <ds:schemaRefs>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674DFED-01B2-46DC-8779-6DCCE14B0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PE_RAG07</Template>
  <TotalTime>51</TotalTime>
  <Pages>18</Pages>
  <Words>7968</Words>
  <Characters>49122</Characters>
  <Application>Microsoft Office Word</Application>
  <DocSecurity>0</DocSecurity>
  <Lines>409</Lines>
  <Paragraphs>113</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REPORT TO THE FIFTEENTH MEETING OF THE RADIOCOMMUNICATION ADVISORY GROUP</vt:lpstr>
      <vt:lpstr>1	Introduction</vt:lpstr>
      <vt:lpstr>2	Council issues</vt:lpstr>
      <vt:lpstr>    2.1	Cost recovery for the processing of satellite network filings </vt:lpstr>
      <vt:lpstr>    2.2	New Council Working Groups</vt:lpstr>
      <vt:lpstr>    2.3	Preparation of the draft budget for 2012-2013</vt:lpstr>
      <vt:lpstr>3	Results of PP-10</vt:lpstr>
      <vt:lpstr>    3.1	Strategic Plan 2012-2015 (Resolution 71 (Rev. Guadalajara 2010))</vt:lpstr>
      <vt:lpstr>    3.2	Financial Plan 2012-2015 (Decision 5 (Rev. Guadalajara, 2010))</vt:lpstr>
      <vt:lpstr>        3.2.1	Date of the first session of the CPM for WRC-15/16</vt:lpstr>
      <vt:lpstr>    3.3	Admission of academia (Resolution 169 (Guadalajara, 2010))</vt:lpstr>
      <vt:lpstr>    3.4	Admission of Sector Members from developing countries (Resolution 170 (Guada</vt:lpstr>
      <vt:lpstr>    3.5	Free online access to some ITU-R publications (Decision 12 (Guadalajara, 201</vt:lpstr>
      <vt:lpstr>    3.6        Documents and publications of the Union (Resolution 66 (Rev. Guadalaj</vt:lpstr>
      <vt:lpstr>    3.7	Electronic meetings working methods (Resolution 167 (Guadalajara, 2010))</vt:lpstr>
      <vt:lpstr>    3.8	Contributions and registration (Resolution 165 (Guadalajara, 2010))</vt:lpstr>
      <vt:lpstr>    3.9	Number of vice-chairmen of RAG, ITU-R study groups and other groups (Resolut</vt:lpstr>
      <vt:lpstr>    3.10	Conformance and interoperability (Resolution 177 (Guadalajara, 2010))</vt:lpstr>
      <vt:lpstr>4	Study group activities</vt:lpstr>
      <vt:lpstr>    4.3	Notable activities in the Study Groups</vt:lpstr>
      <vt:lpstr>    4.4	Liaison and collaboration with ITU-D and ITU-T, and with other organisations</vt:lpstr>
      <vt:lpstr>5	RA-12 preparation</vt:lpstr>
      <vt:lpstr>6	WRC-12 preparation</vt:lpstr>
      <vt:lpstr>6.1	CPM11-2</vt:lpstr>
      <vt:lpstr>6.2	Other preparatory activities for WRC-12</vt:lpstr>
      <vt:lpstr>    6.3	Resolution 80 (Rev.WRC-07) </vt:lpstr>
      <vt:lpstr>    6.4	Emergency communications database</vt:lpstr>
      <vt:lpstr>    6.5	Conference-related software development</vt:lpstr>
      <vt:lpstr>7	Operational Planning</vt:lpstr>
      <vt:lpstr>8	Seminars and Workshops</vt:lpstr>
      <vt:lpstr>    8.1	Inter-sectoral coordination of seminars and workshops</vt:lpstr>
      <vt:lpstr>9 	Statistics on Sector Members and Associates</vt:lpstr>
    </vt:vector>
  </TitlesOfParts>
  <Manager>General Secretariat - Pool</Manager>
  <Company>International Telecommunication Union (ITU)</Company>
  <LinksUpToDate>false</LinksUpToDate>
  <CharactersWithSpaces>56977</CharactersWithSpaces>
  <SharedDoc>false</SharedDoc>
  <HLinks>
    <vt:vector size="198"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1441884</vt:i4>
      </vt:variant>
      <vt:variant>
        <vt:i4>54</vt:i4>
      </vt:variant>
      <vt:variant>
        <vt:i4>0</vt:i4>
      </vt:variant>
      <vt:variant>
        <vt:i4>5</vt:i4>
      </vt:variant>
      <vt:variant>
        <vt:lpwstr>http://www.itu.int/osg/csd/wtpf/wtpf2009/</vt:lpwstr>
      </vt:variant>
      <vt:variant>
        <vt:lpwstr/>
      </vt:variant>
      <vt:variant>
        <vt:i4>196698</vt:i4>
      </vt:variant>
      <vt:variant>
        <vt:i4>51</vt:i4>
      </vt:variant>
      <vt:variant>
        <vt:i4>0</vt:i4>
      </vt:variant>
      <vt:variant>
        <vt:i4>5</vt:i4>
      </vt:variant>
      <vt:variant>
        <vt:lpwstr>http://www.itu.int/ITU-R/go/performance-reports/</vt:lpwstr>
      </vt:variant>
      <vt:variant>
        <vt:lpwstr/>
      </vt:variant>
      <vt:variant>
        <vt:i4>1704021</vt:i4>
      </vt:variant>
      <vt:variant>
        <vt:i4>48</vt:i4>
      </vt:variant>
      <vt:variant>
        <vt:i4>0</vt:i4>
      </vt:variant>
      <vt:variant>
        <vt:i4>5</vt:i4>
      </vt:variant>
      <vt:variant>
        <vt:lpwstr>http://www.itu.int/ITU-R/go/operational-plans/en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7864360</vt:i4>
      </vt:variant>
      <vt:variant>
        <vt:i4>42</vt:i4>
      </vt:variant>
      <vt:variant>
        <vt:i4>0</vt:i4>
      </vt:variant>
      <vt:variant>
        <vt:i4>5</vt:i4>
      </vt:variant>
      <vt:variant>
        <vt:lpwstr>http://groups.itu.int/Default.aspx?alias=groups.itu.int/br-ssd</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6815847</vt:i4>
      </vt:variant>
      <vt:variant>
        <vt:i4>24</vt:i4>
      </vt:variant>
      <vt:variant>
        <vt:i4>0</vt:i4>
      </vt:variant>
      <vt:variant>
        <vt:i4>5</vt:i4>
      </vt:variant>
      <vt:variant>
        <vt:lpwstr>http://www.itu.int/ITU-R/go/res647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1376347</vt:i4>
      </vt:variant>
      <vt:variant>
        <vt:i4>15</vt:i4>
      </vt:variant>
      <vt:variant>
        <vt:i4>0</vt:i4>
      </vt:variant>
      <vt:variant>
        <vt:i4>5</vt:i4>
      </vt:variant>
      <vt:variant>
        <vt:lpwstr>http://www.itu.int/ITU-R/go/emergency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Director, Radiocommunication Bureau</dc:creator>
  <cp:keywords>RAG03-1</cp:keywords>
  <dc:description>Document RAG08-1/1-E  For: _x000d_Document date: 12 December 2007_x000d_Saved by JJF44233 at 15:38:46 on 18/12/2007</dc:description>
  <cp:lastModifiedBy>millet</cp:lastModifiedBy>
  <cp:revision>34</cp:revision>
  <cp:lastPrinted>2011-06-06T13:58:00Z</cp:lastPrinted>
  <dcterms:created xsi:type="dcterms:W3CDTF">2011-04-21T13:39:00Z</dcterms:created>
  <dcterms:modified xsi:type="dcterms:W3CDTF">2011-06-06T15:14:00Z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