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A631B6" w14:paraId="6EF13617" w14:textId="77777777" w:rsidTr="004228FA">
        <w:trPr>
          <w:jc w:val="center"/>
        </w:trPr>
        <w:tc>
          <w:tcPr>
            <w:tcW w:w="9889" w:type="dxa"/>
            <w:gridSpan w:val="3"/>
            <w:shd w:val="clear" w:color="auto" w:fill="auto"/>
          </w:tcPr>
          <w:p w14:paraId="043BEA8A" w14:textId="77777777" w:rsidR="00E53DCE" w:rsidRPr="00A631B6" w:rsidRDefault="00E53DCE" w:rsidP="006160CB">
            <w:pPr>
              <w:spacing w:before="0"/>
              <w:jc w:val="left"/>
              <w:rPr>
                <w:rFonts w:cstheme="minorHAnsi"/>
                <w:b/>
                <w:bCs/>
                <w:color w:val="808080"/>
                <w:sz w:val="28"/>
                <w:szCs w:val="28"/>
                <w:lang w:val="fr-FR"/>
              </w:rPr>
            </w:pPr>
            <w:r w:rsidRPr="00A631B6">
              <w:rPr>
                <w:rFonts w:cstheme="minorHAnsi"/>
                <w:b/>
                <w:bCs/>
                <w:color w:val="808080"/>
                <w:sz w:val="28"/>
                <w:szCs w:val="28"/>
                <w:lang w:val="fr-FR"/>
              </w:rPr>
              <w:t>Bureau des radiocommunications (BR)</w:t>
            </w:r>
          </w:p>
          <w:p w14:paraId="09A16B72" w14:textId="77777777" w:rsidR="00E53DCE" w:rsidRPr="00A631B6" w:rsidRDefault="00E53DCE" w:rsidP="006160CB">
            <w:pPr>
              <w:spacing w:before="0"/>
              <w:jc w:val="left"/>
              <w:rPr>
                <w:rFonts w:cstheme="minorHAnsi"/>
                <w:b/>
                <w:bCs/>
                <w:color w:val="808080"/>
                <w:sz w:val="28"/>
                <w:szCs w:val="28"/>
                <w:lang w:val="fr-FR"/>
              </w:rPr>
            </w:pPr>
          </w:p>
          <w:p w14:paraId="10A39754" w14:textId="77777777" w:rsidR="00E53DCE" w:rsidRPr="00A631B6" w:rsidRDefault="00E53DCE" w:rsidP="006160CB">
            <w:pPr>
              <w:spacing w:before="0"/>
              <w:jc w:val="left"/>
              <w:rPr>
                <w:rFonts w:cs="Times New Roman Bold"/>
                <w:b/>
                <w:bCs/>
                <w:color w:val="808080"/>
                <w:sz w:val="28"/>
                <w:szCs w:val="28"/>
                <w:lang w:val="fr-FR"/>
              </w:rPr>
            </w:pPr>
          </w:p>
        </w:tc>
      </w:tr>
      <w:tr w:rsidR="00E53DCE" w:rsidRPr="00A631B6" w14:paraId="11B8F35A" w14:textId="77777777" w:rsidTr="004228FA">
        <w:trPr>
          <w:jc w:val="center"/>
        </w:trPr>
        <w:tc>
          <w:tcPr>
            <w:tcW w:w="7054" w:type="dxa"/>
            <w:gridSpan w:val="2"/>
            <w:shd w:val="clear" w:color="auto" w:fill="auto"/>
          </w:tcPr>
          <w:p w14:paraId="36B5106D" w14:textId="77777777" w:rsidR="00E53DCE" w:rsidRPr="00A631B6" w:rsidRDefault="00E53DCE" w:rsidP="006160CB">
            <w:pPr>
              <w:spacing w:before="0"/>
              <w:jc w:val="left"/>
              <w:rPr>
                <w:sz w:val="28"/>
                <w:szCs w:val="28"/>
                <w:lang w:val="fr-FR"/>
              </w:rPr>
            </w:pPr>
            <w:r w:rsidRPr="00A631B6">
              <w:rPr>
                <w:szCs w:val="24"/>
                <w:lang w:val="fr-FR"/>
              </w:rPr>
              <w:t>Circulaire administrative</w:t>
            </w:r>
          </w:p>
          <w:p w14:paraId="5B4407FA" w14:textId="77777777" w:rsidR="00E53DCE" w:rsidRPr="00A631B6" w:rsidRDefault="009330B0" w:rsidP="006160CB">
            <w:pPr>
              <w:spacing w:before="0"/>
              <w:jc w:val="left"/>
              <w:rPr>
                <w:b/>
                <w:bCs/>
                <w:sz w:val="28"/>
                <w:szCs w:val="28"/>
                <w:lang w:val="fr-FR"/>
              </w:rPr>
            </w:pPr>
            <w:r w:rsidRPr="00A631B6">
              <w:rPr>
                <w:b/>
                <w:bCs/>
                <w:szCs w:val="24"/>
                <w:lang w:val="fr-FR"/>
              </w:rPr>
              <w:t>CR</w:t>
            </w:r>
            <w:r w:rsidR="00E53DCE" w:rsidRPr="00A631B6">
              <w:rPr>
                <w:b/>
                <w:bCs/>
                <w:szCs w:val="24"/>
                <w:lang w:val="fr-FR"/>
              </w:rPr>
              <w:t>/</w:t>
            </w:r>
            <w:r w:rsidRPr="00A631B6">
              <w:rPr>
                <w:b/>
                <w:bCs/>
                <w:szCs w:val="24"/>
                <w:lang w:val="fr-FR"/>
              </w:rPr>
              <w:t>414</w:t>
            </w:r>
          </w:p>
        </w:tc>
        <w:tc>
          <w:tcPr>
            <w:tcW w:w="2835" w:type="dxa"/>
            <w:shd w:val="clear" w:color="auto" w:fill="auto"/>
          </w:tcPr>
          <w:p w14:paraId="5BF2EE9D" w14:textId="58A4D04D" w:rsidR="00E53DCE" w:rsidRPr="00A631B6" w:rsidRDefault="004A7B4F" w:rsidP="00646B2B">
            <w:pPr>
              <w:spacing w:before="0"/>
              <w:jc w:val="right"/>
              <w:rPr>
                <w:sz w:val="28"/>
                <w:szCs w:val="28"/>
                <w:lang w:val="fr-FR"/>
              </w:rPr>
            </w:pPr>
            <w:r w:rsidRPr="00A631B6">
              <w:rPr>
                <w:szCs w:val="24"/>
                <w:lang w:val="fr-FR"/>
              </w:rPr>
              <w:t>L</w:t>
            </w:r>
            <w:r w:rsidR="00E53DCE" w:rsidRPr="00A631B6">
              <w:rPr>
                <w:szCs w:val="24"/>
                <w:lang w:val="fr-FR"/>
              </w:rPr>
              <w:t xml:space="preserve">e </w:t>
            </w:r>
            <w:sdt>
              <w:sdtPr>
                <w:rPr>
                  <w:rFonts w:cs="Arial"/>
                  <w:szCs w:val="24"/>
                  <w:lang w:val="fr-FR"/>
                </w:rPr>
                <w:alias w:val="Date"/>
                <w:tag w:val="Date"/>
                <w:id w:val="444659277"/>
                <w:placeholder>
                  <w:docPart w:val="C680F04E9D094D62A000DD72A6C9F2DE"/>
                </w:placeholder>
                <w:date>
                  <w:dateFormat w:val="d MMMM yyyy"/>
                  <w:lid w:val="fr-FR"/>
                  <w:storeMappedDataAs w:val="date"/>
                  <w:calendar w:val="gregorian"/>
                </w:date>
              </w:sdtPr>
              <w:sdtEndPr/>
              <w:sdtContent>
                <w:r w:rsidR="00646B2B">
                  <w:rPr>
                    <w:rFonts w:cs="Arial"/>
                    <w:szCs w:val="24"/>
                    <w:lang w:val="fr-FR"/>
                  </w:rPr>
                  <w:t>6</w:t>
                </w:r>
                <w:r w:rsidR="009330B0" w:rsidRPr="00777C80">
                  <w:rPr>
                    <w:rFonts w:cs="Arial"/>
                    <w:szCs w:val="24"/>
                    <w:lang w:val="fr-FR"/>
                  </w:rPr>
                  <w:t xml:space="preserve"> décembre 2016</w:t>
                </w:r>
              </w:sdtContent>
            </w:sdt>
          </w:p>
        </w:tc>
      </w:tr>
      <w:tr w:rsidR="00E53DCE" w:rsidRPr="00A631B6" w14:paraId="183DD134" w14:textId="77777777" w:rsidTr="004228FA">
        <w:trPr>
          <w:jc w:val="center"/>
        </w:trPr>
        <w:tc>
          <w:tcPr>
            <w:tcW w:w="9889" w:type="dxa"/>
            <w:gridSpan w:val="3"/>
            <w:shd w:val="clear" w:color="auto" w:fill="auto"/>
          </w:tcPr>
          <w:p w14:paraId="7F5C6FE6" w14:textId="77777777" w:rsidR="00E53DCE" w:rsidRPr="00A631B6" w:rsidRDefault="00E53DCE" w:rsidP="006160CB">
            <w:pPr>
              <w:spacing w:before="0"/>
              <w:jc w:val="left"/>
              <w:rPr>
                <w:rFonts w:cs="Arial"/>
                <w:szCs w:val="24"/>
                <w:lang w:val="fr-FR"/>
              </w:rPr>
            </w:pPr>
          </w:p>
        </w:tc>
      </w:tr>
      <w:tr w:rsidR="00E53DCE" w:rsidRPr="00A631B6" w14:paraId="19726BAA" w14:textId="77777777" w:rsidTr="004228FA">
        <w:trPr>
          <w:jc w:val="center"/>
        </w:trPr>
        <w:tc>
          <w:tcPr>
            <w:tcW w:w="9889" w:type="dxa"/>
            <w:gridSpan w:val="3"/>
            <w:shd w:val="clear" w:color="auto" w:fill="auto"/>
          </w:tcPr>
          <w:p w14:paraId="168F7B1B" w14:textId="77777777" w:rsidR="00E53DCE" w:rsidRPr="00A631B6" w:rsidRDefault="00E53DCE" w:rsidP="006160CB">
            <w:pPr>
              <w:spacing w:before="0"/>
              <w:jc w:val="left"/>
              <w:rPr>
                <w:szCs w:val="24"/>
                <w:lang w:val="fr-FR"/>
              </w:rPr>
            </w:pPr>
          </w:p>
        </w:tc>
      </w:tr>
      <w:tr w:rsidR="00E53DCE" w:rsidRPr="00D530A9" w14:paraId="1A4E73EF" w14:textId="77777777" w:rsidTr="004228FA">
        <w:trPr>
          <w:jc w:val="center"/>
        </w:trPr>
        <w:tc>
          <w:tcPr>
            <w:tcW w:w="9889" w:type="dxa"/>
            <w:gridSpan w:val="3"/>
            <w:shd w:val="clear" w:color="auto" w:fill="auto"/>
          </w:tcPr>
          <w:p w14:paraId="55991CB7" w14:textId="4811345B" w:rsidR="00E53DCE" w:rsidRPr="00A631B6" w:rsidRDefault="00EE1A57" w:rsidP="006160CB">
            <w:pPr>
              <w:spacing w:before="0"/>
              <w:jc w:val="left"/>
              <w:rPr>
                <w:b/>
                <w:bCs/>
                <w:szCs w:val="24"/>
                <w:lang w:val="fr-FR"/>
              </w:rPr>
            </w:pPr>
            <w:r w:rsidRPr="00A631B6">
              <w:rPr>
                <w:b/>
                <w:bCs/>
                <w:szCs w:val="24"/>
                <w:lang w:val="fr-FR"/>
              </w:rPr>
              <w:t>Aux Administrations des Etats Membres de l</w:t>
            </w:r>
            <w:r w:rsidR="00A044D6">
              <w:rPr>
                <w:b/>
                <w:bCs/>
                <w:szCs w:val="24"/>
                <w:lang w:val="fr-FR"/>
              </w:rPr>
              <w:t>'</w:t>
            </w:r>
            <w:r w:rsidRPr="00A631B6">
              <w:rPr>
                <w:b/>
                <w:bCs/>
                <w:szCs w:val="24"/>
                <w:lang w:val="fr-FR"/>
              </w:rPr>
              <w:t>UIT</w:t>
            </w:r>
          </w:p>
          <w:p w14:paraId="6DEF8F04" w14:textId="77777777" w:rsidR="00E53DCE" w:rsidRPr="00A631B6" w:rsidRDefault="00E53DCE" w:rsidP="006160CB">
            <w:pPr>
              <w:spacing w:before="0"/>
              <w:jc w:val="left"/>
              <w:rPr>
                <w:b/>
                <w:bCs/>
                <w:szCs w:val="24"/>
                <w:lang w:val="fr-FR"/>
              </w:rPr>
            </w:pPr>
          </w:p>
        </w:tc>
      </w:tr>
      <w:tr w:rsidR="00E53DCE" w:rsidRPr="00D530A9" w14:paraId="0DEF64BC" w14:textId="77777777" w:rsidTr="004228FA">
        <w:trPr>
          <w:jc w:val="center"/>
        </w:trPr>
        <w:tc>
          <w:tcPr>
            <w:tcW w:w="9889" w:type="dxa"/>
            <w:gridSpan w:val="3"/>
            <w:shd w:val="clear" w:color="auto" w:fill="auto"/>
          </w:tcPr>
          <w:p w14:paraId="4EC24574" w14:textId="77777777" w:rsidR="00E53DCE" w:rsidRPr="00A631B6" w:rsidRDefault="00E53DCE" w:rsidP="006160CB">
            <w:pPr>
              <w:spacing w:before="0"/>
              <w:jc w:val="left"/>
              <w:rPr>
                <w:szCs w:val="24"/>
                <w:lang w:val="fr-FR"/>
              </w:rPr>
            </w:pPr>
          </w:p>
        </w:tc>
      </w:tr>
      <w:tr w:rsidR="00E53DCE" w:rsidRPr="00D530A9" w14:paraId="56036C4A" w14:textId="77777777" w:rsidTr="004228FA">
        <w:trPr>
          <w:jc w:val="center"/>
        </w:trPr>
        <w:tc>
          <w:tcPr>
            <w:tcW w:w="9889" w:type="dxa"/>
            <w:gridSpan w:val="3"/>
            <w:shd w:val="clear" w:color="auto" w:fill="auto"/>
          </w:tcPr>
          <w:p w14:paraId="33F841DC" w14:textId="77777777" w:rsidR="00E53DCE" w:rsidRPr="00A631B6" w:rsidRDefault="00E53DCE" w:rsidP="006160CB">
            <w:pPr>
              <w:spacing w:before="0"/>
              <w:jc w:val="left"/>
              <w:rPr>
                <w:szCs w:val="24"/>
                <w:lang w:val="fr-FR"/>
              </w:rPr>
            </w:pPr>
          </w:p>
        </w:tc>
      </w:tr>
      <w:tr w:rsidR="00E53DCE" w:rsidRPr="00D530A9" w14:paraId="34A966B8" w14:textId="77777777" w:rsidTr="004228FA">
        <w:trPr>
          <w:jc w:val="center"/>
        </w:trPr>
        <w:tc>
          <w:tcPr>
            <w:tcW w:w="1526" w:type="dxa"/>
            <w:shd w:val="clear" w:color="auto" w:fill="auto"/>
          </w:tcPr>
          <w:p w14:paraId="5C5E24C7" w14:textId="77777777" w:rsidR="00E53DCE" w:rsidRPr="00A631B6" w:rsidRDefault="003471C9" w:rsidP="006160CB">
            <w:pPr>
              <w:tabs>
                <w:tab w:val="clear" w:pos="1588"/>
                <w:tab w:val="left" w:pos="1560"/>
              </w:tabs>
              <w:spacing w:before="0"/>
              <w:jc w:val="left"/>
              <w:rPr>
                <w:szCs w:val="24"/>
                <w:lang w:val="fr-FR"/>
              </w:rPr>
            </w:pPr>
            <w:r w:rsidRPr="00A631B6">
              <w:rPr>
                <w:lang w:val="fr-FR"/>
              </w:rPr>
              <w:t>Objet</w:t>
            </w:r>
            <w:r w:rsidR="00E53DCE" w:rsidRPr="00A631B6">
              <w:rPr>
                <w:szCs w:val="24"/>
                <w:lang w:val="fr-FR"/>
              </w:rPr>
              <w:t>:</w:t>
            </w:r>
          </w:p>
        </w:tc>
        <w:tc>
          <w:tcPr>
            <w:tcW w:w="8363" w:type="dxa"/>
            <w:gridSpan w:val="2"/>
            <w:vMerge w:val="restart"/>
            <w:shd w:val="clear" w:color="auto" w:fill="auto"/>
          </w:tcPr>
          <w:p w14:paraId="22B5D497" w14:textId="77777777" w:rsidR="00E53DCE" w:rsidRPr="00A631B6" w:rsidRDefault="009330B0" w:rsidP="006160CB">
            <w:pPr>
              <w:tabs>
                <w:tab w:val="clear" w:pos="1588"/>
                <w:tab w:val="left" w:pos="1560"/>
              </w:tabs>
              <w:spacing w:before="0"/>
              <w:rPr>
                <w:b/>
                <w:bCs/>
                <w:szCs w:val="24"/>
                <w:lang w:val="fr-FR"/>
              </w:rPr>
            </w:pPr>
            <w:r w:rsidRPr="00A631B6">
              <w:rPr>
                <w:b/>
                <w:bCs/>
                <w:szCs w:val="24"/>
                <w:lang w:val="fr-FR"/>
              </w:rPr>
              <w:t>Examen au titre de la Résolution 85 (CMR</w:t>
            </w:r>
            <w:r w:rsidRPr="00A631B6">
              <w:rPr>
                <w:b/>
                <w:bCs/>
                <w:szCs w:val="24"/>
                <w:lang w:val="fr-FR"/>
              </w:rPr>
              <w:noBreakHyphen/>
              <w:t>03)</w:t>
            </w:r>
          </w:p>
        </w:tc>
      </w:tr>
      <w:tr w:rsidR="00E53DCE" w:rsidRPr="00D530A9" w14:paraId="6DC98430" w14:textId="77777777" w:rsidTr="004228FA">
        <w:trPr>
          <w:jc w:val="center"/>
        </w:trPr>
        <w:tc>
          <w:tcPr>
            <w:tcW w:w="1526" w:type="dxa"/>
            <w:shd w:val="clear" w:color="auto" w:fill="auto"/>
          </w:tcPr>
          <w:p w14:paraId="61D66DB8" w14:textId="77777777" w:rsidR="00E53DCE" w:rsidRPr="00A631B6"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7A3C139E" w14:textId="77777777" w:rsidR="00E53DCE" w:rsidRPr="00A631B6" w:rsidRDefault="00E53DCE" w:rsidP="006160CB">
            <w:pPr>
              <w:tabs>
                <w:tab w:val="clear" w:pos="1588"/>
                <w:tab w:val="left" w:pos="1560"/>
              </w:tabs>
              <w:spacing w:before="0"/>
              <w:rPr>
                <w:b/>
                <w:bCs/>
                <w:szCs w:val="24"/>
                <w:lang w:val="fr-FR"/>
              </w:rPr>
            </w:pPr>
          </w:p>
        </w:tc>
      </w:tr>
      <w:tr w:rsidR="00E53DCE" w:rsidRPr="00D530A9" w14:paraId="57DDB612" w14:textId="77777777" w:rsidTr="004228FA">
        <w:trPr>
          <w:jc w:val="center"/>
        </w:trPr>
        <w:tc>
          <w:tcPr>
            <w:tcW w:w="1526" w:type="dxa"/>
            <w:shd w:val="clear" w:color="auto" w:fill="auto"/>
          </w:tcPr>
          <w:p w14:paraId="66E125F0" w14:textId="77777777" w:rsidR="00E53DCE" w:rsidRPr="00A631B6"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67955CE" w14:textId="77777777" w:rsidR="00E53DCE" w:rsidRPr="00A631B6" w:rsidRDefault="00E53DCE" w:rsidP="006160CB">
            <w:pPr>
              <w:tabs>
                <w:tab w:val="clear" w:pos="1588"/>
                <w:tab w:val="left" w:pos="1560"/>
              </w:tabs>
              <w:spacing w:before="0"/>
              <w:rPr>
                <w:b/>
                <w:bCs/>
                <w:szCs w:val="24"/>
                <w:lang w:val="fr-FR"/>
              </w:rPr>
            </w:pPr>
          </w:p>
        </w:tc>
      </w:tr>
      <w:tr w:rsidR="00E53DCE" w:rsidRPr="00D530A9" w14:paraId="3898B345" w14:textId="77777777" w:rsidTr="004228FA">
        <w:trPr>
          <w:jc w:val="center"/>
        </w:trPr>
        <w:tc>
          <w:tcPr>
            <w:tcW w:w="9889" w:type="dxa"/>
            <w:gridSpan w:val="3"/>
            <w:shd w:val="clear" w:color="auto" w:fill="auto"/>
          </w:tcPr>
          <w:p w14:paraId="6F9EC281" w14:textId="77777777" w:rsidR="00E53DCE" w:rsidRPr="00A631B6" w:rsidRDefault="00E53DCE" w:rsidP="00E53DCE">
            <w:pPr>
              <w:tabs>
                <w:tab w:val="clear" w:pos="1588"/>
                <w:tab w:val="left" w:pos="1560"/>
              </w:tabs>
              <w:spacing w:before="0"/>
              <w:jc w:val="left"/>
              <w:rPr>
                <w:szCs w:val="24"/>
                <w:lang w:val="fr-FR"/>
              </w:rPr>
            </w:pPr>
          </w:p>
        </w:tc>
      </w:tr>
    </w:tbl>
    <w:p w14:paraId="6C16059A" w14:textId="439BF65D" w:rsidR="00133737" w:rsidRPr="00A631B6" w:rsidRDefault="00133737" w:rsidP="00967029">
      <w:pPr>
        <w:spacing w:before="360" w:line="240" w:lineRule="auto"/>
        <w:rPr>
          <w:lang w:val="fr-FR"/>
        </w:rPr>
      </w:pPr>
      <w:r w:rsidRPr="00A631B6">
        <w:rPr>
          <w:lang w:val="fr-FR"/>
        </w:rPr>
        <w:t xml:space="preserve">En vertu de la Résolution </w:t>
      </w:r>
      <w:r w:rsidRPr="00A631B6">
        <w:rPr>
          <w:b/>
          <w:bCs/>
          <w:lang w:val="fr-FR"/>
        </w:rPr>
        <w:t>85 (CMR-03)</w:t>
      </w:r>
      <w:r w:rsidR="006B59B0" w:rsidRPr="00A631B6">
        <w:rPr>
          <w:lang w:val="fr-FR"/>
        </w:rPr>
        <w:t xml:space="preserve">, </w:t>
      </w:r>
      <w:r w:rsidRPr="00A631B6">
        <w:rPr>
          <w:lang w:val="fr-FR"/>
        </w:rPr>
        <w:t xml:space="preserve">le Bureau des </w:t>
      </w:r>
      <w:r w:rsidR="004A7B4F">
        <w:rPr>
          <w:lang w:val="fr-FR"/>
        </w:rPr>
        <w:t>r</w:t>
      </w:r>
      <w:r w:rsidRPr="00A631B6">
        <w:rPr>
          <w:lang w:val="fr-FR"/>
        </w:rPr>
        <w:t xml:space="preserve">adiocommunications doit revoir, une fois que le logiciel de validation de </w:t>
      </w:r>
      <w:r w:rsidR="00607E05" w:rsidRPr="00A631B6">
        <w:rPr>
          <w:lang w:val="fr-FR"/>
        </w:rPr>
        <w:t>l</w:t>
      </w:r>
      <w:r w:rsidR="00607E05">
        <w:rPr>
          <w:lang w:val="fr-FR"/>
        </w:rPr>
        <w:t>a puissance surfacique équivalente (</w:t>
      </w:r>
      <w:r w:rsidR="00607E05" w:rsidRPr="00A631B6">
        <w:rPr>
          <w:lang w:val="fr-FR"/>
        </w:rPr>
        <w:t>EPFD</w:t>
      </w:r>
      <w:r w:rsidR="00607E05">
        <w:rPr>
          <w:lang w:val="fr-FR"/>
        </w:rPr>
        <w:t>)</w:t>
      </w:r>
      <w:r w:rsidR="00607E05" w:rsidRPr="00A631B6">
        <w:rPr>
          <w:lang w:val="fr-FR"/>
        </w:rPr>
        <w:t xml:space="preserve"> </w:t>
      </w:r>
      <w:r w:rsidR="002337CF" w:rsidRPr="00A631B6">
        <w:rPr>
          <w:lang w:val="fr-FR"/>
        </w:rPr>
        <w:t xml:space="preserve">est </w:t>
      </w:r>
      <w:r w:rsidRPr="00A631B6">
        <w:rPr>
          <w:lang w:val="fr-FR"/>
        </w:rPr>
        <w:t>disponible, les conclusions qu</w:t>
      </w:r>
      <w:r w:rsidR="00A044D6">
        <w:rPr>
          <w:lang w:val="fr-FR"/>
        </w:rPr>
        <w:t>'</w:t>
      </w:r>
      <w:r w:rsidR="002337CF" w:rsidRPr="00A631B6">
        <w:rPr>
          <w:lang w:val="fr-FR"/>
        </w:rPr>
        <w:t xml:space="preserve">il </w:t>
      </w:r>
      <w:r w:rsidRPr="00A631B6">
        <w:rPr>
          <w:lang w:val="fr-FR"/>
        </w:rPr>
        <w:t xml:space="preserve">a formulées conformément aux numéros </w:t>
      </w:r>
      <w:r w:rsidRPr="00A631B6">
        <w:rPr>
          <w:b/>
          <w:bCs/>
          <w:lang w:val="fr-FR"/>
        </w:rPr>
        <w:t>9.35</w:t>
      </w:r>
      <w:r w:rsidRPr="00A631B6">
        <w:rPr>
          <w:lang w:val="fr-FR"/>
        </w:rPr>
        <w:t xml:space="preserve"> et </w:t>
      </w:r>
      <w:r w:rsidRPr="00A631B6">
        <w:rPr>
          <w:b/>
          <w:bCs/>
          <w:lang w:val="fr-FR"/>
        </w:rPr>
        <w:t>11.31</w:t>
      </w:r>
      <w:r w:rsidRPr="00A631B6">
        <w:rPr>
          <w:lang w:val="fr-FR"/>
        </w:rPr>
        <w:t xml:space="preserve"> quant </w:t>
      </w:r>
      <w:r w:rsidR="002337CF" w:rsidRPr="00A631B6">
        <w:rPr>
          <w:lang w:val="fr-FR"/>
        </w:rPr>
        <w:t xml:space="preserve">à la question de savoir </w:t>
      </w:r>
      <w:r w:rsidRPr="00A631B6">
        <w:rPr>
          <w:lang w:val="fr-FR"/>
        </w:rPr>
        <w:t xml:space="preserve">si les assignations de fréquence des systèmes à satellites non OSG du SFS respectent les limites </w:t>
      </w:r>
      <w:r w:rsidR="00607E05">
        <w:rPr>
          <w:lang w:val="fr-FR"/>
        </w:rPr>
        <w:t>d</w:t>
      </w:r>
      <w:r w:rsidR="00A044D6">
        <w:rPr>
          <w:lang w:val="fr-FR"/>
        </w:rPr>
        <w:t>'</w:t>
      </w:r>
      <w:r w:rsidRPr="00A631B6">
        <w:rPr>
          <w:lang w:val="fr-FR"/>
        </w:rPr>
        <w:t>EPFD pour une seule source de brouillage figurant dans les Tableaux 22-1A, 22-1B, 22-1C, 22-1D, 22-1E, 22-2 et 22-3 de l</w:t>
      </w:r>
      <w:r w:rsidR="00A044D6">
        <w:rPr>
          <w:lang w:val="fr-FR"/>
        </w:rPr>
        <w:t>'</w:t>
      </w:r>
      <w:r w:rsidRPr="00A631B6">
        <w:rPr>
          <w:lang w:val="fr-FR"/>
        </w:rPr>
        <w:t xml:space="preserve">Article </w:t>
      </w:r>
      <w:r w:rsidRPr="00A631B6">
        <w:rPr>
          <w:b/>
          <w:bCs/>
          <w:lang w:val="fr-FR"/>
        </w:rPr>
        <w:t>22</w:t>
      </w:r>
      <w:r w:rsidRPr="00A631B6">
        <w:rPr>
          <w:lang w:val="fr-FR"/>
        </w:rPr>
        <w:t xml:space="preserve"> du Règlement des radiocommunications, et doit déterminer les besoins de coordination au titre des numéros </w:t>
      </w:r>
      <w:r w:rsidRPr="00A631B6">
        <w:rPr>
          <w:b/>
          <w:bCs/>
          <w:lang w:val="fr-FR"/>
        </w:rPr>
        <w:t>9.7A</w:t>
      </w:r>
      <w:r w:rsidRPr="00A631B6">
        <w:rPr>
          <w:lang w:val="fr-FR"/>
        </w:rPr>
        <w:t xml:space="preserve"> et </w:t>
      </w:r>
      <w:r w:rsidRPr="00A631B6">
        <w:rPr>
          <w:b/>
          <w:bCs/>
          <w:lang w:val="fr-FR"/>
        </w:rPr>
        <w:t>9.7B</w:t>
      </w:r>
      <w:r w:rsidRPr="00A631B6">
        <w:rPr>
          <w:lang w:val="fr-FR"/>
        </w:rPr>
        <w:t>.</w:t>
      </w:r>
    </w:p>
    <w:p w14:paraId="23E1E526" w14:textId="5E09ED6E" w:rsidR="00133737" w:rsidRPr="00A631B6" w:rsidRDefault="00133737" w:rsidP="00F627C1">
      <w:pPr>
        <w:spacing w:line="240" w:lineRule="auto"/>
        <w:rPr>
          <w:lang w:val="fr-FR"/>
        </w:rPr>
      </w:pPr>
      <w:r w:rsidRPr="00A631B6">
        <w:rPr>
          <w:lang w:val="fr-FR"/>
        </w:rPr>
        <w:t>Dans sa Lettre circulaire CR/405 (3 juin 2016), le Bureau a informé les administrations de la disponibilité d</w:t>
      </w:r>
      <w:r w:rsidR="00A044D6">
        <w:rPr>
          <w:lang w:val="fr-FR"/>
        </w:rPr>
        <w:t>'</w:t>
      </w:r>
      <w:r w:rsidRPr="00A631B6">
        <w:rPr>
          <w:lang w:val="fr-FR"/>
        </w:rPr>
        <w:t>une version beta du logiciel de validation de</w:t>
      </w:r>
      <w:r w:rsidR="002337CF" w:rsidRPr="00A631B6">
        <w:rPr>
          <w:lang w:val="fr-FR"/>
        </w:rPr>
        <w:t xml:space="preserve"> </w:t>
      </w:r>
      <w:r w:rsidRPr="00A631B6">
        <w:rPr>
          <w:lang w:val="fr-FR"/>
        </w:rPr>
        <w:t>l</w:t>
      </w:r>
      <w:r w:rsidR="00A044D6">
        <w:rPr>
          <w:lang w:val="fr-FR"/>
        </w:rPr>
        <w:t>'</w:t>
      </w:r>
      <w:r w:rsidRPr="00A631B6">
        <w:rPr>
          <w:lang w:val="fr-FR"/>
        </w:rPr>
        <w:t>EPFD destinée à être testée et évaluée.</w:t>
      </w:r>
    </w:p>
    <w:p w14:paraId="2C20B48E" w14:textId="4C945BE0" w:rsidR="00133737" w:rsidRPr="00A631B6" w:rsidRDefault="00133737" w:rsidP="00F627C1">
      <w:pPr>
        <w:spacing w:line="240" w:lineRule="auto"/>
        <w:rPr>
          <w:lang w:val="fr-FR"/>
        </w:rPr>
      </w:pPr>
      <w:r w:rsidRPr="00A631B6">
        <w:rPr>
          <w:lang w:val="fr-FR"/>
        </w:rPr>
        <w:t>Depuis la publication de la version beta du logiciel, le Bureau a recueilli des commentaires et des suggestions concernant des améliorations éventuelles du logiciel. Ces observations ont été prises en considération dans l</w:t>
      </w:r>
      <w:r w:rsidR="00A044D6">
        <w:rPr>
          <w:lang w:val="fr-FR"/>
        </w:rPr>
        <w:t>'</w:t>
      </w:r>
      <w:r w:rsidRPr="00A631B6">
        <w:rPr>
          <w:lang w:val="fr-FR"/>
        </w:rPr>
        <w:t>élaboration de la version finale du logiciel.</w:t>
      </w:r>
    </w:p>
    <w:p w14:paraId="7DBB6594" w14:textId="64208BC7" w:rsidR="00133737" w:rsidRPr="00A631B6" w:rsidRDefault="00133737" w:rsidP="00F627C1">
      <w:pPr>
        <w:spacing w:line="240" w:lineRule="auto"/>
        <w:rPr>
          <w:lang w:val="fr-FR"/>
        </w:rPr>
      </w:pPr>
      <w:r w:rsidRPr="00A631B6">
        <w:rPr>
          <w:lang w:val="fr-FR"/>
        </w:rPr>
        <w:t>Le Bureau des radiocommunications a l</w:t>
      </w:r>
      <w:r w:rsidR="00A044D6">
        <w:rPr>
          <w:lang w:val="fr-FR"/>
        </w:rPr>
        <w:t>'</w:t>
      </w:r>
      <w:r w:rsidRPr="00A631B6">
        <w:rPr>
          <w:lang w:val="fr-FR"/>
        </w:rPr>
        <w:t>honneur d</w:t>
      </w:r>
      <w:r w:rsidR="00A044D6">
        <w:rPr>
          <w:lang w:val="fr-FR"/>
        </w:rPr>
        <w:t>'</w:t>
      </w:r>
      <w:r w:rsidRPr="00A631B6">
        <w:rPr>
          <w:lang w:val="fr-FR"/>
        </w:rPr>
        <w:t>informer votre Administration que la version finale du logiciel mettant en application la Recommandation UIT-R S.1503-2 est disponible sur le site web de l</w:t>
      </w:r>
      <w:r w:rsidR="00A044D6">
        <w:rPr>
          <w:lang w:val="fr-FR"/>
        </w:rPr>
        <w:t>'</w:t>
      </w:r>
      <w:r w:rsidRPr="00A631B6">
        <w:rPr>
          <w:lang w:val="fr-FR"/>
        </w:rPr>
        <w:t>UIT (</w:t>
      </w:r>
      <w:hyperlink r:id="rId8" w:history="1">
        <w:r w:rsidRPr="00A631B6">
          <w:rPr>
            <w:rStyle w:val="Hyperlink"/>
            <w:rFonts w:asciiTheme="minorHAnsi" w:hAnsiTheme="minorHAnsi" w:cstheme="minorHAnsi"/>
            <w:szCs w:val="24"/>
            <w:lang w:val="fr-FR"/>
          </w:rPr>
          <w:t>www.itu.int/ITU-R/go/space-</w:t>
        </w:r>
        <w:r w:rsidR="004A7B4F" w:rsidRPr="00A631B6">
          <w:rPr>
            <w:rStyle w:val="Hyperlink"/>
            <w:rFonts w:asciiTheme="minorHAnsi" w:hAnsiTheme="minorHAnsi" w:cstheme="minorHAnsi"/>
            <w:szCs w:val="24"/>
            <w:lang w:val="fr-FR"/>
          </w:rPr>
          <w:t>epfd</w:t>
        </w:r>
        <w:r w:rsidRPr="00A631B6">
          <w:rPr>
            <w:rStyle w:val="Hyperlink"/>
            <w:rFonts w:asciiTheme="minorHAnsi" w:hAnsiTheme="minorHAnsi" w:cstheme="minorHAnsi"/>
            <w:szCs w:val="24"/>
            <w:lang w:val="fr-FR"/>
          </w:rPr>
          <w:t>/en</w:t>
        </w:r>
      </w:hyperlink>
      <w:r w:rsidRPr="00A631B6">
        <w:rPr>
          <w:lang w:val="fr-FR"/>
        </w:rPr>
        <w:t xml:space="preserve">) </w:t>
      </w:r>
      <w:r w:rsidR="00607E05">
        <w:rPr>
          <w:lang w:val="fr-FR"/>
        </w:rPr>
        <w:t xml:space="preserve">et sera disponible </w:t>
      </w:r>
      <w:r w:rsidR="002337CF" w:rsidRPr="00A631B6">
        <w:rPr>
          <w:lang w:val="fr-FR"/>
        </w:rPr>
        <w:t xml:space="preserve">dans le </w:t>
      </w:r>
      <w:r w:rsidRPr="00A631B6">
        <w:rPr>
          <w:lang w:val="fr-FR"/>
        </w:rPr>
        <w:t>DVD de la BR IFIC (</w:t>
      </w:r>
      <w:r w:rsidR="004A7B4F" w:rsidRPr="00A631B6">
        <w:rPr>
          <w:lang w:val="fr-FR"/>
        </w:rPr>
        <w:t>S</w:t>
      </w:r>
      <w:r w:rsidRPr="00A631B6">
        <w:rPr>
          <w:lang w:val="fr-FR"/>
        </w:rPr>
        <w:t xml:space="preserve">ervices spatiaux) </w:t>
      </w:r>
      <w:r w:rsidR="002337CF" w:rsidRPr="00A631B6">
        <w:rPr>
          <w:lang w:val="fr-FR"/>
        </w:rPr>
        <w:t xml:space="preserve">à compter du numéro </w:t>
      </w:r>
      <w:r w:rsidRPr="00A631B6">
        <w:rPr>
          <w:lang w:val="fr-FR"/>
        </w:rPr>
        <w:t>2384/06.12.2016.</w:t>
      </w:r>
    </w:p>
    <w:p w14:paraId="1934CF3C" w14:textId="24FC5550" w:rsidR="00133737" w:rsidRPr="00A631B6" w:rsidRDefault="00133737" w:rsidP="00F627C1">
      <w:pPr>
        <w:spacing w:line="240" w:lineRule="auto"/>
        <w:rPr>
          <w:lang w:val="fr-FR"/>
        </w:rPr>
      </w:pPr>
      <w:r w:rsidRPr="00A631B6">
        <w:rPr>
          <w:lang w:val="fr-FR"/>
        </w:rPr>
        <w:t>Le logiciel de validation de</w:t>
      </w:r>
      <w:r w:rsidR="002337CF" w:rsidRPr="00A631B6">
        <w:rPr>
          <w:lang w:val="fr-FR"/>
        </w:rPr>
        <w:t xml:space="preserve"> </w:t>
      </w:r>
      <w:r w:rsidRPr="00A631B6">
        <w:rPr>
          <w:lang w:val="fr-FR"/>
        </w:rPr>
        <w:t>l</w:t>
      </w:r>
      <w:r w:rsidR="00A044D6">
        <w:rPr>
          <w:lang w:val="fr-FR"/>
        </w:rPr>
        <w:t>'</w:t>
      </w:r>
      <w:r w:rsidR="002337CF" w:rsidRPr="00A631B6">
        <w:rPr>
          <w:lang w:val="fr-FR"/>
        </w:rPr>
        <w:t>E</w:t>
      </w:r>
      <w:r w:rsidRPr="00A631B6">
        <w:rPr>
          <w:lang w:val="fr-FR"/>
        </w:rPr>
        <w:t>PFD comprend un module GIBC (interface graphique de calcul par lots), servant d</w:t>
      </w:r>
      <w:r w:rsidR="00A044D6">
        <w:rPr>
          <w:lang w:val="fr-FR"/>
        </w:rPr>
        <w:t>'</w:t>
      </w:r>
      <w:r w:rsidRPr="00A631B6">
        <w:rPr>
          <w:lang w:val="fr-FR"/>
        </w:rPr>
        <w:t xml:space="preserve">interface pour lancer la validation </w:t>
      </w:r>
      <w:r w:rsidR="002337CF" w:rsidRPr="00A631B6">
        <w:rPr>
          <w:lang w:val="fr-FR"/>
        </w:rPr>
        <w:t>de l</w:t>
      </w:r>
      <w:r w:rsidR="00A044D6">
        <w:rPr>
          <w:lang w:val="fr-FR"/>
        </w:rPr>
        <w:t>'</w:t>
      </w:r>
      <w:r w:rsidR="002337CF" w:rsidRPr="00A631B6">
        <w:rPr>
          <w:lang w:val="fr-FR"/>
        </w:rPr>
        <w:t>EPFD</w:t>
      </w:r>
      <w:r w:rsidRPr="00A631B6">
        <w:rPr>
          <w:lang w:val="fr-FR"/>
        </w:rPr>
        <w:t xml:space="preserve">, deux outils de validation </w:t>
      </w:r>
      <w:r w:rsidR="002337CF" w:rsidRPr="00A631B6">
        <w:rPr>
          <w:lang w:val="fr-FR"/>
        </w:rPr>
        <w:t>de l</w:t>
      </w:r>
      <w:r w:rsidR="00A044D6">
        <w:rPr>
          <w:lang w:val="fr-FR"/>
        </w:rPr>
        <w:t>'</w:t>
      </w:r>
      <w:r w:rsidR="002337CF" w:rsidRPr="00A631B6">
        <w:rPr>
          <w:lang w:val="fr-FR"/>
        </w:rPr>
        <w:t>EPFD</w:t>
      </w:r>
      <w:r w:rsidRPr="00A631B6">
        <w:rPr>
          <w:lang w:val="fr-FR"/>
        </w:rPr>
        <w:t>, deux cas types et un guide d</w:t>
      </w:r>
      <w:r w:rsidR="00A044D6">
        <w:rPr>
          <w:lang w:val="fr-FR"/>
        </w:rPr>
        <w:t>'</w:t>
      </w:r>
      <w:r w:rsidRPr="00A631B6">
        <w:rPr>
          <w:lang w:val="fr-FR"/>
        </w:rPr>
        <w:t xml:space="preserve">utilisation. </w:t>
      </w:r>
    </w:p>
    <w:p w14:paraId="19FEFD00" w14:textId="622C7259" w:rsidR="00133737" w:rsidRDefault="00133737" w:rsidP="00F627C1">
      <w:pPr>
        <w:spacing w:line="240" w:lineRule="auto"/>
        <w:rPr>
          <w:lang w:val="fr-FR"/>
        </w:rPr>
      </w:pPr>
      <w:r w:rsidRPr="00A631B6">
        <w:rPr>
          <w:lang w:val="fr-FR"/>
        </w:rPr>
        <w:t xml:space="preserve">La présente Lettre circulaire vise à </w:t>
      </w:r>
      <w:r w:rsidR="002337CF" w:rsidRPr="00A631B6">
        <w:rPr>
          <w:lang w:val="fr-FR"/>
        </w:rPr>
        <w:t xml:space="preserve">communiquer aux </w:t>
      </w:r>
      <w:r w:rsidRPr="00A631B6">
        <w:rPr>
          <w:lang w:val="fr-FR"/>
        </w:rPr>
        <w:t xml:space="preserve">administrations et </w:t>
      </w:r>
      <w:r w:rsidR="002337CF" w:rsidRPr="00A631B6">
        <w:rPr>
          <w:lang w:val="fr-FR"/>
        </w:rPr>
        <w:t>aux</w:t>
      </w:r>
      <w:r w:rsidRPr="00A631B6">
        <w:rPr>
          <w:lang w:val="fr-FR"/>
        </w:rPr>
        <w:t xml:space="preserve"> autres utilisateurs des renseignements et des orientations concernant le logiciel de validation </w:t>
      </w:r>
      <w:r w:rsidR="002337CF" w:rsidRPr="00A631B6">
        <w:rPr>
          <w:lang w:val="fr-FR"/>
        </w:rPr>
        <w:t>de l</w:t>
      </w:r>
      <w:r w:rsidR="00A044D6">
        <w:rPr>
          <w:lang w:val="fr-FR"/>
        </w:rPr>
        <w:t>'</w:t>
      </w:r>
      <w:r w:rsidR="002337CF" w:rsidRPr="00A631B6">
        <w:rPr>
          <w:lang w:val="fr-FR"/>
        </w:rPr>
        <w:t xml:space="preserve">EPFD </w:t>
      </w:r>
      <w:r w:rsidRPr="00A631B6">
        <w:rPr>
          <w:lang w:val="fr-FR"/>
        </w:rPr>
        <w:t xml:space="preserve">et la mise en oeuvre </w:t>
      </w:r>
      <w:proofErr w:type="gramStart"/>
      <w:r w:rsidRPr="00A631B6">
        <w:rPr>
          <w:lang w:val="fr-FR"/>
        </w:rPr>
        <w:t>du</w:t>
      </w:r>
      <w:proofErr w:type="gramEnd"/>
      <w:r w:rsidRPr="00A631B6">
        <w:rPr>
          <w:lang w:val="fr-FR"/>
        </w:rPr>
        <w:t xml:space="preserve"> </w:t>
      </w:r>
      <w:r w:rsidRPr="00A631B6">
        <w:rPr>
          <w:i/>
          <w:iCs/>
          <w:lang w:val="fr-FR"/>
        </w:rPr>
        <w:t>charge le Directeur du Bureau des radiocommunications</w:t>
      </w:r>
      <w:r w:rsidRPr="00A631B6">
        <w:rPr>
          <w:lang w:val="fr-FR"/>
        </w:rPr>
        <w:t xml:space="preserve"> de la Résolution </w:t>
      </w:r>
      <w:r w:rsidRPr="00A631B6">
        <w:rPr>
          <w:b/>
          <w:bCs/>
          <w:lang w:val="fr-FR"/>
        </w:rPr>
        <w:t>85 (CMR-03)</w:t>
      </w:r>
      <w:r w:rsidRPr="00A631B6">
        <w:rPr>
          <w:lang w:val="fr-FR"/>
        </w:rPr>
        <w:t>.</w:t>
      </w:r>
    </w:p>
    <w:p w14:paraId="633E3D33" w14:textId="77777777" w:rsidR="003D39FF" w:rsidRDefault="003D39FF" w:rsidP="00F627C1">
      <w:pPr>
        <w:spacing w:line="240" w:lineRule="auto"/>
        <w:rPr>
          <w:lang w:val="fr-FR"/>
        </w:rPr>
      </w:pPr>
    </w:p>
    <w:p w14:paraId="65BEC5DC" w14:textId="77777777" w:rsidR="003D39FF" w:rsidRPr="00A631B6" w:rsidRDefault="003D39FF" w:rsidP="00F627C1">
      <w:pPr>
        <w:spacing w:line="240" w:lineRule="auto"/>
        <w:rPr>
          <w:lang w:val="fr-FR"/>
        </w:rPr>
      </w:pPr>
    </w:p>
    <w:p w14:paraId="6A3E5E5B" w14:textId="77777777" w:rsidR="00D530A9" w:rsidRDefault="00D530A9" w:rsidP="00551E78">
      <w:pPr>
        <w:spacing w:line="240" w:lineRule="auto"/>
        <w:rPr>
          <w:lang w:val="fr-FR"/>
        </w:rPr>
      </w:pPr>
    </w:p>
    <w:p w14:paraId="75B6BFF8" w14:textId="77777777" w:rsidR="00D530A9" w:rsidRDefault="00D530A9" w:rsidP="00551E78">
      <w:pPr>
        <w:spacing w:line="240" w:lineRule="auto"/>
        <w:rPr>
          <w:lang w:val="fr-FR"/>
        </w:rPr>
      </w:pPr>
    </w:p>
    <w:p w14:paraId="663CB86C" w14:textId="7EA9348F" w:rsidR="00133737" w:rsidRPr="00A631B6" w:rsidRDefault="00133737" w:rsidP="00551E78">
      <w:pPr>
        <w:spacing w:line="240" w:lineRule="auto"/>
        <w:rPr>
          <w:lang w:val="fr-FR"/>
        </w:rPr>
      </w:pPr>
      <w:r w:rsidRPr="00A631B6">
        <w:rPr>
          <w:lang w:val="fr-FR"/>
        </w:rPr>
        <w:t xml:space="preserve">Conformément aux points 2 et 3 du </w:t>
      </w:r>
      <w:r w:rsidRPr="004A7B4F">
        <w:rPr>
          <w:i/>
          <w:iCs/>
          <w:lang w:val="fr-FR"/>
        </w:rPr>
        <w:t>charge le Directeur du Bureau des radiocommunications</w:t>
      </w:r>
      <w:r w:rsidRPr="00A631B6">
        <w:rPr>
          <w:lang w:val="fr-FR"/>
        </w:rPr>
        <w:t xml:space="preserve"> de la Résolution </w:t>
      </w:r>
      <w:r w:rsidRPr="00A631B6">
        <w:rPr>
          <w:b/>
          <w:bCs/>
          <w:lang w:val="fr-FR"/>
        </w:rPr>
        <w:t>85</w:t>
      </w:r>
      <w:r w:rsidRPr="00A631B6">
        <w:rPr>
          <w:lang w:val="fr-FR"/>
        </w:rPr>
        <w:t xml:space="preserve">, le Bureau </w:t>
      </w:r>
      <w:r w:rsidR="002337CF" w:rsidRPr="00A631B6">
        <w:rPr>
          <w:lang w:val="fr-FR"/>
        </w:rPr>
        <w:t xml:space="preserve">commencera à revoir les </w:t>
      </w:r>
      <w:r w:rsidRPr="00A631B6">
        <w:rPr>
          <w:lang w:val="fr-FR"/>
        </w:rPr>
        <w:t xml:space="preserve">conclusions </w:t>
      </w:r>
      <w:r w:rsidR="002337CF" w:rsidRPr="00A631B6">
        <w:rPr>
          <w:lang w:val="fr-FR"/>
        </w:rPr>
        <w:t>qu</w:t>
      </w:r>
      <w:r w:rsidR="00A044D6">
        <w:rPr>
          <w:lang w:val="fr-FR"/>
        </w:rPr>
        <w:t>'</w:t>
      </w:r>
      <w:r w:rsidR="002337CF" w:rsidRPr="00A631B6">
        <w:rPr>
          <w:lang w:val="fr-FR"/>
        </w:rPr>
        <w:t xml:space="preserve">il a </w:t>
      </w:r>
      <w:r w:rsidRPr="00A631B6">
        <w:rPr>
          <w:lang w:val="fr-FR"/>
        </w:rPr>
        <w:t xml:space="preserve">formulées conformément aux numéros </w:t>
      </w:r>
      <w:r w:rsidRPr="00A631B6">
        <w:rPr>
          <w:b/>
          <w:bCs/>
          <w:lang w:val="fr-FR"/>
        </w:rPr>
        <w:t>9.35</w:t>
      </w:r>
      <w:r w:rsidRPr="00A631B6">
        <w:rPr>
          <w:lang w:val="fr-FR"/>
        </w:rPr>
        <w:t xml:space="preserve"> et </w:t>
      </w:r>
      <w:r w:rsidRPr="00A631B6">
        <w:rPr>
          <w:b/>
          <w:bCs/>
          <w:lang w:val="fr-FR"/>
        </w:rPr>
        <w:t>11.31</w:t>
      </w:r>
      <w:r w:rsidRPr="00A631B6">
        <w:rPr>
          <w:lang w:val="fr-FR"/>
        </w:rPr>
        <w:t xml:space="preserve">, </w:t>
      </w:r>
      <w:r w:rsidR="002337CF" w:rsidRPr="00A631B6">
        <w:rPr>
          <w:lang w:val="fr-FR"/>
        </w:rPr>
        <w:t>selon qu</w:t>
      </w:r>
      <w:r w:rsidR="00A044D6">
        <w:rPr>
          <w:lang w:val="fr-FR"/>
        </w:rPr>
        <w:t>'</w:t>
      </w:r>
      <w:r w:rsidR="002337CF" w:rsidRPr="00A631B6">
        <w:rPr>
          <w:lang w:val="fr-FR"/>
        </w:rPr>
        <w:t>il conviendra, et l</w:t>
      </w:r>
      <w:r w:rsidRPr="00A631B6">
        <w:rPr>
          <w:lang w:val="fr-FR"/>
        </w:rPr>
        <w:t>es besoins de co</w:t>
      </w:r>
      <w:r w:rsidR="00F627C1">
        <w:rPr>
          <w:lang w:val="fr-FR"/>
        </w:rPr>
        <w:t>ordination au titre des numéros </w:t>
      </w:r>
      <w:r w:rsidRPr="00A631B6">
        <w:rPr>
          <w:b/>
          <w:bCs/>
          <w:lang w:val="fr-FR"/>
        </w:rPr>
        <w:t>9.7A</w:t>
      </w:r>
      <w:r w:rsidRPr="00A631B6">
        <w:rPr>
          <w:lang w:val="fr-FR"/>
        </w:rPr>
        <w:t xml:space="preserve"> et </w:t>
      </w:r>
      <w:r w:rsidRPr="00A631B6">
        <w:rPr>
          <w:b/>
          <w:bCs/>
          <w:lang w:val="fr-FR"/>
        </w:rPr>
        <w:t>9.7B</w:t>
      </w:r>
      <w:r w:rsidRPr="00A631B6">
        <w:rPr>
          <w:lang w:val="fr-FR"/>
        </w:rPr>
        <w:t>.</w:t>
      </w:r>
    </w:p>
    <w:p w14:paraId="427BF5C1" w14:textId="531FD10D" w:rsidR="00133737" w:rsidRPr="00A631B6" w:rsidRDefault="00133737" w:rsidP="00F627C1">
      <w:pPr>
        <w:spacing w:line="240" w:lineRule="auto"/>
        <w:rPr>
          <w:lang w:val="fr-FR"/>
        </w:rPr>
      </w:pPr>
      <w:r w:rsidRPr="00A631B6">
        <w:rPr>
          <w:lang w:val="fr-FR"/>
        </w:rPr>
        <w:t>Le Bureau déterminera si</w:t>
      </w:r>
      <w:r w:rsidR="006B59B0" w:rsidRPr="00A631B6">
        <w:rPr>
          <w:lang w:val="fr-FR"/>
        </w:rPr>
        <w:t xml:space="preserve"> les assignations de fréquence</w:t>
      </w:r>
      <w:r w:rsidRPr="00A631B6">
        <w:rPr>
          <w:lang w:val="fr-FR"/>
        </w:rPr>
        <w:t xml:space="preserve">: </w:t>
      </w:r>
    </w:p>
    <w:p w14:paraId="288FC3E2" w14:textId="57CEB5CA" w:rsidR="00133737" w:rsidRPr="00A631B6" w:rsidRDefault="006B59B0" w:rsidP="00F627C1">
      <w:pPr>
        <w:pStyle w:val="enumlev1"/>
        <w:spacing w:line="240" w:lineRule="auto"/>
        <w:rPr>
          <w:lang w:val="fr-FR"/>
        </w:rPr>
      </w:pPr>
      <w:r w:rsidRPr="00A631B6">
        <w:rPr>
          <w:lang w:val="fr-FR"/>
        </w:rPr>
        <w:t>a)</w:t>
      </w:r>
      <w:r w:rsidR="00133737" w:rsidRPr="00A631B6">
        <w:rPr>
          <w:lang w:val="fr-FR"/>
        </w:rPr>
        <w:tab/>
        <w:t>aux systèmes à satellites non OSG du SFS respectent les limites d</w:t>
      </w:r>
      <w:r w:rsidR="00A044D6">
        <w:rPr>
          <w:lang w:val="fr-FR"/>
        </w:rPr>
        <w:t>'</w:t>
      </w:r>
      <w:r w:rsidR="00133737" w:rsidRPr="00A631B6">
        <w:rPr>
          <w:lang w:val="fr-FR"/>
        </w:rPr>
        <w:t xml:space="preserve">EPFD indiquées dans les Tableaux </w:t>
      </w:r>
      <w:r w:rsidR="00133737" w:rsidRPr="00A631B6">
        <w:rPr>
          <w:b/>
          <w:bCs/>
          <w:lang w:val="fr-FR"/>
        </w:rPr>
        <w:t>22-1A</w:t>
      </w:r>
      <w:r w:rsidR="00133737" w:rsidRPr="00A631B6">
        <w:rPr>
          <w:lang w:val="fr-FR"/>
        </w:rPr>
        <w:t xml:space="preserve">, </w:t>
      </w:r>
      <w:r w:rsidR="00133737" w:rsidRPr="00A631B6">
        <w:rPr>
          <w:b/>
          <w:bCs/>
          <w:lang w:val="fr-FR"/>
        </w:rPr>
        <w:t>22-1B</w:t>
      </w:r>
      <w:r w:rsidR="00133737" w:rsidRPr="00A631B6">
        <w:rPr>
          <w:lang w:val="fr-FR"/>
        </w:rPr>
        <w:t xml:space="preserve">, </w:t>
      </w:r>
      <w:r w:rsidR="00133737" w:rsidRPr="00A631B6">
        <w:rPr>
          <w:b/>
          <w:bCs/>
          <w:lang w:val="fr-FR"/>
        </w:rPr>
        <w:t>22-1C</w:t>
      </w:r>
      <w:r w:rsidR="00133737" w:rsidRPr="00A631B6">
        <w:rPr>
          <w:lang w:val="fr-FR"/>
        </w:rPr>
        <w:t xml:space="preserve">, </w:t>
      </w:r>
      <w:r w:rsidR="00133737" w:rsidRPr="00A631B6">
        <w:rPr>
          <w:b/>
          <w:bCs/>
          <w:lang w:val="fr-FR"/>
        </w:rPr>
        <w:t>22-1D</w:t>
      </w:r>
      <w:r w:rsidR="00133737" w:rsidRPr="00A631B6">
        <w:rPr>
          <w:lang w:val="fr-FR"/>
        </w:rPr>
        <w:t xml:space="preserve">, </w:t>
      </w:r>
      <w:r w:rsidR="00133737" w:rsidRPr="00A631B6">
        <w:rPr>
          <w:b/>
          <w:bCs/>
          <w:lang w:val="fr-FR"/>
        </w:rPr>
        <w:t>22-1E</w:t>
      </w:r>
      <w:r w:rsidR="00133737" w:rsidRPr="00A631B6">
        <w:rPr>
          <w:lang w:val="fr-FR"/>
        </w:rPr>
        <w:t xml:space="preserve">, </w:t>
      </w:r>
      <w:r w:rsidR="00133737" w:rsidRPr="00A631B6">
        <w:rPr>
          <w:b/>
          <w:bCs/>
          <w:lang w:val="fr-FR"/>
        </w:rPr>
        <w:t>22-2</w:t>
      </w:r>
      <w:r w:rsidR="00133737" w:rsidRPr="00A631B6">
        <w:rPr>
          <w:lang w:val="fr-FR"/>
        </w:rPr>
        <w:t xml:space="preserve"> et </w:t>
      </w:r>
      <w:r w:rsidR="00133737" w:rsidRPr="00A631B6">
        <w:rPr>
          <w:b/>
          <w:bCs/>
          <w:lang w:val="fr-FR"/>
        </w:rPr>
        <w:t>22-3</w:t>
      </w:r>
      <w:r w:rsidR="00133737" w:rsidRPr="00A631B6">
        <w:rPr>
          <w:lang w:val="fr-FR"/>
        </w:rPr>
        <w:t xml:space="preserve"> de l</w:t>
      </w:r>
      <w:r w:rsidR="00A044D6">
        <w:rPr>
          <w:lang w:val="fr-FR"/>
        </w:rPr>
        <w:t>'</w:t>
      </w:r>
      <w:r w:rsidR="00133737" w:rsidRPr="00A631B6">
        <w:rPr>
          <w:lang w:val="fr-FR"/>
        </w:rPr>
        <w:t xml:space="preserve">Article </w:t>
      </w:r>
      <w:r w:rsidR="00133737" w:rsidRPr="00A631B6">
        <w:rPr>
          <w:b/>
          <w:bCs/>
          <w:lang w:val="fr-FR"/>
        </w:rPr>
        <w:t>22</w:t>
      </w:r>
      <w:r w:rsidR="00133737" w:rsidRPr="00A631B6">
        <w:rPr>
          <w:lang w:val="fr-FR"/>
        </w:rPr>
        <w:t>;</w:t>
      </w:r>
    </w:p>
    <w:p w14:paraId="2E5A759E" w14:textId="6195B7F2" w:rsidR="00133737" w:rsidRPr="00A631B6" w:rsidRDefault="00133737" w:rsidP="00F627C1">
      <w:pPr>
        <w:pStyle w:val="enumlev1"/>
        <w:spacing w:line="240" w:lineRule="auto"/>
        <w:rPr>
          <w:lang w:val="fr-FR"/>
        </w:rPr>
      </w:pPr>
      <w:r w:rsidRPr="00A631B6">
        <w:rPr>
          <w:lang w:val="fr-FR"/>
        </w:rPr>
        <w:t>b)</w:t>
      </w:r>
      <w:r w:rsidRPr="00A631B6">
        <w:rPr>
          <w:lang w:val="fr-FR"/>
        </w:rPr>
        <w:tab/>
        <w:t>à de grandes stations terriennes spécifiques (dans certaines conditions) doivent faire l</w:t>
      </w:r>
      <w:r w:rsidR="00A044D6">
        <w:rPr>
          <w:lang w:val="fr-FR"/>
        </w:rPr>
        <w:t>'</w:t>
      </w:r>
      <w:r w:rsidRPr="00A631B6">
        <w:rPr>
          <w:lang w:val="fr-FR"/>
        </w:rPr>
        <w:t>objet d</w:t>
      </w:r>
      <w:r w:rsidR="00A044D6">
        <w:rPr>
          <w:lang w:val="fr-FR"/>
        </w:rPr>
        <w:t>'</w:t>
      </w:r>
      <w:r w:rsidRPr="00A631B6">
        <w:rPr>
          <w:lang w:val="fr-FR"/>
        </w:rPr>
        <w:t xml:space="preserve">une coordination au titre du numéro </w:t>
      </w:r>
      <w:r w:rsidRPr="00631AFC">
        <w:rPr>
          <w:b/>
          <w:bCs/>
          <w:lang w:val="fr-FR"/>
        </w:rPr>
        <w:t>9.7A</w:t>
      </w:r>
      <w:r w:rsidRPr="00A631B6">
        <w:rPr>
          <w:lang w:val="fr-FR"/>
        </w:rPr>
        <w:t xml:space="preserve"> vis-à-vis de tout système à satellites non OSG du SFS existant qui utilise les valeurs de déclenchement de la coordination indiquées dans l</w:t>
      </w:r>
      <w:r w:rsidR="00A044D6">
        <w:rPr>
          <w:lang w:val="fr-FR"/>
        </w:rPr>
        <w:t>'</w:t>
      </w:r>
      <w:r w:rsidRPr="00A631B6">
        <w:rPr>
          <w:lang w:val="fr-FR"/>
        </w:rPr>
        <w:t xml:space="preserve">Appendice </w:t>
      </w:r>
      <w:r w:rsidRPr="00631AFC">
        <w:rPr>
          <w:b/>
          <w:bCs/>
          <w:lang w:val="fr-FR"/>
        </w:rPr>
        <w:t>5</w:t>
      </w:r>
      <w:r w:rsidRPr="00A631B6">
        <w:rPr>
          <w:lang w:val="fr-FR"/>
        </w:rPr>
        <w:t>; ou</w:t>
      </w:r>
    </w:p>
    <w:p w14:paraId="5F5EF0EF" w14:textId="31A13820" w:rsidR="00133737" w:rsidRPr="00A631B6" w:rsidRDefault="00133737" w:rsidP="00F627C1">
      <w:pPr>
        <w:pStyle w:val="enumlev1"/>
        <w:spacing w:line="240" w:lineRule="auto"/>
        <w:rPr>
          <w:lang w:val="fr-FR"/>
        </w:rPr>
      </w:pPr>
      <w:r w:rsidRPr="00A631B6">
        <w:rPr>
          <w:lang w:val="fr-FR"/>
        </w:rPr>
        <w:t>c)</w:t>
      </w:r>
      <w:r w:rsidRPr="00A631B6">
        <w:rPr>
          <w:lang w:val="fr-FR"/>
        </w:rPr>
        <w:tab/>
        <w:t>aux systèmes à satellites non OSG du SFS doivent faire l</w:t>
      </w:r>
      <w:r w:rsidR="00A044D6">
        <w:rPr>
          <w:lang w:val="fr-FR"/>
        </w:rPr>
        <w:t>'</w:t>
      </w:r>
      <w:r w:rsidRPr="00A631B6">
        <w:rPr>
          <w:lang w:val="fr-FR"/>
        </w:rPr>
        <w:t>objet d</w:t>
      </w:r>
      <w:r w:rsidR="00A044D6">
        <w:rPr>
          <w:lang w:val="fr-FR"/>
        </w:rPr>
        <w:t>'</w:t>
      </w:r>
      <w:r w:rsidRPr="00A631B6">
        <w:rPr>
          <w:lang w:val="fr-FR"/>
        </w:rPr>
        <w:t xml:space="preserve">une coordination au titre du numéro </w:t>
      </w:r>
      <w:r w:rsidRPr="00A631B6">
        <w:rPr>
          <w:b/>
          <w:bCs/>
          <w:lang w:val="fr-FR"/>
        </w:rPr>
        <w:t>9.7B</w:t>
      </w:r>
      <w:r w:rsidRPr="00A631B6">
        <w:rPr>
          <w:lang w:val="fr-FR"/>
        </w:rPr>
        <w:t xml:space="preserve"> vis-à-vis d</w:t>
      </w:r>
      <w:r w:rsidR="00A044D6">
        <w:rPr>
          <w:lang w:val="fr-FR"/>
        </w:rPr>
        <w:t>'</w:t>
      </w:r>
      <w:r w:rsidRPr="00A631B6">
        <w:rPr>
          <w:lang w:val="fr-FR"/>
        </w:rPr>
        <w:t>une grande station terrienne spécifique (dans certaines conditions) qui utilise les valeurs de déclenchement de la coordination indiquées dans l</w:t>
      </w:r>
      <w:r w:rsidR="00A044D6">
        <w:rPr>
          <w:lang w:val="fr-FR"/>
        </w:rPr>
        <w:t>'</w:t>
      </w:r>
      <w:r w:rsidRPr="00A631B6">
        <w:rPr>
          <w:lang w:val="fr-FR"/>
        </w:rPr>
        <w:t xml:space="preserve">Appendice </w:t>
      </w:r>
      <w:r w:rsidRPr="00A631B6">
        <w:rPr>
          <w:b/>
          <w:bCs/>
          <w:lang w:val="fr-FR"/>
        </w:rPr>
        <w:t>5</w:t>
      </w:r>
      <w:r w:rsidRPr="00A631B6">
        <w:rPr>
          <w:lang w:val="fr-FR"/>
        </w:rPr>
        <w:t>.</w:t>
      </w:r>
    </w:p>
    <w:p w14:paraId="584DE60D" w14:textId="19FF89B1" w:rsidR="00133737" w:rsidRPr="00A631B6" w:rsidRDefault="00133737" w:rsidP="00F627C1">
      <w:pPr>
        <w:spacing w:line="240" w:lineRule="auto"/>
        <w:rPr>
          <w:lang w:val="fr-FR"/>
        </w:rPr>
      </w:pPr>
      <w:r w:rsidRPr="00A631B6">
        <w:rPr>
          <w:lang w:val="fr-FR"/>
        </w:rPr>
        <w:t>A cet effet, le Bureau contactera chaqu</w:t>
      </w:r>
      <w:r w:rsidR="002337CF" w:rsidRPr="00A631B6">
        <w:rPr>
          <w:lang w:val="fr-FR"/>
        </w:rPr>
        <w:t>e administration ayant notifié des assignations de fréquence de</w:t>
      </w:r>
      <w:r w:rsidRPr="00A631B6">
        <w:rPr>
          <w:lang w:val="fr-FR"/>
        </w:rPr>
        <w:t xml:space="preserve"> systèmes à satellites non géostationnaires du service fixe par satellite, y compris les assignations de fréquence assorties de conclusi</w:t>
      </w:r>
      <w:r w:rsidR="006B59B0" w:rsidRPr="00A631B6">
        <w:rPr>
          <w:lang w:val="fr-FR"/>
        </w:rPr>
        <w:t>ons favorables «conditionnelles</w:t>
      </w:r>
      <w:r w:rsidRPr="00A631B6">
        <w:rPr>
          <w:lang w:val="fr-FR"/>
        </w:rPr>
        <w:t>», conformément à la Résolution</w:t>
      </w:r>
      <w:r w:rsidR="006B59B0" w:rsidRPr="00A631B6">
        <w:rPr>
          <w:lang w:val="fr-FR"/>
        </w:rPr>
        <w:t> </w:t>
      </w:r>
      <w:r w:rsidRPr="00A631B6">
        <w:rPr>
          <w:b/>
          <w:bCs/>
          <w:lang w:val="fr-FR"/>
        </w:rPr>
        <w:t>85 (CMR-03)</w:t>
      </w:r>
      <w:r w:rsidRPr="00A631B6">
        <w:rPr>
          <w:lang w:val="fr-FR"/>
        </w:rPr>
        <w:t>, et demandera à l</w:t>
      </w:r>
      <w:r w:rsidR="00A044D6">
        <w:rPr>
          <w:lang w:val="fr-FR"/>
        </w:rPr>
        <w:t>'</w:t>
      </w:r>
      <w:r w:rsidRPr="00A631B6">
        <w:rPr>
          <w:lang w:val="fr-FR"/>
        </w:rPr>
        <w:t xml:space="preserve">administration de </w:t>
      </w:r>
      <w:r w:rsidR="002337CF" w:rsidRPr="00A631B6">
        <w:rPr>
          <w:lang w:val="fr-FR"/>
        </w:rPr>
        <w:t xml:space="preserve">fournir </w:t>
      </w:r>
      <w:r w:rsidRPr="00A631B6">
        <w:rPr>
          <w:lang w:val="fr-FR"/>
        </w:rPr>
        <w:t>les éléments ci-dessous dans les trois mois suivant la date d</w:t>
      </w:r>
      <w:r w:rsidR="00A044D6">
        <w:rPr>
          <w:lang w:val="fr-FR"/>
        </w:rPr>
        <w:t>'</w:t>
      </w:r>
      <w:r w:rsidR="004A7B4F">
        <w:rPr>
          <w:lang w:val="fr-FR"/>
        </w:rPr>
        <w:t>envoi de la communication</w:t>
      </w:r>
      <w:r w:rsidRPr="00A631B6">
        <w:rPr>
          <w:lang w:val="fr-FR"/>
        </w:rPr>
        <w:t>:</w:t>
      </w:r>
    </w:p>
    <w:p w14:paraId="3F7F69C6" w14:textId="7818B263" w:rsidR="00133737" w:rsidRPr="00A631B6" w:rsidRDefault="00133737" w:rsidP="00F627C1">
      <w:pPr>
        <w:pStyle w:val="enumlev1"/>
        <w:spacing w:line="240" w:lineRule="auto"/>
        <w:rPr>
          <w:lang w:val="fr-FR"/>
        </w:rPr>
      </w:pPr>
      <w:r w:rsidRPr="00A631B6">
        <w:rPr>
          <w:lang w:val="fr-FR"/>
        </w:rPr>
        <w:t>–</w:t>
      </w:r>
      <w:r w:rsidRPr="00A631B6">
        <w:rPr>
          <w:lang w:val="fr-FR"/>
        </w:rPr>
        <w:tab/>
        <w:t xml:space="preserve">les données relatives aux gabarits de puissance surfacique et de p.i.r.e. (éléments de données indiqués au </w:t>
      </w:r>
      <w:r w:rsidR="00607E05">
        <w:rPr>
          <w:lang w:val="fr-FR"/>
        </w:rPr>
        <w:t>§ </w:t>
      </w:r>
      <w:r w:rsidRPr="00A631B6">
        <w:rPr>
          <w:lang w:val="fr-FR"/>
        </w:rPr>
        <w:t>A.14 de l</w:t>
      </w:r>
      <w:r w:rsidR="00A044D6">
        <w:rPr>
          <w:lang w:val="fr-FR"/>
        </w:rPr>
        <w:t>'</w:t>
      </w:r>
      <w:r w:rsidRPr="00A631B6">
        <w:rPr>
          <w:lang w:val="fr-FR"/>
        </w:rPr>
        <w:t xml:space="preserve">Appendice </w:t>
      </w:r>
      <w:r w:rsidRPr="003D39FF">
        <w:rPr>
          <w:b/>
          <w:bCs/>
          <w:lang w:val="fr-FR"/>
        </w:rPr>
        <w:t>4</w:t>
      </w:r>
      <w:r w:rsidRPr="00A631B6">
        <w:rPr>
          <w:lang w:val="fr-FR"/>
        </w:rPr>
        <w:t>), conformément à la description détaillée des gabarits figurant dans la Recommandation UIT-R S.1503-2, Partie B. Les données relatives aux gabarits doivent être fournies dans le format XML, dont on trouvera une description à l</w:t>
      </w:r>
      <w:r w:rsidR="00A044D6">
        <w:rPr>
          <w:lang w:val="fr-FR"/>
        </w:rPr>
        <w:t>'</w:t>
      </w:r>
      <w:r w:rsidRPr="00A631B6">
        <w:rPr>
          <w:lang w:val="fr-FR"/>
        </w:rPr>
        <w:t xml:space="preserve">adresse: </w:t>
      </w:r>
      <w:hyperlink r:id="rId9" w:history="1">
        <w:r w:rsidRPr="00A631B6">
          <w:rPr>
            <w:rStyle w:val="Hyperlink"/>
            <w:rFonts w:asciiTheme="minorHAnsi" w:hAnsiTheme="minorHAnsi" w:cstheme="minorHAnsi"/>
            <w:szCs w:val="24"/>
            <w:lang w:val="fr-FR"/>
          </w:rPr>
          <w:t>www.itu.int/ITU-R/go/space-mask-XMLfile/en</w:t>
        </w:r>
      </w:hyperlink>
      <w:r w:rsidRPr="00A631B6">
        <w:rPr>
          <w:lang w:val="fr-FR"/>
        </w:rPr>
        <w:t>; et</w:t>
      </w:r>
    </w:p>
    <w:p w14:paraId="16099DBC" w14:textId="01CEDD47" w:rsidR="00133737" w:rsidRPr="00A631B6" w:rsidRDefault="00133737" w:rsidP="00F627C1">
      <w:pPr>
        <w:pStyle w:val="enumlev1"/>
        <w:spacing w:line="240" w:lineRule="auto"/>
        <w:rPr>
          <w:lang w:val="fr-FR"/>
        </w:rPr>
      </w:pPr>
      <w:r w:rsidRPr="00A631B6">
        <w:rPr>
          <w:lang w:val="fr-FR"/>
        </w:rPr>
        <w:t>–</w:t>
      </w:r>
      <w:r w:rsidRPr="00A631B6">
        <w:rPr>
          <w:lang w:val="fr-FR"/>
        </w:rPr>
        <w:tab/>
        <w:t>tout autre élément de données de l</w:t>
      </w:r>
      <w:r w:rsidR="00A044D6">
        <w:rPr>
          <w:lang w:val="fr-FR"/>
        </w:rPr>
        <w:t>'</w:t>
      </w:r>
      <w:r w:rsidRPr="00A631B6">
        <w:rPr>
          <w:lang w:val="fr-FR"/>
        </w:rPr>
        <w:t xml:space="preserve">Appendice </w:t>
      </w:r>
      <w:r w:rsidRPr="003D39FF">
        <w:rPr>
          <w:b/>
          <w:bCs/>
          <w:lang w:val="fr-FR"/>
        </w:rPr>
        <w:t>4</w:t>
      </w:r>
      <w:r w:rsidRPr="00A631B6">
        <w:rPr>
          <w:lang w:val="fr-FR"/>
        </w:rPr>
        <w:t xml:space="preserve"> à fournir pour les stations fonctionnant dans une bande de fréquences assujettie aux numéros 22.5C, 22.5D ou 22.5F (c</w:t>
      </w:r>
      <w:r w:rsidR="00A044D6">
        <w:rPr>
          <w:lang w:val="fr-FR"/>
        </w:rPr>
        <w:t>'</w:t>
      </w:r>
      <w:r w:rsidRPr="00A631B6">
        <w:rPr>
          <w:lang w:val="fr-FR"/>
        </w:rPr>
        <w:t xml:space="preserve">est-à-dire soumise à un examen </w:t>
      </w:r>
      <w:r w:rsidR="002337CF" w:rsidRPr="00A631B6">
        <w:rPr>
          <w:lang w:val="fr-FR"/>
        </w:rPr>
        <w:t>de l</w:t>
      </w:r>
      <w:r w:rsidR="00A044D6">
        <w:rPr>
          <w:lang w:val="fr-FR"/>
        </w:rPr>
        <w:t>'</w:t>
      </w:r>
      <w:r w:rsidR="002337CF" w:rsidRPr="00A631B6">
        <w:rPr>
          <w:lang w:val="fr-FR"/>
        </w:rPr>
        <w:t>EPFD</w:t>
      </w:r>
      <w:r w:rsidRPr="00A631B6">
        <w:rPr>
          <w:lang w:val="fr-FR"/>
        </w:rPr>
        <w:t>) qui pourrait avoir été omis dans la soumission initiale ou devrait être modifié afin d</w:t>
      </w:r>
      <w:r w:rsidR="00A044D6">
        <w:rPr>
          <w:lang w:val="fr-FR"/>
        </w:rPr>
        <w:t>'</w:t>
      </w:r>
      <w:r w:rsidRPr="00A631B6">
        <w:rPr>
          <w:lang w:val="fr-FR"/>
        </w:rPr>
        <w:t xml:space="preserve">exécuter correctement le logiciel de validation </w:t>
      </w:r>
      <w:r w:rsidR="002337CF" w:rsidRPr="00A631B6">
        <w:rPr>
          <w:lang w:val="fr-FR"/>
        </w:rPr>
        <w:t>de l</w:t>
      </w:r>
      <w:r w:rsidR="00A044D6">
        <w:rPr>
          <w:lang w:val="fr-FR"/>
        </w:rPr>
        <w:t>'</w:t>
      </w:r>
      <w:r w:rsidR="002337CF" w:rsidRPr="00A631B6">
        <w:rPr>
          <w:lang w:val="fr-FR"/>
        </w:rPr>
        <w:t>EPFD</w:t>
      </w:r>
      <w:r w:rsidRPr="00A631B6">
        <w:rPr>
          <w:lang w:val="fr-FR"/>
        </w:rPr>
        <w:t>, ainsi que les données relatives aux gabarits de puissance surfacique et de p.i.r.e.</w:t>
      </w:r>
    </w:p>
    <w:p w14:paraId="09F4EFBF" w14:textId="3AE96E93" w:rsidR="00133737" w:rsidRPr="00A631B6" w:rsidRDefault="00133737" w:rsidP="00F627C1">
      <w:pPr>
        <w:spacing w:line="240" w:lineRule="auto"/>
        <w:rPr>
          <w:lang w:val="fr-FR"/>
        </w:rPr>
      </w:pPr>
      <w:r w:rsidRPr="00A631B6">
        <w:rPr>
          <w:lang w:val="fr-FR"/>
        </w:rPr>
        <w:t>La soumission des renseignements ci-dessus ne modifiera pas la date off</w:t>
      </w:r>
      <w:r w:rsidR="002337CF" w:rsidRPr="00A631B6">
        <w:rPr>
          <w:lang w:val="fr-FR"/>
        </w:rPr>
        <w:t>icielle de réception des assigna</w:t>
      </w:r>
      <w:r w:rsidRPr="00A631B6">
        <w:rPr>
          <w:lang w:val="fr-FR"/>
        </w:rPr>
        <w:t xml:space="preserve">tions de fréquence </w:t>
      </w:r>
      <w:r w:rsidR="0012405F">
        <w:rPr>
          <w:lang w:val="fr-FR"/>
        </w:rPr>
        <w:t xml:space="preserve">concernées </w:t>
      </w:r>
      <w:r w:rsidRPr="00A631B6">
        <w:rPr>
          <w:lang w:val="fr-FR"/>
        </w:rPr>
        <w:t>si les renseignements ou précisions sont communiqués pendant la période de trois mois prévue. Dans le cas d</w:t>
      </w:r>
      <w:r w:rsidR="00A044D6">
        <w:rPr>
          <w:lang w:val="fr-FR"/>
        </w:rPr>
        <w:t>'</w:t>
      </w:r>
      <w:r w:rsidRPr="00A631B6">
        <w:rPr>
          <w:lang w:val="fr-FR"/>
        </w:rPr>
        <w:t xml:space="preserve">un système à satellites </w:t>
      </w:r>
      <w:r w:rsidR="002337CF" w:rsidRPr="00A631B6">
        <w:rPr>
          <w:lang w:val="fr-FR"/>
        </w:rPr>
        <w:t>auquel sont associés</w:t>
      </w:r>
      <w:r w:rsidRPr="00A631B6">
        <w:rPr>
          <w:lang w:val="fr-FR"/>
        </w:rPr>
        <w:t xml:space="preserve"> différents sous-ensembles de caractéristiques orbitales s</w:t>
      </w:r>
      <w:r w:rsidR="00A044D6">
        <w:rPr>
          <w:lang w:val="fr-FR"/>
        </w:rPr>
        <w:t>'</w:t>
      </w:r>
      <w:r w:rsidRPr="00A631B6">
        <w:rPr>
          <w:lang w:val="fr-FR"/>
        </w:rPr>
        <w:t>excluant mutuellement, les données requises doivent être fournies pour chaque sous-ensemble de paramètres orbitaux assujetti aux limites spécifiées dans l</w:t>
      </w:r>
      <w:r w:rsidR="00A044D6">
        <w:rPr>
          <w:lang w:val="fr-FR"/>
        </w:rPr>
        <w:t>'</w:t>
      </w:r>
      <w:r w:rsidRPr="00A631B6">
        <w:rPr>
          <w:lang w:val="fr-FR"/>
        </w:rPr>
        <w:t xml:space="preserve">Article </w:t>
      </w:r>
      <w:r w:rsidRPr="00A631B6">
        <w:rPr>
          <w:b/>
          <w:bCs/>
          <w:lang w:val="fr-FR"/>
        </w:rPr>
        <w:t>22</w:t>
      </w:r>
      <w:r w:rsidRPr="00A631B6">
        <w:rPr>
          <w:lang w:val="fr-FR"/>
        </w:rPr>
        <w:t xml:space="preserve"> et au numéro </w:t>
      </w:r>
      <w:r w:rsidRPr="00A631B6">
        <w:rPr>
          <w:b/>
          <w:bCs/>
          <w:lang w:val="fr-FR"/>
        </w:rPr>
        <w:t>9.7B</w:t>
      </w:r>
      <w:r w:rsidRPr="00A631B6">
        <w:rPr>
          <w:lang w:val="fr-FR"/>
        </w:rPr>
        <w:t>.</w:t>
      </w:r>
    </w:p>
    <w:p w14:paraId="149E1994" w14:textId="27414ABF" w:rsidR="00133737" w:rsidRPr="00A631B6" w:rsidRDefault="00133737" w:rsidP="00F627C1">
      <w:pPr>
        <w:spacing w:line="240" w:lineRule="auto"/>
        <w:rPr>
          <w:lang w:val="fr-FR"/>
        </w:rPr>
      </w:pPr>
      <w:r w:rsidRPr="00A631B6">
        <w:rPr>
          <w:lang w:val="fr-FR"/>
        </w:rPr>
        <w:t xml:space="preserve">Si les renseignements requis ne sont pas fournis dans le délai susmentionné de trois mois, la soumission sera considérée comme incomplète et une nouvelle date officielle de réception sera fixée lorsque les renseignements complets auront été reçus. </w:t>
      </w:r>
    </w:p>
    <w:p w14:paraId="1047F62B" w14:textId="38E1BF06" w:rsidR="00133737" w:rsidRDefault="00133737" w:rsidP="00F627C1">
      <w:pPr>
        <w:spacing w:line="240" w:lineRule="auto"/>
        <w:rPr>
          <w:lang w:val="fr-FR"/>
        </w:rPr>
      </w:pPr>
      <w:r w:rsidRPr="00A631B6">
        <w:rPr>
          <w:lang w:val="fr-FR"/>
        </w:rPr>
        <w:t xml:space="preserve">Les données relatives aux gabarits de puissance surfacique et de p.i.r.e. qui auront été soumises, ainsi que les résultats de </w:t>
      </w:r>
      <w:r w:rsidR="002337CF" w:rsidRPr="00A631B6">
        <w:rPr>
          <w:lang w:val="fr-FR"/>
        </w:rPr>
        <w:t>l</w:t>
      </w:r>
      <w:r w:rsidR="00A044D6">
        <w:rPr>
          <w:lang w:val="fr-FR"/>
        </w:rPr>
        <w:t>'</w:t>
      </w:r>
      <w:r w:rsidRPr="00A631B6">
        <w:rPr>
          <w:lang w:val="fr-FR"/>
        </w:rPr>
        <w:t>examen</w:t>
      </w:r>
      <w:r w:rsidR="002337CF" w:rsidRPr="00A631B6">
        <w:rPr>
          <w:lang w:val="fr-FR"/>
        </w:rPr>
        <w:t xml:space="preserve"> de l</w:t>
      </w:r>
      <w:r w:rsidR="00A044D6">
        <w:rPr>
          <w:lang w:val="fr-FR"/>
        </w:rPr>
        <w:t>'</w:t>
      </w:r>
      <w:r w:rsidR="002337CF" w:rsidRPr="00A631B6">
        <w:rPr>
          <w:lang w:val="fr-FR"/>
        </w:rPr>
        <w:t>EPFD</w:t>
      </w:r>
      <w:r w:rsidRPr="00A631B6">
        <w:rPr>
          <w:lang w:val="fr-FR"/>
        </w:rPr>
        <w:t xml:space="preserve">, seront publiés dans la BR IFIC </w:t>
      </w:r>
      <w:r w:rsidR="002337CF" w:rsidRPr="00A631B6">
        <w:rPr>
          <w:lang w:val="fr-FR"/>
        </w:rPr>
        <w:t xml:space="preserve">(Services spatiaux) </w:t>
      </w:r>
      <w:r w:rsidRPr="00A631B6">
        <w:rPr>
          <w:lang w:val="fr-FR"/>
        </w:rPr>
        <w:t>et mis en ligne à l</w:t>
      </w:r>
      <w:r w:rsidR="00A044D6">
        <w:rPr>
          <w:lang w:val="fr-FR"/>
        </w:rPr>
        <w:t>'</w:t>
      </w:r>
      <w:r w:rsidRPr="00A631B6">
        <w:rPr>
          <w:lang w:val="fr-FR"/>
        </w:rPr>
        <w:t xml:space="preserve">adresse: </w:t>
      </w:r>
      <w:hyperlink r:id="rId10" w:history="1">
        <w:r w:rsidRPr="00A631B6">
          <w:rPr>
            <w:rStyle w:val="Hyperlink"/>
            <w:rFonts w:asciiTheme="minorHAnsi" w:hAnsiTheme="minorHAnsi" w:cstheme="minorHAnsi"/>
            <w:szCs w:val="24"/>
            <w:lang w:val="fr-FR"/>
          </w:rPr>
          <w:t>www.itu.int/ITU-R/go/space-</w:t>
        </w:r>
        <w:r w:rsidR="004A7B4F" w:rsidRPr="00A631B6">
          <w:rPr>
            <w:rStyle w:val="Hyperlink"/>
            <w:rFonts w:asciiTheme="minorHAnsi" w:hAnsiTheme="minorHAnsi" w:cstheme="minorHAnsi"/>
            <w:szCs w:val="24"/>
            <w:lang w:val="fr-FR"/>
          </w:rPr>
          <w:t>epfd</w:t>
        </w:r>
        <w:r w:rsidRPr="00A631B6">
          <w:rPr>
            <w:rStyle w:val="Hyperlink"/>
            <w:rFonts w:asciiTheme="minorHAnsi" w:hAnsiTheme="minorHAnsi" w:cstheme="minorHAnsi"/>
            <w:szCs w:val="24"/>
            <w:lang w:val="fr-FR"/>
          </w:rPr>
          <w:t>/en</w:t>
        </w:r>
      </w:hyperlink>
      <w:r w:rsidRPr="00A631B6">
        <w:rPr>
          <w:lang w:val="fr-FR"/>
        </w:rPr>
        <w:t>.</w:t>
      </w:r>
    </w:p>
    <w:p w14:paraId="24F28BC6" w14:textId="77777777" w:rsidR="003D39FF" w:rsidRDefault="003D39FF" w:rsidP="00F627C1">
      <w:pPr>
        <w:spacing w:line="240" w:lineRule="auto"/>
        <w:rPr>
          <w:lang w:val="fr-FR"/>
        </w:rPr>
      </w:pPr>
    </w:p>
    <w:p w14:paraId="07E8FC61" w14:textId="77777777" w:rsidR="003D39FF" w:rsidRDefault="003D39FF" w:rsidP="00F627C1">
      <w:pPr>
        <w:spacing w:line="240" w:lineRule="auto"/>
        <w:rPr>
          <w:lang w:val="fr-FR"/>
        </w:rPr>
      </w:pPr>
    </w:p>
    <w:p w14:paraId="33BB9A53" w14:textId="3EA59B8C" w:rsidR="00133737" w:rsidRPr="00A631B6" w:rsidRDefault="00133737" w:rsidP="00F627C1">
      <w:pPr>
        <w:spacing w:line="240" w:lineRule="auto"/>
        <w:rPr>
          <w:lang w:val="fr-FR"/>
        </w:rPr>
      </w:pPr>
      <w:r w:rsidRPr="00A631B6">
        <w:rPr>
          <w:lang w:val="fr-FR"/>
        </w:rPr>
        <w:t xml:space="preserve">La Conférence mondiale des radiocommunications de 2015 (CMR-15) a examiné les progrès </w:t>
      </w:r>
      <w:r w:rsidR="00607E05">
        <w:rPr>
          <w:lang w:val="fr-FR"/>
        </w:rPr>
        <w:t xml:space="preserve">dont a rendu compte </w:t>
      </w:r>
      <w:r w:rsidRPr="00A631B6">
        <w:rPr>
          <w:lang w:val="fr-FR"/>
        </w:rPr>
        <w:t>le Directeur du BR</w:t>
      </w:r>
      <w:r w:rsidR="00F627C1">
        <w:rPr>
          <w:lang w:val="fr-FR"/>
        </w:rPr>
        <w:t xml:space="preserve"> </w:t>
      </w:r>
      <w:r w:rsidR="00607E05">
        <w:rPr>
          <w:lang w:val="fr-FR"/>
        </w:rPr>
        <w:t xml:space="preserve">concernant </w:t>
      </w:r>
      <w:r w:rsidRPr="00A631B6">
        <w:rPr>
          <w:lang w:val="fr-FR"/>
        </w:rPr>
        <w:t>l</w:t>
      </w:r>
      <w:r w:rsidR="00A044D6">
        <w:rPr>
          <w:lang w:val="fr-FR"/>
        </w:rPr>
        <w:t>'</w:t>
      </w:r>
      <w:r w:rsidRPr="00A631B6">
        <w:rPr>
          <w:lang w:val="fr-FR"/>
        </w:rPr>
        <w:t xml:space="preserve">élaboration du logiciel de validation </w:t>
      </w:r>
      <w:r w:rsidR="002337CF" w:rsidRPr="00A631B6">
        <w:rPr>
          <w:lang w:val="fr-FR"/>
        </w:rPr>
        <w:t>de l</w:t>
      </w:r>
      <w:r w:rsidR="00A044D6">
        <w:rPr>
          <w:lang w:val="fr-FR"/>
        </w:rPr>
        <w:t>'</w:t>
      </w:r>
      <w:r w:rsidR="002337CF" w:rsidRPr="00A631B6">
        <w:rPr>
          <w:lang w:val="fr-FR"/>
        </w:rPr>
        <w:t xml:space="preserve">EPFD </w:t>
      </w:r>
      <w:r w:rsidRPr="00A631B6">
        <w:rPr>
          <w:lang w:val="fr-FR"/>
        </w:rPr>
        <w:t xml:space="preserve">et a approuvé, à sa </w:t>
      </w:r>
      <w:r w:rsidR="00607E05">
        <w:rPr>
          <w:lang w:val="fr-FR"/>
        </w:rPr>
        <w:t xml:space="preserve">huitième </w:t>
      </w:r>
      <w:r w:rsidRPr="00A631B6">
        <w:rPr>
          <w:lang w:val="fr-FR"/>
        </w:rPr>
        <w:t xml:space="preserve">séance plénière, le </w:t>
      </w:r>
      <w:r w:rsidR="004A7B4F">
        <w:rPr>
          <w:lang w:val="fr-FR"/>
        </w:rPr>
        <w:t>d</w:t>
      </w:r>
      <w:r w:rsidRPr="00A631B6">
        <w:rPr>
          <w:lang w:val="fr-FR"/>
        </w:rPr>
        <w:t xml:space="preserve">euxième rapport de la Commission 5 à la plénière (voir les Documents CMR15/416 et CMR15/505), qui indique que: </w:t>
      </w:r>
    </w:p>
    <w:p w14:paraId="3F1C3FAA" w14:textId="57A9E186" w:rsidR="00133737" w:rsidRPr="00A631B6" w:rsidRDefault="006B59B0" w:rsidP="00F627C1">
      <w:pPr>
        <w:pStyle w:val="enumlev1"/>
        <w:spacing w:line="240" w:lineRule="auto"/>
        <w:rPr>
          <w:lang w:val="fr-FR"/>
        </w:rPr>
      </w:pPr>
      <w:r w:rsidRPr="00A631B6">
        <w:rPr>
          <w:lang w:val="fr-FR"/>
        </w:rPr>
        <w:t>–</w:t>
      </w:r>
      <w:r w:rsidR="00133737" w:rsidRPr="00A631B6">
        <w:rPr>
          <w:lang w:val="fr-FR"/>
        </w:rPr>
        <w:tab/>
      </w:r>
      <w:r w:rsidR="00133737" w:rsidRPr="004A7B4F">
        <w:rPr>
          <w:i/>
          <w:iCs/>
          <w:lang w:val="fr-FR"/>
        </w:rPr>
        <w:t xml:space="preserve">Dans les cas où ce logiciel ne permettrait pas de modéliser comme il se doit certains systèmes à satellites non géostationnaires du SFS, la Résolution </w:t>
      </w:r>
      <w:r w:rsidR="00133737" w:rsidRPr="004A7B4F">
        <w:rPr>
          <w:b/>
          <w:bCs/>
          <w:i/>
          <w:iCs/>
          <w:lang w:val="fr-FR"/>
        </w:rPr>
        <w:t>85 (CMR-03)</w:t>
      </w:r>
      <w:r w:rsidR="00133737" w:rsidRPr="004A7B4F">
        <w:rPr>
          <w:i/>
          <w:iCs/>
          <w:lang w:val="fr-FR"/>
        </w:rPr>
        <w:t xml:space="preserve"> continuera d</w:t>
      </w:r>
      <w:r w:rsidR="00A044D6">
        <w:rPr>
          <w:i/>
          <w:iCs/>
          <w:lang w:val="fr-FR"/>
        </w:rPr>
        <w:t>'</w:t>
      </w:r>
      <w:r w:rsidR="00133737" w:rsidRPr="004A7B4F">
        <w:rPr>
          <w:i/>
          <w:iCs/>
          <w:lang w:val="fr-FR"/>
        </w:rPr>
        <w:t>être appliquée jusqu</w:t>
      </w:r>
      <w:r w:rsidR="00A044D6">
        <w:rPr>
          <w:i/>
          <w:iCs/>
          <w:lang w:val="fr-FR"/>
        </w:rPr>
        <w:t>'</w:t>
      </w:r>
      <w:r w:rsidR="00133737" w:rsidRPr="004A7B4F">
        <w:rPr>
          <w:i/>
          <w:iCs/>
          <w:lang w:val="fr-FR"/>
        </w:rPr>
        <w:t>à ce qu</w:t>
      </w:r>
      <w:r w:rsidR="00A044D6">
        <w:rPr>
          <w:i/>
          <w:iCs/>
          <w:lang w:val="fr-FR"/>
        </w:rPr>
        <w:t>'</w:t>
      </w:r>
      <w:r w:rsidR="00133737" w:rsidRPr="004A7B4F">
        <w:rPr>
          <w:i/>
          <w:iCs/>
          <w:lang w:val="fr-FR"/>
        </w:rPr>
        <w:t>une mise à jour de la Recommandation UIT-R S.1503 destinée à améliorer la modélisation de ces systèmes non OSG ait été approuvée au sein de l</w:t>
      </w:r>
      <w:r w:rsidR="00A044D6">
        <w:rPr>
          <w:i/>
          <w:iCs/>
          <w:lang w:val="fr-FR"/>
        </w:rPr>
        <w:t>'</w:t>
      </w:r>
      <w:r w:rsidR="00133737" w:rsidRPr="004A7B4F">
        <w:rPr>
          <w:i/>
          <w:iCs/>
          <w:lang w:val="fr-FR"/>
        </w:rPr>
        <w:t>UIT-R et soit mise en oeuvre dans le logiciel de validation de l</w:t>
      </w:r>
      <w:r w:rsidR="00A044D6">
        <w:rPr>
          <w:i/>
          <w:iCs/>
          <w:lang w:val="fr-FR"/>
        </w:rPr>
        <w:t>'</w:t>
      </w:r>
      <w:r w:rsidR="00133737" w:rsidRPr="004A7B4F">
        <w:rPr>
          <w:i/>
          <w:iCs/>
          <w:lang w:val="fr-FR"/>
        </w:rPr>
        <w:t>EPFD. Une telle mesure n</w:t>
      </w:r>
      <w:r w:rsidR="00A044D6">
        <w:rPr>
          <w:i/>
          <w:iCs/>
          <w:lang w:val="fr-FR"/>
        </w:rPr>
        <w:t>'</w:t>
      </w:r>
      <w:r w:rsidR="00133737" w:rsidRPr="004A7B4F">
        <w:rPr>
          <w:i/>
          <w:iCs/>
          <w:lang w:val="fr-FR"/>
        </w:rPr>
        <w:t>empêcherait pas le Bureau de procéder à une vérification des systèmes non OSG du SFS pouvant être modélisés avec la version actuelle du logiciel.</w:t>
      </w:r>
      <w:r w:rsidR="00133737" w:rsidRPr="00A631B6">
        <w:rPr>
          <w:lang w:val="fr-FR"/>
        </w:rPr>
        <w:t xml:space="preserve"> </w:t>
      </w:r>
    </w:p>
    <w:p w14:paraId="39C32A9C" w14:textId="266457C6" w:rsidR="00133737" w:rsidRPr="00A631B6" w:rsidRDefault="00133737" w:rsidP="00F627C1">
      <w:pPr>
        <w:spacing w:line="240" w:lineRule="auto"/>
        <w:rPr>
          <w:rFonts w:asciiTheme="minorHAnsi" w:hAnsiTheme="minorHAnsi" w:cstheme="minorHAnsi"/>
          <w:szCs w:val="24"/>
          <w:lang w:val="fr-FR"/>
        </w:rPr>
      </w:pPr>
      <w:r w:rsidRPr="00A631B6">
        <w:rPr>
          <w:rFonts w:asciiTheme="minorHAnsi" w:hAnsiTheme="minorHAnsi" w:cstheme="minorHAnsi"/>
          <w:szCs w:val="24"/>
          <w:lang w:val="fr-FR"/>
        </w:rPr>
        <w:t>Conformément à la décision ci-dessus, le Bureau, à la réception d</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une indication selon laquelle </w:t>
      </w:r>
      <w:r w:rsidRPr="004A7B4F">
        <w:rPr>
          <w:rFonts w:asciiTheme="minorHAnsi" w:hAnsiTheme="minorHAnsi" w:cstheme="minorHAnsi"/>
          <w:i/>
          <w:iCs/>
          <w:szCs w:val="24"/>
          <w:lang w:val="fr-FR"/>
        </w:rPr>
        <w:t>le logiciel ne permettrait pas de modéliser comme il se doit un système à satellites non géostationnaires du SFS spécifique</w:t>
      </w:r>
      <w:r w:rsidRPr="00A631B6">
        <w:rPr>
          <w:rFonts w:asciiTheme="minorHAnsi" w:hAnsiTheme="minorHAnsi" w:cstheme="minorHAnsi"/>
          <w:szCs w:val="24"/>
          <w:lang w:val="fr-FR"/>
        </w:rPr>
        <w:t>, soumettra le cas à la Commission d</w:t>
      </w:r>
      <w:r w:rsidR="00A044D6">
        <w:rPr>
          <w:rFonts w:asciiTheme="minorHAnsi" w:hAnsiTheme="minorHAnsi" w:cstheme="minorHAnsi"/>
          <w:szCs w:val="24"/>
          <w:lang w:val="fr-FR"/>
        </w:rPr>
        <w:t>'</w:t>
      </w:r>
      <w:r w:rsidRPr="00A631B6">
        <w:rPr>
          <w:rFonts w:asciiTheme="minorHAnsi" w:hAnsiTheme="minorHAnsi" w:cstheme="minorHAnsi"/>
          <w:szCs w:val="24"/>
          <w:lang w:val="fr-FR"/>
        </w:rPr>
        <w:t>études 4/au Groupe de travail 4A de l</w:t>
      </w:r>
      <w:r w:rsidR="00A044D6">
        <w:rPr>
          <w:rFonts w:asciiTheme="minorHAnsi" w:hAnsiTheme="minorHAnsi" w:cstheme="minorHAnsi"/>
          <w:szCs w:val="24"/>
          <w:lang w:val="fr-FR"/>
        </w:rPr>
        <w:t>'</w:t>
      </w:r>
      <w:r w:rsidRPr="00A631B6">
        <w:rPr>
          <w:rFonts w:asciiTheme="minorHAnsi" w:hAnsiTheme="minorHAnsi" w:cstheme="minorHAnsi"/>
          <w:szCs w:val="24"/>
          <w:lang w:val="fr-FR"/>
        </w:rPr>
        <w:t>UIT-R afin de déterminer s</w:t>
      </w:r>
      <w:r w:rsidR="00A044D6">
        <w:rPr>
          <w:rFonts w:asciiTheme="minorHAnsi" w:hAnsiTheme="minorHAnsi" w:cstheme="minorHAnsi"/>
          <w:szCs w:val="24"/>
          <w:lang w:val="fr-FR"/>
        </w:rPr>
        <w:t>'</w:t>
      </w:r>
      <w:r w:rsidRPr="00A631B6">
        <w:rPr>
          <w:rFonts w:asciiTheme="minorHAnsi" w:hAnsiTheme="minorHAnsi" w:cstheme="minorHAnsi"/>
          <w:szCs w:val="24"/>
          <w:lang w:val="fr-FR"/>
        </w:rPr>
        <w:t>il est nécessaire d</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apporter des améliorations supplémentaires à la méthode établie dans la Recommandation UIT-R S.1503-2 </w:t>
      </w:r>
      <w:r w:rsidR="002337CF" w:rsidRPr="00A631B6">
        <w:rPr>
          <w:rFonts w:asciiTheme="minorHAnsi" w:hAnsiTheme="minorHAnsi" w:cstheme="minorHAnsi"/>
          <w:szCs w:val="24"/>
          <w:lang w:val="fr-FR"/>
        </w:rPr>
        <w:t xml:space="preserve">afin de pouvoir </w:t>
      </w:r>
      <w:r w:rsidRPr="00A631B6">
        <w:rPr>
          <w:rFonts w:asciiTheme="minorHAnsi" w:hAnsiTheme="minorHAnsi" w:cstheme="minorHAnsi"/>
          <w:szCs w:val="24"/>
          <w:lang w:val="fr-FR"/>
        </w:rPr>
        <w:t>modéliser convenablement ce système. Pour faciliter l</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examen mené par le Bureau et par la </w:t>
      </w:r>
      <w:r w:rsidR="0012405F">
        <w:rPr>
          <w:rFonts w:asciiTheme="minorHAnsi" w:hAnsiTheme="minorHAnsi" w:cstheme="minorHAnsi"/>
          <w:szCs w:val="24"/>
          <w:lang w:val="fr-FR"/>
        </w:rPr>
        <w:t>Commission d</w:t>
      </w:r>
      <w:r w:rsidR="00A044D6">
        <w:rPr>
          <w:rFonts w:asciiTheme="minorHAnsi" w:hAnsiTheme="minorHAnsi" w:cstheme="minorHAnsi"/>
          <w:szCs w:val="24"/>
          <w:lang w:val="fr-FR"/>
        </w:rPr>
        <w:t>'</w:t>
      </w:r>
      <w:r w:rsidR="0012405F">
        <w:rPr>
          <w:rFonts w:asciiTheme="minorHAnsi" w:hAnsiTheme="minorHAnsi" w:cstheme="minorHAnsi"/>
          <w:szCs w:val="24"/>
          <w:lang w:val="fr-FR"/>
        </w:rPr>
        <w:t>études 4</w:t>
      </w:r>
      <w:r w:rsidRPr="00A631B6">
        <w:rPr>
          <w:rFonts w:asciiTheme="minorHAnsi" w:hAnsiTheme="minorHAnsi" w:cstheme="minorHAnsi"/>
          <w:szCs w:val="24"/>
          <w:lang w:val="fr-FR"/>
        </w:rPr>
        <w:t xml:space="preserve">/le </w:t>
      </w:r>
      <w:r w:rsidR="0012405F">
        <w:rPr>
          <w:rFonts w:asciiTheme="minorHAnsi" w:hAnsiTheme="minorHAnsi" w:cstheme="minorHAnsi"/>
          <w:szCs w:val="24"/>
          <w:lang w:val="fr-FR"/>
        </w:rPr>
        <w:t>Groupe de travail 4A</w:t>
      </w:r>
      <w:r w:rsidRPr="00A631B6">
        <w:rPr>
          <w:rFonts w:asciiTheme="minorHAnsi" w:hAnsiTheme="minorHAnsi" w:cstheme="minorHAnsi"/>
          <w:szCs w:val="24"/>
          <w:lang w:val="fr-FR"/>
        </w:rPr>
        <w:t>, une description technique plus détaillée devra être fournie, comprenant entre autres:</w:t>
      </w:r>
    </w:p>
    <w:p w14:paraId="0F4671F3" w14:textId="6878589A" w:rsidR="00133737" w:rsidRPr="00A631B6" w:rsidRDefault="006B59B0" w:rsidP="00F627C1">
      <w:pPr>
        <w:pStyle w:val="enumlev1"/>
        <w:spacing w:line="240" w:lineRule="auto"/>
        <w:rPr>
          <w:lang w:val="fr-FR"/>
        </w:rPr>
      </w:pPr>
      <w:r w:rsidRPr="00A631B6">
        <w:rPr>
          <w:lang w:val="fr-FR"/>
        </w:rPr>
        <w:t>1)</w:t>
      </w:r>
      <w:r w:rsidR="00133737" w:rsidRPr="00A631B6">
        <w:rPr>
          <w:lang w:val="fr-FR"/>
        </w:rPr>
        <w:tab/>
        <w:t xml:space="preserve">les résultats des calculs obtenus au moyen du logiciel de validation </w:t>
      </w:r>
      <w:r w:rsidR="002337CF" w:rsidRPr="00A631B6">
        <w:rPr>
          <w:rFonts w:asciiTheme="minorHAnsi" w:hAnsiTheme="minorHAnsi" w:cstheme="minorHAnsi"/>
          <w:szCs w:val="24"/>
          <w:lang w:val="fr-FR"/>
        </w:rPr>
        <w:t>de l</w:t>
      </w:r>
      <w:r w:rsidR="00A044D6">
        <w:rPr>
          <w:rFonts w:asciiTheme="minorHAnsi" w:hAnsiTheme="minorHAnsi" w:cstheme="minorHAnsi"/>
          <w:szCs w:val="24"/>
          <w:lang w:val="fr-FR"/>
        </w:rPr>
        <w:t>'</w:t>
      </w:r>
      <w:r w:rsidR="002337CF" w:rsidRPr="00A631B6">
        <w:rPr>
          <w:rFonts w:asciiTheme="minorHAnsi" w:hAnsiTheme="minorHAnsi" w:cstheme="minorHAnsi"/>
          <w:szCs w:val="24"/>
          <w:lang w:val="fr-FR"/>
        </w:rPr>
        <w:t xml:space="preserve">EPFD </w:t>
      </w:r>
      <w:r w:rsidR="00133737" w:rsidRPr="00A631B6">
        <w:rPr>
          <w:lang w:val="fr-FR"/>
        </w:rPr>
        <w:t>existant;</w:t>
      </w:r>
    </w:p>
    <w:p w14:paraId="1C8E3180" w14:textId="314F4944" w:rsidR="00133737" w:rsidRPr="00A631B6" w:rsidRDefault="006B59B0" w:rsidP="00F627C1">
      <w:pPr>
        <w:pStyle w:val="enumlev1"/>
        <w:spacing w:line="240" w:lineRule="auto"/>
        <w:rPr>
          <w:lang w:val="fr-FR"/>
        </w:rPr>
      </w:pPr>
      <w:r w:rsidRPr="00A631B6">
        <w:rPr>
          <w:lang w:val="fr-FR"/>
        </w:rPr>
        <w:t>2)</w:t>
      </w:r>
      <w:r w:rsidR="00133737" w:rsidRPr="00A631B6">
        <w:rPr>
          <w:lang w:val="fr-FR"/>
        </w:rPr>
        <w:tab/>
        <w:t>les résultats des calculs d</w:t>
      </w:r>
      <w:r w:rsidR="00A044D6">
        <w:rPr>
          <w:lang w:val="fr-FR"/>
        </w:rPr>
        <w:t>'</w:t>
      </w:r>
      <w:r w:rsidR="00133737" w:rsidRPr="00A631B6">
        <w:rPr>
          <w:lang w:val="fr-FR"/>
        </w:rPr>
        <w:t>EPFD obtenus au moyen d</w:t>
      </w:r>
      <w:r w:rsidR="00A044D6">
        <w:rPr>
          <w:lang w:val="fr-FR"/>
        </w:rPr>
        <w:t>'</w:t>
      </w:r>
      <w:r w:rsidR="00133737" w:rsidRPr="00A631B6">
        <w:rPr>
          <w:lang w:val="fr-FR"/>
        </w:rPr>
        <w:t>un logiciel de simulation permettant de modéliser convenablement le système à satellites non géostationnaires;</w:t>
      </w:r>
    </w:p>
    <w:p w14:paraId="160DB426" w14:textId="118402D0" w:rsidR="00133737" w:rsidRPr="00A631B6" w:rsidRDefault="006B59B0" w:rsidP="00F627C1">
      <w:pPr>
        <w:pStyle w:val="enumlev1"/>
        <w:spacing w:line="240" w:lineRule="auto"/>
        <w:rPr>
          <w:lang w:val="fr-FR"/>
        </w:rPr>
      </w:pPr>
      <w:r w:rsidRPr="00A631B6">
        <w:rPr>
          <w:lang w:val="fr-FR"/>
        </w:rPr>
        <w:t>3)</w:t>
      </w:r>
      <w:r w:rsidR="00133737" w:rsidRPr="00A631B6">
        <w:rPr>
          <w:lang w:val="fr-FR"/>
        </w:rPr>
        <w:tab/>
        <w:t>l</w:t>
      </w:r>
      <w:r w:rsidR="00A044D6">
        <w:rPr>
          <w:lang w:val="fr-FR"/>
        </w:rPr>
        <w:t>'</w:t>
      </w:r>
      <w:r w:rsidR="00133737" w:rsidRPr="00A631B6">
        <w:rPr>
          <w:lang w:val="fr-FR"/>
        </w:rPr>
        <w:t xml:space="preserve">identification des </w:t>
      </w:r>
      <w:r w:rsidR="002337CF" w:rsidRPr="00A631B6">
        <w:rPr>
          <w:lang w:val="fr-FR"/>
        </w:rPr>
        <w:t>passages</w:t>
      </w:r>
      <w:r w:rsidR="00133737" w:rsidRPr="00A631B6">
        <w:rPr>
          <w:lang w:val="fr-FR"/>
        </w:rPr>
        <w:t xml:space="preserve"> spécifiques de la Recommandation UIT-R S.1503-2 qui doivent être examinés et améliorés. </w:t>
      </w:r>
    </w:p>
    <w:p w14:paraId="26C4D592" w14:textId="62B97E2F" w:rsidR="00133737" w:rsidRPr="00A631B6" w:rsidRDefault="00133737" w:rsidP="00F627C1">
      <w:pPr>
        <w:spacing w:line="240" w:lineRule="auto"/>
        <w:rPr>
          <w:rFonts w:asciiTheme="minorHAnsi" w:hAnsiTheme="minorHAnsi" w:cstheme="minorHAnsi"/>
          <w:szCs w:val="24"/>
          <w:lang w:val="fr-FR"/>
        </w:rPr>
      </w:pPr>
      <w:r w:rsidRPr="00A631B6">
        <w:rPr>
          <w:rFonts w:asciiTheme="minorHAnsi" w:hAnsiTheme="minorHAnsi" w:cstheme="minorHAnsi"/>
          <w:szCs w:val="24"/>
          <w:lang w:val="fr-FR"/>
        </w:rPr>
        <w:t>Les informations susmentionnées seront publiées sur le site web de l</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UIT et soumises à la </w:t>
      </w:r>
      <w:r w:rsidR="0012405F">
        <w:rPr>
          <w:rFonts w:asciiTheme="minorHAnsi" w:hAnsiTheme="minorHAnsi" w:cstheme="minorHAnsi"/>
          <w:szCs w:val="24"/>
          <w:lang w:val="fr-FR"/>
        </w:rPr>
        <w:t>Commission d</w:t>
      </w:r>
      <w:r w:rsidR="00A044D6">
        <w:rPr>
          <w:rFonts w:asciiTheme="minorHAnsi" w:hAnsiTheme="minorHAnsi" w:cstheme="minorHAnsi"/>
          <w:szCs w:val="24"/>
          <w:lang w:val="fr-FR"/>
        </w:rPr>
        <w:t>'</w:t>
      </w:r>
      <w:r w:rsidR="0012405F">
        <w:rPr>
          <w:rFonts w:asciiTheme="minorHAnsi" w:hAnsiTheme="minorHAnsi" w:cstheme="minorHAnsi"/>
          <w:szCs w:val="24"/>
          <w:lang w:val="fr-FR"/>
        </w:rPr>
        <w:t>études 4</w:t>
      </w:r>
      <w:r w:rsidRPr="00A631B6">
        <w:rPr>
          <w:rFonts w:asciiTheme="minorHAnsi" w:hAnsiTheme="minorHAnsi" w:cstheme="minorHAnsi"/>
          <w:szCs w:val="24"/>
          <w:lang w:val="fr-FR"/>
        </w:rPr>
        <w:t xml:space="preserve">/au </w:t>
      </w:r>
      <w:r w:rsidR="0012405F">
        <w:rPr>
          <w:rFonts w:asciiTheme="minorHAnsi" w:hAnsiTheme="minorHAnsi" w:cstheme="minorHAnsi"/>
          <w:szCs w:val="24"/>
          <w:lang w:val="fr-FR"/>
        </w:rPr>
        <w:t>Groupe de travail 4A</w:t>
      </w:r>
      <w:r w:rsidRPr="00A631B6">
        <w:rPr>
          <w:rFonts w:asciiTheme="minorHAnsi" w:hAnsiTheme="minorHAnsi" w:cstheme="minorHAnsi"/>
          <w:szCs w:val="24"/>
          <w:lang w:val="fr-FR"/>
        </w:rPr>
        <w:t xml:space="preserve">, pour examen. Si la </w:t>
      </w:r>
      <w:r w:rsidR="0012405F">
        <w:rPr>
          <w:rFonts w:asciiTheme="minorHAnsi" w:hAnsiTheme="minorHAnsi" w:cstheme="minorHAnsi"/>
          <w:szCs w:val="24"/>
          <w:lang w:val="fr-FR"/>
        </w:rPr>
        <w:t>Commission d</w:t>
      </w:r>
      <w:r w:rsidR="00A044D6">
        <w:rPr>
          <w:rFonts w:asciiTheme="minorHAnsi" w:hAnsiTheme="minorHAnsi" w:cstheme="minorHAnsi"/>
          <w:szCs w:val="24"/>
          <w:lang w:val="fr-FR"/>
        </w:rPr>
        <w:t>'</w:t>
      </w:r>
      <w:r w:rsidR="0012405F">
        <w:rPr>
          <w:rFonts w:asciiTheme="minorHAnsi" w:hAnsiTheme="minorHAnsi" w:cstheme="minorHAnsi"/>
          <w:szCs w:val="24"/>
          <w:lang w:val="fr-FR"/>
        </w:rPr>
        <w:t>études 4</w:t>
      </w:r>
      <w:r w:rsidRPr="00A631B6">
        <w:rPr>
          <w:rFonts w:asciiTheme="minorHAnsi" w:hAnsiTheme="minorHAnsi" w:cstheme="minorHAnsi"/>
          <w:szCs w:val="24"/>
          <w:lang w:val="fr-FR"/>
        </w:rPr>
        <w:t>/</w:t>
      </w:r>
      <w:r w:rsidR="003D39FF">
        <w:rPr>
          <w:rFonts w:asciiTheme="minorHAnsi" w:hAnsiTheme="minorHAnsi" w:cstheme="minorHAnsi"/>
          <w:szCs w:val="24"/>
          <w:lang w:val="fr-FR"/>
        </w:rPr>
        <w:br/>
      </w:r>
      <w:r w:rsidRPr="00A631B6">
        <w:rPr>
          <w:rFonts w:asciiTheme="minorHAnsi" w:hAnsiTheme="minorHAnsi" w:cstheme="minorHAnsi"/>
          <w:szCs w:val="24"/>
          <w:lang w:val="fr-FR"/>
        </w:rPr>
        <w:t xml:space="preserve">le </w:t>
      </w:r>
      <w:r w:rsidR="0012405F">
        <w:rPr>
          <w:rFonts w:asciiTheme="minorHAnsi" w:hAnsiTheme="minorHAnsi" w:cstheme="minorHAnsi"/>
          <w:szCs w:val="24"/>
          <w:lang w:val="fr-FR"/>
        </w:rPr>
        <w:t xml:space="preserve">Groupe de travail 4A </w:t>
      </w:r>
      <w:r w:rsidRPr="00A631B6">
        <w:rPr>
          <w:rFonts w:asciiTheme="minorHAnsi" w:hAnsiTheme="minorHAnsi" w:cstheme="minorHAnsi"/>
          <w:szCs w:val="24"/>
          <w:lang w:val="fr-FR"/>
        </w:rPr>
        <w:t>partage l</w:t>
      </w:r>
      <w:r w:rsidR="00A044D6">
        <w:rPr>
          <w:rFonts w:asciiTheme="minorHAnsi" w:hAnsiTheme="minorHAnsi" w:cstheme="minorHAnsi"/>
          <w:szCs w:val="24"/>
          <w:lang w:val="fr-FR"/>
        </w:rPr>
        <w:t>'</w:t>
      </w:r>
      <w:r w:rsidRPr="00A631B6">
        <w:rPr>
          <w:rFonts w:asciiTheme="minorHAnsi" w:hAnsiTheme="minorHAnsi" w:cstheme="minorHAnsi"/>
          <w:szCs w:val="24"/>
          <w:lang w:val="fr-FR"/>
        </w:rPr>
        <w:t>avis de l</w:t>
      </w:r>
      <w:r w:rsidR="00A044D6">
        <w:rPr>
          <w:rFonts w:asciiTheme="minorHAnsi" w:hAnsiTheme="minorHAnsi" w:cstheme="minorHAnsi"/>
          <w:szCs w:val="24"/>
          <w:lang w:val="fr-FR"/>
        </w:rPr>
        <w:t>'</w:t>
      </w:r>
      <w:r w:rsidRPr="00A631B6">
        <w:rPr>
          <w:rFonts w:asciiTheme="minorHAnsi" w:hAnsiTheme="minorHAnsi" w:cstheme="minorHAnsi"/>
          <w:szCs w:val="24"/>
          <w:lang w:val="fr-FR"/>
        </w:rPr>
        <w:t>administration et conclut qu</w:t>
      </w:r>
      <w:r w:rsidR="00A044D6">
        <w:rPr>
          <w:rFonts w:asciiTheme="minorHAnsi" w:hAnsiTheme="minorHAnsi" w:cstheme="minorHAnsi"/>
          <w:szCs w:val="24"/>
          <w:lang w:val="fr-FR"/>
        </w:rPr>
        <w:t>'</w:t>
      </w:r>
      <w:r w:rsidRPr="00A631B6">
        <w:rPr>
          <w:rFonts w:asciiTheme="minorHAnsi" w:hAnsiTheme="minorHAnsi" w:cstheme="minorHAnsi"/>
          <w:szCs w:val="24"/>
          <w:lang w:val="fr-FR"/>
        </w:rPr>
        <w:t>il est nécessaire de réviser la Recommandation UIT-R S.1503</w:t>
      </w:r>
      <w:r w:rsidR="0012405F">
        <w:rPr>
          <w:rFonts w:asciiTheme="minorHAnsi" w:hAnsiTheme="minorHAnsi" w:cstheme="minorHAnsi"/>
          <w:szCs w:val="24"/>
          <w:lang w:val="fr-FR"/>
        </w:rPr>
        <w:t>-2</w:t>
      </w:r>
      <w:r w:rsidRPr="00A631B6">
        <w:rPr>
          <w:rFonts w:asciiTheme="minorHAnsi" w:hAnsiTheme="minorHAnsi" w:cstheme="minorHAnsi"/>
          <w:szCs w:val="24"/>
          <w:lang w:val="fr-FR"/>
        </w:rPr>
        <w:t xml:space="preserve"> afin de pouvoir modéliser convenablement le système, le Bureau maintiendra ses conclusions favorables «conditionnelles» jusqu</w:t>
      </w:r>
      <w:r w:rsidR="00A044D6">
        <w:rPr>
          <w:rFonts w:asciiTheme="minorHAnsi" w:hAnsiTheme="minorHAnsi" w:cstheme="minorHAnsi"/>
          <w:szCs w:val="24"/>
          <w:lang w:val="fr-FR"/>
        </w:rPr>
        <w:t>'</w:t>
      </w:r>
      <w:r w:rsidRPr="00A631B6">
        <w:rPr>
          <w:rFonts w:asciiTheme="minorHAnsi" w:hAnsiTheme="minorHAnsi" w:cstheme="minorHAnsi"/>
          <w:szCs w:val="24"/>
          <w:lang w:val="fr-FR"/>
        </w:rPr>
        <w:t>à ce qu</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une nouvelle révision de la Recommandation UIT-R S.1503 soit </w:t>
      </w:r>
      <w:r w:rsidR="002337CF" w:rsidRPr="00A631B6">
        <w:rPr>
          <w:rFonts w:asciiTheme="minorHAnsi" w:hAnsiTheme="minorHAnsi" w:cstheme="minorHAnsi"/>
          <w:szCs w:val="24"/>
          <w:lang w:val="fr-FR"/>
        </w:rPr>
        <w:t>approuvée</w:t>
      </w:r>
      <w:r w:rsidRPr="00A631B6">
        <w:rPr>
          <w:rFonts w:asciiTheme="minorHAnsi" w:hAnsiTheme="minorHAnsi" w:cstheme="minorHAnsi"/>
          <w:szCs w:val="24"/>
          <w:lang w:val="fr-FR"/>
        </w:rPr>
        <w:t xml:space="preserve"> et mise en oeuvre dans </w:t>
      </w:r>
      <w:r w:rsidR="002337CF" w:rsidRPr="00A631B6">
        <w:rPr>
          <w:rFonts w:asciiTheme="minorHAnsi" w:hAnsiTheme="minorHAnsi" w:cstheme="minorHAnsi"/>
          <w:szCs w:val="24"/>
          <w:lang w:val="fr-FR"/>
        </w:rPr>
        <w:t>une</w:t>
      </w:r>
      <w:r w:rsidRPr="00A631B6">
        <w:rPr>
          <w:rFonts w:asciiTheme="minorHAnsi" w:hAnsiTheme="minorHAnsi" w:cstheme="minorHAnsi"/>
          <w:szCs w:val="24"/>
          <w:lang w:val="fr-FR"/>
        </w:rPr>
        <w:t xml:space="preserve"> nouvelle version du logiciel de validation </w:t>
      </w:r>
      <w:r w:rsidR="002337CF" w:rsidRPr="00A631B6">
        <w:rPr>
          <w:rFonts w:asciiTheme="minorHAnsi" w:hAnsiTheme="minorHAnsi" w:cstheme="minorHAnsi"/>
          <w:szCs w:val="24"/>
          <w:lang w:val="fr-FR"/>
        </w:rPr>
        <w:t>de l</w:t>
      </w:r>
      <w:r w:rsidR="00A044D6">
        <w:rPr>
          <w:rFonts w:asciiTheme="minorHAnsi" w:hAnsiTheme="minorHAnsi" w:cstheme="minorHAnsi"/>
          <w:szCs w:val="24"/>
          <w:lang w:val="fr-FR"/>
        </w:rPr>
        <w:t>'</w:t>
      </w:r>
      <w:r w:rsidR="002337CF" w:rsidRPr="00A631B6">
        <w:rPr>
          <w:rFonts w:asciiTheme="minorHAnsi" w:hAnsiTheme="minorHAnsi" w:cstheme="minorHAnsi"/>
          <w:szCs w:val="24"/>
          <w:lang w:val="fr-FR"/>
        </w:rPr>
        <w:t>EPFD</w:t>
      </w:r>
      <w:r w:rsidRPr="00A631B6">
        <w:rPr>
          <w:rFonts w:asciiTheme="minorHAnsi" w:hAnsiTheme="minorHAnsi" w:cstheme="minorHAnsi"/>
          <w:szCs w:val="24"/>
          <w:lang w:val="fr-FR"/>
        </w:rPr>
        <w:t xml:space="preserve">. </w:t>
      </w:r>
    </w:p>
    <w:p w14:paraId="68420B9E" w14:textId="67832E51" w:rsidR="00133737" w:rsidRPr="00A631B6" w:rsidRDefault="00133737" w:rsidP="00F627C1">
      <w:pPr>
        <w:spacing w:line="240" w:lineRule="auto"/>
        <w:rPr>
          <w:rFonts w:asciiTheme="minorHAnsi" w:hAnsiTheme="minorHAnsi" w:cstheme="minorHAnsi"/>
          <w:szCs w:val="24"/>
          <w:lang w:val="fr-FR"/>
        </w:rPr>
      </w:pPr>
      <w:r w:rsidRPr="00A631B6">
        <w:rPr>
          <w:rFonts w:asciiTheme="minorHAnsi" w:hAnsiTheme="minorHAnsi" w:cstheme="minorHAnsi"/>
          <w:szCs w:val="24"/>
          <w:lang w:val="fr-FR"/>
        </w:rPr>
        <w:t xml:space="preserve">Pour toute question spécifique relative au fonctionnement du logiciel de validation </w:t>
      </w:r>
      <w:r w:rsidR="002337CF" w:rsidRPr="00A631B6">
        <w:rPr>
          <w:rFonts w:asciiTheme="minorHAnsi" w:hAnsiTheme="minorHAnsi" w:cstheme="minorHAnsi"/>
          <w:szCs w:val="24"/>
          <w:lang w:val="fr-FR"/>
        </w:rPr>
        <w:t>de l</w:t>
      </w:r>
      <w:r w:rsidR="00A044D6">
        <w:rPr>
          <w:rFonts w:asciiTheme="minorHAnsi" w:hAnsiTheme="minorHAnsi" w:cstheme="minorHAnsi"/>
          <w:szCs w:val="24"/>
          <w:lang w:val="fr-FR"/>
        </w:rPr>
        <w:t>'</w:t>
      </w:r>
      <w:r w:rsidR="002337CF" w:rsidRPr="00A631B6">
        <w:rPr>
          <w:rFonts w:asciiTheme="minorHAnsi" w:hAnsiTheme="minorHAnsi" w:cstheme="minorHAnsi"/>
          <w:szCs w:val="24"/>
          <w:lang w:val="fr-FR"/>
        </w:rPr>
        <w:t>EPFD</w:t>
      </w:r>
      <w:r w:rsidRPr="00A631B6">
        <w:rPr>
          <w:rFonts w:asciiTheme="minorHAnsi" w:hAnsiTheme="minorHAnsi" w:cstheme="minorHAnsi"/>
          <w:szCs w:val="24"/>
          <w:lang w:val="fr-FR"/>
        </w:rPr>
        <w:t>, ou pour formuler des suggestions ou des commentaires concernant d</w:t>
      </w:r>
      <w:r w:rsidR="00A044D6">
        <w:rPr>
          <w:rFonts w:asciiTheme="minorHAnsi" w:hAnsiTheme="minorHAnsi" w:cstheme="minorHAnsi"/>
          <w:szCs w:val="24"/>
          <w:lang w:val="fr-FR"/>
        </w:rPr>
        <w:t>'</w:t>
      </w:r>
      <w:r w:rsidRPr="00A631B6">
        <w:rPr>
          <w:rFonts w:asciiTheme="minorHAnsi" w:hAnsiTheme="minorHAnsi" w:cstheme="minorHAnsi"/>
          <w:szCs w:val="24"/>
          <w:lang w:val="fr-FR"/>
        </w:rPr>
        <w:t>éventuelles améliorations, les administrations sont invitées à contacter le Bureau à l</w:t>
      </w:r>
      <w:r w:rsidR="00A044D6">
        <w:rPr>
          <w:rFonts w:asciiTheme="minorHAnsi" w:hAnsiTheme="minorHAnsi" w:cstheme="minorHAnsi"/>
          <w:szCs w:val="24"/>
          <w:lang w:val="fr-FR"/>
        </w:rPr>
        <w:t>'</w:t>
      </w:r>
      <w:r w:rsidR="004A7B4F">
        <w:rPr>
          <w:rFonts w:asciiTheme="minorHAnsi" w:hAnsiTheme="minorHAnsi" w:cstheme="minorHAnsi"/>
          <w:szCs w:val="24"/>
          <w:lang w:val="fr-FR"/>
        </w:rPr>
        <w:t>adresse</w:t>
      </w:r>
      <w:r w:rsidRPr="00A631B6">
        <w:rPr>
          <w:rFonts w:asciiTheme="minorHAnsi" w:hAnsiTheme="minorHAnsi" w:cstheme="minorHAnsi"/>
          <w:szCs w:val="24"/>
          <w:lang w:val="fr-FR"/>
        </w:rPr>
        <w:t xml:space="preserve">: </w:t>
      </w:r>
      <w:hyperlink r:id="rId11" w:history="1">
        <w:r w:rsidRPr="00A631B6">
          <w:rPr>
            <w:rStyle w:val="Hyperlink"/>
            <w:rFonts w:asciiTheme="minorHAnsi" w:hAnsiTheme="minorHAnsi" w:cstheme="minorHAnsi"/>
            <w:szCs w:val="24"/>
            <w:lang w:val="fr-FR"/>
          </w:rPr>
          <w:t>BRMail@itu.int</w:t>
        </w:r>
      </w:hyperlink>
      <w:r w:rsidRPr="00A631B6">
        <w:rPr>
          <w:rFonts w:asciiTheme="minorHAnsi" w:hAnsiTheme="minorHAnsi" w:cstheme="minorHAnsi"/>
          <w:szCs w:val="24"/>
          <w:lang w:val="fr-FR"/>
        </w:rPr>
        <w:t xml:space="preserve"> ou </w:t>
      </w:r>
      <w:hyperlink r:id="rId12" w:history="1">
        <w:r w:rsidR="004A7B4F" w:rsidRPr="00356854">
          <w:rPr>
            <w:rStyle w:val="Hyperlink"/>
            <w:rFonts w:asciiTheme="minorHAnsi" w:hAnsiTheme="minorHAnsi" w:cstheme="minorHAnsi"/>
            <w:szCs w:val="24"/>
            <w:lang w:val="fr-FR"/>
          </w:rPr>
          <w:t>epfd</w:t>
        </w:r>
        <w:r w:rsidR="004A7B4F" w:rsidRPr="00356854">
          <w:rPr>
            <w:rStyle w:val="Hyperlink"/>
            <w:rFonts w:asciiTheme="minorHAnsi" w:hAnsiTheme="minorHAnsi" w:cstheme="minorHAnsi"/>
            <w:szCs w:val="24"/>
            <w:lang w:val="fr-FR"/>
          </w:rPr>
          <w:noBreakHyphen/>
          <w:t>support@itu.int</w:t>
        </w:r>
      </w:hyperlink>
      <w:r w:rsidRPr="00A631B6">
        <w:rPr>
          <w:rFonts w:asciiTheme="minorHAnsi" w:hAnsiTheme="minorHAnsi" w:cstheme="minorHAnsi"/>
          <w:szCs w:val="24"/>
          <w:lang w:val="fr-FR"/>
        </w:rPr>
        <w:t>.</w:t>
      </w:r>
    </w:p>
    <w:p w14:paraId="68BAE296" w14:textId="5663F1BE" w:rsidR="002A5DD7" w:rsidRPr="00A631B6" w:rsidRDefault="00133737" w:rsidP="00D530A9">
      <w:pPr>
        <w:spacing w:before="240" w:line="240" w:lineRule="auto"/>
        <w:rPr>
          <w:rFonts w:asciiTheme="minorHAnsi" w:hAnsiTheme="minorHAnsi" w:cstheme="minorHAnsi"/>
          <w:szCs w:val="24"/>
          <w:lang w:val="fr-FR"/>
        </w:rPr>
      </w:pPr>
      <w:r w:rsidRPr="00A631B6">
        <w:rPr>
          <w:rFonts w:asciiTheme="minorHAnsi" w:hAnsiTheme="minorHAnsi" w:cstheme="minorHAnsi"/>
          <w:szCs w:val="24"/>
          <w:lang w:val="fr-FR"/>
        </w:rPr>
        <w:t>Le Bureau reste à la disposition de votre Administration, via l</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adresse </w:t>
      </w:r>
      <w:hyperlink r:id="rId13" w:history="1">
        <w:r w:rsidR="004A7B4F" w:rsidRPr="00356854">
          <w:rPr>
            <w:rStyle w:val="Hyperlink"/>
            <w:rFonts w:asciiTheme="minorHAnsi" w:hAnsiTheme="minorHAnsi" w:cstheme="minorHAnsi"/>
            <w:szCs w:val="24"/>
            <w:lang w:val="fr-FR"/>
          </w:rPr>
          <w:t>brmail@itu.int</w:t>
        </w:r>
      </w:hyperlink>
      <w:r w:rsidR="004A7B4F">
        <w:rPr>
          <w:rFonts w:asciiTheme="minorHAnsi" w:hAnsiTheme="minorHAnsi" w:cstheme="minorHAnsi"/>
          <w:szCs w:val="24"/>
          <w:lang w:val="fr-FR"/>
        </w:rPr>
        <w:t xml:space="preserve"> </w:t>
      </w:r>
      <w:r w:rsidRPr="00A631B6">
        <w:rPr>
          <w:rFonts w:asciiTheme="minorHAnsi" w:hAnsiTheme="minorHAnsi" w:cstheme="minorHAnsi"/>
          <w:szCs w:val="24"/>
          <w:lang w:val="fr-FR"/>
        </w:rPr>
        <w:t>ou le forum consacré à l</w:t>
      </w:r>
      <w:r w:rsidR="00A044D6">
        <w:rPr>
          <w:rFonts w:asciiTheme="minorHAnsi" w:hAnsiTheme="minorHAnsi" w:cstheme="minorHAnsi"/>
          <w:szCs w:val="24"/>
          <w:lang w:val="fr-FR"/>
        </w:rPr>
        <w:t>'</w:t>
      </w:r>
      <w:r w:rsidRPr="00A631B6">
        <w:rPr>
          <w:rFonts w:asciiTheme="minorHAnsi" w:hAnsiTheme="minorHAnsi" w:cstheme="minorHAnsi"/>
          <w:szCs w:val="24"/>
          <w:lang w:val="fr-FR"/>
        </w:rPr>
        <w:t xml:space="preserve">outil de validation </w:t>
      </w:r>
      <w:r w:rsidR="002337CF" w:rsidRPr="00A631B6">
        <w:rPr>
          <w:rFonts w:asciiTheme="minorHAnsi" w:hAnsiTheme="minorHAnsi" w:cstheme="minorHAnsi"/>
          <w:szCs w:val="24"/>
          <w:lang w:val="fr-FR"/>
        </w:rPr>
        <w:t>de l</w:t>
      </w:r>
      <w:r w:rsidR="00A044D6">
        <w:rPr>
          <w:rFonts w:asciiTheme="minorHAnsi" w:hAnsiTheme="minorHAnsi" w:cstheme="minorHAnsi"/>
          <w:szCs w:val="24"/>
          <w:lang w:val="fr-FR"/>
        </w:rPr>
        <w:t>'</w:t>
      </w:r>
      <w:r w:rsidR="002337CF" w:rsidRPr="00A631B6">
        <w:rPr>
          <w:rFonts w:asciiTheme="minorHAnsi" w:hAnsiTheme="minorHAnsi" w:cstheme="minorHAnsi"/>
          <w:szCs w:val="24"/>
          <w:lang w:val="fr-FR"/>
        </w:rPr>
        <w:t>EPFD</w:t>
      </w:r>
      <w:r w:rsidRPr="00A631B6">
        <w:rPr>
          <w:rFonts w:asciiTheme="minorHAnsi" w:hAnsiTheme="minorHAnsi" w:cstheme="minorHAnsi"/>
          <w:szCs w:val="24"/>
          <w:lang w:val="fr-FR"/>
        </w:rPr>
        <w:t>, pour toute précision dont elle pourrait avoir besoin concernant les sujets traités dans la présente Lettre circulaire.</w:t>
      </w:r>
    </w:p>
    <w:p w14:paraId="33694F85" w14:textId="4827F92C" w:rsidR="00F8033B" w:rsidRDefault="00E53DCE" w:rsidP="00BE7B7C">
      <w:pPr>
        <w:spacing w:before="720" w:after="120" w:line="240" w:lineRule="auto"/>
        <w:jc w:val="left"/>
        <w:rPr>
          <w:szCs w:val="24"/>
          <w:lang w:val="fr-FR"/>
        </w:rPr>
      </w:pPr>
      <w:r w:rsidRPr="00A631B6">
        <w:rPr>
          <w:szCs w:val="24"/>
          <w:lang w:val="fr-FR"/>
        </w:rPr>
        <w:t>François Rancy</w:t>
      </w:r>
      <w:r w:rsidRPr="00A631B6">
        <w:rPr>
          <w:szCs w:val="24"/>
          <w:lang w:val="fr-FR"/>
        </w:rPr>
        <w:br/>
        <w:t xml:space="preserve">Directeur </w:t>
      </w:r>
      <w:bookmarkStart w:id="0" w:name="ddistribution"/>
      <w:bookmarkEnd w:id="0"/>
      <w:r w:rsidR="00F8033B">
        <w:rPr>
          <w:szCs w:val="24"/>
          <w:lang w:val="fr-FR"/>
        </w:rPr>
        <w:br/>
      </w:r>
    </w:p>
    <w:sectPr w:rsidR="00F8033B" w:rsidSect="00031E64">
      <w:headerReference w:type="even" r:id="rId14"/>
      <w:headerReference w:type="default" r:id="rId15"/>
      <w:foot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291E" w14:textId="77777777" w:rsidR="00DA2C22" w:rsidRDefault="00DA2C22">
      <w:r>
        <w:separator/>
      </w:r>
    </w:p>
  </w:endnote>
  <w:endnote w:type="continuationSeparator" w:id="0">
    <w:p w14:paraId="4BA7F94D" w14:textId="77777777" w:rsidR="00DA2C22" w:rsidRDefault="00DA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B8C12" w14:textId="77777777" w:rsidR="00D530A9" w:rsidRPr="00A631B6" w:rsidRDefault="00D530A9" w:rsidP="00D530A9">
    <w:pPr>
      <w:spacing w:before="360" w:after="100" w:afterAutospacing="1" w:line="240" w:lineRule="auto"/>
      <w:jc w:val="left"/>
      <w:rPr>
        <w:rFonts w:asciiTheme="minorHAnsi" w:hAnsiTheme="minorHAnsi"/>
        <w:bCs/>
        <w:sz w:val="18"/>
        <w:szCs w:val="18"/>
        <w:u w:val="single"/>
        <w:lang w:val="fr-FR"/>
      </w:rPr>
    </w:pPr>
    <w:r w:rsidRPr="00A631B6">
      <w:rPr>
        <w:rFonts w:asciiTheme="minorHAnsi" w:hAnsiTheme="minorHAnsi"/>
        <w:bCs/>
        <w:sz w:val="18"/>
        <w:szCs w:val="18"/>
        <w:u w:val="single"/>
        <w:lang w:val="fr-FR"/>
      </w:rPr>
      <w:t>Distribution:</w:t>
    </w:r>
  </w:p>
  <w:p w14:paraId="0A195FB1" w14:textId="77777777" w:rsidR="00D530A9" w:rsidRPr="00A631B6" w:rsidRDefault="00D530A9" w:rsidP="00D530A9">
    <w:pPr>
      <w:pStyle w:val="enumlev1"/>
      <w:tabs>
        <w:tab w:val="clear" w:pos="794"/>
        <w:tab w:val="left" w:pos="284"/>
      </w:tabs>
      <w:spacing w:before="240" w:line="240" w:lineRule="auto"/>
      <w:ind w:left="0" w:firstLine="0"/>
      <w:rPr>
        <w:rFonts w:asciiTheme="minorHAnsi" w:hAnsiTheme="minorHAnsi"/>
        <w:sz w:val="18"/>
        <w:szCs w:val="18"/>
        <w:lang w:val="fr-FR"/>
      </w:rPr>
    </w:pPr>
    <w:r>
      <w:rPr>
        <w:rFonts w:asciiTheme="minorHAnsi" w:hAnsiTheme="minorHAnsi"/>
        <w:sz w:val="18"/>
        <w:szCs w:val="18"/>
        <w:lang w:val="fr-FR"/>
      </w:rPr>
      <w:t>–</w:t>
    </w:r>
    <w:r w:rsidRPr="00A631B6">
      <w:rPr>
        <w:rFonts w:asciiTheme="minorHAnsi" w:hAnsiTheme="minorHAnsi"/>
        <w:sz w:val="18"/>
        <w:szCs w:val="18"/>
        <w:lang w:val="fr-FR"/>
      </w:rPr>
      <w:tab/>
      <w:t>Administrations des Etats Membres de l</w:t>
    </w:r>
    <w:r>
      <w:rPr>
        <w:rFonts w:asciiTheme="minorHAnsi" w:hAnsiTheme="minorHAnsi"/>
        <w:sz w:val="18"/>
        <w:szCs w:val="18"/>
        <w:lang w:val="fr-FR"/>
      </w:rPr>
      <w:t>'</w:t>
    </w:r>
    <w:r w:rsidRPr="00A631B6">
      <w:rPr>
        <w:rFonts w:asciiTheme="minorHAnsi" w:hAnsiTheme="minorHAnsi"/>
        <w:sz w:val="18"/>
        <w:szCs w:val="18"/>
        <w:lang w:val="fr-FR"/>
      </w:rPr>
      <w:t>UIT</w:t>
    </w:r>
  </w:p>
  <w:p w14:paraId="0A78B1EA" w14:textId="77777777" w:rsidR="00D530A9" w:rsidRPr="00A631B6" w:rsidRDefault="00D530A9" w:rsidP="00D530A9">
    <w:pPr>
      <w:pStyle w:val="enumlev1"/>
      <w:tabs>
        <w:tab w:val="clear" w:pos="794"/>
        <w:tab w:val="left" w:pos="284"/>
      </w:tabs>
      <w:spacing w:before="0" w:line="240" w:lineRule="auto"/>
      <w:ind w:left="0" w:firstLine="0"/>
      <w:rPr>
        <w:rFonts w:asciiTheme="minorHAnsi" w:hAnsiTheme="minorHAnsi"/>
        <w:sz w:val="18"/>
        <w:szCs w:val="18"/>
        <w:lang w:val="fr-FR"/>
      </w:rPr>
    </w:pPr>
    <w:r>
      <w:rPr>
        <w:rFonts w:asciiTheme="minorHAnsi" w:hAnsiTheme="minorHAnsi"/>
        <w:sz w:val="18"/>
        <w:szCs w:val="18"/>
        <w:lang w:val="fr-FR"/>
      </w:rPr>
      <w:t>–</w:t>
    </w:r>
    <w:r w:rsidRPr="00A631B6">
      <w:rPr>
        <w:rFonts w:asciiTheme="minorHAnsi" w:hAnsiTheme="minorHAnsi"/>
        <w:sz w:val="18"/>
        <w:szCs w:val="18"/>
        <w:lang w:val="fr-FR"/>
      </w:rPr>
      <w:tab/>
      <w:t>Membres du Comité du Règlement des radiocommunications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8B1E" w14:textId="2976AC19" w:rsidR="00EA2C83" w:rsidRPr="002F5AA5" w:rsidRDefault="002F5AA5" w:rsidP="0088443B">
    <w:pPr>
      <w:pStyle w:val="FirstFooter"/>
      <w:spacing w:line="240" w:lineRule="auto"/>
      <w:ind w:left="-397" w:right="-397"/>
      <w:jc w:val="center"/>
      <w:rPr>
        <w:sz w:val="18"/>
        <w:szCs w:val="18"/>
        <w:lang w:val="fr-CH"/>
      </w:rPr>
    </w:pPr>
    <w:r w:rsidRPr="009330B0">
      <w:rPr>
        <w:color w:val="3E8EDE"/>
        <w:sz w:val="18"/>
        <w:szCs w:val="18"/>
        <w:lang w:val="fr-CH"/>
      </w:rPr>
      <w:t>Union internationale des télécommunications • Place des Nations • CH</w:t>
    </w:r>
    <w:r w:rsidRPr="009330B0">
      <w:rPr>
        <w:color w:val="3E8EDE"/>
        <w:sz w:val="18"/>
        <w:szCs w:val="18"/>
        <w:lang w:val="fr-CH"/>
      </w:rPr>
      <w:noBreakHyphen/>
      <w:t xml:space="preserve">1211 Genève 20 • Suisse </w:t>
    </w:r>
    <w:r w:rsidRPr="009330B0">
      <w:rPr>
        <w:color w:val="3E8EDE"/>
        <w:sz w:val="18"/>
        <w:szCs w:val="18"/>
        <w:lang w:val="fr-CH"/>
      </w:rPr>
      <w:br/>
      <w:t>Tél</w:t>
    </w:r>
    <w:r w:rsidR="004A7B4F">
      <w:rPr>
        <w:color w:val="3E8EDE"/>
        <w:sz w:val="18"/>
        <w:szCs w:val="18"/>
        <w:lang w:val="fr-CH"/>
      </w:rPr>
      <w:t>.</w:t>
    </w:r>
    <w:r w:rsidRPr="009330B0">
      <w:rPr>
        <w:color w:val="3E8EDE"/>
        <w:sz w:val="18"/>
        <w:szCs w:val="18"/>
        <w:lang w:val="fr-CH"/>
      </w:rPr>
      <w:t xml:space="preserve">: +41 22 730 5111 • Fax: +41 22 733 7256 • </w:t>
    </w:r>
    <w:r w:rsidR="0088443B" w:rsidRPr="009330B0">
      <w:rPr>
        <w:color w:val="3E8EDE"/>
        <w:sz w:val="18"/>
        <w:szCs w:val="18"/>
        <w:lang w:val="fr-CH"/>
      </w:rPr>
      <w:br/>
    </w:r>
    <w:r w:rsidRPr="009330B0">
      <w:rPr>
        <w:color w:val="3E8EDE"/>
        <w:sz w:val="18"/>
        <w:szCs w:val="18"/>
        <w:lang w:val="fr-CH"/>
      </w:rPr>
      <w:t>Courriel:</w:t>
    </w:r>
    <w:r w:rsidRPr="00E53DCE">
      <w:rPr>
        <w:sz w:val="18"/>
        <w:szCs w:val="18"/>
        <w:lang w:val="fr-FR"/>
      </w:rPr>
      <w:t xml:space="preserve"> </w:t>
    </w:r>
    <w:hyperlink r:id="rId1" w:history="1">
      <w:r w:rsidR="00C236AF" w:rsidRPr="009330B0">
        <w:rPr>
          <w:rStyle w:val="Hyperlink"/>
          <w:color w:val="3E8EDE"/>
          <w:sz w:val="18"/>
          <w:szCs w:val="18"/>
          <w:lang w:val="fr-CH"/>
        </w:rPr>
        <w:t>itumail@itu.int</w:t>
      </w:r>
    </w:hyperlink>
    <w:r w:rsidR="00C236AF" w:rsidRPr="009330B0">
      <w:rPr>
        <w:color w:val="3E8EDE"/>
        <w:sz w:val="18"/>
        <w:szCs w:val="18"/>
        <w:lang w:val="fr-CH"/>
      </w:rPr>
      <w:t xml:space="preserve"> • </w:t>
    </w:r>
    <w:r w:rsidR="00646B2B">
      <w:fldChar w:fldCharType="begin"/>
    </w:r>
    <w:r w:rsidR="00646B2B" w:rsidRPr="00646B2B">
      <w:rPr>
        <w:lang w:val="fr-CH"/>
      </w:rPr>
      <w:instrText xml:space="preserve"> HYPERLINK "http://www.itu.int" </w:instrText>
    </w:r>
    <w:r w:rsidR="00646B2B">
      <w:fldChar w:fldCharType="separate"/>
    </w:r>
    <w:r w:rsidR="00C236AF" w:rsidRPr="009330B0">
      <w:rPr>
        <w:rStyle w:val="Hyperlink"/>
        <w:color w:val="3E8EDE"/>
        <w:sz w:val="18"/>
        <w:szCs w:val="18"/>
        <w:lang w:val="fr-CH"/>
      </w:rPr>
      <w:t>www.itu.int</w:t>
    </w:r>
    <w:r w:rsidR="00646B2B">
      <w:rPr>
        <w:rStyle w:val="Hyperlink"/>
        <w:color w:val="3E8EDE"/>
        <w:sz w:val="18"/>
        <w:szCs w:val="18"/>
        <w:lang w:val="fr-CH"/>
      </w:rPr>
      <w:fldChar w:fldCharType="end"/>
    </w:r>
    <w:r w:rsidR="00C236AF" w:rsidRPr="009330B0">
      <w:rPr>
        <w:color w:val="3E8EDE"/>
        <w:sz w:val="18"/>
        <w:szCs w:val="18"/>
        <w:lang w:val="fr-CH"/>
      </w:rPr>
      <w:t xml:space="preserve"> • </w:t>
    </w:r>
    <w:hyperlink r:id="rId2" w:history="1">
      <w:r w:rsidR="00C236AF" w:rsidRPr="009330B0">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2867" w14:textId="77777777" w:rsidR="00DA2C22" w:rsidRDefault="00DA2C22">
      <w:r>
        <w:t>____________________</w:t>
      </w:r>
    </w:p>
  </w:footnote>
  <w:footnote w:type="continuationSeparator" w:id="0">
    <w:p w14:paraId="522EC6DC" w14:textId="77777777" w:rsidR="00DA2C22" w:rsidRDefault="00DA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935A" w14:textId="064AEB3D" w:rsidR="00E915AF" w:rsidRPr="002569F7" w:rsidRDefault="002F3AE1" w:rsidP="00F627C1">
    <w:pPr>
      <w:pStyle w:val="Header"/>
      <w:jc w:val="center"/>
      <w:rPr>
        <w:sz w:val="18"/>
        <w:szCs w:val="16"/>
      </w:rPr>
    </w:pPr>
    <w:r w:rsidRPr="00326492">
      <w:rPr>
        <w:sz w:val="18"/>
        <w:szCs w:val="18"/>
      </w:rPr>
      <w:t xml:space="preserve">– </w:t>
    </w:r>
    <w:r w:rsidRPr="00326492">
      <w:rPr>
        <w:rStyle w:val="PageNumber"/>
        <w:sz w:val="18"/>
        <w:szCs w:val="18"/>
      </w:rPr>
      <w:fldChar w:fldCharType="begin"/>
    </w:r>
    <w:r w:rsidRPr="00326492">
      <w:rPr>
        <w:rStyle w:val="PageNumber"/>
        <w:sz w:val="18"/>
        <w:szCs w:val="18"/>
      </w:rPr>
      <w:instrText xml:space="preserve"> PAGE </w:instrText>
    </w:r>
    <w:r w:rsidRPr="00326492">
      <w:rPr>
        <w:rStyle w:val="PageNumber"/>
        <w:sz w:val="18"/>
        <w:szCs w:val="18"/>
      </w:rPr>
      <w:fldChar w:fldCharType="separate"/>
    </w:r>
    <w:r w:rsidR="00646B2B">
      <w:rPr>
        <w:rStyle w:val="PageNumber"/>
        <w:noProof/>
        <w:sz w:val="18"/>
        <w:szCs w:val="18"/>
      </w:rPr>
      <w:t>2</w:t>
    </w:r>
    <w:r w:rsidRPr="00326492">
      <w:rPr>
        <w:rStyle w:val="PageNumber"/>
        <w:sz w:val="18"/>
        <w:szCs w:val="18"/>
      </w:rPr>
      <w:fldChar w:fldCharType="end"/>
    </w:r>
    <w:r w:rsidRPr="0032649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9827" w14:textId="77777777" w:rsidR="005D47B8" w:rsidRPr="002569F7" w:rsidRDefault="005D47B8" w:rsidP="005D47B8">
    <w:pPr>
      <w:pStyle w:val="Header"/>
      <w:jc w:val="center"/>
      <w:rPr>
        <w:sz w:val="18"/>
        <w:szCs w:val="16"/>
      </w:rPr>
    </w:pPr>
    <w:r w:rsidRPr="00326492">
      <w:rPr>
        <w:sz w:val="18"/>
        <w:szCs w:val="18"/>
      </w:rPr>
      <w:t xml:space="preserve">– </w:t>
    </w:r>
    <w:r w:rsidRPr="00326492">
      <w:rPr>
        <w:rStyle w:val="PageNumber"/>
        <w:sz w:val="18"/>
        <w:szCs w:val="18"/>
      </w:rPr>
      <w:fldChar w:fldCharType="begin"/>
    </w:r>
    <w:r w:rsidRPr="00326492">
      <w:rPr>
        <w:rStyle w:val="PageNumber"/>
        <w:sz w:val="18"/>
        <w:szCs w:val="18"/>
      </w:rPr>
      <w:instrText xml:space="preserve"> PAGE </w:instrText>
    </w:r>
    <w:r w:rsidRPr="00326492">
      <w:rPr>
        <w:rStyle w:val="PageNumber"/>
        <w:sz w:val="18"/>
        <w:szCs w:val="18"/>
      </w:rPr>
      <w:fldChar w:fldCharType="separate"/>
    </w:r>
    <w:r w:rsidR="00646B2B">
      <w:rPr>
        <w:rStyle w:val="PageNumber"/>
        <w:noProof/>
        <w:sz w:val="18"/>
        <w:szCs w:val="18"/>
      </w:rPr>
      <w:t>3</w:t>
    </w:r>
    <w:r w:rsidRPr="00326492">
      <w:rPr>
        <w:rStyle w:val="PageNumber"/>
        <w:sz w:val="18"/>
        <w:szCs w:val="18"/>
      </w:rPr>
      <w:fldChar w:fldCharType="end"/>
    </w:r>
    <w:r w:rsidRPr="0032649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14:paraId="5D65AC75" w14:textId="77777777" w:rsidTr="00C236AF">
      <w:tc>
        <w:tcPr>
          <w:tcW w:w="5031" w:type="dxa"/>
        </w:tcPr>
        <w:p w14:paraId="6F3A7C9B" w14:textId="77777777" w:rsidR="00C236AF" w:rsidRDefault="00C236AF" w:rsidP="00C236AF">
          <w:pPr>
            <w:pStyle w:val="Header"/>
            <w:tabs>
              <w:tab w:val="clear" w:pos="794"/>
              <w:tab w:val="clear" w:pos="4820"/>
            </w:tabs>
            <w:spacing w:before="120" w:line="360" w:lineRule="auto"/>
          </w:pPr>
          <w:r>
            <w:rPr>
              <w:b/>
              <w:bCs/>
              <w:noProof/>
              <w:lang w:val="en-GB" w:eastAsia="zh-CN"/>
            </w:rPr>
            <w:drawing>
              <wp:inline distT="0" distB="0" distL="0" distR="0" wp14:anchorId="2AB00BEC" wp14:editId="3EC61F1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14:paraId="31CB4011" w14:textId="77777777" w:rsidR="00C236AF" w:rsidRDefault="00C236AF" w:rsidP="00C236AF">
          <w:pPr>
            <w:pStyle w:val="Header"/>
            <w:tabs>
              <w:tab w:val="clear" w:pos="794"/>
              <w:tab w:val="clear" w:pos="4820"/>
            </w:tabs>
            <w:spacing w:line="360" w:lineRule="auto"/>
            <w:jc w:val="right"/>
          </w:pPr>
          <w:r w:rsidRPr="00975D6F">
            <w:rPr>
              <w:rFonts w:cs="Arial"/>
              <w:noProof/>
              <w:lang w:val="en-GB" w:eastAsia="zh-CN"/>
            </w:rPr>
            <w:drawing>
              <wp:inline distT="0" distB="0" distL="0" distR="0" wp14:anchorId="51A4BF8D" wp14:editId="3855758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14:paraId="2095EE01" w14:textId="77777777"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A2C2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405F"/>
    <w:rsid w:val="00133737"/>
    <w:rsid w:val="00134404"/>
    <w:rsid w:val="00144DFB"/>
    <w:rsid w:val="001704A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37CF"/>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3AE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39FF"/>
    <w:rsid w:val="003D4418"/>
    <w:rsid w:val="003D4A69"/>
    <w:rsid w:val="003E504F"/>
    <w:rsid w:val="003E78D6"/>
    <w:rsid w:val="00400573"/>
    <w:rsid w:val="004007A3"/>
    <w:rsid w:val="00406D71"/>
    <w:rsid w:val="00411CB3"/>
    <w:rsid w:val="004228FA"/>
    <w:rsid w:val="004326DB"/>
    <w:rsid w:val="0043682E"/>
    <w:rsid w:val="00447ECB"/>
    <w:rsid w:val="00461A1F"/>
    <w:rsid w:val="004623F7"/>
    <w:rsid w:val="00480F51"/>
    <w:rsid w:val="00481124"/>
    <w:rsid w:val="004815EB"/>
    <w:rsid w:val="00487569"/>
    <w:rsid w:val="00496864"/>
    <w:rsid w:val="00496920"/>
    <w:rsid w:val="004A4496"/>
    <w:rsid w:val="004A7B4F"/>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1E78"/>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D47B8"/>
    <w:rsid w:val="005E5EB3"/>
    <w:rsid w:val="005F3CB6"/>
    <w:rsid w:val="005F46CC"/>
    <w:rsid w:val="005F657C"/>
    <w:rsid w:val="00602D53"/>
    <w:rsid w:val="006047E5"/>
    <w:rsid w:val="00607E05"/>
    <w:rsid w:val="00631AFC"/>
    <w:rsid w:val="00642050"/>
    <w:rsid w:val="0064371D"/>
    <w:rsid w:val="00646B2B"/>
    <w:rsid w:val="00650543"/>
    <w:rsid w:val="00650B2A"/>
    <w:rsid w:val="00651777"/>
    <w:rsid w:val="006550F8"/>
    <w:rsid w:val="006829F3"/>
    <w:rsid w:val="006A2E0C"/>
    <w:rsid w:val="006A518B"/>
    <w:rsid w:val="006B0590"/>
    <w:rsid w:val="006B49DA"/>
    <w:rsid w:val="006B59B0"/>
    <w:rsid w:val="006C53F8"/>
    <w:rsid w:val="006C7CDE"/>
    <w:rsid w:val="007234B1"/>
    <w:rsid w:val="00723D08"/>
    <w:rsid w:val="00725FDA"/>
    <w:rsid w:val="00727816"/>
    <w:rsid w:val="00730B9A"/>
    <w:rsid w:val="00750CFA"/>
    <w:rsid w:val="007553DA"/>
    <w:rsid w:val="0076377E"/>
    <w:rsid w:val="00773F7E"/>
    <w:rsid w:val="00775DB8"/>
    <w:rsid w:val="00777C80"/>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B65EC"/>
    <w:rsid w:val="008C2E74"/>
    <w:rsid w:val="008D5409"/>
    <w:rsid w:val="008E006D"/>
    <w:rsid w:val="008E38B4"/>
    <w:rsid w:val="008F4F21"/>
    <w:rsid w:val="00904D4A"/>
    <w:rsid w:val="009076D7"/>
    <w:rsid w:val="009151BA"/>
    <w:rsid w:val="00925023"/>
    <w:rsid w:val="009277BC"/>
    <w:rsid w:val="00927D57"/>
    <w:rsid w:val="00931A51"/>
    <w:rsid w:val="009330B0"/>
    <w:rsid w:val="00947185"/>
    <w:rsid w:val="009518B3"/>
    <w:rsid w:val="00963D9D"/>
    <w:rsid w:val="00967029"/>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44D6"/>
    <w:rsid w:val="00A119E6"/>
    <w:rsid w:val="00A13F1A"/>
    <w:rsid w:val="00A20FBC"/>
    <w:rsid w:val="00A231BC"/>
    <w:rsid w:val="00A31370"/>
    <w:rsid w:val="00A34D6F"/>
    <w:rsid w:val="00A41F91"/>
    <w:rsid w:val="00A631B6"/>
    <w:rsid w:val="00A63355"/>
    <w:rsid w:val="00A7596D"/>
    <w:rsid w:val="00A963DF"/>
    <w:rsid w:val="00AA211B"/>
    <w:rsid w:val="00AB6F98"/>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E7B7C"/>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30A9"/>
    <w:rsid w:val="00D55560"/>
    <w:rsid w:val="00D61C5A"/>
    <w:rsid w:val="00D6790C"/>
    <w:rsid w:val="00D73277"/>
    <w:rsid w:val="00D76586"/>
    <w:rsid w:val="00D82657"/>
    <w:rsid w:val="00D87E20"/>
    <w:rsid w:val="00DA2C22"/>
    <w:rsid w:val="00DA4037"/>
    <w:rsid w:val="00DE66A5"/>
    <w:rsid w:val="00DF2B50"/>
    <w:rsid w:val="00E01059"/>
    <w:rsid w:val="00E04C86"/>
    <w:rsid w:val="00E13C1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124F8"/>
    <w:rsid w:val="00F424BF"/>
    <w:rsid w:val="00F44FC3"/>
    <w:rsid w:val="00F46107"/>
    <w:rsid w:val="00F468C5"/>
    <w:rsid w:val="00F52F39"/>
    <w:rsid w:val="00F6184F"/>
    <w:rsid w:val="00F627C1"/>
    <w:rsid w:val="00F73DBD"/>
    <w:rsid w:val="00F8033B"/>
    <w:rsid w:val="00F8310E"/>
    <w:rsid w:val="00F914DD"/>
    <w:rsid w:val="00FA2358"/>
    <w:rsid w:val="00FB2592"/>
    <w:rsid w:val="00FB2810"/>
    <w:rsid w:val="00FB7A2C"/>
    <w:rsid w:val="00FC2947"/>
    <w:rsid w:val="00FD414D"/>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85DC41"/>
  <w15:docId w15:val="{E010E373-D290-4043-9706-61291A2A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6B59B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space-EPFD/en" TargetMode="External"/><Relationship Id="rId13" Type="http://schemas.openxmlformats.org/officeDocument/2006/relationships/hyperlink" Target="mailto:brmail@itu.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fdsupport@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R/go/space-EPFD/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R/go/space-mask-XMLfile/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go/RR110"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80F04E9D094D62A000DD72A6C9F2DE"/>
        <w:category>
          <w:name w:val="General"/>
          <w:gallery w:val="placeholder"/>
        </w:category>
        <w:types>
          <w:type w:val="bbPlcHdr"/>
        </w:types>
        <w:behaviors>
          <w:behavior w:val="content"/>
        </w:behaviors>
        <w:guid w:val="{C16E0311-38AF-49C8-881A-55EF5C032DBC}"/>
      </w:docPartPr>
      <w:docPartBody>
        <w:p w:rsidR="00940AF3" w:rsidRDefault="00940AF3">
          <w:pPr>
            <w:pStyle w:val="C680F04E9D094D62A000DD72A6C9F2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3"/>
    <w:rsid w:val="00940A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80F04E9D094D62A000DD72A6C9F2DE">
    <w:name w:val="C680F04E9D094D62A000DD72A6C9F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A37D-EB8D-4A95-9B26-A285AF91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25</TotalTime>
  <Pages>3</Pages>
  <Words>1308</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9111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Anghelone, Christine</cp:lastModifiedBy>
  <cp:revision>14</cp:revision>
  <cp:lastPrinted>2016-12-05T10:23:00Z</cp:lastPrinted>
  <dcterms:created xsi:type="dcterms:W3CDTF">2016-12-05T10:59:00Z</dcterms:created>
  <dcterms:modified xsi:type="dcterms:W3CDTF">2016-12-06T07:29:00Z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