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26175" w:rsidRPr="00286CD3" w:rsidRDefault="00626175" w:rsidP="00626175">
            <w:pPr>
              <w:spacing w:before="0"/>
              <w:jc w:val="left"/>
              <w:rPr>
                <w:szCs w:val="24"/>
                <w:lang w:val="en-GB"/>
              </w:rPr>
            </w:pPr>
            <w:r w:rsidRPr="00286CD3">
              <w:rPr>
                <w:szCs w:val="24"/>
                <w:lang w:val="en-GB"/>
              </w:rPr>
              <w:t>C</w:t>
            </w:r>
            <w:r>
              <w:rPr>
                <w:szCs w:val="24"/>
                <w:lang w:val="en-GB"/>
              </w:rPr>
              <w:t>arta C</w:t>
            </w:r>
            <w:r w:rsidRPr="00286CD3">
              <w:rPr>
                <w:szCs w:val="24"/>
                <w:lang w:val="en-GB"/>
              </w:rPr>
              <w:t>ircular</w:t>
            </w:r>
          </w:p>
          <w:p w:rsidR="00E53DCE" w:rsidRPr="0033029C" w:rsidRDefault="00626175" w:rsidP="0062617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86CD3">
              <w:rPr>
                <w:b/>
                <w:bCs/>
                <w:szCs w:val="24"/>
                <w:lang w:val="en-GB"/>
              </w:rPr>
              <w:t>CR/40</w:t>
            </w:r>
            <w:r>
              <w:rPr>
                <w:b/>
                <w:bCs/>
                <w:szCs w:val="24"/>
                <w:lang w:val="en-GB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6820FF" w:rsidP="006820FF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</w:t>
            </w:r>
            <w:r w:rsidR="00626175">
              <w:rPr>
                <w:szCs w:val="24"/>
                <w:lang w:val="en-GB"/>
              </w:rPr>
              <w:t xml:space="preserve"> de </w:t>
            </w:r>
            <w:proofErr w:type="spellStart"/>
            <w:r w:rsidR="00626175">
              <w:rPr>
                <w:szCs w:val="24"/>
                <w:lang w:val="en-GB"/>
              </w:rPr>
              <w:t>ju</w:t>
            </w:r>
            <w:r>
              <w:rPr>
                <w:szCs w:val="24"/>
                <w:lang w:val="en-GB"/>
              </w:rPr>
              <w:t>l</w:t>
            </w:r>
            <w:r w:rsidR="00626175">
              <w:rPr>
                <w:szCs w:val="24"/>
                <w:lang w:val="en-GB"/>
              </w:rPr>
              <w:t>io</w:t>
            </w:r>
            <w:proofErr w:type="spellEnd"/>
            <w:r w:rsidR="00626175">
              <w:rPr>
                <w:szCs w:val="24"/>
                <w:lang w:val="en-GB"/>
              </w:rPr>
              <w:t xml:space="preserve"> de</w:t>
            </w:r>
            <w:r w:rsidR="00626175" w:rsidRPr="00286CD3">
              <w:rPr>
                <w:szCs w:val="24"/>
                <w:lang w:val="en-GB"/>
              </w:rPr>
              <w:t xml:space="preserve">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26175" w:rsidRDefault="0062617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19275F">
              <w:rPr>
                <w:b/>
                <w:bCs/>
                <w:szCs w:val="24"/>
                <w:lang w:val="es-ES_tradnl"/>
              </w:rPr>
              <w:t>Aplicación de las decisiones de la Conferencia Mundial de Radiocomunicaciones, Ginebra, 2015 (CMR-15) y disposicione</w:t>
            </w:r>
            <w:r>
              <w:rPr>
                <w:b/>
                <w:bCs/>
                <w:szCs w:val="24"/>
                <w:lang w:val="es-ES_tradnl"/>
              </w:rPr>
              <w:t>s transitorias asociadas en relación con los servicios terrenales</w:t>
            </w:r>
          </w:p>
        </w:tc>
      </w:tr>
      <w:tr w:rsidR="00E53DCE" w:rsidRPr="006820F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2617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2617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26175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2617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6175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820FF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26175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26175" w:rsidRPr="0019275F" w:rsidRDefault="00626175" w:rsidP="004D4709">
      <w:pPr>
        <w:jc w:val="left"/>
        <w:rPr>
          <w:lang w:val="es-ES_tradnl" w:eastAsia="zh-CN"/>
        </w:rPr>
      </w:pPr>
      <w:r w:rsidRPr="006820FF">
        <w:rPr>
          <w:b/>
          <w:bCs/>
          <w:lang w:val="es-ES_tradnl"/>
        </w:rPr>
        <w:t>1</w:t>
      </w:r>
      <w:r w:rsidRPr="0019275F">
        <w:rPr>
          <w:lang w:val="es-ES_tradnl"/>
        </w:rPr>
        <w:tab/>
        <w:t>En la Conferencia Mundial de Radiocomunicaciones celebrada en Ginebra en 2015 (CMR</w:t>
      </w:r>
      <w:r>
        <w:rPr>
          <w:lang w:val="es-ES_tradnl"/>
        </w:rPr>
        <w:noBreakHyphen/>
      </w:r>
      <w:r w:rsidRPr="0019275F">
        <w:rPr>
          <w:lang w:val="es-ES_tradnl"/>
        </w:rPr>
        <w:t>15) se adoptó una revisión parcial del Reglamento de Radiocomunicaciones y se decidió que las disposiciones revisadas entrar</w:t>
      </w:r>
      <w:r>
        <w:rPr>
          <w:lang w:val="es-ES_tradnl"/>
        </w:rPr>
        <w:t>ían en vigor el 1 de enero de</w:t>
      </w:r>
      <w:r w:rsidRPr="0019275F">
        <w:rPr>
          <w:lang w:val="es-ES_tradnl"/>
        </w:rPr>
        <w:t xml:space="preserve"> 2017, </w:t>
      </w:r>
      <w:r>
        <w:rPr>
          <w:lang w:val="es-ES_tradnl"/>
        </w:rPr>
        <w:t xml:space="preserve">con excepción de aquellas disposiciones respecto de las cuales se indicase específicamente otra fecha. </w:t>
      </w:r>
      <w:r w:rsidRPr="0019275F">
        <w:rPr>
          <w:lang w:val="es-ES_tradnl"/>
        </w:rPr>
        <w:t>La finalidad de la presente Carta Circular es poner de relieve las decisiones más importantes de la Conferencia</w:t>
      </w:r>
      <w:r>
        <w:rPr>
          <w:lang w:val="es-ES_tradnl"/>
        </w:rPr>
        <w:t xml:space="preserve"> relacionadas con los servicios terrenales a fin de facilitar su aplicación. Para obtener una lista completa de las decisiones se pueden consultar las Actas Finales de la Conferencia y la Carta Circular</w:t>
      </w:r>
      <w:r w:rsidR="004D4709">
        <w:rPr>
          <w:lang w:val="es-ES_tradnl"/>
        </w:rPr>
        <w:t> </w:t>
      </w:r>
      <w:r w:rsidRPr="0019275F">
        <w:rPr>
          <w:lang w:val="es-ES_tradnl"/>
        </w:rPr>
        <w:t>CR/389 de 29 de enero de 2016</w:t>
      </w:r>
      <w:r>
        <w:rPr>
          <w:lang w:val="es-ES_tradnl"/>
        </w:rPr>
        <w:t>,</w:t>
      </w:r>
      <w:r w:rsidRPr="0019275F">
        <w:rPr>
          <w:lang w:val="es-ES_tradnl"/>
        </w:rPr>
        <w:t xml:space="preserve"> relati</w:t>
      </w:r>
      <w:r>
        <w:rPr>
          <w:lang w:val="es-ES_tradnl"/>
        </w:rPr>
        <w:t>va a las decisiones de la CMR-15 incluidas en las Actas de las Sesiones Plenarias</w:t>
      </w:r>
      <w:r w:rsidRPr="0019275F">
        <w:rPr>
          <w:lang w:val="es-ES_tradnl"/>
        </w:rPr>
        <w:t>.</w:t>
      </w:r>
    </w:p>
    <w:p w:rsidR="00626175" w:rsidRPr="0019275F" w:rsidRDefault="00626175" w:rsidP="004D4709">
      <w:pPr>
        <w:tabs>
          <w:tab w:val="clear" w:pos="794"/>
          <w:tab w:val="clear" w:pos="1191"/>
          <w:tab w:val="clear" w:pos="1588"/>
          <w:tab w:val="clear" w:pos="1985"/>
          <w:tab w:val="left" w:pos="0"/>
        </w:tabs>
        <w:spacing w:before="240"/>
        <w:jc w:val="left"/>
        <w:rPr>
          <w:rFonts w:asciiTheme="minorHAnsi" w:hAnsiTheme="minorHAnsi"/>
          <w:szCs w:val="24"/>
          <w:lang w:val="es-ES_tradnl"/>
        </w:rPr>
      </w:pPr>
      <w:r w:rsidRPr="00626175">
        <w:rPr>
          <w:rFonts w:asciiTheme="minorHAnsi" w:hAnsiTheme="minorHAnsi"/>
          <w:b/>
          <w:bCs/>
          <w:szCs w:val="24"/>
          <w:lang w:val="es-ES_tradnl"/>
        </w:rPr>
        <w:t>2</w:t>
      </w:r>
      <w:r w:rsidRPr="00626175">
        <w:rPr>
          <w:rFonts w:asciiTheme="minorHAnsi" w:hAnsiTheme="minorHAnsi"/>
          <w:b/>
          <w:bCs/>
          <w:szCs w:val="24"/>
          <w:lang w:val="es-ES_tradnl"/>
        </w:rPr>
        <w:tab/>
      </w:r>
      <w:r w:rsidRPr="0019275F">
        <w:rPr>
          <w:rFonts w:asciiTheme="minorHAnsi" w:hAnsiTheme="minorHAnsi"/>
          <w:b/>
          <w:bCs/>
          <w:szCs w:val="24"/>
          <w:lang w:val="es-ES_tradnl"/>
        </w:rPr>
        <w:t>Decisiones que entraron en vigor el 28 de noviembre de</w:t>
      </w:r>
      <w:r w:rsidRPr="0019275F">
        <w:rPr>
          <w:rFonts w:asciiTheme="minorHAnsi" w:hAnsiTheme="minorHAnsi"/>
          <w:b/>
          <w:bCs/>
          <w:szCs w:val="24"/>
          <w:lang w:val="es-ES_tradnl" w:eastAsia="zh-CN"/>
        </w:rPr>
        <w:t xml:space="preserve"> 2015</w:t>
      </w:r>
    </w:p>
    <w:p w:rsidR="00626175" w:rsidRPr="0019275F" w:rsidRDefault="00626175" w:rsidP="004D4709">
      <w:pPr>
        <w:jc w:val="left"/>
        <w:rPr>
          <w:lang w:val="es-ES_tradnl"/>
        </w:rPr>
      </w:pPr>
      <w:r w:rsidRPr="0019275F">
        <w:rPr>
          <w:lang w:val="es-ES_tradnl"/>
        </w:rPr>
        <w:t>2.1</w:t>
      </w:r>
      <w:r w:rsidRPr="0019275F">
        <w:rPr>
          <w:lang w:val="es-ES_tradnl"/>
        </w:rPr>
        <w:tab/>
        <w:t xml:space="preserve">La CMR-15 revisó varias Resoluciones y Recomendaciones de Conferencias anteriores y </w:t>
      </w:r>
      <w:r>
        <w:rPr>
          <w:lang w:val="es-ES_tradnl"/>
        </w:rPr>
        <w:t>adoptó diversas nuevas Resoluciones. Entre estas últimas se cuentan las siguientes Resoluciones que, relacionadas con los servicios terrenales y en vigor desde el 28 de noviembre de 2015, deben tener en cuenta las administraciones a la hora de realizar las actividades correspondientes</w:t>
      </w:r>
      <w:r w:rsidRPr="0019275F">
        <w:rPr>
          <w:lang w:val="es-ES_tradnl"/>
        </w:rPr>
        <w:t>:</w:t>
      </w:r>
    </w:p>
    <w:p w:rsidR="00626175" w:rsidRPr="0019275F" w:rsidRDefault="00626175" w:rsidP="004D4709">
      <w:pPr>
        <w:pStyle w:val="BodyText"/>
        <w:numPr>
          <w:ilvl w:val="0"/>
          <w:numId w:val="4"/>
        </w:numPr>
        <w:tabs>
          <w:tab w:val="left" w:pos="851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19275F">
        <w:rPr>
          <w:rFonts w:asciiTheme="minorHAnsi" w:hAnsiTheme="minorHAnsi"/>
          <w:i/>
          <w:iCs/>
          <w:lang w:val="es-ES_tradnl"/>
        </w:rPr>
        <w:t xml:space="preserve">Resolución </w:t>
      </w:r>
      <w:r w:rsidRPr="0019275F">
        <w:rPr>
          <w:rFonts w:asciiTheme="minorHAnsi" w:hAnsiTheme="minorHAnsi"/>
          <w:b/>
          <w:bCs/>
          <w:i/>
          <w:iCs/>
          <w:lang w:val="es-ES_tradnl"/>
        </w:rPr>
        <w:t>647 (Rev. CMR-15)</w:t>
      </w:r>
      <w:r w:rsidRPr="00626175">
        <w:rPr>
          <w:rFonts w:asciiTheme="minorHAnsi" w:hAnsiTheme="minorHAnsi"/>
          <w:lang w:val="es-ES_tradnl"/>
        </w:rPr>
        <w:t xml:space="preserve">, </w:t>
      </w:r>
      <w:r w:rsidRPr="00DA7765">
        <w:rPr>
          <w:rFonts w:asciiTheme="minorHAnsi" w:hAnsiTheme="minorHAnsi"/>
          <w:i/>
          <w:iCs/>
          <w:lang w:val="es-ES_tradnl"/>
        </w:rPr>
        <w:t>Aspectos de las radiocomunicaciones, incluidas d</w:t>
      </w:r>
      <w:r w:rsidRPr="0019275F">
        <w:rPr>
          <w:rFonts w:asciiTheme="minorHAnsi" w:hAnsiTheme="minorHAnsi"/>
          <w:i/>
          <w:iCs/>
          <w:lang w:val="es-ES_tradnl"/>
        </w:rPr>
        <w:t>irectrices sobre gestión del esp</w:t>
      </w:r>
      <w:r>
        <w:rPr>
          <w:rFonts w:asciiTheme="minorHAnsi" w:hAnsiTheme="minorHAnsi"/>
          <w:i/>
          <w:iCs/>
          <w:lang w:val="es-ES_tradnl"/>
        </w:rPr>
        <w:t>ectro para la alerta temprana, la predicción, detección y mitigación de los efectos de las catástrofes y las operaciones de socorro relacionadas con las emergencias y las catástrofes</w:t>
      </w:r>
      <w:r w:rsidRPr="0019275F">
        <w:rPr>
          <w:rFonts w:asciiTheme="minorHAnsi" w:hAnsiTheme="minorHAnsi"/>
          <w:lang w:val="es-ES_tradnl"/>
        </w:rPr>
        <w:t>. La CMR-15 alentó a las administraciones a comunicar a la Oficina información actualizada de contacto de las administraciones y, de ser posible, las frecuenci</w:t>
      </w:r>
      <w:r>
        <w:rPr>
          <w:rFonts w:asciiTheme="minorHAnsi" w:hAnsiTheme="minorHAnsi"/>
          <w:lang w:val="es-ES_tradnl"/>
        </w:rPr>
        <w:t>as o bandas de frecuencias que puedan utilizarse en situaciones de emergencia y en operaciones de socorro</w:t>
      </w:r>
      <w:r w:rsidRPr="0019275F">
        <w:rPr>
          <w:rFonts w:asciiTheme="minorHAnsi" w:hAnsiTheme="minorHAnsi"/>
          <w:lang w:val="es-ES_tradnl"/>
        </w:rPr>
        <w:t>. La Oficina se encargará del mantenimiento de la base de datos donde figura la informaci</w:t>
      </w:r>
      <w:r>
        <w:rPr>
          <w:rFonts w:asciiTheme="minorHAnsi" w:hAnsiTheme="minorHAnsi"/>
          <w:lang w:val="es-ES_tradnl"/>
        </w:rPr>
        <w:t>ón de las administraciones que se ha de utilizar en caso de emergencia</w:t>
      </w:r>
      <w:r w:rsidRPr="0019275F">
        <w:rPr>
          <w:rFonts w:asciiTheme="minorHAnsi" w:hAnsiTheme="minorHAnsi"/>
          <w:lang w:val="es-ES_tradnl"/>
        </w:rPr>
        <w:t>.</w:t>
      </w:r>
    </w:p>
    <w:p w:rsidR="006820FF" w:rsidRPr="006820FF" w:rsidRDefault="00626175" w:rsidP="004D4709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120" w:line="240" w:lineRule="auto"/>
        <w:ind w:left="567" w:hanging="567"/>
        <w:jc w:val="left"/>
        <w:textAlignment w:val="auto"/>
        <w:rPr>
          <w:rFonts w:asciiTheme="minorHAnsi" w:hAnsiTheme="minorHAnsi"/>
          <w:szCs w:val="24"/>
          <w:lang w:val="es-ES_tradnl"/>
        </w:rPr>
      </w:pPr>
      <w:r w:rsidRPr="0019275F">
        <w:rPr>
          <w:rFonts w:asciiTheme="minorHAnsi" w:hAnsiTheme="minorHAnsi"/>
          <w:i/>
          <w:iCs/>
          <w:szCs w:val="24"/>
          <w:lang w:val="es-ES_tradnl" w:eastAsia="ko-KR"/>
        </w:rPr>
        <w:t xml:space="preserve">Resolución </w:t>
      </w:r>
      <w:r w:rsidRPr="0019275F">
        <w:rPr>
          <w:rFonts w:asciiTheme="minorHAnsi" w:hAnsiTheme="minorHAnsi"/>
          <w:b/>
          <w:bCs/>
          <w:i/>
          <w:iCs/>
          <w:szCs w:val="24"/>
          <w:lang w:val="es-ES_tradnl"/>
        </w:rPr>
        <w:t>760 (CMR</w:t>
      </w:r>
      <w:r w:rsidRPr="0019275F">
        <w:rPr>
          <w:rFonts w:asciiTheme="minorHAnsi" w:hAnsiTheme="minorHAnsi"/>
          <w:b/>
          <w:bCs/>
          <w:i/>
          <w:iCs/>
          <w:szCs w:val="24"/>
          <w:lang w:val="es-ES_tradnl" w:eastAsia="ko-KR"/>
        </w:rPr>
        <w:t>-15</w:t>
      </w:r>
      <w:r w:rsidRPr="0019275F">
        <w:rPr>
          <w:rFonts w:asciiTheme="minorHAnsi" w:hAnsiTheme="minorHAnsi"/>
          <w:b/>
          <w:bCs/>
          <w:i/>
          <w:iCs/>
          <w:szCs w:val="24"/>
          <w:lang w:val="es-ES_tradnl"/>
        </w:rPr>
        <w:t>)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626175">
        <w:rPr>
          <w:rFonts w:asciiTheme="minorHAnsi" w:hAnsiTheme="minorHAnsi"/>
          <w:i/>
          <w:iCs/>
          <w:szCs w:val="24"/>
          <w:lang w:val="es-ES_tradnl"/>
        </w:rPr>
        <w:t xml:space="preserve"> </w:t>
      </w:r>
      <w:r w:rsidRPr="0019275F">
        <w:rPr>
          <w:rFonts w:asciiTheme="minorHAnsi" w:hAnsiTheme="minorHAnsi"/>
          <w:i/>
          <w:iCs/>
          <w:szCs w:val="24"/>
          <w:lang w:val="es-ES_tradnl"/>
        </w:rPr>
        <w:t xml:space="preserve">Disposiciones relativas a la utilización de la banda de frecuencias 694-790 MHz </w:t>
      </w:r>
      <w:r>
        <w:rPr>
          <w:rFonts w:asciiTheme="minorHAnsi" w:hAnsiTheme="minorHAnsi"/>
          <w:i/>
          <w:iCs/>
          <w:szCs w:val="24"/>
          <w:lang w:val="es-ES_tradnl"/>
        </w:rPr>
        <w:t>en la Región 1 por el servicio móvil, salvo móvil aeronáutico, y por otros servicios</w:t>
      </w:r>
      <w:r w:rsidRPr="0019275F">
        <w:rPr>
          <w:rFonts w:asciiTheme="minorHAnsi" w:hAnsiTheme="minorHAnsi"/>
          <w:szCs w:val="24"/>
          <w:lang w:val="es-ES_tradnl" w:eastAsia="ko-KR"/>
        </w:rPr>
        <w:t>. Mediante esta Resolución la CMR-15 introdujo nuevos criterios para identificar a las administraciones posiblemente afectadas por el servicio m</w:t>
      </w:r>
      <w:r>
        <w:rPr>
          <w:rFonts w:asciiTheme="minorHAnsi" w:hAnsiTheme="minorHAnsi"/>
          <w:szCs w:val="24"/>
          <w:lang w:val="es-ES_tradnl" w:eastAsia="ko-KR"/>
        </w:rPr>
        <w:t xml:space="preserve">óvil en virtud del número 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>9.21</w:t>
      </w:r>
      <w:r w:rsidR="006820FF">
        <w:rPr>
          <w:rFonts w:asciiTheme="minorHAnsi" w:hAnsiTheme="minorHAnsi"/>
          <w:b/>
          <w:bCs/>
          <w:szCs w:val="24"/>
          <w:lang w:val="es-ES_tradnl"/>
        </w:rPr>
        <w:br/>
      </w:r>
    </w:p>
    <w:p w:rsidR="00626175" w:rsidRPr="0019275F" w:rsidRDefault="00626175" w:rsidP="006820FF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120" w:line="240" w:lineRule="auto"/>
        <w:ind w:left="567"/>
        <w:jc w:val="left"/>
        <w:textAlignment w:val="auto"/>
        <w:rPr>
          <w:rFonts w:asciiTheme="minorHAnsi" w:hAnsiTheme="minorHAnsi"/>
          <w:szCs w:val="24"/>
          <w:lang w:val="es-ES_tradnl"/>
        </w:rPr>
      </w:pPr>
      <w:proofErr w:type="gramStart"/>
      <w:r>
        <w:rPr>
          <w:rFonts w:asciiTheme="minorHAnsi" w:hAnsiTheme="minorHAnsi"/>
          <w:szCs w:val="24"/>
          <w:lang w:val="es-ES_tradnl"/>
        </w:rPr>
        <w:lastRenderedPageBreak/>
        <w:t>con</w:t>
      </w:r>
      <w:proofErr w:type="gramEnd"/>
      <w:r>
        <w:rPr>
          <w:rFonts w:asciiTheme="minorHAnsi" w:hAnsiTheme="minorHAnsi"/>
          <w:szCs w:val="24"/>
          <w:lang w:val="es-ES_tradnl"/>
        </w:rPr>
        <w:t xml:space="preserve"> respecto al servicio de radionavegación aeronáutica operativo en los países indicados en el número</w:t>
      </w:r>
      <w:r w:rsidRPr="0019275F">
        <w:rPr>
          <w:rFonts w:asciiTheme="minorHAnsi" w:hAnsiTheme="minorHAnsi"/>
          <w:szCs w:val="24"/>
          <w:lang w:val="es-ES_tradnl"/>
        </w:rPr>
        <w:t> 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>5.312</w:t>
      </w:r>
      <w:r w:rsidRPr="0019275F">
        <w:rPr>
          <w:rFonts w:asciiTheme="minorHAnsi" w:hAnsiTheme="minorHAnsi"/>
          <w:szCs w:val="24"/>
          <w:lang w:val="es-ES_tradnl"/>
        </w:rPr>
        <w:t>. Las administraciones pueden emplear estos criterios para determinar los requisitos de coordinaci</w:t>
      </w:r>
      <w:r>
        <w:rPr>
          <w:rFonts w:asciiTheme="minorHAnsi" w:hAnsiTheme="minorHAnsi"/>
          <w:szCs w:val="24"/>
          <w:lang w:val="es-ES_tradnl"/>
        </w:rPr>
        <w:t xml:space="preserve">ón de sus estaciones del servicio móvil. </w:t>
      </w:r>
      <w:r w:rsidRPr="0019275F">
        <w:rPr>
          <w:rFonts w:asciiTheme="minorHAnsi" w:hAnsiTheme="minorHAnsi"/>
          <w:szCs w:val="24"/>
          <w:lang w:val="es-ES_tradnl"/>
        </w:rPr>
        <w:t>La Oficina los aplicará al tramitar las notificaciones en virtud del n</w:t>
      </w:r>
      <w:r>
        <w:rPr>
          <w:rFonts w:asciiTheme="minorHAnsi" w:hAnsiTheme="minorHAnsi"/>
          <w:szCs w:val="24"/>
          <w:lang w:val="es-ES_tradnl"/>
        </w:rPr>
        <w:t>úmero</w:t>
      </w:r>
      <w:r w:rsidRPr="0019275F">
        <w:rPr>
          <w:rFonts w:asciiTheme="minorHAnsi" w:hAnsiTheme="minorHAnsi"/>
          <w:szCs w:val="24"/>
          <w:lang w:val="es-ES_tradnl"/>
        </w:rPr>
        <w:t xml:space="preserve"> 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>9.21</w:t>
      </w:r>
      <w:r w:rsidRPr="0019275F">
        <w:rPr>
          <w:rFonts w:asciiTheme="minorHAnsi" w:hAnsiTheme="minorHAnsi"/>
          <w:szCs w:val="24"/>
          <w:lang w:val="es-ES_tradnl"/>
        </w:rPr>
        <w:t xml:space="preserve"> pertinentes para la identificaci</w:t>
      </w:r>
      <w:r>
        <w:rPr>
          <w:rFonts w:asciiTheme="minorHAnsi" w:hAnsiTheme="minorHAnsi"/>
          <w:szCs w:val="24"/>
          <w:lang w:val="es-ES_tradnl"/>
        </w:rPr>
        <w:t>ón de las administraciones afectadas</w:t>
      </w:r>
      <w:r w:rsidRPr="0019275F">
        <w:rPr>
          <w:rFonts w:asciiTheme="minorHAnsi" w:hAnsiTheme="minorHAnsi"/>
          <w:szCs w:val="24"/>
          <w:lang w:val="es-ES_tradnl"/>
        </w:rPr>
        <w:t>.</w:t>
      </w:r>
    </w:p>
    <w:p w:rsidR="00626175" w:rsidRPr="0019275F" w:rsidRDefault="00626175" w:rsidP="004D4709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120" w:line="240" w:lineRule="auto"/>
        <w:ind w:left="567" w:hanging="567"/>
        <w:jc w:val="left"/>
        <w:textAlignment w:val="auto"/>
        <w:rPr>
          <w:rFonts w:asciiTheme="minorHAnsi" w:hAnsiTheme="minorHAnsi"/>
          <w:szCs w:val="24"/>
          <w:lang w:val="es-ES_tradnl"/>
        </w:rPr>
      </w:pPr>
      <w:r w:rsidRPr="0019275F">
        <w:rPr>
          <w:rFonts w:asciiTheme="minorHAnsi" w:hAnsiTheme="minorHAnsi"/>
          <w:szCs w:val="24"/>
          <w:lang w:val="es-ES_tradnl"/>
        </w:rPr>
        <w:t xml:space="preserve">La CMR-15 modificó también las Resoluciones 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>207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 xml:space="preserve"> 417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 xml:space="preserve"> 418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 xml:space="preserve"> 517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 xml:space="preserve"> 535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 xml:space="preserve"> 705</w:t>
      </w:r>
      <w:r w:rsidRPr="00626175">
        <w:rPr>
          <w:rFonts w:asciiTheme="minorHAnsi" w:hAnsiTheme="minorHAnsi"/>
          <w:szCs w:val="24"/>
          <w:lang w:val="es-ES_tradnl"/>
        </w:rPr>
        <w:t>,</w:t>
      </w:r>
      <w:r>
        <w:rPr>
          <w:rFonts w:asciiTheme="minorHAnsi" w:hAnsiTheme="minorHAnsi"/>
          <w:szCs w:val="24"/>
          <w:lang w:val="es-ES_tradnl"/>
        </w:rPr>
        <w:t xml:space="preserve"> 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>748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 xml:space="preserve"> 749</w:t>
      </w:r>
      <w:r w:rsidRPr="0019275F">
        <w:rPr>
          <w:rFonts w:asciiTheme="minorHAnsi" w:hAnsiTheme="minorHAnsi"/>
          <w:szCs w:val="24"/>
          <w:lang w:val="es-ES_tradnl"/>
        </w:rPr>
        <w:t xml:space="preserve"> y </w:t>
      </w:r>
      <w:r w:rsidRPr="0019275F">
        <w:rPr>
          <w:rFonts w:asciiTheme="minorHAnsi" w:hAnsiTheme="minorHAnsi"/>
          <w:b/>
          <w:bCs/>
          <w:szCs w:val="24"/>
          <w:lang w:val="es-ES_tradnl"/>
        </w:rPr>
        <w:t>906</w:t>
      </w:r>
      <w:r w:rsidRPr="0019275F">
        <w:rPr>
          <w:rFonts w:asciiTheme="minorHAnsi" w:hAnsiTheme="minorHAnsi"/>
          <w:szCs w:val="24"/>
          <w:lang w:val="es-ES_tradnl"/>
        </w:rPr>
        <w:t xml:space="preserve"> r</w:t>
      </w:r>
      <w:r>
        <w:rPr>
          <w:rFonts w:asciiTheme="minorHAnsi" w:hAnsiTheme="minorHAnsi"/>
          <w:szCs w:val="24"/>
          <w:lang w:val="es-ES_tradnl"/>
        </w:rPr>
        <w:t>elativas a los servicios terrenales. Sin embargo, estas modificaciones son de carácter formal y, por tanto, no afectan a las actividades de las administraciones o la Oficina</w:t>
      </w:r>
      <w:r w:rsidRPr="0019275F">
        <w:rPr>
          <w:rFonts w:asciiTheme="minorHAnsi" w:hAnsiTheme="minorHAnsi"/>
          <w:szCs w:val="24"/>
          <w:lang w:val="es-ES_tradnl"/>
        </w:rPr>
        <w:t>.</w:t>
      </w:r>
    </w:p>
    <w:p w:rsidR="00626175" w:rsidRPr="001F2E9B" w:rsidRDefault="00626175" w:rsidP="004D4709">
      <w:pPr>
        <w:numPr>
          <w:ilvl w:val="0"/>
          <w:numId w:val="4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120" w:line="240" w:lineRule="auto"/>
        <w:ind w:left="567" w:hanging="567"/>
        <w:jc w:val="left"/>
        <w:textAlignment w:val="auto"/>
        <w:rPr>
          <w:rFonts w:asciiTheme="minorHAnsi" w:hAnsiTheme="minorHAnsi"/>
          <w:szCs w:val="24"/>
          <w:lang w:val="es-ES_tradnl"/>
        </w:rPr>
      </w:pPr>
      <w:r w:rsidRPr="001F2E9B">
        <w:rPr>
          <w:rFonts w:asciiTheme="minorHAnsi" w:hAnsiTheme="minorHAnsi"/>
          <w:szCs w:val="24"/>
          <w:lang w:val="es-ES_tradnl"/>
        </w:rPr>
        <w:t xml:space="preserve">La CMR-15 decidió suprimir, con efecto a partir del 28 de noviembre de 2015, las siguientes Resoluciones relacionadas con los servicios terrenales: 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>67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153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232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233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358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423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644</w:t>
      </w:r>
      <w:r w:rsidRPr="00626175">
        <w:rPr>
          <w:rFonts w:asciiTheme="minorHAnsi" w:hAnsiTheme="minorHAnsi"/>
          <w:szCs w:val="24"/>
          <w:lang w:val="es-ES_tradnl"/>
        </w:rPr>
        <w:t>,</w:t>
      </w:r>
      <w:r>
        <w:rPr>
          <w:rFonts w:asciiTheme="minorHAnsi" w:hAnsiTheme="minorHAnsi"/>
          <w:szCs w:val="24"/>
          <w:lang w:val="es-ES_tradnl"/>
        </w:rPr>
        <w:t xml:space="preserve"> 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>648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649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653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654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755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806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807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 xml:space="preserve"> 808</w:t>
      </w:r>
      <w:r w:rsidRPr="001F2E9B">
        <w:rPr>
          <w:rFonts w:asciiTheme="minorHAnsi" w:hAnsiTheme="minorHAnsi"/>
          <w:szCs w:val="24"/>
          <w:lang w:val="es-ES_tradnl"/>
        </w:rPr>
        <w:t xml:space="preserve"> y </w:t>
      </w:r>
      <w:r w:rsidRPr="001F2E9B">
        <w:rPr>
          <w:rFonts w:asciiTheme="minorHAnsi" w:hAnsiTheme="minorHAnsi"/>
          <w:b/>
          <w:bCs/>
          <w:szCs w:val="24"/>
          <w:lang w:val="es-ES_tradnl"/>
        </w:rPr>
        <w:t>957</w:t>
      </w:r>
      <w:r w:rsidRPr="00626175">
        <w:rPr>
          <w:rFonts w:asciiTheme="minorHAnsi" w:hAnsiTheme="minorHAnsi"/>
          <w:szCs w:val="24"/>
          <w:lang w:val="es-ES_tradnl"/>
        </w:rPr>
        <w:t>,</w:t>
      </w:r>
      <w:r w:rsidRPr="001F2E9B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pues atañían a actividades completadas u objetivos que han dejado de ser pertinentes</w:t>
      </w:r>
      <w:r w:rsidRPr="001F2E9B">
        <w:rPr>
          <w:rFonts w:asciiTheme="minorHAnsi" w:hAnsiTheme="minorHAnsi"/>
          <w:szCs w:val="24"/>
          <w:lang w:val="es-ES_tradnl"/>
        </w:rPr>
        <w:t xml:space="preserve">. </w:t>
      </w:r>
    </w:p>
    <w:p w:rsidR="00626175" w:rsidRPr="006920B1" w:rsidRDefault="00626175" w:rsidP="004D4709">
      <w:pPr>
        <w:jc w:val="left"/>
        <w:rPr>
          <w:rFonts w:asciiTheme="minorHAnsi" w:hAnsiTheme="minorHAnsi"/>
          <w:szCs w:val="24"/>
          <w:lang w:val="es-ES_tradnl"/>
        </w:rPr>
      </w:pPr>
      <w:r w:rsidRPr="006920B1">
        <w:rPr>
          <w:rFonts w:asciiTheme="minorHAnsi" w:hAnsiTheme="minorHAnsi"/>
          <w:szCs w:val="24"/>
          <w:lang w:val="es-ES_tradnl"/>
        </w:rPr>
        <w:t>2.2</w:t>
      </w:r>
      <w:r w:rsidRPr="006920B1">
        <w:rPr>
          <w:rFonts w:asciiTheme="minorHAnsi" w:hAnsiTheme="minorHAnsi"/>
          <w:szCs w:val="24"/>
          <w:lang w:val="es-ES_tradnl"/>
        </w:rPr>
        <w:tab/>
      </w:r>
      <w:r>
        <w:rPr>
          <w:rFonts w:asciiTheme="minorHAnsi" w:hAnsiTheme="minorHAnsi"/>
          <w:szCs w:val="24"/>
          <w:lang w:val="es-ES_tradnl"/>
        </w:rPr>
        <w:t>L</w:t>
      </w:r>
      <w:r w:rsidRPr="006920B1">
        <w:rPr>
          <w:rFonts w:asciiTheme="minorHAnsi" w:hAnsiTheme="minorHAnsi"/>
          <w:szCs w:val="24"/>
          <w:lang w:val="es-ES_tradnl"/>
        </w:rPr>
        <w:t xml:space="preserve">a CMR-15 </w:t>
      </w:r>
      <w:r>
        <w:rPr>
          <w:rFonts w:asciiTheme="minorHAnsi" w:hAnsiTheme="minorHAnsi"/>
          <w:szCs w:val="24"/>
          <w:lang w:val="es-ES_tradnl"/>
        </w:rPr>
        <w:t>introdujo</w:t>
      </w:r>
      <w:r w:rsidRPr="006920B1">
        <w:rPr>
          <w:rFonts w:asciiTheme="minorHAnsi" w:hAnsiTheme="minorHAnsi"/>
          <w:szCs w:val="24"/>
          <w:lang w:val="es-ES_tradnl"/>
        </w:rPr>
        <w:t xml:space="preserve"> la atribución al servicio móvil, excepto móvil aeronáutico, de la banda 694–790 MHz en la Regi</w:t>
      </w:r>
      <w:r>
        <w:rPr>
          <w:rFonts w:asciiTheme="minorHAnsi" w:hAnsiTheme="minorHAnsi"/>
          <w:szCs w:val="24"/>
          <w:lang w:val="es-ES_tradnl"/>
        </w:rPr>
        <w:t xml:space="preserve">ón 1 en el Cuadro de atribución de bandas de frecuencias y definió las condiciones de utilización de este servicio. </w:t>
      </w:r>
      <w:r w:rsidRPr="006920B1">
        <w:rPr>
          <w:rFonts w:asciiTheme="minorHAnsi" w:hAnsiTheme="minorHAnsi"/>
          <w:szCs w:val="24"/>
          <w:lang w:val="es-ES_tradnl"/>
        </w:rPr>
        <w:t>La atribución entr</w:t>
      </w:r>
      <w:r>
        <w:rPr>
          <w:rFonts w:asciiTheme="minorHAnsi" w:hAnsiTheme="minorHAnsi"/>
          <w:szCs w:val="24"/>
          <w:lang w:val="es-ES_tradnl"/>
        </w:rPr>
        <w:t>ó</w:t>
      </w:r>
      <w:r w:rsidRPr="006920B1">
        <w:rPr>
          <w:rFonts w:asciiTheme="minorHAnsi" w:hAnsiTheme="minorHAnsi"/>
          <w:szCs w:val="24"/>
          <w:lang w:val="es-ES_tradnl"/>
        </w:rPr>
        <w:t xml:space="preserve"> en vigor el </w:t>
      </w:r>
      <w:r w:rsidRPr="006920B1">
        <w:rPr>
          <w:rFonts w:asciiTheme="minorHAnsi" w:hAnsiTheme="minorHAnsi"/>
          <w:szCs w:val="24"/>
          <w:lang w:val="es-ES_tradnl" w:eastAsia="en-GB"/>
        </w:rPr>
        <w:t>28 de noviembre</w:t>
      </w:r>
      <w:r>
        <w:rPr>
          <w:rFonts w:asciiTheme="minorHAnsi" w:hAnsiTheme="minorHAnsi"/>
          <w:szCs w:val="24"/>
          <w:lang w:val="es-ES_tradnl" w:eastAsia="en-GB"/>
        </w:rPr>
        <w:t xml:space="preserve"> de</w:t>
      </w:r>
      <w:r w:rsidRPr="006920B1">
        <w:rPr>
          <w:rFonts w:asciiTheme="minorHAnsi" w:hAnsiTheme="minorHAnsi"/>
          <w:szCs w:val="24"/>
          <w:lang w:val="es-ES_tradnl" w:eastAsia="en-GB"/>
        </w:rPr>
        <w:t xml:space="preserve"> 2015</w:t>
      </w:r>
      <w:r>
        <w:rPr>
          <w:rFonts w:asciiTheme="minorHAnsi" w:hAnsiTheme="minorHAnsi"/>
          <w:szCs w:val="24"/>
          <w:lang w:val="es-ES_tradnl" w:eastAsia="en-GB"/>
        </w:rPr>
        <w:t>, como decidió la CMR</w:t>
      </w:r>
      <w:r w:rsidRPr="006920B1">
        <w:rPr>
          <w:rFonts w:asciiTheme="minorHAnsi" w:hAnsiTheme="minorHAnsi"/>
          <w:szCs w:val="24"/>
          <w:lang w:val="es-ES_tradnl"/>
        </w:rPr>
        <w:t xml:space="preserve">-12 </w:t>
      </w:r>
      <w:r>
        <w:rPr>
          <w:rFonts w:asciiTheme="minorHAnsi" w:hAnsiTheme="minorHAnsi"/>
          <w:szCs w:val="24"/>
          <w:lang w:val="es-ES_tradnl"/>
        </w:rPr>
        <w:t>en el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 w:rsidRPr="006920B1">
        <w:rPr>
          <w:rFonts w:asciiTheme="minorHAnsi" w:hAnsiTheme="minorHAnsi"/>
          <w:i/>
          <w:iCs/>
          <w:szCs w:val="24"/>
          <w:lang w:val="es-ES_tradnl" w:eastAsia="en-GB"/>
        </w:rPr>
        <w:t>res</w:t>
      </w:r>
      <w:r>
        <w:rPr>
          <w:rFonts w:asciiTheme="minorHAnsi" w:hAnsiTheme="minorHAnsi"/>
          <w:i/>
          <w:iCs/>
          <w:szCs w:val="24"/>
          <w:lang w:val="es-ES_tradnl" w:eastAsia="en-GB"/>
        </w:rPr>
        <w:t>uelve</w:t>
      </w:r>
      <w:r w:rsidRPr="006920B1">
        <w:rPr>
          <w:rFonts w:asciiTheme="minorHAnsi" w:hAnsiTheme="minorHAnsi"/>
          <w:i/>
          <w:iCs/>
          <w:szCs w:val="24"/>
          <w:lang w:val="es-ES_tradnl" w:eastAsia="en-GB"/>
        </w:rPr>
        <w:t xml:space="preserve"> </w:t>
      </w:r>
      <w:r w:rsidRPr="00626175">
        <w:rPr>
          <w:rFonts w:asciiTheme="minorHAnsi" w:hAnsiTheme="minorHAnsi"/>
          <w:szCs w:val="24"/>
          <w:lang w:val="es-ES_tradnl" w:eastAsia="en-GB"/>
        </w:rPr>
        <w:t>2</w:t>
      </w:r>
      <w:r w:rsidRPr="006920B1">
        <w:rPr>
          <w:rFonts w:asciiTheme="minorHAnsi" w:hAnsiTheme="minorHAnsi"/>
          <w:szCs w:val="24"/>
          <w:lang w:val="es-ES_tradnl" w:eastAsia="en-GB"/>
        </w:rPr>
        <w:t xml:space="preserve"> </w:t>
      </w:r>
      <w:r>
        <w:rPr>
          <w:rFonts w:asciiTheme="minorHAnsi" w:hAnsiTheme="minorHAnsi"/>
          <w:szCs w:val="24"/>
          <w:lang w:val="es-ES_tradnl" w:eastAsia="en-GB"/>
        </w:rPr>
        <w:t>de la Resolución</w:t>
      </w:r>
      <w:r w:rsidRPr="006920B1">
        <w:rPr>
          <w:rFonts w:asciiTheme="minorHAnsi" w:hAnsiTheme="minorHAnsi"/>
          <w:szCs w:val="24"/>
          <w:lang w:val="es-ES_tradnl" w:eastAsia="en-GB"/>
        </w:rPr>
        <w:t xml:space="preserve"> </w:t>
      </w:r>
      <w:r w:rsidRPr="006920B1">
        <w:rPr>
          <w:rFonts w:asciiTheme="minorHAnsi" w:hAnsiTheme="minorHAnsi"/>
          <w:b/>
          <w:bCs/>
          <w:szCs w:val="24"/>
          <w:lang w:val="es-ES_tradnl" w:eastAsia="en-GB"/>
        </w:rPr>
        <w:t>232 (</w:t>
      </w:r>
      <w:r>
        <w:rPr>
          <w:rFonts w:asciiTheme="minorHAnsi" w:hAnsiTheme="minorHAnsi"/>
          <w:b/>
          <w:bCs/>
          <w:szCs w:val="24"/>
          <w:lang w:val="es-ES_tradnl" w:eastAsia="en-GB"/>
        </w:rPr>
        <w:t>CMR</w:t>
      </w:r>
      <w:r w:rsidRPr="006920B1">
        <w:rPr>
          <w:rFonts w:asciiTheme="minorHAnsi" w:hAnsiTheme="minorHAnsi"/>
          <w:b/>
          <w:bCs/>
          <w:szCs w:val="24"/>
          <w:lang w:val="es-ES_tradnl" w:eastAsia="en-GB"/>
        </w:rPr>
        <w:t>-12)</w:t>
      </w:r>
      <w:r w:rsidRPr="00626175">
        <w:rPr>
          <w:rFonts w:asciiTheme="minorHAnsi" w:hAnsiTheme="minorHAnsi"/>
          <w:szCs w:val="24"/>
          <w:lang w:val="es-ES_tradnl" w:eastAsia="en-GB"/>
        </w:rPr>
        <w:t>.</w:t>
      </w:r>
      <w:r w:rsidRPr="006920B1">
        <w:rPr>
          <w:rFonts w:asciiTheme="minorHAnsi" w:hAnsiTheme="minorHAnsi"/>
          <w:b/>
          <w:bCs/>
          <w:szCs w:val="24"/>
          <w:lang w:val="es-ES_tradnl" w:eastAsia="en-GB"/>
        </w:rPr>
        <w:t xml:space="preserve"> </w:t>
      </w:r>
      <w:r w:rsidRPr="006920B1">
        <w:rPr>
          <w:rFonts w:asciiTheme="minorHAnsi" w:hAnsiTheme="minorHAnsi"/>
          <w:szCs w:val="24"/>
          <w:lang w:val="es-ES_tradnl" w:eastAsia="en-GB"/>
        </w:rPr>
        <w:t>Las administraciones han de ser conscientes de que la puesta en marcha de estaciones del servicio móvil en esta banda estará sujeta a la aplicación de los procedimientos definidos en el Acuerdo</w:t>
      </w:r>
      <w:r w:rsidRPr="006920B1">
        <w:rPr>
          <w:rFonts w:asciiTheme="minorHAnsi" w:hAnsiTheme="minorHAnsi"/>
          <w:szCs w:val="24"/>
          <w:lang w:val="es-ES_tradnl"/>
        </w:rPr>
        <w:t xml:space="preserve"> GE06 con respect</w:t>
      </w:r>
      <w:r>
        <w:rPr>
          <w:rFonts w:asciiTheme="minorHAnsi" w:hAnsiTheme="minorHAnsi"/>
          <w:szCs w:val="24"/>
          <w:lang w:val="es-ES_tradnl"/>
        </w:rPr>
        <w:t>o</w:t>
      </w:r>
      <w:r w:rsidRPr="006920B1">
        <w:rPr>
          <w:rFonts w:asciiTheme="minorHAnsi" w:hAnsiTheme="minorHAnsi"/>
          <w:szCs w:val="24"/>
          <w:lang w:val="es-ES_tradnl"/>
        </w:rPr>
        <w:t xml:space="preserve"> al servicio de radiodifusión y del procedimiento del n</w:t>
      </w:r>
      <w:r>
        <w:rPr>
          <w:rFonts w:asciiTheme="minorHAnsi" w:hAnsiTheme="minorHAnsi"/>
          <w:szCs w:val="24"/>
          <w:lang w:val="es-ES_tradnl"/>
        </w:rPr>
        <w:t>úmero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9.21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con respecto al servicio de radionavegación aeronáutica en los países enumerados en el número</w:t>
      </w:r>
      <w:r w:rsidRPr="006920B1">
        <w:rPr>
          <w:rFonts w:asciiTheme="minorHAnsi" w:hAnsiTheme="minorHAnsi"/>
          <w:szCs w:val="24"/>
          <w:lang w:val="es-ES_tradnl"/>
        </w:rPr>
        <w:t> 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5.312</w:t>
      </w:r>
      <w:r w:rsidRPr="00626175">
        <w:rPr>
          <w:rFonts w:asciiTheme="minorHAnsi" w:hAnsiTheme="minorHAnsi"/>
          <w:szCs w:val="24"/>
          <w:lang w:val="es-ES_tradnl"/>
        </w:rPr>
        <w:t>,</w:t>
      </w:r>
      <w:r>
        <w:rPr>
          <w:rFonts w:asciiTheme="minorHAnsi" w:hAnsiTheme="minorHAnsi"/>
          <w:b/>
          <w:bCs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de conformidad con las Resoluciones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224 (Rev.</w:t>
      </w:r>
      <w:r>
        <w:rPr>
          <w:rFonts w:asciiTheme="minorHAnsi" w:hAnsiTheme="minorHAnsi"/>
          <w:b/>
          <w:bCs/>
          <w:szCs w:val="24"/>
          <w:lang w:val="es-ES_tradnl"/>
        </w:rPr>
        <w:t>CMR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-15)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y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760 (</w:t>
      </w:r>
      <w:r>
        <w:rPr>
          <w:rFonts w:asciiTheme="minorHAnsi" w:hAnsiTheme="minorHAnsi"/>
          <w:b/>
          <w:bCs/>
          <w:szCs w:val="24"/>
          <w:lang w:val="es-ES_tradnl"/>
        </w:rPr>
        <w:t>CMR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-15)</w:t>
      </w:r>
      <w:r w:rsidRPr="006920B1">
        <w:rPr>
          <w:rFonts w:asciiTheme="minorHAnsi" w:hAnsiTheme="minorHAnsi"/>
          <w:szCs w:val="24"/>
          <w:lang w:val="es-ES_tradnl"/>
        </w:rPr>
        <w:t>.</w:t>
      </w:r>
    </w:p>
    <w:p w:rsidR="00626175" w:rsidRPr="006920B1" w:rsidRDefault="00626175" w:rsidP="004D4709">
      <w:pPr>
        <w:spacing w:before="240"/>
        <w:jc w:val="left"/>
        <w:rPr>
          <w:rFonts w:asciiTheme="minorHAnsi" w:hAnsiTheme="minorHAnsi"/>
          <w:color w:val="44546A"/>
          <w:szCs w:val="24"/>
          <w:lang w:val="es-ES_tradnl" w:eastAsia="en-GB"/>
        </w:rPr>
      </w:pPr>
      <w:r w:rsidRPr="006920B1">
        <w:rPr>
          <w:rFonts w:asciiTheme="minorHAnsi" w:hAnsiTheme="minorHAnsi"/>
          <w:b/>
          <w:bCs/>
          <w:szCs w:val="24"/>
          <w:lang w:val="es-ES_tradnl"/>
        </w:rPr>
        <w:t>3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ab/>
        <w:t>Decisiones que entrarán en vigor el 1 de enero de 2017</w:t>
      </w:r>
    </w:p>
    <w:p w:rsidR="00626175" w:rsidRPr="006920B1" w:rsidRDefault="00626175" w:rsidP="004D470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left"/>
        <w:textAlignment w:val="auto"/>
        <w:rPr>
          <w:rFonts w:asciiTheme="minorHAnsi" w:hAnsiTheme="minorHAnsi"/>
          <w:b/>
          <w:bCs/>
          <w:szCs w:val="24"/>
          <w:lang w:val="es-ES_tradnl"/>
        </w:rPr>
      </w:pPr>
      <w:r w:rsidRPr="006920B1">
        <w:rPr>
          <w:rFonts w:asciiTheme="minorHAnsi" w:hAnsiTheme="minorHAnsi"/>
          <w:szCs w:val="24"/>
          <w:lang w:val="es-ES_tradnl"/>
        </w:rPr>
        <w:t>3.1</w:t>
      </w:r>
      <w:r w:rsidRPr="006920B1">
        <w:rPr>
          <w:rFonts w:asciiTheme="minorHAnsi" w:hAnsiTheme="minorHAnsi"/>
          <w:szCs w:val="24"/>
          <w:lang w:val="es-ES_tradnl"/>
        </w:rPr>
        <w:tab/>
        <w:t>La CMR-15 introdujo las nuevas definiciones de estación terrestre de ayudas a la meteorolog</w:t>
      </w:r>
      <w:r>
        <w:rPr>
          <w:rFonts w:asciiTheme="minorHAnsi" w:hAnsiTheme="minorHAnsi"/>
          <w:szCs w:val="24"/>
          <w:lang w:val="es-ES_tradnl"/>
        </w:rPr>
        <w:t>ía y estación móvil de ayudas a la meteorología en los números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1.108A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>y</w:t>
      </w:r>
      <w:r w:rsidRPr="006920B1">
        <w:rPr>
          <w:rFonts w:asciiTheme="minorHAnsi" w:hAnsiTheme="minorHAnsi"/>
          <w:szCs w:val="24"/>
          <w:lang w:val="es-ES_tradnl"/>
        </w:rPr>
        <w:t xml:space="preserve"> </w:t>
      </w:r>
      <w:r w:rsidRPr="006920B1">
        <w:rPr>
          <w:rFonts w:asciiTheme="minorHAnsi" w:hAnsiTheme="minorHAnsi"/>
          <w:b/>
          <w:bCs/>
          <w:szCs w:val="24"/>
          <w:lang w:val="es-ES_tradnl"/>
        </w:rPr>
        <w:t>1.108B.</w:t>
      </w:r>
    </w:p>
    <w:p w:rsidR="00626175" w:rsidRPr="00626175" w:rsidRDefault="00626175" w:rsidP="004D4709">
      <w:pPr>
        <w:pStyle w:val="BodyText"/>
        <w:tabs>
          <w:tab w:val="left" w:pos="709"/>
        </w:tabs>
        <w:spacing w:before="120"/>
        <w:rPr>
          <w:rFonts w:asciiTheme="minorHAnsi" w:hAnsiTheme="minorHAnsi"/>
          <w:lang w:val="es-ES_tradnl"/>
        </w:rPr>
      </w:pPr>
      <w:r w:rsidRPr="006920B1">
        <w:rPr>
          <w:rFonts w:asciiTheme="minorHAnsi" w:hAnsiTheme="minorHAnsi"/>
          <w:lang w:val="es-ES_tradnl"/>
        </w:rPr>
        <w:t>3.2</w:t>
      </w:r>
      <w:r w:rsidRPr="006920B1">
        <w:rPr>
          <w:rFonts w:asciiTheme="minorHAnsi" w:hAnsiTheme="minorHAnsi"/>
          <w:lang w:val="es-ES_tradnl"/>
        </w:rPr>
        <w:tab/>
        <w:t xml:space="preserve">La CMR-15 adoptó la revisión del número </w:t>
      </w:r>
      <w:r w:rsidRPr="006920B1">
        <w:rPr>
          <w:rFonts w:asciiTheme="minorHAnsi" w:hAnsiTheme="minorHAnsi"/>
          <w:b/>
          <w:bCs/>
          <w:lang w:val="es-ES_tradnl"/>
        </w:rPr>
        <w:t>5.265</w:t>
      </w:r>
      <w:r w:rsidRPr="006920B1">
        <w:rPr>
          <w:rFonts w:asciiTheme="minorHAnsi" w:hAnsiTheme="minorHAnsi"/>
          <w:lang w:val="es-ES_tradnl"/>
        </w:rPr>
        <w:t xml:space="preserve"> que convierte en obligatoria la aplicaci</w:t>
      </w:r>
      <w:r>
        <w:rPr>
          <w:rFonts w:asciiTheme="minorHAnsi" w:hAnsiTheme="minorHAnsi"/>
          <w:lang w:val="es-ES_tradnl"/>
        </w:rPr>
        <w:t>ón de la Resolución</w:t>
      </w:r>
      <w:r w:rsidRPr="006920B1">
        <w:rPr>
          <w:rFonts w:asciiTheme="minorHAnsi" w:hAnsiTheme="minorHAnsi"/>
          <w:lang w:val="es-ES_tradnl"/>
        </w:rPr>
        <w:t xml:space="preserve"> </w:t>
      </w:r>
      <w:r w:rsidRPr="006920B1">
        <w:rPr>
          <w:rFonts w:asciiTheme="minorHAnsi" w:hAnsiTheme="minorHAnsi"/>
          <w:b/>
          <w:bCs/>
          <w:lang w:val="es-ES_tradnl"/>
        </w:rPr>
        <w:t>205 (Rev.</w:t>
      </w:r>
      <w:r>
        <w:rPr>
          <w:rFonts w:asciiTheme="minorHAnsi" w:hAnsiTheme="minorHAnsi"/>
          <w:b/>
          <w:bCs/>
          <w:lang w:val="es-ES_tradnl"/>
        </w:rPr>
        <w:t>CMR</w:t>
      </w:r>
      <w:r w:rsidRPr="006920B1">
        <w:rPr>
          <w:rFonts w:asciiTheme="minorHAnsi" w:hAnsiTheme="minorHAnsi"/>
          <w:b/>
          <w:bCs/>
          <w:lang w:val="es-ES_tradnl"/>
        </w:rPr>
        <w:t>-15)</w:t>
      </w:r>
      <w:r w:rsidRPr="006920B1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en la banda</w:t>
      </w:r>
      <w:r w:rsidRPr="006920B1">
        <w:rPr>
          <w:rFonts w:asciiTheme="minorHAnsi" w:hAnsiTheme="minorHAnsi"/>
          <w:lang w:val="es-ES_tradnl"/>
        </w:rPr>
        <w:t xml:space="preserve"> 403</w:t>
      </w:r>
      <w:r>
        <w:rPr>
          <w:rFonts w:asciiTheme="minorHAnsi" w:hAnsiTheme="minorHAnsi"/>
          <w:lang w:val="es-ES_tradnl"/>
        </w:rPr>
        <w:t>-</w:t>
      </w:r>
      <w:r w:rsidRPr="006920B1">
        <w:rPr>
          <w:rFonts w:asciiTheme="minorHAnsi" w:hAnsiTheme="minorHAnsi"/>
          <w:lang w:val="es-ES_tradnl"/>
        </w:rPr>
        <w:t>410 MHz. La Resolución trata de la protección de</w:t>
      </w:r>
      <w:r>
        <w:rPr>
          <w:rFonts w:asciiTheme="minorHAnsi" w:hAnsiTheme="minorHAnsi"/>
          <w:lang w:val="es-ES_tradnl"/>
        </w:rPr>
        <w:t xml:space="preserve"> </w:t>
      </w:r>
      <w:r w:rsidRPr="006920B1">
        <w:rPr>
          <w:rFonts w:asciiTheme="minorHAnsi" w:hAnsiTheme="minorHAnsi"/>
          <w:lang w:val="es-ES_tradnl"/>
        </w:rPr>
        <w:t>los sistemas del servicio móvil por satélite que funcionan en la banda</w:t>
      </w:r>
      <w:r>
        <w:rPr>
          <w:rFonts w:asciiTheme="minorHAnsi" w:hAnsiTheme="minorHAnsi"/>
          <w:lang w:val="es-ES_tradnl"/>
        </w:rPr>
        <w:t xml:space="preserve"> de frecuencias</w:t>
      </w:r>
      <w:bookmarkStart w:id="0" w:name="_Toc327364380"/>
      <w:r w:rsidRPr="006920B1">
        <w:rPr>
          <w:rFonts w:asciiTheme="minorHAnsi" w:hAnsiTheme="minorHAnsi"/>
          <w:lang w:val="es-ES_tradnl" w:eastAsia="ja-JP"/>
        </w:rPr>
        <w:t xml:space="preserve"> 406-406</w:t>
      </w:r>
      <w:r>
        <w:rPr>
          <w:rFonts w:asciiTheme="minorHAnsi" w:hAnsiTheme="minorHAnsi"/>
          <w:lang w:val="es-ES_tradnl" w:eastAsia="ja-JP"/>
        </w:rPr>
        <w:t>,</w:t>
      </w:r>
      <w:r w:rsidRPr="006920B1">
        <w:rPr>
          <w:rFonts w:asciiTheme="minorHAnsi" w:hAnsiTheme="minorHAnsi"/>
          <w:lang w:val="es-ES_tradnl" w:eastAsia="ja-JP"/>
        </w:rPr>
        <w:t>1 MHz</w:t>
      </w:r>
      <w:bookmarkEnd w:id="0"/>
      <w:r w:rsidRPr="006920B1">
        <w:rPr>
          <w:rFonts w:asciiTheme="minorHAnsi" w:hAnsiTheme="minorHAnsi"/>
          <w:lang w:val="es-ES_tradnl" w:eastAsia="ja-JP"/>
        </w:rPr>
        <w:t xml:space="preserve">. </w:t>
      </w:r>
      <w:r w:rsidRPr="00626175">
        <w:rPr>
          <w:rFonts w:asciiTheme="minorHAnsi" w:hAnsiTheme="minorHAnsi"/>
          <w:lang w:val="es-ES_tradnl" w:eastAsia="ja-JP"/>
        </w:rPr>
        <w:t>La CMR</w:t>
      </w:r>
      <w:r w:rsidRPr="00626175">
        <w:rPr>
          <w:rFonts w:asciiTheme="minorHAnsi" w:hAnsiTheme="minorHAnsi"/>
          <w:lang w:val="es-ES_tradnl"/>
        </w:rPr>
        <w:t>-15 añadió dos elementos sustantivos a esta Resolución:</w:t>
      </w:r>
    </w:p>
    <w:p w:rsidR="00626175" w:rsidRPr="006920B1" w:rsidRDefault="00D42562" w:rsidP="004D4709">
      <w:pPr>
        <w:pStyle w:val="BodyText"/>
        <w:tabs>
          <w:tab w:val="left" w:pos="567"/>
          <w:tab w:val="num" w:pos="9999"/>
        </w:tabs>
        <w:spacing w:before="120"/>
        <w:ind w:left="567" w:hanging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–</w:t>
      </w:r>
      <w:r>
        <w:rPr>
          <w:rFonts w:asciiTheme="minorHAnsi" w:hAnsiTheme="minorHAnsi"/>
          <w:lang w:val="es-ES_tradnl"/>
        </w:rPr>
        <w:tab/>
      </w:r>
      <w:r w:rsidR="00626175" w:rsidRPr="006920B1">
        <w:rPr>
          <w:rFonts w:asciiTheme="minorHAnsi" w:hAnsiTheme="minorHAnsi"/>
          <w:lang w:val="es-ES_tradnl"/>
        </w:rPr>
        <w:t xml:space="preserve">en el </w:t>
      </w:r>
      <w:r w:rsidR="00626175" w:rsidRPr="006920B1">
        <w:rPr>
          <w:rFonts w:asciiTheme="minorHAnsi" w:hAnsiTheme="minorHAnsi"/>
          <w:i/>
          <w:iCs/>
          <w:lang w:val="es-ES_tradnl"/>
        </w:rPr>
        <w:t xml:space="preserve">resuelve </w:t>
      </w:r>
      <w:r w:rsidR="00626175" w:rsidRPr="00D42562">
        <w:rPr>
          <w:rFonts w:asciiTheme="minorHAnsi" w:hAnsiTheme="minorHAnsi"/>
          <w:lang w:val="es-ES_tradnl"/>
        </w:rPr>
        <w:t>1</w:t>
      </w:r>
      <w:r w:rsidR="00626175" w:rsidRPr="006920B1">
        <w:rPr>
          <w:rFonts w:asciiTheme="minorHAnsi" w:hAnsiTheme="minorHAnsi"/>
          <w:i/>
          <w:iCs/>
          <w:lang w:val="es-ES_tradnl"/>
        </w:rPr>
        <w:t xml:space="preserve"> </w:t>
      </w:r>
      <w:r w:rsidR="00626175" w:rsidRPr="006920B1">
        <w:rPr>
          <w:rFonts w:asciiTheme="minorHAnsi" w:hAnsiTheme="minorHAnsi"/>
          <w:lang w:val="es-ES_tradnl"/>
        </w:rPr>
        <w:t>se solicita a las administraciones que no asignen nuevas frecuencias en las bandas de frecuencias 405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 xml:space="preserve">9-406 MHz </w:t>
      </w:r>
      <w:r w:rsidR="00626175">
        <w:rPr>
          <w:rFonts w:asciiTheme="minorHAnsi" w:hAnsiTheme="minorHAnsi"/>
          <w:lang w:val="es-ES_tradnl"/>
        </w:rPr>
        <w:t>y</w:t>
      </w:r>
      <w:r w:rsidR="00626175" w:rsidRPr="006920B1">
        <w:rPr>
          <w:rFonts w:asciiTheme="minorHAnsi" w:hAnsiTheme="minorHAnsi"/>
          <w:lang w:val="es-ES_tradnl"/>
        </w:rPr>
        <w:t xml:space="preserve"> 406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>1-406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 xml:space="preserve">2 MHz </w:t>
      </w:r>
      <w:r w:rsidR="00626175">
        <w:rPr>
          <w:rFonts w:asciiTheme="minorHAnsi" w:hAnsiTheme="minorHAnsi"/>
          <w:lang w:val="es-ES_tradnl"/>
        </w:rPr>
        <w:t>a los servicios móvil y fijo</w:t>
      </w:r>
      <w:r w:rsidR="00626175" w:rsidRPr="006920B1">
        <w:rPr>
          <w:rFonts w:asciiTheme="minorHAnsi" w:hAnsiTheme="minorHAnsi"/>
          <w:lang w:val="es-ES_tradnl"/>
        </w:rPr>
        <w:t xml:space="preserve">; </w:t>
      </w:r>
      <w:r w:rsidR="00626175">
        <w:rPr>
          <w:rFonts w:asciiTheme="minorHAnsi" w:hAnsiTheme="minorHAnsi"/>
          <w:lang w:val="es-ES_tradnl"/>
        </w:rPr>
        <w:t>y</w:t>
      </w:r>
    </w:p>
    <w:p w:rsidR="00626175" w:rsidRPr="006920B1" w:rsidRDefault="00D42562" w:rsidP="004D4709">
      <w:pPr>
        <w:pStyle w:val="BodyText"/>
        <w:tabs>
          <w:tab w:val="left" w:pos="567"/>
          <w:tab w:val="num" w:pos="9999"/>
        </w:tabs>
        <w:spacing w:before="120"/>
        <w:ind w:left="567" w:hanging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–</w:t>
      </w:r>
      <w:r>
        <w:rPr>
          <w:rFonts w:asciiTheme="minorHAnsi" w:hAnsiTheme="minorHAnsi"/>
          <w:lang w:val="es-ES_tradnl"/>
        </w:rPr>
        <w:tab/>
      </w:r>
      <w:r w:rsidR="00626175" w:rsidRPr="006920B1">
        <w:rPr>
          <w:rFonts w:asciiTheme="minorHAnsi" w:hAnsiTheme="minorHAnsi"/>
          <w:lang w:val="es-ES_tradnl"/>
        </w:rPr>
        <w:t xml:space="preserve">mediante el </w:t>
      </w:r>
      <w:r w:rsidR="00626175" w:rsidRPr="006920B1">
        <w:rPr>
          <w:rFonts w:asciiTheme="minorHAnsi" w:hAnsiTheme="minorHAnsi"/>
          <w:i/>
          <w:iCs/>
          <w:lang w:val="es-ES_tradnl"/>
        </w:rPr>
        <w:t xml:space="preserve">encarga </w:t>
      </w:r>
      <w:r w:rsidR="00626175" w:rsidRPr="00D42562">
        <w:rPr>
          <w:rFonts w:asciiTheme="minorHAnsi" w:hAnsiTheme="minorHAnsi"/>
          <w:lang w:val="es-ES_tradnl"/>
        </w:rPr>
        <w:t>2</w:t>
      </w:r>
      <w:r w:rsidR="00626175" w:rsidRPr="006920B1">
        <w:rPr>
          <w:rFonts w:asciiTheme="minorHAnsi" w:hAnsiTheme="minorHAnsi"/>
          <w:i/>
          <w:iCs/>
          <w:lang w:val="es-ES_tradnl"/>
        </w:rPr>
        <w:t xml:space="preserve"> al Director de la BR, </w:t>
      </w:r>
      <w:r w:rsidR="00626175" w:rsidRPr="006920B1">
        <w:rPr>
          <w:rFonts w:asciiTheme="minorHAnsi" w:hAnsiTheme="minorHAnsi"/>
          <w:lang w:val="es-ES_tradnl"/>
        </w:rPr>
        <w:t xml:space="preserve">se encarga </w:t>
      </w:r>
      <w:r>
        <w:rPr>
          <w:rFonts w:asciiTheme="minorHAnsi" w:hAnsiTheme="minorHAnsi"/>
          <w:lang w:val="es-ES_tradnl"/>
        </w:rPr>
        <w:t xml:space="preserve">a </w:t>
      </w:r>
      <w:r w:rsidR="00626175" w:rsidRPr="006920B1">
        <w:rPr>
          <w:rFonts w:asciiTheme="minorHAnsi" w:hAnsiTheme="minorHAnsi"/>
          <w:lang w:val="es-ES_tradnl"/>
        </w:rPr>
        <w:t>la BR que organice programas de comprobación técnica para determinar la repercusión de las emisiones no deseadas de los sistemas que funcionan en la</w:t>
      </w:r>
      <w:r w:rsidR="00626175">
        <w:rPr>
          <w:rFonts w:asciiTheme="minorHAnsi" w:hAnsiTheme="minorHAnsi"/>
          <w:lang w:val="es-ES_tradnl"/>
        </w:rPr>
        <w:t>s</w:t>
      </w:r>
      <w:r w:rsidR="00626175" w:rsidRPr="006920B1">
        <w:rPr>
          <w:rFonts w:asciiTheme="minorHAnsi" w:hAnsiTheme="minorHAnsi"/>
          <w:lang w:val="es-ES_tradnl"/>
        </w:rPr>
        <w:t xml:space="preserve"> banda</w:t>
      </w:r>
      <w:r w:rsidR="00626175">
        <w:rPr>
          <w:rFonts w:asciiTheme="minorHAnsi" w:hAnsiTheme="minorHAnsi"/>
          <w:lang w:val="es-ES_tradnl"/>
        </w:rPr>
        <w:t>s</w:t>
      </w:r>
      <w:r w:rsidR="00626175" w:rsidRPr="006920B1">
        <w:rPr>
          <w:rFonts w:asciiTheme="minorHAnsi" w:hAnsiTheme="minorHAnsi"/>
          <w:lang w:val="es-ES_tradnl"/>
        </w:rPr>
        <w:t xml:space="preserve"> de frecuencias 405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 xml:space="preserve">9-406 MHz </w:t>
      </w:r>
      <w:r w:rsidR="00626175">
        <w:rPr>
          <w:rFonts w:asciiTheme="minorHAnsi" w:hAnsiTheme="minorHAnsi"/>
          <w:lang w:val="es-ES_tradnl"/>
        </w:rPr>
        <w:t>y</w:t>
      </w:r>
      <w:r w:rsidR="00626175" w:rsidRPr="006920B1">
        <w:rPr>
          <w:rFonts w:asciiTheme="minorHAnsi" w:hAnsiTheme="minorHAnsi"/>
          <w:lang w:val="es-ES_tradnl"/>
        </w:rPr>
        <w:t xml:space="preserve"> 406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>1-406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 xml:space="preserve">2 MHz </w:t>
      </w:r>
      <w:r w:rsidR="00626175">
        <w:rPr>
          <w:rFonts w:asciiTheme="minorHAnsi" w:hAnsiTheme="minorHAnsi"/>
          <w:lang w:val="es-ES_tradnl"/>
        </w:rPr>
        <w:t>sobre la recepción del SMS en la banda</w:t>
      </w:r>
      <w:r w:rsidR="00626175" w:rsidRPr="006920B1">
        <w:rPr>
          <w:rFonts w:asciiTheme="minorHAnsi" w:hAnsiTheme="minorHAnsi"/>
          <w:lang w:val="es-ES_tradnl"/>
        </w:rPr>
        <w:t xml:space="preserve"> 406-406</w:t>
      </w:r>
      <w:r w:rsidR="00626175">
        <w:rPr>
          <w:rFonts w:asciiTheme="minorHAnsi" w:hAnsiTheme="minorHAnsi"/>
          <w:lang w:val="es-ES_tradnl"/>
        </w:rPr>
        <w:t>,</w:t>
      </w:r>
      <w:r w:rsidR="00626175" w:rsidRPr="006920B1">
        <w:rPr>
          <w:rFonts w:asciiTheme="minorHAnsi" w:hAnsiTheme="minorHAnsi"/>
          <w:lang w:val="es-ES_tradnl"/>
        </w:rPr>
        <w:t>1 MHz.</w:t>
      </w:r>
    </w:p>
    <w:p w:rsidR="00626175" w:rsidRPr="00DA7765" w:rsidRDefault="00626175" w:rsidP="004D4709">
      <w:pPr>
        <w:pStyle w:val="BodyText"/>
        <w:spacing w:before="120"/>
        <w:rPr>
          <w:rFonts w:asciiTheme="minorHAnsi" w:hAnsiTheme="minorHAnsi"/>
          <w:lang w:val="es-ES_tradnl"/>
        </w:rPr>
      </w:pPr>
      <w:r w:rsidRPr="00DA7765">
        <w:rPr>
          <w:rFonts w:asciiTheme="minorHAnsi" w:hAnsiTheme="minorHAnsi"/>
          <w:lang w:val="es-ES_tradnl"/>
        </w:rPr>
        <w:t>Por consiguiente, a partir del 1 de enero de 2017 la Oficina solicitará a las administraciones, cuando éstas presenten asignaciones a estaciones de los servicios fijo y móvil en las bandas 405</w:t>
      </w:r>
      <w:r>
        <w:rPr>
          <w:rFonts w:asciiTheme="minorHAnsi" w:hAnsiTheme="minorHAnsi"/>
          <w:lang w:val="es-ES_tradnl"/>
        </w:rPr>
        <w:t>,</w:t>
      </w:r>
      <w:r w:rsidRPr="00DA7765">
        <w:rPr>
          <w:rFonts w:asciiTheme="minorHAnsi" w:hAnsiTheme="minorHAnsi"/>
          <w:lang w:val="es-ES_tradnl"/>
        </w:rPr>
        <w:t xml:space="preserve">9-406 MHz </w:t>
      </w:r>
      <w:r>
        <w:rPr>
          <w:rFonts w:asciiTheme="minorHAnsi" w:hAnsiTheme="minorHAnsi"/>
          <w:lang w:val="es-ES_tradnl"/>
        </w:rPr>
        <w:t>y</w:t>
      </w:r>
      <w:r w:rsidRPr="00DA7765">
        <w:rPr>
          <w:rFonts w:asciiTheme="minorHAnsi" w:hAnsiTheme="minorHAnsi"/>
          <w:lang w:val="es-ES_tradnl"/>
        </w:rPr>
        <w:t xml:space="preserve"> 406</w:t>
      </w:r>
      <w:r>
        <w:rPr>
          <w:rFonts w:asciiTheme="minorHAnsi" w:hAnsiTheme="minorHAnsi"/>
          <w:lang w:val="es-ES_tradnl"/>
        </w:rPr>
        <w:t>,</w:t>
      </w:r>
      <w:r w:rsidRPr="00DA7765">
        <w:rPr>
          <w:rFonts w:asciiTheme="minorHAnsi" w:hAnsiTheme="minorHAnsi"/>
          <w:lang w:val="es-ES_tradnl"/>
        </w:rPr>
        <w:t>1-406</w:t>
      </w:r>
      <w:r>
        <w:rPr>
          <w:rFonts w:asciiTheme="minorHAnsi" w:hAnsiTheme="minorHAnsi"/>
          <w:lang w:val="es-ES_tradnl"/>
        </w:rPr>
        <w:t>,</w:t>
      </w:r>
      <w:r w:rsidRPr="00DA7765">
        <w:rPr>
          <w:rFonts w:asciiTheme="minorHAnsi" w:hAnsiTheme="minorHAnsi"/>
          <w:lang w:val="es-ES_tradnl"/>
        </w:rPr>
        <w:t xml:space="preserve">2 MHz, </w:t>
      </w:r>
      <w:r>
        <w:rPr>
          <w:rFonts w:asciiTheme="minorHAnsi" w:hAnsiTheme="minorHAnsi"/>
          <w:lang w:val="es-ES_tradnl"/>
        </w:rPr>
        <w:t>que eviten asignar esas frecuencias. La Oficina organizará igualmente los mencionados programas de comprobación técnica e informará convenientemente a las administraciones</w:t>
      </w:r>
      <w:r w:rsidRPr="00DA7765">
        <w:rPr>
          <w:rFonts w:asciiTheme="minorHAnsi" w:hAnsiTheme="minorHAnsi"/>
          <w:lang w:val="es-ES_tradnl"/>
        </w:rPr>
        <w:t>.</w:t>
      </w:r>
    </w:p>
    <w:p w:rsidR="00626175" w:rsidRPr="00EF5FFF" w:rsidRDefault="00626175" w:rsidP="004D4709">
      <w:pPr>
        <w:pStyle w:val="BodyText"/>
        <w:tabs>
          <w:tab w:val="left" w:pos="709"/>
        </w:tabs>
        <w:spacing w:before="120"/>
        <w:rPr>
          <w:rFonts w:asciiTheme="minorHAnsi" w:hAnsiTheme="minorHAnsi"/>
          <w:lang w:val="es-ES_tradnl"/>
        </w:rPr>
      </w:pPr>
      <w:r w:rsidRPr="00EF5FFF">
        <w:rPr>
          <w:rFonts w:asciiTheme="minorHAnsi" w:hAnsiTheme="minorHAnsi"/>
          <w:lang w:val="es-ES_tradnl"/>
        </w:rPr>
        <w:t>3.3</w:t>
      </w:r>
      <w:r w:rsidRPr="00EF5FFF">
        <w:rPr>
          <w:rFonts w:asciiTheme="minorHAnsi" w:hAnsiTheme="minorHAnsi"/>
          <w:lang w:val="es-ES_tradnl"/>
        </w:rPr>
        <w:tab/>
        <w:t>A continuación se muestran las modificaciones introducidas por la CMR-15 en las atribuciones a servicios terrenales y la identificación de aplicaciones específicas, además de las condiciones asociadas al funcionamiento de los servicios concernidos</w:t>
      </w:r>
      <w:r>
        <w:rPr>
          <w:rFonts w:asciiTheme="minorHAnsi" w:hAnsiTheme="minorHAnsi"/>
          <w:lang w:val="es-ES_tradnl"/>
        </w:rPr>
        <w:t xml:space="preserve"> en las bandas de frecuencias en cuestión</w:t>
      </w:r>
      <w:r w:rsidRPr="00EF5FFF">
        <w:rPr>
          <w:rFonts w:asciiTheme="minorHAnsi" w:hAnsiTheme="minorHAnsi"/>
          <w:lang w:val="es-ES_tradnl"/>
        </w:rPr>
        <w:t>:</w:t>
      </w:r>
    </w:p>
    <w:p w:rsidR="00626175" w:rsidRPr="00F045AB" w:rsidRDefault="00626175" w:rsidP="004D4709">
      <w:pPr>
        <w:pStyle w:val="BodyText"/>
        <w:numPr>
          <w:ilvl w:val="0"/>
          <w:numId w:val="7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F045AB">
        <w:rPr>
          <w:rFonts w:asciiTheme="minorHAnsi" w:hAnsiTheme="minorHAnsi" w:cstheme="majorBidi"/>
          <w:bCs/>
          <w:lang w:val="es-ES_tradnl"/>
        </w:rPr>
        <w:lastRenderedPageBreak/>
        <w:t>Atribución al servicio móvil e identificación para las IMT de diversas partes de</w:t>
      </w:r>
      <w:r>
        <w:rPr>
          <w:rFonts w:asciiTheme="minorHAnsi" w:hAnsiTheme="minorHAnsi" w:cstheme="majorBidi"/>
          <w:bCs/>
          <w:lang w:val="es-ES_tradnl"/>
        </w:rPr>
        <w:t xml:space="preserve"> </w:t>
      </w:r>
      <w:r w:rsidRPr="00F045AB">
        <w:rPr>
          <w:rFonts w:asciiTheme="minorHAnsi" w:hAnsiTheme="minorHAnsi" w:cstheme="majorBidi"/>
          <w:bCs/>
          <w:lang w:val="es-ES_tradnl"/>
        </w:rPr>
        <w:t>la banda 470</w:t>
      </w:r>
      <w:r w:rsidR="00D42562">
        <w:rPr>
          <w:rFonts w:asciiTheme="minorHAnsi" w:hAnsiTheme="minorHAnsi" w:cstheme="majorBidi"/>
          <w:bCs/>
          <w:lang w:val="es-ES_tradnl"/>
        </w:rPr>
        <w:noBreakHyphen/>
      </w:r>
      <w:r w:rsidRPr="00F045AB">
        <w:rPr>
          <w:rFonts w:asciiTheme="minorHAnsi" w:hAnsiTheme="minorHAnsi" w:cstheme="majorBidi"/>
          <w:bCs/>
          <w:lang w:val="es-ES_tradnl"/>
        </w:rPr>
        <w:t>698 MHz en algunos países de la Región 2 e identificación para las IMT en varios pa</w:t>
      </w:r>
      <w:r>
        <w:rPr>
          <w:rFonts w:asciiTheme="minorHAnsi" w:hAnsiTheme="minorHAnsi" w:cstheme="majorBidi"/>
          <w:bCs/>
          <w:lang w:val="es-ES_tradnl"/>
        </w:rPr>
        <w:t>íses de la Región 3, sujetas a la aplicación del número</w:t>
      </w:r>
      <w:r w:rsidRPr="00F045AB">
        <w:rPr>
          <w:rFonts w:asciiTheme="minorHAnsi" w:hAnsiTheme="minorHAnsi"/>
          <w:lang w:val="es-ES_tradnl"/>
        </w:rPr>
        <w:t xml:space="preserve"> </w:t>
      </w:r>
      <w:r w:rsidRPr="00F045AB">
        <w:rPr>
          <w:rFonts w:asciiTheme="minorHAnsi" w:hAnsiTheme="minorHAnsi"/>
          <w:b/>
          <w:bCs/>
          <w:lang w:val="es-ES_tradnl"/>
        </w:rPr>
        <w:t>9.21</w:t>
      </w:r>
      <w:r w:rsidRPr="00F045AB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y, en determinados casos, a la condición de funcionamiento sin interferencia, como se estipula en los números</w:t>
      </w:r>
      <w:r w:rsidRPr="00F045AB">
        <w:rPr>
          <w:rFonts w:asciiTheme="minorHAnsi" w:hAnsiTheme="minorHAnsi" w:cstheme="majorBidi"/>
          <w:bCs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>5.295</w:t>
      </w:r>
      <w:r w:rsidRPr="00F045AB">
        <w:rPr>
          <w:rFonts w:asciiTheme="minorHAnsi" w:hAnsiTheme="minorHAnsi" w:cstheme="majorBidi"/>
          <w:bCs/>
          <w:lang w:val="es-ES_tradnl"/>
        </w:rPr>
        <w:t>,</w:t>
      </w:r>
      <w:r w:rsidRPr="00F045AB">
        <w:rPr>
          <w:rFonts w:asciiTheme="minorHAnsi" w:hAnsiTheme="minorHAnsi" w:cstheme="majorBidi"/>
          <w:b/>
          <w:lang w:val="es-ES_tradnl"/>
        </w:rPr>
        <w:t xml:space="preserve"> 5.296A</w:t>
      </w:r>
      <w:r w:rsidRPr="00D42562">
        <w:rPr>
          <w:rFonts w:asciiTheme="minorHAnsi" w:hAnsiTheme="minorHAnsi" w:cstheme="majorBidi"/>
          <w:bCs/>
          <w:lang w:val="es-ES_tradnl"/>
        </w:rPr>
        <w:t>,</w:t>
      </w:r>
      <w:r w:rsidRPr="00F045AB">
        <w:rPr>
          <w:rFonts w:asciiTheme="minorHAnsi" w:hAnsiTheme="minorHAnsi" w:cstheme="majorBidi"/>
          <w:bCs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 xml:space="preserve">5.308 </w:t>
      </w:r>
      <w:r w:rsidRPr="00F045AB">
        <w:rPr>
          <w:rFonts w:asciiTheme="minorHAnsi" w:hAnsiTheme="minorHAnsi" w:cstheme="majorBidi"/>
          <w:bCs/>
          <w:lang w:val="es-ES_tradnl"/>
        </w:rPr>
        <w:t>y</w:t>
      </w:r>
      <w:r w:rsidRPr="00F045AB">
        <w:rPr>
          <w:rFonts w:asciiTheme="minorHAnsi" w:hAnsiTheme="minorHAnsi" w:cstheme="majorBidi"/>
          <w:b/>
          <w:lang w:val="es-ES_tradnl"/>
        </w:rPr>
        <w:t xml:space="preserve"> 5.308A</w:t>
      </w:r>
      <w:r w:rsidRPr="00F045AB">
        <w:rPr>
          <w:rFonts w:asciiTheme="minorHAnsi" w:hAnsiTheme="minorHAnsi"/>
          <w:lang w:val="es-ES_tradnl"/>
        </w:rPr>
        <w:t>.</w:t>
      </w:r>
    </w:p>
    <w:p w:rsidR="00626175" w:rsidRPr="00D42562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lang w:val="es-ES_tradnl"/>
        </w:rPr>
      </w:pPr>
      <w:r w:rsidRPr="00F045AB">
        <w:rPr>
          <w:rFonts w:asciiTheme="minorHAnsi" w:hAnsiTheme="minorHAnsi" w:cstheme="majorBidi"/>
          <w:b/>
          <w:lang w:val="es-ES_tradnl"/>
        </w:rPr>
        <w:t>I</w:t>
      </w:r>
      <w:r w:rsidRPr="00F045AB">
        <w:rPr>
          <w:rStyle w:val="Artdef"/>
          <w:rFonts w:asciiTheme="minorHAnsi" w:hAnsiTheme="minorHAnsi" w:cstheme="majorBidi"/>
          <w:lang w:val="es-ES_tradnl"/>
        </w:rPr>
        <w:t>dentificación de la banda</w:t>
      </w:r>
      <w:r w:rsidRPr="00F045AB">
        <w:rPr>
          <w:rStyle w:val="Artdef"/>
          <w:rFonts w:asciiTheme="minorHAnsi" w:hAnsiTheme="minorHAnsi" w:cstheme="majorBidi"/>
          <w:bCs/>
          <w:lang w:val="es-ES_tradnl"/>
        </w:rPr>
        <w:t xml:space="preserve"> </w:t>
      </w:r>
      <w:r w:rsidRPr="00F045AB">
        <w:rPr>
          <w:rFonts w:asciiTheme="minorHAnsi" w:hAnsiTheme="minorHAnsi" w:cstheme="majorBidi"/>
          <w:lang w:val="es-ES_tradnl" w:eastAsia="ja-JP"/>
        </w:rPr>
        <w:t>1 427-1 518 </w:t>
      </w:r>
      <w:r w:rsidRPr="00F045AB">
        <w:rPr>
          <w:rFonts w:asciiTheme="minorHAnsi" w:hAnsiTheme="minorHAnsi" w:cstheme="majorBidi"/>
          <w:lang w:val="es-ES_tradnl"/>
        </w:rPr>
        <w:t>MHz para las IMT en las tres Regiones, a excepción de la banda</w:t>
      </w:r>
      <w:r w:rsidRPr="00F045AB">
        <w:rPr>
          <w:rFonts w:asciiTheme="minorHAnsi" w:hAnsiTheme="minorHAnsi" w:cstheme="majorBidi"/>
          <w:bCs/>
          <w:lang w:val="es-ES_tradnl"/>
        </w:rPr>
        <w:t xml:space="preserve"> 1 452</w:t>
      </w:r>
      <w:r w:rsidR="00D42562">
        <w:rPr>
          <w:rFonts w:asciiTheme="minorHAnsi" w:hAnsiTheme="minorHAnsi" w:cstheme="majorBidi"/>
          <w:bCs/>
          <w:lang w:val="es-ES_tradnl"/>
        </w:rPr>
        <w:t>-</w:t>
      </w:r>
      <w:r w:rsidRPr="00F045AB">
        <w:rPr>
          <w:rFonts w:asciiTheme="minorHAnsi" w:hAnsiTheme="minorHAnsi" w:cstheme="majorBidi"/>
          <w:bCs/>
          <w:lang w:val="es-ES_tradnl"/>
        </w:rPr>
        <w:t>1 492 MHz, cuya identificaci</w:t>
      </w:r>
      <w:r>
        <w:rPr>
          <w:rFonts w:asciiTheme="minorHAnsi" w:hAnsiTheme="minorHAnsi" w:cstheme="majorBidi"/>
          <w:bCs/>
          <w:lang w:val="es-ES_tradnl"/>
        </w:rPr>
        <w:t xml:space="preserve">ón en la Región 1 se limita a 54 países. </w:t>
      </w:r>
      <w:r w:rsidRPr="00F045AB">
        <w:rPr>
          <w:rFonts w:asciiTheme="minorHAnsi" w:hAnsiTheme="minorHAnsi" w:cstheme="majorBidi"/>
          <w:bCs/>
          <w:lang w:val="es-ES_tradnl"/>
        </w:rPr>
        <w:t>La identificación está sujeta a la aplicación del n</w:t>
      </w:r>
      <w:r>
        <w:rPr>
          <w:rFonts w:asciiTheme="minorHAnsi" w:hAnsiTheme="minorHAnsi" w:cstheme="majorBidi"/>
          <w:bCs/>
          <w:lang w:val="es-ES_tradnl"/>
        </w:rPr>
        <w:t>úmero</w:t>
      </w:r>
      <w:r w:rsidRPr="00F045AB">
        <w:rPr>
          <w:rFonts w:asciiTheme="minorHAnsi" w:hAnsiTheme="minorHAnsi" w:cstheme="majorBidi"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bCs/>
          <w:lang w:val="es-ES_tradnl"/>
        </w:rPr>
        <w:t>9.21</w:t>
      </w:r>
      <w:r w:rsidRPr="00F045AB">
        <w:rPr>
          <w:rFonts w:asciiTheme="minorHAnsi" w:hAnsiTheme="minorHAnsi" w:cstheme="majorBidi"/>
          <w:lang w:val="es-ES_tradnl"/>
        </w:rPr>
        <w:t xml:space="preserve"> en las Regiones 1 y 3, como se </w:t>
      </w:r>
      <w:r>
        <w:rPr>
          <w:rFonts w:asciiTheme="minorHAnsi" w:hAnsiTheme="minorHAnsi" w:cstheme="majorBidi"/>
          <w:lang w:val="es-ES_tradnl"/>
        </w:rPr>
        <w:t>estipula en los números</w:t>
      </w:r>
      <w:r w:rsidRPr="00F045AB">
        <w:rPr>
          <w:rFonts w:asciiTheme="minorHAnsi" w:hAnsiTheme="minorHAnsi" w:cstheme="majorBidi"/>
          <w:bCs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>5.341A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,</w:t>
      </w:r>
      <w:r w:rsidRPr="00F045AB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>5.341B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,</w:t>
      </w:r>
      <w:r w:rsidRPr="00F045AB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>5.341C</w:t>
      </w:r>
      <w:r w:rsidRPr="00D42562">
        <w:rPr>
          <w:rStyle w:val="Artdef"/>
          <w:rFonts w:asciiTheme="minorHAnsi" w:hAnsiTheme="minorHAnsi" w:cstheme="majorBidi"/>
          <w:b w:val="0"/>
          <w:lang w:val="es-ES_tradnl"/>
        </w:rPr>
        <w:t>,</w:t>
      </w:r>
      <w:r w:rsidRPr="00F045AB">
        <w:rPr>
          <w:rStyle w:val="Artdef"/>
          <w:rFonts w:asciiTheme="minorHAnsi" w:hAnsiTheme="minorHAnsi" w:cstheme="majorBidi"/>
          <w:bCs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 xml:space="preserve">5.346 </w:t>
      </w:r>
      <w:r w:rsidRPr="00F045AB">
        <w:rPr>
          <w:rFonts w:asciiTheme="minorHAnsi" w:hAnsiTheme="minorHAnsi" w:cstheme="majorBidi"/>
          <w:bCs/>
          <w:lang w:val="es-ES_tradnl"/>
        </w:rPr>
        <w:t>y</w:t>
      </w:r>
      <w:r w:rsidRPr="00F045AB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F045AB">
        <w:rPr>
          <w:rFonts w:asciiTheme="minorHAnsi" w:hAnsiTheme="minorHAnsi" w:cstheme="majorBidi"/>
          <w:b/>
          <w:lang w:val="es-ES_tradnl"/>
        </w:rPr>
        <w:t>5.346A</w:t>
      </w:r>
      <w:r w:rsidRPr="00F045AB">
        <w:rPr>
          <w:rFonts w:asciiTheme="minorHAnsi" w:hAnsiTheme="minorHAnsi" w:cstheme="majorBidi"/>
          <w:lang w:val="es-ES_tradnl"/>
        </w:rPr>
        <w:t>.</w:t>
      </w:r>
    </w:p>
    <w:p w:rsidR="00626175" w:rsidRPr="00043A3A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bCs/>
          <w:lang w:val="es-ES_tradnl"/>
        </w:rPr>
      </w:pPr>
      <w:r w:rsidRPr="00043A3A">
        <w:rPr>
          <w:rFonts w:asciiTheme="minorHAnsi" w:hAnsiTheme="minorHAnsi" w:cstheme="majorBidi"/>
          <w:bCs/>
          <w:lang w:val="es-ES_tradnl"/>
        </w:rPr>
        <w:t>Atribución de la banda 3 300</w:t>
      </w:r>
      <w:r w:rsidR="00D42562">
        <w:rPr>
          <w:rFonts w:asciiTheme="minorHAnsi" w:hAnsiTheme="minorHAnsi" w:cstheme="majorBidi"/>
          <w:bCs/>
          <w:lang w:val="es-ES_tradnl"/>
        </w:rPr>
        <w:t>-</w:t>
      </w:r>
      <w:r w:rsidRPr="00043A3A">
        <w:rPr>
          <w:rFonts w:asciiTheme="minorHAnsi" w:hAnsiTheme="minorHAnsi" w:cstheme="majorBidi"/>
          <w:bCs/>
          <w:lang w:val="es-ES_tradnl"/>
        </w:rPr>
        <w:t>3 400 MHz al servic</w:t>
      </w:r>
      <w:r>
        <w:rPr>
          <w:rFonts w:asciiTheme="minorHAnsi" w:hAnsiTheme="minorHAnsi" w:cstheme="majorBidi"/>
          <w:bCs/>
          <w:lang w:val="es-ES_tradnl"/>
        </w:rPr>
        <w:t>io</w:t>
      </w:r>
      <w:r w:rsidRPr="00043A3A">
        <w:rPr>
          <w:rFonts w:asciiTheme="minorHAnsi" w:hAnsiTheme="minorHAnsi" w:cstheme="majorBidi"/>
          <w:bCs/>
          <w:lang w:val="es-ES_tradnl"/>
        </w:rPr>
        <w:t xml:space="preserve"> móvil, salvo móvil aeronáutico, a título primario e identificación para las IMT en varios países de las tres Regiones, a condición de no causar interferencia al servicio de radiolocalización y/o con sujeción a la aplicación del procedimiento del n</w:t>
      </w:r>
      <w:r>
        <w:rPr>
          <w:rFonts w:asciiTheme="minorHAnsi" w:hAnsiTheme="minorHAnsi" w:cstheme="majorBidi"/>
          <w:bCs/>
          <w:lang w:val="es-ES_tradnl"/>
        </w:rPr>
        <w:t>úmero</w:t>
      </w:r>
      <w:r w:rsidRPr="00043A3A">
        <w:rPr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bCs/>
          <w:lang w:val="es-ES_tradnl"/>
        </w:rPr>
        <w:t>9.21</w:t>
      </w:r>
      <w:r>
        <w:rPr>
          <w:rFonts w:asciiTheme="minorHAnsi" w:hAnsiTheme="minorHAnsi" w:cstheme="majorBidi"/>
          <w:b/>
          <w:bCs/>
          <w:lang w:val="es-ES_tradnl"/>
        </w:rPr>
        <w:t>,</w:t>
      </w:r>
      <w:r w:rsidRPr="00043A3A">
        <w:rPr>
          <w:rFonts w:asciiTheme="minorHAnsi" w:hAnsiTheme="minorHAnsi" w:cstheme="majorBidi"/>
          <w:lang w:val="es-ES_tradnl"/>
        </w:rPr>
        <w:t xml:space="preserve"> </w:t>
      </w:r>
      <w:r>
        <w:rPr>
          <w:rFonts w:asciiTheme="minorHAnsi" w:hAnsiTheme="minorHAnsi" w:cstheme="majorBidi"/>
          <w:lang w:val="es-ES_tradnl"/>
        </w:rPr>
        <w:t>como se estipula en los números</w:t>
      </w:r>
      <w:r w:rsidRPr="00043A3A">
        <w:rPr>
          <w:rFonts w:asciiTheme="minorHAnsi" w:hAnsiTheme="minorHAnsi" w:cstheme="majorBidi"/>
          <w:b/>
          <w:lang w:val="es-ES_tradnl"/>
        </w:rPr>
        <w:t xml:space="preserve"> 5.429A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,</w:t>
      </w:r>
      <w:r w:rsidRPr="00043A3A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lang w:val="es-ES_tradnl"/>
        </w:rPr>
        <w:t>5.429B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,</w:t>
      </w:r>
      <w:r w:rsidRPr="00043A3A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lang w:val="es-ES_tradnl"/>
        </w:rPr>
        <w:t>5.429C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,</w:t>
      </w:r>
      <w:r w:rsidRPr="00043A3A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lang w:val="es-ES_tradnl"/>
        </w:rPr>
        <w:t>5.429D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,</w:t>
      </w:r>
      <w:r w:rsidRPr="00043A3A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lang w:val="es-ES_tradnl"/>
        </w:rPr>
        <w:t>5.429E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 xml:space="preserve"> </w:t>
      </w:r>
      <w:r w:rsidRPr="00D42562">
        <w:rPr>
          <w:rStyle w:val="Artdef"/>
          <w:rFonts w:asciiTheme="minorHAnsi" w:hAnsiTheme="minorHAnsi" w:cstheme="majorBidi"/>
          <w:b w:val="0"/>
          <w:bCs/>
          <w:lang w:val="es-ES_tradnl"/>
        </w:rPr>
        <w:t>y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lang w:val="es-ES_tradnl"/>
        </w:rPr>
        <w:t>5.429F</w:t>
      </w:r>
      <w:r w:rsidRPr="00D42562">
        <w:rPr>
          <w:rStyle w:val="Artdef"/>
          <w:rFonts w:asciiTheme="minorHAnsi" w:hAnsiTheme="minorHAnsi" w:cstheme="majorBidi"/>
          <w:lang w:val="es-ES_tradnl"/>
        </w:rPr>
        <w:t>.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 xml:space="preserve"> </w:t>
      </w:r>
      <w:r>
        <w:rPr>
          <w:rFonts w:asciiTheme="minorHAnsi" w:hAnsiTheme="minorHAnsi" w:cstheme="majorBidi"/>
          <w:bCs/>
          <w:lang w:val="es-ES_tradnl"/>
        </w:rPr>
        <w:t>En el número</w:t>
      </w:r>
      <w:r w:rsidRPr="00043A3A">
        <w:rPr>
          <w:rFonts w:asciiTheme="minorHAnsi" w:hAnsiTheme="minorHAnsi" w:cstheme="majorBidi"/>
          <w:bCs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lang w:val="es-ES_tradnl"/>
        </w:rPr>
        <w:t xml:space="preserve">5.429C </w:t>
      </w:r>
      <w:r>
        <w:rPr>
          <w:rFonts w:asciiTheme="minorHAnsi" w:hAnsiTheme="minorHAnsi" w:cstheme="majorBidi"/>
          <w:bCs/>
          <w:lang w:val="es-ES_tradnl"/>
        </w:rPr>
        <w:t>también se atribuye esta banda al servicio fijo en algunos países de la Región 2 a título primario, sujeta a condiciones específicas</w:t>
      </w:r>
      <w:r w:rsidRPr="00043A3A">
        <w:rPr>
          <w:rFonts w:asciiTheme="minorHAnsi" w:hAnsiTheme="minorHAnsi" w:cstheme="majorBidi"/>
          <w:bCs/>
          <w:lang w:val="es-ES_tradnl"/>
        </w:rPr>
        <w:t xml:space="preserve">. </w:t>
      </w:r>
    </w:p>
    <w:p w:rsidR="00626175" w:rsidRPr="00043A3A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lang w:val="es-ES_tradnl"/>
        </w:rPr>
      </w:pPr>
      <w:r w:rsidRPr="00043A3A">
        <w:rPr>
          <w:rFonts w:asciiTheme="minorHAnsi" w:hAnsiTheme="minorHAnsi" w:cstheme="majorBidi"/>
          <w:bCs/>
          <w:lang w:val="es-ES_tradnl"/>
        </w:rPr>
        <w:t>Ampliación geográfica de la atribución primaria al servicio m</w:t>
      </w:r>
      <w:r>
        <w:rPr>
          <w:rFonts w:asciiTheme="minorHAnsi" w:hAnsiTheme="minorHAnsi" w:cstheme="majorBidi"/>
          <w:bCs/>
          <w:lang w:val="es-ES_tradnl"/>
        </w:rPr>
        <w:t>óvil, salvo móvil aeronáutico, en la banda de frecuencias</w:t>
      </w:r>
      <w:r w:rsidRPr="00043A3A">
        <w:rPr>
          <w:rFonts w:asciiTheme="minorHAnsi" w:hAnsiTheme="minorHAnsi" w:cstheme="majorBidi"/>
          <w:bCs/>
          <w:lang w:val="es-ES_tradnl"/>
        </w:rPr>
        <w:t xml:space="preserve"> 3 400-3 600 MHz </w:t>
      </w:r>
      <w:r>
        <w:rPr>
          <w:rFonts w:asciiTheme="minorHAnsi" w:hAnsiTheme="minorHAnsi" w:cstheme="majorBidi"/>
          <w:bCs/>
          <w:lang w:val="es-ES_tradnl"/>
        </w:rPr>
        <w:t>a toda la Región 1 y algunos países de la Región 3. Ampliación geográfica de la atribución primaria al servicio móvil, salvo móvil aeronáutico, en la banda de frecuencias</w:t>
      </w:r>
      <w:r w:rsidRPr="00043A3A">
        <w:rPr>
          <w:rFonts w:asciiTheme="minorHAnsi" w:hAnsiTheme="minorHAnsi" w:cstheme="majorBidi"/>
          <w:bCs/>
          <w:lang w:val="es-ES_tradnl"/>
        </w:rPr>
        <w:t xml:space="preserve"> 3 400-3 500 MHz a toda la Regi</w:t>
      </w:r>
      <w:r>
        <w:rPr>
          <w:rFonts w:asciiTheme="minorHAnsi" w:hAnsiTheme="minorHAnsi" w:cstheme="majorBidi"/>
          <w:bCs/>
          <w:lang w:val="es-ES_tradnl"/>
        </w:rPr>
        <w:t>ón 2. Supresión de la atribución secundaria al servicio móvil aeronáutico en la banda</w:t>
      </w:r>
      <w:r w:rsidRPr="00043A3A">
        <w:rPr>
          <w:rFonts w:asciiTheme="minorHAnsi" w:hAnsiTheme="minorHAnsi" w:cstheme="majorBidi"/>
          <w:bCs/>
          <w:lang w:val="es-ES_tradnl"/>
        </w:rPr>
        <w:t xml:space="preserve"> 3 400</w:t>
      </w:r>
      <w:r w:rsidR="00D42562">
        <w:rPr>
          <w:rFonts w:asciiTheme="minorHAnsi" w:hAnsiTheme="minorHAnsi" w:cstheme="majorBidi"/>
          <w:bCs/>
          <w:lang w:val="es-ES_tradnl"/>
        </w:rPr>
        <w:t>-</w:t>
      </w:r>
      <w:r w:rsidRPr="00043A3A">
        <w:rPr>
          <w:rFonts w:asciiTheme="minorHAnsi" w:hAnsiTheme="minorHAnsi" w:cstheme="majorBidi"/>
          <w:bCs/>
          <w:lang w:val="es-ES_tradnl"/>
        </w:rPr>
        <w:t>3 600 MHz en la Regi</w:t>
      </w:r>
      <w:r>
        <w:rPr>
          <w:rFonts w:asciiTheme="minorHAnsi" w:hAnsiTheme="minorHAnsi" w:cstheme="majorBidi"/>
          <w:bCs/>
          <w:lang w:val="es-ES_tradnl"/>
        </w:rPr>
        <w:t xml:space="preserve">ón 1 y en la banda </w:t>
      </w:r>
      <w:r w:rsidRPr="00043A3A">
        <w:rPr>
          <w:rFonts w:asciiTheme="minorHAnsi" w:hAnsiTheme="minorHAnsi" w:cstheme="majorBidi"/>
          <w:bCs/>
          <w:lang w:val="es-ES_tradnl"/>
        </w:rPr>
        <w:t xml:space="preserve">3 400-3 500 MHz </w:t>
      </w:r>
      <w:r>
        <w:rPr>
          <w:rFonts w:asciiTheme="minorHAnsi" w:hAnsiTheme="minorHAnsi" w:cstheme="majorBidi"/>
          <w:bCs/>
          <w:lang w:val="es-ES_tradnl"/>
        </w:rPr>
        <w:t xml:space="preserve">en las Regiones 2 y 3. </w:t>
      </w:r>
      <w:r w:rsidRPr="00043A3A">
        <w:rPr>
          <w:rFonts w:asciiTheme="minorHAnsi" w:hAnsiTheme="minorHAnsi" w:cstheme="majorBidi"/>
          <w:bCs/>
          <w:lang w:val="es-ES_tradnl"/>
        </w:rPr>
        <w:t xml:space="preserve">Ampliación de la identificación para las IMT de la banda </w:t>
      </w:r>
      <w:r w:rsidR="007A5637">
        <w:rPr>
          <w:rFonts w:asciiTheme="minorHAnsi" w:hAnsiTheme="minorHAnsi" w:cstheme="majorBidi"/>
          <w:bCs/>
          <w:lang w:val="es-ES_tradnl"/>
        </w:rPr>
        <w:t>3 400-</w:t>
      </w:r>
      <w:r w:rsidRPr="00043A3A">
        <w:rPr>
          <w:rFonts w:asciiTheme="minorHAnsi" w:hAnsiTheme="minorHAnsi" w:cstheme="majorBidi"/>
          <w:bCs/>
          <w:lang w:val="es-ES_tradnl"/>
        </w:rPr>
        <w:t>3 600 MHz en las Regiones 1 y 2 completas, así como en algunos países de la Regi</w:t>
      </w:r>
      <w:r>
        <w:rPr>
          <w:rFonts w:asciiTheme="minorHAnsi" w:hAnsiTheme="minorHAnsi" w:cstheme="majorBidi"/>
          <w:bCs/>
          <w:lang w:val="es-ES_tradnl"/>
        </w:rPr>
        <w:t>ón 3, como se estipula en los números</w:t>
      </w:r>
      <w:r w:rsidRPr="00043A3A">
        <w:rPr>
          <w:rFonts w:asciiTheme="minorHAnsi" w:hAnsiTheme="minorHAnsi" w:cstheme="majorBidi"/>
          <w:b/>
          <w:lang w:val="es-ES_tradnl"/>
        </w:rPr>
        <w:t xml:space="preserve"> 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>5.430A</w:t>
      </w:r>
      <w:r w:rsidRPr="007A5637">
        <w:rPr>
          <w:rStyle w:val="Artdef"/>
          <w:rFonts w:asciiTheme="minorHAnsi" w:hAnsiTheme="minorHAnsi" w:cstheme="majorBidi"/>
          <w:b w:val="0"/>
          <w:lang w:val="es-ES_tradnl"/>
        </w:rPr>
        <w:t>,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 xml:space="preserve"> 5.431B</w:t>
      </w:r>
      <w:r w:rsidRPr="007A5637">
        <w:rPr>
          <w:rStyle w:val="Artdef"/>
          <w:rFonts w:asciiTheme="minorHAnsi" w:hAnsiTheme="minorHAnsi" w:cstheme="majorBidi"/>
          <w:b w:val="0"/>
          <w:bCs/>
          <w:lang w:val="es-ES_tradnl"/>
        </w:rPr>
        <w:t xml:space="preserve">, 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 xml:space="preserve">5.432B </w:t>
      </w:r>
      <w:r w:rsidRPr="007A5637">
        <w:rPr>
          <w:rStyle w:val="Artdef"/>
          <w:rFonts w:asciiTheme="minorHAnsi" w:hAnsiTheme="minorHAnsi" w:cstheme="majorBidi"/>
          <w:b w:val="0"/>
          <w:bCs/>
          <w:lang w:val="es-ES_tradnl"/>
        </w:rPr>
        <w:t>y</w:t>
      </w:r>
      <w:r w:rsidRPr="00043A3A">
        <w:rPr>
          <w:rStyle w:val="Artdef"/>
          <w:rFonts w:asciiTheme="minorHAnsi" w:hAnsiTheme="minorHAnsi" w:cstheme="majorBidi"/>
          <w:bCs/>
          <w:lang w:val="es-ES_tradnl"/>
        </w:rPr>
        <w:t xml:space="preserve"> 5.433A</w:t>
      </w:r>
      <w:r w:rsidRPr="00043A3A">
        <w:rPr>
          <w:rFonts w:asciiTheme="minorHAnsi" w:hAnsiTheme="minorHAnsi" w:cstheme="majorBidi"/>
          <w:bCs/>
          <w:lang w:val="es-ES_tradnl"/>
        </w:rPr>
        <w:t xml:space="preserve">. </w:t>
      </w:r>
      <w:r>
        <w:rPr>
          <w:rFonts w:asciiTheme="minorHAnsi" w:hAnsiTheme="minorHAnsi" w:cstheme="majorBidi"/>
          <w:bCs/>
          <w:lang w:val="es-ES_tradnl"/>
        </w:rPr>
        <w:t>Estas atribuciones/identificaciones están sujetas a la aplicación de los números</w:t>
      </w:r>
      <w:r w:rsidRPr="00043A3A">
        <w:rPr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bCs/>
          <w:lang w:val="es-ES_tradnl"/>
        </w:rPr>
        <w:t>9.17</w:t>
      </w:r>
      <w:r w:rsidRPr="007A5637">
        <w:rPr>
          <w:rFonts w:asciiTheme="minorHAnsi" w:hAnsiTheme="minorHAnsi" w:cstheme="majorBidi"/>
          <w:lang w:val="es-ES_tradnl"/>
        </w:rPr>
        <w:t>,</w:t>
      </w:r>
      <w:r w:rsidRPr="00043A3A">
        <w:rPr>
          <w:rFonts w:asciiTheme="minorHAnsi" w:hAnsiTheme="minorHAnsi" w:cstheme="majorBidi"/>
          <w:b/>
          <w:bCs/>
          <w:lang w:val="es-ES_tradnl"/>
        </w:rPr>
        <w:t xml:space="preserve"> 9.18 </w:t>
      </w:r>
      <w:r>
        <w:rPr>
          <w:rFonts w:asciiTheme="minorHAnsi" w:hAnsiTheme="minorHAnsi" w:cstheme="majorBidi"/>
          <w:lang w:val="es-ES_tradnl"/>
        </w:rPr>
        <w:t>y/o el número</w:t>
      </w:r>
      <w:r w:rsidRPr="00043A3A">
        <w:rPr>
          <w:rFonts w:asciiTheme="minorHAnsi" w:hAnsiTheme="minorHAnsi" w:cstheme="majorBidi"/>
          <w:lang w:val="es-ES_tradnl"/>
        </w:rPr>
        <w:t xml:space="preserve"> </w:t>
      </w:r>
      <w:r w:rsidRPr="00043A3A">
        <w:rPr>
          <w:rFonts w:asciiTheme="minorHAnsi" w:hAnsiTheme="minorHAnsi" w:cstheme="majorBidi"/>
          <w:b/>
          <w:bCs/>
          <w:lang w:val="es-ES_tradnl"/>
        </w:rPr>
        <w:t>9.21</w:t>
      </w:r>
      <w:r w:rsidRPr="00043A3A">
        <w:rPr>
          <w:rFonts w:asciiTheme="minorHAnsi" w:hAnsiTheme="minorHAnsi" w:cstheme="majorBidi"/>
          <w:lang w:val="es-ES_tradnl"/>
        </w:rPr>
        <w:t xml:space="preserve"> </w:t>
      </w:r>
      <w:r>
        <w:rPr>
          <w:rFonts w:asciiTheme="minorHAnsi" w:hAnsiTheme="minorHAnsi" w:cstheme="majorBidi"/>
          <w:lang w:val="es-ES_tradnl"/>
        </w:rPr>
        <w:t>y un límite de dfp</w:t>
      </w:r>
      <w:r w:rsidRPr="00043A3A">
        <w:rPr>
          <w:rFonts w:asciiTheme="minorHAnsi" w:hAnsiTheme="minorHAnsi" w:cstheme="majorBidi"/>
          <w:lang w:val="es-ES_tradnl"/>
        </w:rPr>
        <w:t>.</w:t>
      </w:r>
    </w:p>
    <w:p w:rsidR="00626175" w:rsidRPr="00581000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bCs/>
          <w:lang w:val="es-ES_tradnl"/>
        </w:rPr>
      </w:pPr>
      <w:r w:rsidRPr="00581000">
        <w:rPr>
          <w:rFonts w:asciiTheme="minorHAnsi" w:hAnsiTheme="minorHAnsi" w:cstheme="majorBidi"/>
          <w:b/>
          <w:lang w:val="es-ES_tradnl"/>
        </w:rPr>
        <w:t>I</w:t>
      </w:r>
      <w:r w:rsidRPr="00581000">
        <w:rPr>
          <w:rStyle w:val="Artdef"/>
          <w:rFonts w:asciiTheme="minorHAnsi" w:hAnsiTheme="minorHAnsi" w:cstheme="majorBidi"/>
          <w:lang w:val="es-ES_tradnl"/>
        </w:rPr>
        <w:t xml:space="preserve">dentificación </w:t>
      </w:r>
      <w:r w:rsidRPr="007A5637">
        <w:rPr>
          <w:rStyle w:val="Artdef"/>
          <w:rFonts w:asciiTheme="minorHAnsi" w:hAnsiTheme="minorHAnsi" w:cstheme="majorBidi"/>
          <w:b w:val="0"/>
          <w:lang w:val="es-ES_tradnl"/>
        </w:rPr>
        <w:t>de la banda</w:t>
      </w:r>
      <w:r w:rsidRPr="00581000">
        <w:rPr>
          <w:rFonts w:asciiTheme="minorHAnsi" w:hAnsiTheme="minorHAnsi" w:cstheme="majorBidi"/>
          <w:bCs/>
          <w:lang w:val="es-ES_tradnl"/>
        </w:rPr>
        <w:t xml:space="preserve"> 3 600-3 700 MHz para las IMT en algunos países de la Regi</w:t>
      </w:r>
      <w:r>
        <w:rPr>
          <w:rFonts w:asciiTheme="minorHAnsi" w:hAnsiTheme="minorHAnsi" w:cstheme="majorBidi"/>
          <w:bCs/>
          <w:lang w:val="es-ES_tradnl"/>
        </w:rPr>
        <w:t>ón 2 sujeta a los números</w:t>
      </w:r>
      <w:r w:rsidRPr="00581000">
        <w:rPr>
          <w:rFonts w:asciiTheme="minorHAnsi" w:hAnsiTheme="minorHAnsi" w:cstheme="majorBidi"/>
          <w:lang w:val="es-ES_tradnl"/>
        </w:rPr>
        <w:t xml:space="preserve"> </w:t>
      </w:r>
      <w:r w:rsidRPr="00581000">
        <w:rPr>
          <w:rFonts w:asciiTheme="minorHAnsi" w:hAnsiTheme="minorHAnsi" w:cstheme="majorBidi"/>
          <w:b/>
          <w:bCs/>
          <w:lang w:val="es-ES_tradnl"/>
        </w:rPr>
        <w:t>9.17</w:t>
      </w:r>
      <w:r w:rsidRPr="007A5637">
        <w:rPr>
          <w:rFonts w:asciiTheme="minorHAnsi" w:hAnsiTheme="minorHAnsi" w:cstheme="majorBidi"/>
          <w:lang w:val="es-ES_tradnl"/>
        </w:rPr>
        <w:t>,</w:t>
      </w:r>
      <w:r w:rsidRPr="00581000">
        <w:rPr>
          <w:rFonts w:asciiTheme="minorHAnsi" w:hAnsiTheme="minorHAnsi" w:cstheme="majorBidi"/>
          <w:b/>
          <w:bCs/>
          <w:lang w:val="es-ES_tradnl"/>
        </w:rPr>
        <w:t xml:space="preserve"> 9.18</w:t>
      </w:r>
      <w:r w:rsidRPr="00581000">
        <w:rPr>
          <w:rFonts w:asciiTheme="minorHAnsi" w:hAnsiTheme="minorHAnsi" w:cstheme="majorBidi"/>
          <w:lang w:val="es-ES_tradnl"/>
        </w:rPr>
        <w:t xml:space="preserve"> </w:t>
      </w:r>
      <w:r>
        <w:rPr>
          <w:rFonts w:asciiTheme="minorHAnsi" w:hAnsiTheme="minorHAnsi" w:cstheme="majorBidi"/>
          <w:lang w:val="es-ES_tradnl"/>
        </w:rPr>
        <w:t>y</w:t>
      </w:r>
      <w:r w:rsidRPr="00581000">
        <w:rPr>
          <w:rFonts w:asciiTheme="minorHAnsi" w:hAnsiTheme="minorHAnsi" w:cstheme="majorBidi"/>
          <w:lang w:val="es-ES_tradnl"/>
        </w:rPr>
        <w:t xml:space="preserve"> </w:t>
      </w:r>
      <w:r w:rsidRPr="00581000">
        <w:rPr>
          <w:rFonts w:asciiTheme="minorHAnsi" w:hAnsiTheme="minorHAnsi" w:cstheme="majorBidi"/>
          <w:b/>
          <w:bCs/>
          <w:lang w:val="es-ES_tradnl"/>
        </w:rPr>
        <w:t>9.21</w:t>
      </w:r>
      <w:r>
        <w:rPr>
          <w:rFonts w:asciiTheme="minorHAnsi" w:hAnsiTheme="minorHAnsi" w:cstheme="majorBidi"/>
          <w:b/>
          <w:bCs/>
          <w:lang w:val="es-ES_tradnl"/>
        </w:rPr>
        <w:t xml:space="preserve">, </w:t>
      </w:r>
      <w:r w:rsidRPr="00581000">
        <w:rPr>
          <w:rFonts w:asciiTheme="minorHAnsi" w:hAnsiTheme="minorHAnsi" w:cstheme="majorBidi"/>
          <w:lang w:val="es-ES_tradnl"/>
        </w:rPr>
        <w:t>as</w:t>
      </w:r>
      <w:r>
        <w:rPr>
          <w:rFonts w:asciiTheme="minorHAnsi" w:hAnsiTheme="minorHAnsi" w:cstheme="majorBidi"/>
          <w:lang w:val="es-ES_tradnl"/>
        </w:rPr>
        <w:t>í como a un límite de dfp, según se estipula en el número</w:t>
      </w:r>
      <w:r w:rsidRPr="00581000">
        <w:rPr>
          <w:rFonts w:asciiTheme="minorHAnsi" w:hAnsiTheme="minorHAnsi" w:cstheme="majorBidi"/>
          <w:b/>
          <w:lang w:val="es-ES_tradnl"/>
        </w:rPr>
        <w:t xml:space="preserve"> 5.434</w:t>
      </w:r>
      <w:r w:rsidRPr="00581000">
        <w:rPr>
          <w:rFonts w:asciiTheme="minorHAnsi" w:hAnsiTheme="minorHAnsi" w:cstheme="majorBidi"/>
          <w:i/>
          <w:iCs/>
          <w:lang w:val="es-ES_tradnl"/>
        </w:rPr>
        <w:t>.</w:t>
      </w:r>
    </w:p>
    <w:p w:rsidR="00626175" w:rsidRPr="008B66DA" w:rsidRDefault="00626175" w:rsidP="004D4709">
      <w:pPr>
        <w:pStyle w:val="BodyText"/>
        <w:numPr>
          <w:ilvl w:val="0"/>
          <w:numId w:val="5"/>
        </w:numPr>
        <w:tabs>
          <w:tab w:val="left" w:pos="567"/>
          <w:tab w:val="num" w:pos="851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581000">
        <w:rPr>
          <w:rFonts w:asciiTheme="minorHAnsi" w:hAnsiTheme="minorHAnsi" w:cstheme="majorBidi"/>
          <w:bCs/>
          <w:lang w:val="es-ES_tradnl"/>
        </w:rPr>
        <w:t xml:space="preserve">Atribución de la banda </w:t>
      </w:r>
      <w:r w:rsidRPr="00581000">
        <w:rPr>
          <w:rFonts w:asciiTheme="minorHAnsi" w:hAnsiTheme="minorHAnsi"/>
          <w:lang w:val="es-ES_tradnl"/>
        </w:rPr>
        <w:t>4 200-4 400 MHz al servicio m</w:t>
      </w:r>
      <w:r>
        <w:rPr>
          <w:rFonts w:asciiTheme="minorHAnsi" w:hAnsiTheme="minorHAnsi"/>
          <w:lang w:val="es-ES_tradnl"/>
        </w:rPr>
        <w:t>óvil aeronáutico</w:t>
      </w:r>
      <w:r w:rsidRPr="00581000">
        <w:rPr>
          <w:rFonts w:asciiTheme="minorHAnsi" w:hAnsiTheme="minorHAnsi"/>
          <w:lang w:val="es-ES_tradnl"/>
        </w:rPr>
        <w:t xml:space="preserve"> (R) </w:t>
      </w:r>
      <w:r>
        <w:rPr>
          <w:rFonts w:asciiTheme="minorHAnsi" w:hAnsiTheme="minorHAnsi"/>
          <w:lang w:val="es-ES_tradnl"/>
        </w:rPr>
        <w:t>reservada exclusivamente a los sistemas aviónicos de comunicaciones inalámbricas internas</w:t>
      </w:r>
      <w:r w:rsidRPr="00581000">
        <w:rPr>
          <w:rFonts w:asciiTheme="minorHAnsi" w:hAnsiTheme="minorHAnsi"/>
          <w:lang w:val="es-ES_tradnl"/>
        </w:rPr>
        <w:t xml:space="preserve"> (WAIC),</w:t>
      </w:r>
      <w:r>
        <w:rPr>
          <w:rFonts w:asciiTheme="minorHAnsi" w:hAnsiTheme="minorHAnsi"/>
          <w:lang w:val="es-ES_tradnl"/>
        </w:rPr>
        <w:t xml:space="preserve"> como se estipula en el número </w:t>
      </w:r>
      <w:r w:rsidRPr="00581000">
        <w:rPr>
          <w:rFonts w:asciiTheme="minorHAnsi" w:hAnsiTheme="minorHAnsi" w:cstheme="majorBidi"/>
          <w:b/>
          <w:lang w:val="es-ES_tradnl"/>
        </w:rPr>
        <w:t>5.436</w:t>
      </w:r>
      <w:r w:rsidRPr="00581000">
        <w:rPr>
          <w:rFonts w:asciiTheme="minorHAnsi" w:hAnsiTheme="minorHAnsi"/>
          <w:lang w:val="es-ES_tradnl"/>
        </w:rPr>
        <w:t xml:space="preserve">. </w:t>
      </w:r>
      <w:r w:rsidRPr="008B66DA">
        <w:rPr>
          <w:rFonts w:asciiTheme="minorHAnsi" w:hAnsiTheme="minorHAnsi"/>
          <w:lang w:val="es-ES_tradnl"/>
        </w:rPr>
        <w:t>Esa utilización deberá ajustarse a lo dispuesto en la Resoluci</w:t>
      </w:r>
      <w:r>
        <w:rPr>
          <w:rFonts w:asciiTheme="minorHAnsi" w:hAnsiTheme="minorHAnsi"/>
          <w:lang w:val="es-ES_tradnl"/>
        </w:rPr>
        <w:t>ón</w:t>
      </w:r>
      <w:r w:rsidRPr="008B66DA">
        <w:rPr>
          <w:rFonts w:asciiTheme="minorHAnsi" w:hAnsiTheme="minorHAnsi"/>
          <w:lang w:val="es-ES_tradnl"/>
        </w:rPr>
        <w:t xml:space="preserve"> </w:t>
      </w:r>
      <w:r w:rsidRPr="008B66DA">
        <w:rPr>
          <w:rFonts w:asciiTheme="minorHAnsi" w:hAnsiTheme="minorHAnsi"/>
          <w:b/>
          <w:bCs/>
          <w:lang w:val="es-ES_tradnl"/>
        </w:rPr>
        <w:t>424 (</w:t>
      </w:r>
      <w:r>
        <w:rPr>
          <w:rFonts w:asciiTheme="minorHAnsi" w:hAnsiTheme="minorHAnsi"/>
          <w:b/>
          <w:bCs/>
          <w:lang w:val="es-ES_tradnl"/>
        </w:rPr>
        <w:t>CMR</w:t>
      </w:r>
      <w:r w:rsidRPr="008B66DA">
        <w:rPr>
          <w:rFonts w:asciiTheme="minorHAnsi" w:hAnsiTheme="minorHAnsi"/>
          <w:b/>
          <w:bCs/>
          <w:lang w:val="es-ES_tradnl"/>
        </w:rPr>
        <w:noBreakHyphen/>
        <w:t>15)</w:t>
      </w:r>
      <w:r w:rsidRPr="008B66DA">
        <w:rPr>
          <w:rFonts w:asciiTheme="minorHAnsi" w:hAnsiTheme="minorHAnsi"/>
          <w:lang w:val="es-ES_tradnl"/>
        </w:rPr>
        <w:t>.</w:t>
      </w:r>
    </w:p>
    <w:p w:rsidR="00626175" w:rsidRPr="008B66DA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bCs/>
          <w:lang w:val="es-ES_tradnl"/>
        </w:rPr>
      </w:pPr>
      <w:r w:rsidRPr="008B66DA">
        <w:rPr>
          <w:rFonts w:asciiTheme="minorHAnsi" w:hAnsiTheme="minorHAnsi" w:cstheme="majorBidi"/>
          <w:b/>
          <w:lang w:val="es-ES_tradnl"/>
        </w:rPr>
        <w:t>I</w:t>
      </w:r>
      <w:r w:rsidRPr="008B66DA">
        <w:rPr>
          <w:rStyle w:val="Artdef"/>
          <w:rFonts w:asciiTheme="minorHAnsi" w:hAnsiTheme="minorHAnsi" w:cstheme="majorBidi"/>
          <w:lang w:val="es-ES_tradnl"/>
        </w:rPr>
        <w:t>dentificación</w:t>
      </w:r>
      <w:r w:rsidRPr="008B66DA">
        <w:rPr>
          <w:rFonts w:asciiTheme="minorHAnsi" w:hAnsiTheme="minorHAnsi" w:cstheme="majorBidi"/>
          <w:bCs/>
          <w:lang w:val="es-ES_tradnl"/>
        </w:rPr>
        <w:t xml:space="preserve"> de la banda </w:t>
      </w:r>
      <w:r w:rsidRPr="008B66DA">
        <w:rPr>
          <w:rFonts w:asciiTheme="minorHAnsi" w:hAnsiTheme="minorHAnsi" w:cstheme="majorBidi"/>
          <w:lang w:val="es-ES_tradnl"/>
        </w:rPr>
        <w:t>4 800</w:t>
      </w:r>
      <w:r w:rsidR="007A5637">
        <w:rPr>
          <w:rFonts w:asciiTheme="minorHAnsi" w:hAnsiTheme="minorHAnsi" w:cstheme="majorBidi"/>
          <w:lang w:val="es-ES_tradnl"/>
        </w:rPr>
        <w:t>-</w:t>
      </w:r>
      <w:r w:rsidRPr="008B66DA">
        <w:rPr>
          <w:rFonts w:asciiTheme="minorHAnsi" w:hAnsiTheme="minorHAnsi" w:cstheme="majorBidi"/>
          <w:lang w:val="es-ES_tradnl"/>
        </w:rPr>
        <w:t>4 900 MHz para las IMT en un país de la Región 2 y de la banda</w:t>
      </w:r>
      <w:r w:rsidRPr="008B66DA">
        <w:rPr>
          <w:rFonts w:asciiTheme="minorHAnsi" w:hAnsiTheme="minorHAnsi" w:cstheme="majorBidi"/>
          <w:bCs/>
          <w:lang w:val="es-ES_tradnl"/>
        </w:rPr>
        <w:t xml:space="preserve"> </w:t>
      </w:r>
      <w:r w:rsidRPr="008B66DA">
        <w:rPr>
          <w:rFonts w:asciiTheme="minorHAnsi" w:hAnsiTheme="minorHAnsi" w:cstheme="majorBidi"/>
          <w:lang w:val="es-ES_tradnl"/>
        </w:rPr>
        <w:t>4 800</w:t>
      </w:r>
      <w:r w:rsidR="007A5637">
        <w:rPr>
          <w:rFonts w:asciiTheme="minorHAnsi" w:hAnsiTheme="minorHAnsi" w:cstheme="majorBidi"/>
          <w:lang w:val="es-ES_tradnl"/>
        </w:rPr>
        <w:t>-</w:t>
      </w:r>
      <w:r w:rsidRPr="008B66DA">
        <w:rPr>
          <w:rFonts w:asciiTheme="minorHAnsi" w:hAnsiTheme="minorHAnsi" w:cstheme="majorBidi"/>
          <w:lang w:val="es-ES_tradnl"/>
        </w:rPr>
        <w:t>4 990 MHz en algunos pa</w:t>
      </w:r>
      <w:r>
        <w:rPr>
          <w:rFonts w:asciiTheme="minorHAnsi" w:hAnsiTheme="minorHAnsi" w:cstheme="majorBidi"/>
          <w:lang w:val="es-ES_tradnl"/>
        </w:rPr>
        <w:t>íses de la Región 3 a condición de que las estaciones IMT no reclamen protección contra otras aplicaciones del servicio móvil, según se estipula en los números</w:t>
      </w:r>
      <w:r w:rsidRPr="008B66DA">
        <w:rPr>
          <w:rFonts w:asciiTheme="minorHAnsi" w:hAnsiTheme="minorHAnsi" w:cstheme="majorBidi"/>
          <w:b/>
          <w:lang w:val="es-ES_tradnl"/>
        </w:rPr>
        <w:t xml:space="preserve"> </w:t>
      </w:r>
      <w:r w:rsidRPr="008B66DA">
        <w:rPr>
          <w:rFonts w:asciiTheme="minorHAnsi" w:hAnsiTheme="minorHAnsi" w:cstheme="majorBidi"/>
          <w:bCs/>
          <w:lang w:val="es-ES_tradnl"/>
        </w:rPr>
        <w:t xml:space="preserve"> </w:t>
      </w:r>
      <w:r w:rsidRPr="008B66DA">
        <w:rPr>
          <w:rFonts w:asciiTheme="minorHAnsi" w:hAnsiTheme="minorHAnsi" w:cstheme="majorBidi"/>
          <w:b/>
          <w:lang w:val="es-ES_tradnl"/>
        </w:rPr>
        <w:t>5.441A</w:t>
      </w:r>
      <w:r w:rsidRPr="008B66DA">
        <w:rPr>
          <w:rFonts w:asciiTheme="minorHAnsi" w:hAnsiTheme="minorHAnsi" w:cstheme="majorBidi"/>
          <w:bCs/>
          <w:lang w:val="es-ES_tradnl"/>
        </w:rPr>
        <w:t xml:space="preserve"> y</w:t>
      </w:r>
      <w:r w:rsidRPr="008B66DA">
        <w:rPr>
          <w:rFonts w:asciiTheme="minorHAnsi" w:hAnsiTheme="minorHAnsi" w:cstheme="majorBidi"/>
          <w:lang w:val="es-ES_tradnl" w:eastAsia="ko-KR"/>
        </w:rPr>
        <w:t xml:space="preserve"> </w:t>
      </w:r>
      <w:r w:rsidRPr="008B66DA">
        <w:rPr>
          <w:rFonts w:asciiTheme="minorHAnsi" w:hAnsiTheme="minorHAnsi" w:cstheme="majorBidi"/>
          <w:b/>
          <w:lang w:val="es-ES_tradnl"/>
        </w:rPr>
        <w:t>5.441B</w:t>
      </w:r>
      <w:r w:rsidRPr="007A5637">
        <w:rPr>
          <w:rStyle w:val="Artdef"/>
          <w:rFonts w:asciiTheme="minorHAnsi" w:hAnsiTheme="minorHAnsi" w:cstheme="majorBidi"/>
          <w:b w:val="0"/>
          <w:bCs/>
          <w:lang w:val="es-ES_tradnl"/>
        </w:rPr>
        <w:t xml:space="preserve">. </w:t>
      </w:r>
      <w:r>
        <w:rPr>
          <w:rStyle w:val="Artdef"/>
          <w:rFonts w:asciiTheme="minorHAnsi" w:hAnsiTheme="minorHAnsi" w:cstheme="majorBidi"/>
          <w:lang w:val="es-ES_tradnl"/>
        </w:rPr>
        <w:t>En la Región 3 esta identificación también está</w:t>
      </w:r>
      <w:r w:rsidRPr="008B66DA">
        <w:rPr>
          <w:rStyle w:val="Artdef"/>
          <w:rFonts w:asciiTheme="minorHAnsi" w:hAnsiTheme="minorHAnsi" w:cstheme="majorBidi"/>
          <w:lang w:val="es-ES_tradnl"/>
        </w:rPr>
        <w:t xml:space="preserve"> </w:t>
      </w:r>
      <w:r w:rsidRPr="008B66DA">
        <w:rPr>
          <w:rFonts w:asciiTheme="minorHAnsi" w:hAnsiTheme="minorHAnsi" w:cstheme="majorBidi"/>
          <w:lang w:val="es-ES_tradnl"/>
        </w:rPr>
        <w:t>su</w:t>
      </w:r>
      <w:r>
        <w:rPr>
          <w:rFonts w:asciiTheme="minorHAnsi" w:hAnsiTheme="minorHAnsi" w:cstheme="majorBidi"/>
          <w:lang w:val="es-ES_tradnl"/>
        </w:rPr>
        <w:t>jeta al número</w:t>
      </w:r>
      <w:r w:rsidRPr="008B66DA">
        <w:rPr>
          <w:rFonts w:asciiTheme="minorHAnsi" w:hAnsiTheme="minorHAnsi" w:cstheme="majorBidi"/>
          <w:lang w:val="es-ES_tradnl"/>
        </w:rPr>
        <w:t xml:space="preserve"> </w:t>
      </w:r>
      <w:r w:rsidRPr="008B66DA">
        <w:rPr>
          <w:rFonts w:asciiTheme="minorHAnsi" w:hAnsiTheme="minorHAnsi" w:cstheme="majorBidi"/>
          <w:b/>
          <w:bCs/>
          <w:lang w:val="es-ES_tradnl"/>
        </w:rPr>
        <w:t>9.21</w:t>
      </w:r>
      <w:r w:rsidRPr="008B66DA">
        <w:rPr>
          <w:rFonts w:asciiTheme="minorHAnsi" w:hAnsiTheme="minorHAnsi" w:cstheme="majorBidi"/>
          <w:lang w:val="es-ES_tradnl"/>
        </w:rPr>
        <w:t xml:space="preserve"> </w:t>
      </w:r>
      <w:r>
        <w:rPr>
          <w:rFonts w:asciiTheme="minorHAnsi" w:hAnsiTheme="minorHAnsi" w:cstheme="majorBidi"/>
          <w:lang w:val="es-ES_tradnl"/>
        </w:rPr>
        <w:t>y a un límite de dfp</w:t>
      </w:r>
      <w:r w:rsidRPr="008B66DA">
        <w:rPr>
          <w:rFonts w:asciiTheme="minorHAnsi" w:hAnsiTheme="minorHAnsi" w:cstheme="majorBidi"/>
          <w:lang w:val="es-ES_tradnl"/>
        </w:rPr>
        <w:t>.</w:t>
      </w:r>
    </w:p>
    <w:p w:rsidR="00626175" w:rsidRPr="008B66DA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bCs/>
          <w:lang w:val="es-ES_tradnl"/>
        </w:rPr>
      </w:pPr>
      <w:r w:rsidRPr="008B66DA">
        <w:rPr>
          <w:rFonts w:asciiTheme="minorHAnsi" w:hAnsiTheme="minorHAnsi"/>
          <w:lang w:val="es-ES_tradnl" w:eastAsia="ko-KR"/>
        </w:rPr>
        <w:t>Atribución de la banda 77,5-78 GHz al servicio de radiolocalización a título primario en las tres Regiones, limitada a l</w:t>
      </w:r>
      <w:r>
        <w:rPr>
          <w:rFonts w:asciiTheme="minorHAnsi" w:hAnsiTheme="minorHAnsi"/>
          <w:lang w:val="es-ES_tradnl" w:eastAsia="ko-KR"/>
        </w:rPr>
        <w:t>as aplicaciones de radar de corto alcance en tierra, incluidos los radares automóviles, de conformidad con el número</w:t>
      </w:r>
      <w:r w:rsidRPr="008B66DA">
        <w:rPr>
          <w:rFonts w:asciiTheme="minorHAnsi" w:hAnsiTheme="minorHAnsi" w:cstheme="majorBidi"/>
          <w:bCs/>
          <w:lang w:val="es-ES_tradnl"/>
        </w:rPr>
        <w:t xml:space="preserve"> </w:t>
      </w:r>
      <w:r w:rsidRPr="008B66DA">
        <w:rPr>
          <w:rFonts w:asciiTheme="minorHAnsi" w:hAnsiTheme="minorHAnsi" w:cstheme="majorBidi"/>
          <w:b/>
          <w:lang w:val="es-ES_tradnl"/>
        </w:rPr>
        <w:t>5.559B</w:t>
      </w:r>
      <w:r w:rsidRPr="007A5637">
        <w:rPr>
          <w:rFonts w:asciiTheme="minorHAnsi" w:hAnsiTheme="minorHAnsi"/>
          <w:lang w:val="es-ES_tradnl" w:eastAsia="ko-KR"/>
        </w:rPr>
        <w:t>.</w:t>
      </w:r>
    </w:p>
    <w:p w:rsidR="00626175" w:rsidRPr="008B66DA" w:rsidRDefault="00626175" w:rsidP="004D4709">
      <w:pPr>
        <w:pStyle w:val="BodyText"/>
        <w:numPr>
          <w:ilvl w:val="0"/>
          <w:numId w:val="6"/>
        </w:numPr>
        <w:tabs>
          <w:tab w:val="left" w:pos="567"/>
          <w:tab w:val="left" w:pos="3402"/>
        </w:tabs>
        <w:spacing w:before="120"/>
        <w:ind w:left="567" w:hanging="567"/>
        <w:rPr>
          <w:rFonts w:asciiTheme="minorHAnsi" w:hAnsiTheme="minorHAnsi" w:cstheme="majorBidi"/>
          <w:lang w:val="es-ES_tradnl"/>
        </w:rPr>
      </w:pPr>
      <w:r w:rsidRPr="008B66DA">
        <w:rPr>
          <w:rFonts w:asciiTheme="minorHAnsi" w:hAnsiTheme="minorHAnsi"/>
          <w:lang w:val="es-ES_tradnl" w:eastAsia="ko-KR"/>
        </w:rPr>
        <w:t>Si desea más información sobre la aplicación de las disposiciones reglamentarias decididas por la CMR-15 espec</w:t>
      </w:r>
      <w:r>
        <w:rPr>
          <w:rFonts w:asciiTheme="minorHAnsi" w:hAnsiTheme="minorHAnsi"/>
          <w:lang w:val="es-ES_tradnl" w:eastAsia="ko-KR"/>
        </w:rPr>
        <w:t>í</w:t>
      </w:r>
      <w:r w:rsidRPr="008B66DA">
        <w:rPr>
          <w:rFonts w:asciiTheme="minorHAnsi" w:hAnsiTheme="minorHAnsi"/>
          <w:lang w:val="es-ES_tradnl" w:eastAsia="ko-KR"/>
        </w:rPr>
        <w:t>ficamente aplicables a las IMT, puede consultar la Carta Circular</w:t>
      </w:r>
      <w:r w:rsidRPr="008B66DA">
        <w:rPr>
          <w:rFonts w:asciiTheme="minorHAnsi" w:hAnsiTheme="minorHAnsi"/>
          <w:lang w:val="es-ES_tradnl"/>
        </w:rPr>
        <w:t xml:space="preserve"> CR/391 </w:t>
      </w:r>
      <w:r>
        <w:rPr>
          <w:rFonts w:asciiTheme="minorHAnsi" w:hAnsiTheme="minorHAnsi"/>
          <w:lang w:val="es-ES_tradnl"/>
        </w:rPr>
        <w:t>de</w:t>
      </w:r>
      <w:r w:rsidRPr="008B66DA">
        <w:rPr>
          <w:rFonts w:asciiTheme="minorHAnsi" w:hAnsiTheme="minorHAnsi"/>
          <w:lang w:val="es-ES_tradnl"/>
        </w:rPr>
        <w:t xml:space="preserve"> 29 </w:t>
      </w:r>
      <w:r>
        <w:rPr>
          <w:rFonts w:asciiTheme="minorHAnsi" w:hAnsiTheme="minorHAnsi"/>
          <w:lang w:val="es-ES_tradnl"/>
        </w:rPr>
        <w:t>febrero de</w:t>
      </w:r>
      <w:r w:rsidRPr="008B66DA">
        <w:rPr>
          <w:rFonts w:asciiTheme="minorHAnsi" w:hAnsiTheme="minorHAnsi"/>
          <w:lang w:val="es-ES_tradnl"/>
        </w:rPr>
        <w:t xml:space="preserve"> 2016</w:t>
      </w:r>
      <w:r>
        <w:rPr>
          <w:rFonts w:asciiTheme="minorHAnsi" w:hAnsiTheme="minorHAnsi"/>
          <w:lang w:val="es-ES_tradnl"/>
        </w:rPr>
        <w:t>, donde se trata de la identificación de estaciones IMT del servicio móvil</w:t>
      </w:r>
      <w:r w:rsidRPr="008B66DA">
        <w:rPr>
          <w:rFonts w:asciiTheme="minorHAnsi" w:hAnsiTheme="minorHAnsi"/>
          <w:lang w:val="es-ES_tradnl"/>
        </w:rPr>
        <w:t>.</w:t>
      </w:r>
    </w:p>
    <w:p w:rsidR="00807655" w:rsidRDefault="00807655" w:rsidP="004D4709">
      <w:pPr>
        <w:pStyle w:val="BodyText"/>
        <w:tabs>
          <w:tab w:val="left" w:pos="709"/>
          <w:tab w:val="left" w:pos="3402"/>
        </w:tabs>
        <w:spacing w:before="120"/>
        <w:rPr>
          <w:rFonts w:asciiTheme="minorHAnsi" w:hAnsiTheme="minorHAnsi"/>
          <w:lang w:val="es-ES_tradnl"/>
        </w:rPr>
      </w:pPr>
    </w:p>
    <w:p w:rsidR="00626175" w:rsidRPr="00E33572" w:rsidRDefault="00626175" w:rsidP="004D4709">
      <w:pPr>
        <w:pStyle w:val="BodyText"/>
        <w:tabs>
          <w:tab w:val="left" w:pos="709"/>
          <w:tab w:val="left" w:pos="3402"/>
        </w:tabs>
        <w:spacing w:before="120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/>
        </w:rPr>
        <w:lastRenderedPageBreak/>
        <w:t>3.4</w:t>
      </w:r>
      <w:r w:rsidRPr="00E33572">
        <w:rPr>
          <w:rFonts w:asciiTheme="minorHAnsi" w:hAnsiTheme="minorHAnsi"/>
          <w:lang w:val="es-ES_tradnl"/>
        </w:rPr>
        <w:tab/>
        <w:t>La CMR-15 también modificó algunas atribuciones a servicios espaciales, lo que modifica las condiciones de funcionamiento de los servicios terrenales en esas bandas de frecuencias de la siguiente manera:</w:t>
      </w:r>
    </w:p>
    <w:p w:rsidR="00626175" w:rsidRPr="00E33572" w:rsidRDefault="00626175" w:rsidP="00807655">
      <w:pPr>
        <w:pStyle w:val="BodyText"/>
        <w:numPr>
          <w:ilvl w:val="0"/>
          <w:numId w:val="6"/>
        </w:numPr>
        <w:tabs>
          <w:tab w:val="num" w:pos="567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/>
        </w:rPr>
        <w:t>Atribución de la banda 13,4</w:t>
      </w:r>
      <w:r w:rsidR="007A5637">
        <w:rPr>
          <w:rFonts w:asciiTheme="minorHAnsi" w:hAnsiTheme="minorHAnsi"/>
          <w:lang w:val="es-ES_tradnl"/>
        </w:rPr>
        <w:t>-</w:t>
      </w:r>
      <w:r w:rsidRPr="00E33572">
        <w:rPr>
          <w:rFonts w:asciiTheme="minorHAnsi" w:hAnsiTheme="minorHAnsi"/>
          <w:lang w:val="es-ES_tradnl"/>
        </w:rPr>
        <w:t>13,65 GHz al servicio fijo por satélite (espacio-Tierra) a t</w:t>
      </w:r>
      <w:r>
        <w:rPr>
          <w:rFonts w:asciiTheme="minorHAnsi" w:hAnsiTheme="minorHAnsi"/>
          <w:lang w:val="es-ES_tradnl"/>
        </w:rPr>
        <w:t>ítulo primario en la Región 1, limitada a los sistemas OSG. Así, esta banda se transforma en banda compartida entre servicios espaciales y terrenales en igualdad de condiciones. Por consiguiente, las estaciones transmisoras de los servicios fijo, móvil, de radiolocalización y de radionavegación podrán tener que coordinarse con las estaciones terrenas receptoras del SFS en virtud de los números</w:t>
      </w:r>
      <w:r w:rsidRPr="00E33572">
        <w:rPr>
          <w:rFonts w:asciiTheme="minorHAnsi" w:hAnsiTheme="minorHAnsi"/>
          <w:lang w:val="es-ES_tradnl"/>
        </w:rPr>
        <w:t xml:space="preserve"> </w:t>
      </w:r>
      <w:r w:rsidRPr="00E33572">
        <w:rPr>
          <w:rFonts w:asciiTheme="minorHAnsi" w:hAnsiTheme="minorHAnsi"/>
          <w:b/>
          <w:lang w:val="es-ES_tradnl"/>
        </w:rPr>
        <w:t xml:space="preserve">9.17 </w:t>
      </w:r>
      <w:r w:rsidRPr="00E33572">
        <w:rPr>
          <w:rFonts w:asciiTheme="minorHAnsi" w:hAnsiTheme="minorHAnsi"/>
          <w:bCs/>
          <w:lang w:val="es-ES_tradnl"/>
        </w:rPr>
        <w:t>y</w:t>
      </w:r>
      <w:r w:rsidRPr="00E33572">
        <w:rPr>
          <w:rFonts w:asciiTheme="minorHAnsi" w:hAnsiTheme="minorHAnsi"/>
          <w:lang w:val="es-ES_tradnl"/>
        </w:rPr>
        <w:t xml:space="preserve"> </w:t>
      </w:r>
      <w:r w:rsidRPr="00E33572">
        <w:rPr>
          <w:rFonts w:asciiTheme="minorHAnsi" w:hAnsiTheme="minorHAnsi"/>
          <w:b/>
          <w:bCs/>
          <w:lang w:val="es-ES_tradnl"/>
        </w:rPr>
        <w:t>9.18</w:t>
      </w:r>
      <w:r w:rsidRPr="00E33572">
        <w:rPr>
          <w:rFonts w:asciiTheme="minorHAnsi" w:hAnsiTheme="minorHAnsi"/>
          <w:lang w:val="es-ES_tradnl"/>
        </w:rPr>
        <w:t>.</w:t>
      </w:r>
    </w:p>
    <w:p w:rsidR="00626175" w:rsidRPr="00E33572" w:rsidRDefault="00626175" w:rsidP="004D4709">
      <w:pPr>
        <w:pStyle w:val="BodyText"/>
        <w:numPr>
          <w:ilvl w:val="0"/>
          <w:numId w:val="6"/>
        </w:numPr>
        <w:tabs>
          <w:tab w:val="num" w:pos="567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/>
        </w:rPr>
        <w:t>Ampliación de la aplicabilidad de la atribución al SFS (Tierra-espacio) en la banda 14,5</w:t>
      </w:r>
      <w:r w:rsidR="007A5637">
        <w:rPr>
          <w:rFonts w:asciiTheme="minorHAnsi" w:hAnsiTheme="minorHAnsi"/>
          <w:lang w:val="es-ES_tradnl"/>
        </w:rPr>
        <w:noBreakHyphen/>
      </w:r>
      <w:r w:rsidRPr="00E33572">
        <w:rPr>
          <w:rFonts w:asciiTheme="minorHAnsi" w:hAnsiTheme="minorHAnsi"/>
          <w:lang w:val="es-ES_tradnl"/>
        </w:rPr>
        <w:t>14,8</w:t>
      </w:r>
      <w:r w:rsidR="007A5637">
        <w:rPr>
          <w:rFonts w:asciiTheme="minorHAnsi" w:hAnsiTheme="minorHAnsi"/>
          <w:lang w:val="es-ES_tradnl"/>
        </w:rPr>
        <w:t> </w:t>
      </w:r>
      <w:r w:rsidRPr="00E33572">
        <w:rPr>
          <w:rFonts w:asciiTheme="minorHAnsi" w:hAnsiTheme="minorHAnsi"/>
          <w:lang w:val="es-ES_tradnl"/>
        </w:rPr>
        <w:t>GHz a las aplicaciones distintas de los enlaces de conexi</w:t>
      </w:r>
      <w:r>
        <w:rPr>
          <w:rFonts w:asciiTheme="minorHAnsi" w:hAnsiTheme="minorHAnsi"/>
          <w:lang w:val="es-ES_tradnl"/>
        </w:rPr>
        <w:t xml:space="preserve">ón del SRS, limitada a los sistemas de satélites geoestacionarios. </w:t>
      </w:r>
      <w:r w:rsidRPr="00E33572">
        <w:rPr>
          <w:rFonts w:asciiTheme="minorHAnsi" w:hAnsiTheme="minorHAnsi"/>
          <w:lang w:val="es-ES_tradnl"/>
        </w:rPr>
        <w:t>Sin embargo, dadas las limitaciones específicas impuestas por los n</w:t>
      </w:r>
      <w:r>
        <w:rPr>
          <w:rFonts w:asciiTheme="minorHAnsi" w:hAnsiTheme="minorHAnsi"/>
          <w:lang w:val="es-ES_tradnl"/>
        </w:rPr>
        <w:t>úmeros</w:t>
      </w:r>
      <w:r w:rsidRPr="00E33572">
        <w:rPr>
          <w:rFonts w:asciiTheme="minorHAnsi" w:hAnsiTheme="minorHAnsi"/>
          <w:lang w:val="es-ES_tradnl"/>
        </w:rPr>
        <w:t xml:space="preserve"> </w:t>
      </w:r>
      <w:r w:rsidRPr="00E33572">
        <w:rPr>
          <w:rFonts w:asciiTheme="minorHAnsi" w:hAnsiTheme="minorHAnsi"/>
          <w:b/>
          <w:bCs/>
          <w:lang w:val="es-ES_tradnl"/>
        </w:rPr>
        <w:t>5.509D</w:t>
      </w:r>
      <w:r w:rsidRPr="00E33572">
        <w:rPr>
          <w:rFonts w:asciiTheme="minorHAnsi" w:hAnsiTheme="minorHAnsi"/>
          <w:lang w:val="es-ES_tradnl"/>
        </w:rPr>
        <w:t xml:space="preserve"> y </w:t>
      </w:r>
      <w:r w:rsidRPr="00E33572">
        <w:rPr>
          <w:rFonts w:asciiTheme="minorHAnsi" w:hAnsiTheme="minorHAnsi"/>
          <w:b/>
          <w:bCs/>
          <w:lang w:val="es-ES_tradnl"/>
        </w:rPr>
        <w:t>5.509F</w:t>
      </w:r>
      <w:r w:rsidRPr="00E33572">
        <w:rPr>
          <w:rFonts w:asciiTheme="minorHAnsi" w:hAnsiTheme="minorHAnsi"/>
          <w:lang w:val="es-ES_tradnl"/>
        </w:rPr>
        <w:t xml:space="preserve"> a esos enlaces distintos de los enlaces de conexi</w:t>
      </w:r>
      <w:r>
        <w:rPr>
          <w:rFonts w:asciiTheme="minorHAnsi" w:hAnsiTheme="minorHAnsi"/>
          <w:lang w:val="es-ES_tradnl"/>
        </w:rPr>
        <w:t xml:space="preserve">ón, los números </w:t>
      </w:r>
      <w:r w:rsidRPr="00E33572">
        <w:rPr>
          <w:rFonts w:asciiTheme="minorHAnsi" w:hAnsiTheme="minorHAnsi"/>
          <w:b/>
          <w:bCs/>
          <w:lang w:val="es-ES_tradnl"/>
        </w:rPr>
        <w:t>9.17</w:t>
      </w:r>
      <w:r w:rsidRPr="00E33572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y</w:t>
      </w:r>
      <w:r w:rsidRPr="00E33572">
        <w:rPr>
          <w:rFonts w:asciiTheme="minorHAnsi" w:hAnsiTheme="minorHAnsi"/>
          <w:lang w:val="es-ES_tradnl"/>
        </w:rPr>
        <w:t xml:space="preserve"> </w:t>
      </w:r>
      <w:r w:rsidRPr="00E33572">
        <w:rPr>
          <w:rFonts w:asciiTheme="minorHAnsi" w:hAnsiTheme="minorHAnsi"/>
          <w:b/>
          <w:bCs/>
          <w:lang w:val="es-ES_tradnl"/>
        </w:rPr>
        <w:t>9.18</w:t>
      </w:r>
      <w:r w:rsidRPr="00E33572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no serán de aplicación para esas aplicaciones del SFS</w:t>
      </w:r>
      <w:r w:rsidRPr="00E33572">
        <w:rPr>
          <w:rFonts w:asciiTheme="minorHAnsi" w:hAnsiTheme="minorHAnsi"/>
          <w:lang w:val="es-ES_tradnl"/>
        </w:rPr>
        <w:t>.</w:t>
      </w:r>
    </w:p>
    <w:p w:rsidR="00626175" w:rsidRPr="00E33572" w:rsidRDefault="00626175" w:rsidP="004D4709">
      <w:pPr>
        <w:pStyle w:val="BodyText"/>
        <w:numPr>
          <w:ilvl w:val="0"/>
          <w:numId w:val="6"/>
        </w:numPr>
        <w:tabs>
          <w:tab w:val="num" w:pos="567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 w:eastAsia="ko-KR"/>
        </w:rPr>
        <w:t>Supresión de la atribución al servicio fijo por satélite (espacio-Tierra) en la banda 15,</w:t>
      </w:r>
      <w:r w:rsidR="007A5637">
        <w:rPr>
          <w:rFonts w:asciiTheme="minorHAnsi" w:hAnsiTheme="minorHAnsi"/>
          <w:lang w:val="es-ES_tradnl" w:eastAsia="ko-KR"/>
        </w:rPr>
        <w:t>43</w:t>
      </w:r>
      <w:r w:rsidR="007A5637">
        <w:rPr>
          <w:rFonts w:asciiTheme="minorHAnsi" w:hAnsiTheme="minorHAnsi"/>
          <w:lang w:val="es-ES_tradnl" w:eastAsia="ko-KR"/>
        </w:rPr>
        <w:noBreakHyphen/>
      </w:r>
      <w:r w:rsidRPr="00E33572">
        <w:rPr>
          <w:rFonts w:asciiTheme="minorHAnsi" w:hAnsiTheme="minorHAnsi"/>
          <w:lang w:val="es-ES_tradnl" w:eastAsia="ko-KR"/>
        </w:rPr>
        <w:t>15,63</w:t>
      </w:r>
      <w:r w:rsidR="007A5637">
        <w:rPr>
          <w:rFonts w:asciiTheme="minorHAnsi" w:hAnsiTheme="minorHAnsi"/>
          <w:lang w:val="es-ES_tradnl" w:eastAsia="ko-KR"/>
        </w:rPr>
        <w:t> </w:t>
      </w:r>
      <w:r w:rsidRPr="00E33572">
        <w:rPr>
          <w:rFonts w:asciiTheme="minorHAnsi" w:hAnsiTheme="minorHAnsi"/>
          <w:lang w:val="es-ES_tradnl" w:eastAsia="ko-KR"/>
        </w:rPr>
        <w:t>GHz tras la modificaci</w:t>
      </w:r>
      <w:r>
        <w:rPr>
          <w:rFonts w:asciiTheme="minorHAnsi" w:hAnsiTheme="minorHAnsi"/>
          <w:lang w:val="es-ES_tradnl" w:eastAsia="ko-KR"/>
        </w:rPr>
        <w:t>ón del número</w:t>
      </w:r>
      <w:r w:rsidRPr="00E33572">
        <w:rPr>
          <w:rFonts w:asciiTheme="minorHAnsi" w:hAnsiTheme="minorHAnsi"/>
          <w:lang w:val="es-ES_tradnl" w:eastAsia="ko-KR"/>
        </w:rPr>
        <w:t xml:space="preserve"> </w:t>
      </w:r>
      <w:r w:rsidRPr="00E33572">
        <w:rPr>
          <w:rFonts w:asciiTheme="minorHAnsi" w:hAnsiTheme="minorHAnsi"/>
          <w:b/>
          <w:bCs/>
          <w:lang w:val="es-ES_tradnl" w:eastAsia="ko-KR"/>
        </w:rPr>
        <w:t>5.511A</w:t>
      </w:r>
      <w:r w:rsidRPr="00E33572">
        <w:rPr>
          <w:rFonts w:asciiTheme="minorHAnsi" w:hAnsiTheme="minorHAnsi"/>
          <w:lang w:val="es-ES_tradnl" w:eastAsia="ko-KR"/>
        </w:rPr>
        <w:t xml:space="preserve">. </w:t>
      </w:r>
      <w:r>
        <w:rPr>
          <w:rFonts w:asciiTheme="minorHAnsi" w:hAnsiTheme="minorHAnsi"/>
          <w:lang w:val="es-ES_tradnl" w:eastAsia="ko-KR"/>
        </w:rPr>
        <w:t>Así, la banda deja de estar compartida entre servicios espaciales y terrenales con todo lo que ello implica para la coordinación de los servicios terrenales</w:t>
      </w:r>
      <w:r w:rsidRPr="00E33572">
        <w:rPr>
          <w:rFonts w:asciiTheme="minorHAnsi" w:hAnsiTheme="minorHAnsi"/>
          <w:lang w:val="es-ES_tradnl" w:eastAsia="ko-KR"/>
        </w:rPr>
        <w:t>.</w:t>
      </w:r>
    </w:p>
    <w:p w:rsidR="00626175" w:rsidRPr="00E33572" w:rsidRDefault="00626175" w:rsidP="004D4709">
      <w:pPr>
        <w:pStyle w:val="BodyText"/>
        <w:numPr>
          <w:ilvl w:val="0"/>
          <w:numId w:val="6"/>
        </w:numPr>
        <w:tabs>
          <w:tab w:val="num" w:pos="567"/>
        </w:tabs>
        <w:spacing w:before="120"/>
        <w:ind w:left="567" w:hanging="567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 w:eastAsia="ko-KR"/>
        </w:rPr>
        <w:t>Supresión de la atribución al servicio fijo por satélite en las bandas 15,4</w:t>
      </w:r>
      <w:r w:rsidR="007A5637">
        <w:rPr>
          <w:rFonts w:asciiTheme="minorHAnsi" w:hAnsiTheme="minorHAnsi"/>
          <w:lang w:val="es-ES_tradnl" w:eastAsia="ko-KR"/>
        </w:rPr>
        <w:noBreakHyphen/>
      </w:r>
      <w:r w:rsidRPr="00E33572">
        <w:rPr>
          <w:rFonts w:asciiTheme="minorHAnsi" w:hAnsiTheme="minorHAnsi"/>
          <w:lang w:val="es-ES_tradnl" w:eastAsia="ko-KR"/>
        </w:rPr>
        <w:t>15,43 GHz y 15,63</w:t>
      </w:r>
      <w:r w:rsidR="007A5637">
        <w:rPr>
          <w:rFonts w:asciiTheme="minorHAnsi" w:hAnsiTheme="minorHAnsi"/>
          <w:lang w:val="es-ES_tradnl" w:eastAsia="ko-KR"/>
        </w:rPr>
        <w:noBreakHyphen/>
      </w:r>
      <w:r w:rsidRPr="00E33572">
        <w:rPr>
          <w:rFonts w:asciiTheme="minorHAnsi" w:hAnsiTheme="minorHAnsi"/>
          <w:lang w:val="es-ES_tradnl" w:eastAsia="ko-KR"/>
        </w:rPr>
        <w:t>15,7 GHz tras la supresión del n</w:t>
      </w:r>
      <w:r>
        <w:rPr>
          <w:rFonts w:asciiTheme="minorHAnsi" w:hAnsiTheme="minorHAnsi"/>
          <w:lang w:val="es-ES_tradnl" w:eastAsia="ko-KR"/>
        </w:rPr>
        <w:t>úmero</w:t>
      </w:r>
      <w:r w:rsidRPr="00E33572">
        <w:rPr>
          <w:rFonts w:asciiTheme="minorHAnsi" w:hAnsiTheme="minorHAnsi"/>
          <w:lang w:val="es-ES_tradnl" w:eastAsia="ko-KR"/>
        </w:rPr>
        <w:t xml:space="preserve"> </w:t>
      </w:r>
      <w:r w:rsidRPr="00E33572">
        <w:rPr>
          <w:rFonts w:asciiTheme="minorHAnsi" w:hAnsiTheme="minorHAnsi"/>
          <w:b/>
          <w:bCs/>
          <w:lang w:val="es-ES_tradnl" w:eastAsia="ko-KR"/>
        </w:rPr>
        <w:t>5.511D</w:t>
      </w:r>
      <w:r w:rsidRPr="00E33572">
        <w:rPr>
          <w:rFonts w:asciiTheme="minorHAnsi" w:hAnsiTheme="minorHAnsi"/>
          <w:lang w:val="es-ES_tradnl" w:eastAsia="ko-KR"/>
        </w:rPr>
        <w:t>. As</w:t>
      </w:r>
      <w:r>
        <w:rPr>
          <w:rFonts w:asciiTheme="minorHAnsi" w:hAnsiTheme="minorHAnsi"/>
          <w:lang w:val="es-ES_tradnl" w:eastAsia="ko-KR"/>
        </w:rPr>
        <w:t>í, la banda deja de estar compartida entre servicios espaciales y terrenales con todo lo que ello implica para la coordinación de los servicios terrenales</w:t>
      </w:r>
      <w:r w:rsidRPr="00E33572">
        <w:rPr>
          <w:rFonts w:asciiTheme="minorHAnsi" w:hAnsiTheme="minorHAnsi"/>
          <w:lang w:val="es-ES_tradnl" w:eastAsia="ko-KR"/>
        </w:rPr>
        <w:t>.</w:t>
      </w:r>
    </w:p>
    <w:p w:rsidR="00626175" w:rsidRPr="00E33572" w:rsidRDefault="00626175" w:rsidP="004D4709">
      <w:pPr>
        <w:pStyle w:val="BodyText"/>
        <w:spacing w:before="120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/>
        </w:rPr>
        <w:t>3.5</w:t>
      </w:r>
      <w:r w:rsidRPr="00E33572">
        <w:rPr>
          <w:rFonts w:asciiTheme="minorHAnsi" w:hAnsiTheme="minorHAnsi"/>
          <w:lang w:val="es-ES_tradnl"/>
        </w:rPr>
        <w:tab/>
        <w:t xml:space="preserve">La CMR-15 modificó los números </w:t>
      </w:r>
      <w:r w:rsidRPr="00E33572">
        <w:rPr>
          <w:rFonts w:asciiTheme="minorHAnsi" w:hAnsiTheme="minorHAnsi"/>
          <w:b/>
          <w:bCs/>
          <w:lang w:val="es-ES_tradnl"/>
        </w:rPr>
        <w:t>9.47</w:t>
      </w:r>
      <w:r w:rsidRPr="00E33572">
        <w:rPr>
          <w:rFonts w:asciiTheme="minorHAnsi" w:hAnsiTheme="minorHAnsi"/>
          <w:lang w:val="es-ES_tradnl"/>
        </w:rPr>
        <w:t xml:space="preserve"> y </w:t>
      </w:r>
      <w:r w:rsidRPr="00E33572">
        <w:rPr>
          <w:rFonts w:asciiTheme="minorHAnsi" w:hAnsiTheme="minorHAnsi"/>
          <w:b/>
          <w:bCs/>
          <w:lang w:val="es-ES_tradnl"/>
        </w:rPr>
        <w:t>9.62</w:t>
      </w:r>
      <w:r w:rsidRPr="00E33572">
        <w:rPr>
          <w:rFonts w:asciiTheme="minorHAnsi" w:hAnsiTheme="minorHAnsi"/>
          <w:lang w:val="es-ES_tradnl"/>
        </w:rPr>
        <w:t xml:space="preserve">, relacionados con los procedimientos de coordinación del Artículo </w:t>
      </w:r>
      <w:r w:rsidRPr="00E33572">
        <w:rPr>
          <w:rFonts w:asciiTheme="minorHAnsi" w:hAnsiTheme="minorHAnsi"/>
          <w:b/>
          <w:bCs/>
          <w:lang w:val="es-ES_tradnl"/>
        </w:rPr>
        <w:t>9</w:t>
      </w:r>
      <w:r w:rsidRPr="004D4709">
        <w:rPr>
          <w:rFonts w:asciiTheme="minorHAnsi" w:hAnsiTheme="minorHAnsi"/>
          <w:lang w:val="es-ES_tradnl"/>
        </w:rPr>
        <w:t>,</w:t>
      </w:r>
      <w:r w:rsidRPr="00E33572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mediante la introducción de un recordatorio adicional en caso de no respuesta. Se invita a las administraciones a tener en cuenta estas modificaciones en sus actividades de coordinación pertinentes</w:t>
      </w:r>
      <w:r w:rsidRPr="00E33572">
        <w:rPr>
          <w:rFonts w:asciiTheme="minorHAnsi" w:hAnsiTheme="minorHAnsi"/>
          <w:lang w:val="es-ES_tradnl"/>
        </w:rPr>
        <w:t>.</w:t>
      </w:r>
    </w:p>
    <w:p w:rsidR="00626175" w:rsidRPr="00554BAF" w:rsidRDefault="00626175" w:rsidP="004D4709">
      <w:pPr>
        <w:pStyle w:val="BodyText"/>
        <w:spacing w:before="120"/>
        <w:rPr>
          <w:rFonts w:asciiTheme="minorHAnsi" w:hAnsiTheme="minorHAnsi"/>
          <w:lang w:val="es-ES_tradnl"/>
        </w:rPr>
      </w:pPr>
      <w:r w:rsidRPr="00E33572">
        <w:rPr>
          <w:rFonts w:asciiTheme="minorHAnsi" w:hAnsiTheme="minorHAnsi"/>
          <w:lang w:val="es-ES_tradnl"/>
        </w:rPr>
        <w:t>3.6</w:t>
      </w:r>
      <w:r w:rsidRPr="00E33572">
        <w:rPr>
          <w:rFonts w:asciiTheme="minorHAnsi" w:hAnsiTheme="minorHAnsi"/>
          <w:lang w:val="es-ES_tradnl"/>
        </w:rPr>
        <w:tab/>
        <w:t>La CMR-15 examinó la descripción de los puntos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 </w:t>
      </w:r>
      <w:r w:rsidRPr="00E33572">
        <w:rPr>
          <w:rFonts w:asciiTheme="minorHAnsi" w:eastAsiaTheme="minorHAnsi" w:hAnsiTheme="minorHAnsi" w:cstheme="majorBidi"/>
          <w:b/>
          <w:bCs/>
          <w:color w:val="000000"/>
          <w:lang w:val="es-ES_tradnl"/>
        </w:rPr>
        <w:t>1EO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 (1.5.10.1 – desplazamiento en frecuencia), </w:t>
      </w:r>
      <w:r w:rsidRPr="00E33572">
        <w:rPr>
          <w:rFonts w:asciiTheme="minorHAnsi" w:eastAsiaTheme="minorHAnsi" w:hAnsiTheme="minorHAnsi" w:cstheme="majorBidi"/>
          <w:b/>
          <w:bCs/>
          <w:color w:val="000000"/>
          <w:lang w:val="es-ES_tradnl"/>
        </w:rPr>
        <w:t>7A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 (7.1 – clase de emisi</w:t>
      </w:r>
      <w:r>
        <w:rPr>
          <w:rFonts w:asciiTheme="minorHAnsi" w:eastAsiaTheme="minorHAnsi" w:hAnsiTheme="minorHAnsi" w:cstheme="majorBidi"/>
          <w:color w:val="000000"/>
          <w:lang w:val="es-ES_tradnl"/>
        </w:rPr>
        <w:t>ón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) </w:t>
      </w:r>
      <w:r>
        <w:rPr>
          <w:rFonts w:asciiTheme="minorHAnsi" w:eastAsiaTheme="minorHAnsi" w:hAnsiTheme="minorHAnsi" w:cstheme="majorBidi"/>
          <w:color w:val="000000"/>
          <w:lang w:val="es-ES_tradnl"/>
        </w:rPr>
        <w:t>y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 </w:t>
      </w:r>
      <w:r w:rsidRPr="00E33572">
        <w:rPr>
          <w:rFonts w:asciiTheme="minorHAnsi" w:eastAsiaTheme="minorHAnsi" w:hAnsiTheme="minorHAnsi" w:cstheme="majorBidi"/>
          <w:b/>
          <w:bCs/>
          <w:color w:val="000000"/>
          <w:lang w:val="es-ES_tradnl"/>
        </w:rPr>
        <w:t>7AB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 (7.2</w:t>
      </w:r>
      <w:r w:rsidR="004D4709">
        <w:rPr>
          <w:rFonts w:asciiTheme="minorHAnsi" w:eastAsiaTheme="minorHAnsi" w:hAnsiTheme="minorHAnsi" w:cstheme="majorBidi"/>
          <w:color w:val="000000"/>
          <w:lang w:val="es-ES_tradnl"/>
        </w:rPr>
        <w:t xml:space="preserve"> –</w:t>
      </w:r>
      <w:r w:rsidRPr="00E33572">
        <w:rPr>
          <w:rFonts w:asciiTheme="minorHAnsi" w:eastAsiaTheme="minorHAnsi" w:hAnsiTheme="minorHAnsi" w:cstheme="majorBidi"/>
          <w:color w:val="000000"/>
          <w:lang w:val="es-ES_tradnl"/>
        </w:rPr>
        <w:t xml:space="preserve"> </w:t>
      </w:r>
      <w:r>
        <w:rPr>
          <w:rFonts w:asciiTheme="minorHAnsi" w:eastAsiaTheme="minorHAnsi" w:hAnsiTheme="minorHAnsi" w:cstheme="majorBidi"/>
          <w:color w:val="000000"/>
          <w:lang w:val="es-ES_tradnl"/>
        </w:rPr>
        <w:t>ancho de banda necesario) del Cuadro</w:t>
      </w:r>
      <w:r w:rsidRPr="00E33572">
        <w:rPr>
          <w:rFonts w:asciiTheme="minorHAnsi" w:hAnsiTheme="minorHAnsi"/>
          <w:w w:val="110"/>
          <w:lang w:val="es-ES_tradnl"/>
        </w:rPr>
        <w:t xml:space="preserve"> </w:t>
      </w:r>
      <w:r w:rsidRPr="00E33572">
        <w:rPr>
          <w:rFonts w:asciiTheme="minorHAnsi" w:hAnsiTheme="minorHAnsi"/>
          <w:lang w:val="es-ES_tradnl"/>
        </w:rPr>
        <w:t>1 (C</w:t>
      </w:r>
      <w:r>
        <w:rPr>
          <w:rFonts w:asciiTheme="minorHAnsi" w:hAnsiTheme="minorHAnsi"/>
          <w:lang w:val="es-ES_tradnl"/>
        </w:rPr>
        <w:t>aracterísticas de los servicios terrenales) del Apéndice</w:t>
      </w:r>
      <w:r w:rsidRPr="00E33572">
        <w:rPr>
          <w:rFonts w:asciiTheme="minorHAnsi" w:hAnsiTheme="minorHAnsi"/>
          <w:lang w:val="es-ES_tradnl"/>
        </w:rPr>
        <w:t xml:space="preserve"> </w:t>
      </w:r>
      <w:r w:rsidRPr="00E33572">
        <w:rPr>
          <w:rFonts w:asciiTheme="minorHAnsi" w:hAnsiTheme="minorHAnsi"/>
          <w:b/>
          <w:bCs/>
          <w:lang w:val="es-ES_tradnl"/>
        </w:rPr>
        <w:t>4</w:t>
      </w:r>
      <w:r w:rsidRPr="00E33572">
        <w:rPr>
          <w:rFonts w:asciiTheme="minorHAnsi" w:hAnsiTheme="minorHAnsi"/>
          <w:lang w:val="es-ES_tradnl"/>
        </w:rPr>
        <w:t xml:space="preserve">. </w:t>
      </w:r>
      <w:r w:rsidRPr="00554BAF">
        <w:rPr>
          <w:rFonts w:asciiTheme="minorHAnsi" w:hAnsiTheme="minorHAnsi"/>
          <w:lang w:val="es-ES_tradnl"/>
        </w:rPr>
        <w:t>Estos elementos, que anteriormente sólo se exigían para la notificación en la zona de planificación y las bandas del Acuerdo GE06, son ahora de obligada presentaci</w:t>
      </w:r>
      <w:r>
        <w:rPr>
          <w:rFonts w:asciiTheme="minorHAnsi" w:hAnsiTheme="minorHAnsi"/>
          <w:lang w:val="es-ES_tradnl"/>
        </w:rPr>
        <w:t>ón en las notificaciones en virtud de los números</w:t>
      </w:r>
      <w:r w:rsidRPr="00554BAF">
        <w:rPr>
          <w:rFonts w:asciiTheme="minorHAnsi" w:hAnsiTheme="minorHAnsi"/>
          <w:lang w:val="es-ES_tradnl"/>
        </w:rPr>
        <w:t xml:space="preserve"> </w:t>
      </w:r>
      <w:r w:rsidRPr="00554BAF">
        <w:rPr>
          <w:rFonts w:asciiTheme="minorHAnsi" w:hAnsiTheme="minorHAnsi"/>
          <w:b/>
          <w:bCs/>
          <w:lang w:val="es-ES_tradnl"/>
        </w:rPr>
        <w:t>11.2</w:t>
      </w:r>
      <w:r w:rsidRPr="00554BAF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y</w:t>
      </w:r>
      <w:r w:rsidRPr="00554BAF">
        <w:rPr>
          <w:rFonts w:asciiTheme="minorHAnsi" w:hAnsiTheme="minorHAnsi"/>
          <w:lang w:val="es-ES_tradnl"/>
        </w:rPr>
        <w:t xml:space="preserve"> </w:t>
      </w:r>
      <w:r w:rsidRPr="00554BAF">
        <w:rPr>
          <w:rFonts w:asciiTheme="minorHAnsi" w:hAnsiTheme="minorHAnsi"/>
          <w:b/>
          <w:bCs/>
          <w:lang w:val="es-ES_tradnl"/>
        </w:rPr>
        <w:t>9.21</w:t>
      </w:r>
      <w:r>
        <w:rPr>
          <w:rFonts w:asciiTheme="minorHAnsi" w:hAnsiTheme="minorHAnsi"/>
          <w:b/>
          <w:bCs/>
          <w:lang w:val="es-ES_tradnl"/>
        </w:rPr>
        <w:t xml:space="preserve">, </w:t>
      </w:r>
      <w:r>
        <w:rPr>
          <w:rFonts w:asciiTheme="minorHAnsi" w:hAnsiTheme="minorHAnsi"/>
          <w:lang w:val="es-ES_tradnl"/>
        </w:rPr>
        <w:t>también para los países y bandas que no pertenecen al Acuerdo GE06</w:t>
      </w:r>
      <w:r w:rsidRPr="00554BAF">
        <w:rPr>
          <w:rFonts w:asciiTheme="minorHAnsi" w:hAnsiTheme="minorHAnsi"/>
          <w:lang w:val="es-ES_tradnl"/>
        </w:rPr>
        <w:t xml:space="preserve">. </w:t>
      </w:r>
    </w:p>
    <w:p w:rsidR="00807655" w:rsidRDefault="00626175" w:rsidP="004D4709">
      <w:pPr>
        <w:pStyle w:val="BodyText"/>
        <w:spacing w:before="120"/>
        <w:rPr>
          <w:rFonts w:asciiTheme="minorHAnsi" w:hAnsiTheme="minorHAnsi"/>
          <w:lang w:val="es-ES_tradnl"/>
        </w:rPr>
      </w:pPr>
      <w:r w:rsidRPr="006820FF">
        <w:rPr>
          <w:rFonts w:asciiTheme="minorHAnsi" w:hAnsiTheme="minorHAnsi"/>
          <w:b/>
          <w:bCs/>
          <w:lang w:val="es-ES_tradnl"/>
        </w:rPr>
        <w:t>4</w:t>
      </w:r>
      <w:r w:rsidRPr="00554BAF">
        <w:rPr>
          <w:rFonts w:asciiTheme="minorHAnsi" w:hAnsiTheme="minorHAnsi"/>
          <w:lang w:val="es-ES_tradnl"/>
        </w:rPr>
        <w:tab/>
        <w:t xml:space="preserve">en lo que respecta a la Resolución </w:t>
      </w:r>
      <w:r w:rsidRPr="00554BAF">
        <w:rPr>
          <w:rFonts w:asciiTheme="minorHAnsi" w:hAnsiTheme="minorHAnsi"/>
          <w:b/>
          <w:bCs/>
          <w:lang w:val="es-ES_tradnl"/>
        </w:rPr>
        <w:t>809 (CMR-15)</w:t>
      </w:r>
      <w:r w:rsidRPr="00554BAF">
        <w:rPr>
          <w:rFonts w:asciiTheme="minorHAnsi" w:hAnsiTheme="minorHAnsi"/>
          <w:lang w:val="es-ES_tradnl"/>
        </w:rPr>
        <w:t xml:space="preserve">, que trata del orden del día de la Conferencia Mundial de Radiocomunicaciones de 2019, y la Resolución </w:t>
      </w:r>
      <w:r w:rsidRPr="00554BAF">
        <w:rPr>
          <w:rFonts w:asciiTheme="minorHAnsi" w:hAnsiTheme="minorHAnsi"/>
          <w:b/>
          <w:bCs/>
          <w:lang w:val="es-ES_tradnl"/>
        </w:rPr>
        <w:t>810 (CMR-15)</w:t>
      </w:r>
      <w:r w:rsidRPr="00554BAF">
        <w:rPr>
          <w:rFonts w:asciiTheme="minorHAnsi" w:hAnsiTheme="minorHAnsi"/>
          <w:lang w:val="es-ES_tradnl"/>
        </w:rPr>
        <w:t>, Orden del día preliminar de la Conferencia Mundial de Radiocomunicaciones de 2023</w:t>
      </w:r>
      <w:r>
        <w:rPr>
          <w:rFonts w:asciiTheme="minorHAnsi" w:hAnsiTheme="minorHAnsi"/>
          <w:lang w:val="es-ES_tradnl"/>
        </w:rPr>
        <w:t>, de conformidad con la práctica habitual, se han iniciado las actividades preparatorias necesarias y los resultados de la primera sesión de la Reunión Preparatoria de la Conferencia de 2019 (RPC1</w:t>
      </w:r>
      <w:r w:rsidRPr="00554BAF">
        <w:rPr>
          <w:rFonts w:asciiTheme="minorHAnsi" w:hAnsiTheme="minorHAnsi"/>
          <w:lang w:val="es-ES_tradnl"/>
        </w:rPr>
        <w:t xml:space="preserve">9-1) </w:t>
      </w:r>
      <w:r>
        <w:rPr>
          <w:rFonts w:asciiTheme="minorHAnsi" w:hAnsiTheme="minorHAnsi"/>
          <w:lang w:val="es-ES_tradnl"/>
        </w:rPr>
        <w:t>ya se han comunicado a los Miembros (véase la Circular Administrativa</w:t>
      </w:r>
      <w:r w:rsidRPr="00554BAF">
        <w:rPr>
          <w:rFonts w:asciiTheme="minorHAnsi" w:hAnsiTheme="minorHAnsi"/>
          <w:lang w:val="es-ES_tradnl"/>
        </w:rPr>
        <w:t xml:space="preserve"> </w:t>
      </w:r>
      <w:r w:rsidRPr="00554BAF">
        <w:rPr>
          <w:rFonts w:asciiTheme="minorHAnsi" w:hAnsiTheme="minorHAnsi"/>
          <w:b/>
          <w:bCs/>
          <w:lang w:val="es-ES_tradnl"/>
        </w:rPr>
        <w:t>CA/226</w:t>
      </w:r>
      <w:r w:rsidRPr="00554BAF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de</w:t>
      </w:r>
      <w:r w:rsidRPr="00554BAF">
        <w:rPr>
          <w:rFonts w:asciiTheme="minorHAnsi" w:hAnsiTheme="minorHAnsi"/>
          <w:lang w:val="es-ES_tradnl"/>
        </w:rPr>
        <w:t xml:space="preserve"> 23 </w:t>
      </w:r>
      <w:r>
        <w:rPr>
          <w:rFonts w:asciiTheme="minorHAnsi" w:hAnsiTheme="minorHAnsi"/>
          <w:lang w:val="es-ES_tradnl"/>
        </w:rPr>
        <w:t>de diciembre de</w:t>
      </w:r>
      <w:r w:rsidRPr="00554BAF">
        <w:rPr>
          <w:rFonts w:asciiTheme="minorHAnsi" w:hAnsiTheme="minorHAnsi"/>
          <w:lang w:val="es-ES_tradnl"/>
        </w:rPr>
        <w:t xml:space="preserve"> 2015).</w:t>
      </w:r>
    </w:p>
    <w:p w:rsidR="00626175" w:rsidRPr="00554BAF" w:rsidRDefault="00626175" w:rsidP="004D470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0"/>
        </w:tabs>
        <w:jc w:val="left"/>
        <w:rPr>
          <w:rFonts w:asciiTheme="minorHAnsi" w:hAnsiTheme="minorHAnsi"/>
          <w:szCs w:val="24"/>
          <w:lang w:val="es-ES_tradnl"/>
        </w:rPr>
      </w:pPr>
      <w:r w:rsidRPr="006820FF">
        <w:rPr>
          <w:rFonts w:asciiTheme="minorHAnsi" w:hAnsiTheme="minorHAnsi"/>
          <w:b/>
          <w:bCs/>
          <w:szCs w:val="24"/>
          <w:lang w:val="es-ES_tradnl"/>
        </w:rPr>
        <w:lastRenderedPageBreak/>
        <w:t>5</w:t>
      </w:r>
      <w:r w:rsidRPr="00554BAF">
        <w:rPr>
          <w:rFonts w:asciiTheme="minorHAnsi" w:hAnsiTheme="minorHAnsi"/>
          <w:szCs w:val="24"/>
          <w:lang w:val="es-ES_tradnl"/>
        </w:rPr>
        <w:tab/>
        <w:t xml:space="preserve">Por ultimo, deseo llamar su atención sobre las disposiciones del Artículo </w:t>
      </w:r>
      <w:r w:rsidRPr="00554BAF">
        <w:rPr>
          <w:rFonts w:asciiTheme="minorHAnsi" w:hAnsiTheme="minorHAnsi"/>
          <w:b/>
          <w:bCs/>
          <w:szCs w:val="24"/>
          <w:lang w:val="es-ES_tradnl"/>
        </w:rPr>
        <w:t>54</w:t>
      </w:r>
      <w:r w:rsidRPr="00554BAF">
        <w:rPr>
          <w:rFonts w:asciiTheme="minorHAnsi" w:hAnsiTheme="minorHAnsi"/>
          <w:szCs w:val="24"/>
          <w:lang w:val="es-ES_tradnl"/>
        </w:rPr>
        <w:t xml:space="preserve"> de la Constitución, que invita a los Estados Miembros a notificar al Secretario General su consentimiento en obligarse por una revisi</w:t>
      </w:r>
      <w:r>
        <w:rPr>
          <w:rFonts w:asciiTheme="minorHAnsi" w:hAnsiTheme="minorHAnsi"/>
          <w:szCs w:val="24"/>
          <w:lang w:val="es-ES_tradnl"/>
        </w:rPr>
        <w:t>ón del Reglamento de Radiocomunicaciones</w:t>
      </w:r>
      <w:r w:rsidRPr="00554BAF">
        <w:rPr>
          <w:rFonts w:asciiTheme="minorHAnsi" w:hAnsiTheme="minorHAnsi"/>
          <w:szCs w:val="24"/>
          <w:lang w:val="es-ES_tradnl"/>
        </w:rPr>
        <w:t xml:space="preserve">. </w:t>
      </w:r>
    </w:p>
    <w:p w:rsidR="00626175" w:rsidRPr="00554BAF" w:rsidRDefault="00626175" w:rsidP="004D4709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0"/>
        </w:tabs>
        <w:jc w:val="left"/>
        <w:rPr>
          <w:rFonts w:asciiTheme="minorHAnsi" w:hAnsiTheme="minorHAnsi"/>
          <w:szCs w:val="24"/>
          <w:lang w:val="es-ES_tradnl"/>
        </w:rPr>
      </w:pPr>
      <w:r w:rsidRPr="006820FF">
        <w:rPr>
          <w:rFonts w:asciiTheme="minorHAnsi" w:hAnsiTheme="minorHAnsi"/>
          <w:b/>
          <w:bCs/>
          <w:szCs w:val="24"/>
          <w:lang w:val="es-ES_tradnl"/>
        </w:rPr>
        <w:t>6</w:t>
      </w:r>
      <w:r w:rsidRPr="00554BAF">
        <w:rPr>
          <w:rFonts w:asciiTheme="minorHAnsi" w:hAnsiTheme="minorHAnsi"/>
          <w:szCs w:val="24"/>
          <w:lang w:val="es-ES_tradnl"/>
        </w:rPr>
        <w:tab/>
        <w:t>La Oficina queda a la disposición de su Administración para todo tipo de aclaración que pudiera necesitar sobre los temas abordados en esta Carta Circular.</w:t>
      </w:r>
    </w:p>
    <w:p w:rsidR="00626175" w:rsidRDefault="00626175" w:rsidP="004D4709">
      <w:pPr>
        <w:keepNext/>
        <w:keepLines/>
        <w:jc w:val="left"/>
        <w:rPr>
          <w:rFonts w:asciiTheme="minorHAnsi" w:hAnsiTheme="minorHAnsi"/>
          <w:szCs w:val="24"/>
          <w:lang w:val="fr-CH"/>
        </w:rPr>
      </w:pPr>
      <w:bookmarkStart w:id="1" w:name="_GoBack"/>
      <w:bookmarkEnd w:id="1"/>
    </w:p>
    <w:p w:rsidR="004D4709" w:rsidRPr="00554BAF" w:rsidRDefault="004D4709" w:rsidP="004D4709">
      <w:pPr>
        <w:keepNext/>
        <w:keepLines/>
        <w:jc w:val="left"/>
        <w:rPr>
          <w:rFonts w:asciiTheme="minorHAnsi" w:hAnsiTheme="minorHAnsi"/>
          <w:szCs w:val="24"/>
          <w:lang w:val="fr-CH"/>
        </w:rPr>
      </w:pPr>
    </w:p>
    <w:p w:rsidR="00626175" w:rsidRPr="00554BAF" w:rsidRDefault="00626175" w:rsidP="004D4709">
      <w:pPr>
        <w:keepNext/>
        <w:keepLines/>
        <w:jc w:val="left"/>
        <w:rPr>
          <w:lang w:val="fr-CH"/>
        </w:rPr>
      </w:pPr>
    </w:p>
    <w:p w:rsidR="00626175" w:rsidRPr="00554BAF" w:rsidRDefault="00626175" w:rsidP="004D4709">
      <w:pPr>
        <w:keepNext/>
        <w:keepLines/>
        <w:jc w:val="left"/>
        <w:rPr>
          <w:lang w:val="fr-CH"/>
        </w:rPr>
      </w:pPr>
      <w:r w:rsidRPr="00554BAF">
        <w:rPr>
          <w:lang w:val="fr-CH"/>
        </w:rPr>
        <w:t>François Rancy</w:t>
      </w:r>
      <w:r w:rsidRPr="00554BAF">
        <w:rPr>
          <w:lang w:val="fr-CH"/>
        </w:rPr>
        <w:br/>
        <w:t>Director</w:t>
      </w:r>
    </w:p>
    <w:p w:rsidR="00626175" w:rsidRPr="00554BAF" w:rsidRDefault="00626175" w:rsidP="00A055E4">
      <w:pPr>
        <w:rPr>
          <w:lang w:val="fr-CH"/>
        </w:rPr>
      </w:pPr>
    </w:p>
    <w:p w:rsidR="00626175" w:rsidRPr="00554BAF" w:rsidRDefault="00626175" w:rsidP="00A055E4">
      <w:pPr>
        <w:rPr>
          <w:lang w:val="fr-CH"/>
        </w:rPr>
      </w:pPr>
    </w:p>
    <w:p w:rsidR="00626175" w:rsidRPr="00554BAF" w:rsidRDefault="00626175" w:rsidP="00A055E4">
      <w:pPr>
        <w:rPr>
          <w:lang w:val="fr-CH"/>
        </w:rPr>
      </w:pPr>
    </w:p>
    <w:p w:rsidR="00626175" w:rsidRPr="00554BAF" w:rsidRDefault="00626175" w:rsidP="00A055E4">
      <w:pPr>
        <w:rPr>
          <w:lang w:val="fr-CH"/>
        </w:rPr>
      </w:pPr>
    </w:p>
    <w:p w:rsidR="004D4709" w:rsidRPr="00554BAF" w:rsidRDefault="004D4709" w:rsidP="004D4709">
      <w:pPr>
        <w:keepNext/>
        <w:keepLines/>
        <w:jc w:val="left"/>
        <w:rPr>
          <w:lang w:val="fr-CH"/>
        </w:rPr>
      </w:pPr>
      <w:bookmarkStart w:id="2" w:name="ddistribution"/>
      <w:bookmarkEnd w:id="2"/>
      <w:r w:rsidRPr="00554BAF">
        <w:rPr>
          <w:lang w:val="fr-CH"/>
        </w:rPr>
        <w:t>Anex</w:t>
      </w:r>
      <w:r>
        <w:rPr>
          <w:lang w:val="fr-CH"/>
        </w:rPr>
        <w:t>o</w:t>
      </w:r>
      <w:r w:rsidRPr="00554BAF">
        <w:rPr>
          <w:lang w:val="fr-CH"/>
        </w:rPr>
        <w:t>s: 2</w:t>
      </w:r>
    </w:p>
    <w:p w:rsidR="004D4709" w:rsidRDefault="004D4709" w:rsidP="00A055E4">
      <w:pPr>
        <w:rPr>
          <w:lang w:val="fr-CH"/>
        </w:rPr>
      </w:pPr>
    </w:p>
    <w:p w:rsidR="004D4709" w:rsidRDefault="004D4709" w:rsidP="00A055E4">
      <w:pPr>
        <w:rPr>
          <w:lang w:val="fr-CH"/>
        </w:rPr>
      </w:pPr>
    </w:p>
    <w:p w:rsidR="004D4709" w:rsidRDefault="004D4709" w:rsidP="00A055E4">
      <w:pPr>
        <w:rPr>
          <w:lang w:val="fr-CH"/>
        </w:rPr>
      </w:pPr>
    </w:p>
    <w:p w:rsidR="004D4709" w:rsidRDefault="004D4709" w:rsidP="00A055E4">
      <w:pPr>
        <w:rPr>
          <w:lang w:val="fr-CH"/>
        </w:rPr>
      </w:pPr>
    </w:p>
    <w:p w:rsidR="004D4709" w:rsidRDefault="004D4709" w:rsidP="00A055E4">
      <w:pPr>
        <w:rPr>
          <w:lang w:val="fr-CH"/>
        </w:rPr>
      </w:pPr>
    </w:p>
    <w:p w:rsidR="004D4709" w:rsidRDefault="004D4709" w:rsidP="00A055E4">
      <w:pPr>
        <w:rPr>
          <w:lang w:val="fr-CH"/>
        </w:rPr>
      </w:pPr>
    </w:p>
    <w:p w:rsidR="00A055E4" w:rsidRDefault="00A055E4" w:rsidP="006A27F7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lang w:val="fr-CH"/>
        </w:rPr>
      </w:pPr>
    </w:p>
    <w:p w:rsidR="00A055E4" w:rsidRDefault="00A055E4" w:rsidP="00A055E4">
      <w:pPr>
        <w:rPr>
          <w:lang w:val="fr-CH"/>
        </w:rPr>
      </w:pPr>
    </w:p>
    <w:p w:rsidR="00A055E4" w:rsidRDefault="00A055E4" w:rsidP="00A055E4">
      <w:pPr>
        <w:rPr>
          <w:lang w:val="fr-CH"/>
        </w:rPr>
      </w:pPr>
    </w:p>
    <w:p w:rsidR="00A055E4" w:rsidRDefault="00A055E4" w:rsidP="00A055E4">
      <w:pPr>
        <w:rPr>
          <w:lang w:val="fr-CH"/>
        </w:rPr>
      </w:pPr>
    </w:p>
    <w:p w:rsidR="006A27F7" w:rsidRDefault="006A27F7" w:rsidP="00A055E4">
      <w:pPr>
        <w:rPr>
          <w:lang w:val="fr-CH"/>
        </w:rPr>
      </w:pPr>
    </w:p>
    <w:p w:rsidR="006A27F7" w:rsidRDefault="006A27F7" w:rsidP="00A055E4">
      <w:pPr>
        <w:rPr>
          <w:lang w:val="fr-CH"/>
        </w:rPr>
      </w:pPr>
    </w:p>
    <w:p w:rsidR="006A27F7" w:rsidRDefault="006A27F7" w:rsidP="00A055E4">
      <w:pPr>
        <w:rPr>
          <w:lang w:val="fr-CH"/>
        </w:rPr>
      </w:pPr>
    </w:p>
    <w:p w:rsidR="00F006CF" w:rsidRDefault="00F006CF" w:rsidP="00A055E4">
      <w:pPr>
        <w:rPr>
          <w:lang w:val="fr-CH"/>
        </w:rPr>
      </w:pPr>
    </w:p>
    <w:p w:rsidR="00F006CF" w:rsidRDefault="00F006CF" w:rsidP="00A055E4">
      <w:pPr>
        <w:rPr>
          <w:lang w:val="fr-CH"/>
        </w:rPr>
      </w:pPr>
    </w:p>
    <w:p w:rsidR="00626175" w:rsidRPr="00554BAF" w:rsidRDefault="00626175" w:rsidP="004D4709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480"/>
        <w:ind w:left="28"/>
        <w:rPr>
          <w:bCs/>
          <w:sz w:val="18"/>
          <w:szCs w:val="18"/>
          <w:u w:val="single"/>
          <w:lang w:val="fr-CH"/>
        </w:rPr>
      </w:pPr>
      <w:r w:rsidRPr="00554BAF">
        <w:rPr>
          <w:bCs/>
          <w:sz w:val="18"/>
          <w:szCs w:val="18"/>
          <w:u w:val="single"/>
          <w:lang w:val="fr-CH"/>
        </w:rPr>
        <w:t>Distribu</w:t>
      </w:r>
      <w:r>
        <w:rPr>
          <w:bCs/>
          <w:sz w:val="18"/>
          <w:szCs w:val="18"/>
          <w:u w:val="single"/>
          <w:lang w:val="fr-CH"/>
        </w:rPr>
        <w:t>ción</w:t>
      </w:r>
      <w:r w:rsidRPr="00554BAF">
        <w:rPr>
          <w:bCs/>
          <w:sz w:val="18"/>
          <w:szCs w:val="18"/>
          <w:u w:val="single"/>
          <w:lang w:val="fr-CH"/>
        </w:rPr>
        <w:t>:</w:t>
      </w:r>
    </w:p>
    <w:p w:rsidR="00626175" w:rsidRPr="00554BAF" w:rsidRDefault="00626175" w:rsidP="00F006CF">
      <w:pPr>
        <w:pStyle w:val="enumlev1"/>
        <w:keepNext/>
        <w:keepLines/>
        <w:numPr>
          <w:ilvl w:val="0"/>
          <w:numId w:val="3"/>
        </w:numPr>
        <w:tabs>
          <w:tab w:val="clear" w:pos="794"/>
          <w:tab w:val="left" w:pos="426"/>
        </w:tabs>
        <w:spacing w:before="0"/>
        <w:ind w:left="28" w:firstLine="56"/>
        <w:jc w:val="left"/>
        <w:rPr>
          <w:sz w:val="18"/>
          <w:szCs w:val="18"/>
          <w:lang w:val="es-ES_tradnl"/>
        </w:rPr>
      </w:pPr>
      <w:r w:rsidRPr="00554BAF">
        <w:rPr>
          <w:sz w:val="18"/>
          <w:szCs w:val="18"/>
          <w:lang w:val="es-ES_tradnl"/>
        </w:rPr>
        <w:t>Administraciones de los Estados Miembros de la UIT</w:t>
      </w:r>
    </w:p>
    <w:p w:rsidR="00A055E4" w:rsidRDefault="00626175" w:rsidP="00F006CF">
      <w:pPr>
        <w:pStyle w:val="enumlev1"/>
        <w:keepNext/>
        <w:keepLines/>
        <w:numPr>
          <w:ilvl w:val="0"/>
          <w:numId w:val="3"/>
        </w:numPr>
        <w:tabs>
          <w:tab w:val="clear" w:pos="794"/>
          <w:tab w:val="left" w:pos="426"/>
        </w:tabs>
        <w:spacing w:before="0"/>
        <w:ind w:left="84" w:firstLine="0"/>
        <w:jc w:val="left"/>
        <w:rPr>
          <w:sz w:val="18"/>
          <w:szCs w:val="18"/>
          <w:lang w:val="es-ES_tradnl"/>
        </w:rPr>
      </w:pPr>
      <w:r w:rsidRPr="00554BAF">
        <w:rPr>
          <w:sz w:val="18"/>
          <w:szCs w:val="18"/>
          <w:lang w:val="es-ES_tradnl"/>
        </w:rPr>
        <w:t xml:space="preserve">Miembros de la Junta del Reglamento de Radiocomunicaciones </w:t>
      </w:r>
    </w:p>
    <w:p w:rsidR="00A055E4" w:rsidRDefault="00A055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br w:type="page"/>
      </w:r>
    </w:p>
    <w:p w:rsidR="00626175" w:rsidRPr="00626175" w:rsidRDefault="00626175" w:rsidP="00A055E4">
      <w:pPr>
        <w:pStyle w:val="AnnexNotitle0"/>
        <w:spacing w:after="80"/>
        <w:rPr>
          <w:rFonts w:asciiTheme="minorHAnsi" w:hAnsiTheme="minorHAnsi"/>
          <w:lang w:val="es-ES_tradnl"/>
        </w:rPr>
      </w:pPr>
      <w:r w:rsidRPr="00626175">
        <w:rPr>
          <w:rFonts w:asciiTheme="minorHAnsi" w:hAnsiTheme="minorHAnsi"/>
          <w:b w:val="0"/>
          <w:bCs/>
          <w:lang w:val="es-ES_tradnl"/>
        </w:rPr>
        <w:lastRenderedPageBreak/>
        <w:t>ANEXO 1</w:t>
      </w:r>
    </w:p>
    <w:p w:rsidR="00626175" w:rsidRPr="00554BAF" w:rsidRDefault="00626175" w:rsidP="00A055E4">
      <w:pPr>
        <w:pStyle w:val="AnnexNotitle0"/>
        <w:spacing w:before="240"/>
        <w:rPr>
          <w:rFonts w:asciiTheme="minorHAnsi" w:hAnsiTheme="minorHAnsi"/>
          <w:lang w:val="es-ES_tradnl"/>
        </w:rPr>
      </w:pPr>
      <w:r w:rsidRPr="00554BAF">
        <w:rPr>
          <w:rFonts w:asciiTheme="minorHAnsi" w:hAnsiTheme="minorHAnsi"/>
          <w:lang w:val="es-ES_tradnl"/>
        </w:rPr>
        <w:t xml:space="preserve">Cuadro de correspondencia entre números provisionales y definitivos para las nuevas Resoluciones y Recomendaciones de la CMR-15 </w:t>
      </w:r>
    </w:p>
    <w:p w:rsidR="00626175" w:rsidRPr="00554BAF" w:rsidRDefault="00626175" w:rsidP="004D4709">
      <w:pPr>
        <w:jc w:val="left"/>
        <w:rPr>
          <w:rFonts w:asciiTheme="minorHAnsi" w:hAnsiTheme="minorHAnsi"/>
          <w:lang w:val="es-ES_tradnl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58"/>
        <w:gridCol w:w="1502"/>
        <w:gridCol w:w="1783"/>
        <w:gridCol w:w="1477"/>
        <w:gridCol w:w="1809"/>
      </w:tblGrid>
      <w:tr w:rsidR="00626175" w:rsidRPr="005D4395" w:rsidTr="008605B1">
        <w:trPr>
          <w:jc w:val="center"/>
        </w:trPr>
        <w:tc>
          <w:tcPr>
            <w:tcW w:w="1526" w:type="dxa"/>
          </w:tcPr>
          <w:p w:rsidR="00626175" w:rsidRPr="00B22D3D" w:rsidRDefault="00626175" w:rsidP="00C370CC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es-ES_tradnl"/>
              </w:rPr>
              <w:t>Número provisional</w:t>
            </w:r>
          </w:p>
        </w:tc>
        <w:tc>
          <w:tcPr>
            <w:tcW w:w="1758" w:type="dxa"/>
          </w:tcPr>
          <w:p w:rsidR="00626175" w:rsidRPr="00B22D3D" w:rsidRDefault="00626175" w:rsidP="00C370CC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definitivo</w:t>
            </w:r>
          </w:p>
        </w:tc>
        <w:tc>
          <w:tcPr>
            <w:tcW w:w="1502" w:type="dxa"/>
          </w:tcPr>
          <w:p w:rsidR="00626175" w:rsidRPr="00B22D3D" w:rsidRDefault="00626175" w:rsidP="00C370CC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provisional</w:t>
            </w:r>
          </w:p>
        </w:tc>
        <w:tc>
          <w:tcPr>
            <w:tcW w:w="1783" w:type="dxa"/>
          </w:tcPr>
          <w:p w:rsidR="00626175" w:rsidRPr="00B22D3D" w:rsidRDefault="00626175" w:rsidP="00C370CC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definitivo</w:t>
            </w:r>
          </w:p>
        </w:tc>
        <w:tc>
          <w:tcPr>
            <w:tcW w:w="1477" w:type="dxa"/>
          </w:tcPr>
          <w:p w:rsidR="00626175" w:rsidRPr="00B22D3D" w:rsidRDefault="00626175" w:rsidP="00C370CC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provisional</w:t>
            </w:r>
          </w:p>
        </w:tc>
        <w:tc>
          <w:tcPr>
            <w:tcW w:w="1809" w:type="dxa"/>
          </w:tcPr>
          <w:p w:rsidR="00626175" w:rsidRPr="00B22D3D" w:rsidRDefault="00626175" w:rsidP="00C370CC">
            <w:pPr>
              <w:pStyle w:val="Tablehead"/>
              <w:tabs>
                <w:tab w:val="left" w:pos="15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definitivo</w:t>
            </w:r>
          </w:p>
        </w:tc>
      </w:tr>
      <w:tr w:rsidR="00626175" w:rsidRPr="005D4395" w:rsidTr="008605B1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COM4/1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424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COM5/8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556</w:t>
            </w:r>
          </w:p>
        </w:tc>
        <w:tc>
          <w:tcPr>
            <w:tcW w:w="1477" w:type="dxa"/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COM6/14</w:t>
            </w:r>
          </w:p>
        </w:tc>
        <w:tc>
          <w:tcPr>
            <w:tcW w:w="1809" w:type="dxa"/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767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425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958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764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809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COM4/4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760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810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COM6/17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B22D3D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B22D3D">
              <w:rPr>
                <w:rFonts w:asciiTheme="minorHAnsi" w:hAnsiTheme="minorHAnsi"/>
              </w:rPr>
              <w:t>158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361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159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659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COM4/7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238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160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655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239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161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557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162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362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99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426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236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PLEN/1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163</w:t>
            </w:r>
          </w:p>
        </w:tc>
      </w:tr>
      <w:tr w:rsidR="00626175" w:rsidRPr="005D4395" w:rsidTr="00860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COM5/7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763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COM6/13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237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PLEN/2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75" w:rsidRPr="005D4395" w:rsidRDefault="00626175" w:rsidP="00C370CC">
            <w:pPr>
              <w:pStyle w:val="Tabletext"/>
              <w:tabs>
                <w:tab w:val="left" w:pos="1588"/>
              </w:tabs>
              <w:jc w:val="center"/>
              <w:rPr>
                <w:rFonts w:asciiTheme="minorHAnsi" w:hAnsiTheme="minorHAnsi"/>
              </w:rPr>
            </w:pPr>
            <w:r w:rsidRPr="005D4395">
              <w:rPr>
                <w:rFonts w:asciiTheme="minorHAnsi" w:hAnsiTheme="minorHAnsi"/>
              </w:rPr>
              <w:t>164</w:t>
            </w:r>
          </w:p>
        </w:tc>
      </w:tr>
    </w:tbl>
    <w:p w:rsidR="00626175" w:rsidRPr="00D74614" w:rsidRDefault="00626175" w:rsidP="004D4709">
      <w:pPr>
        <w:jc w:val="left"/>
        <w:rPr>
          <w:rFonts w:asciiTheme="minorHAnsi" w:hAnsiTheme="minorHAnsi"/>
        </w:rPr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  <w:r>
        <w:br w:type="page"/>
      </w:r>
    </w:p>
    <w:p w:rsidR="00626175" w:rsidRPr="00C370CC" w:rsidRDefault="00626175" w:rsidP="00C370CC">
      <w:pPr>
        <w:pStyle w:val="AnnexNotitle0"/>
        <w:spacing w:after="80"/>
        <w:rPr>
          <w:rFonts w:asciiTheme="minorHAnsi" w:hAnsiTheme="minorHAnsi"/>
          <w:b w:val="0"/>
          <w:bCs/>
          <w:lang w:val="es-ES_tradnl"/>
        </w:rPr>
      </w:pPr>
      <w:r w:rsidRPr="00C370CC">
        <w:rPr>
          <w:rFonts w:asciiTheme="minorHAnsi" w:hAnsiTheme="minorHAnsi"/>
          <w:b w:val="0"/>
          <w:bCs/>
          <w:lang w:val="es-ES_tradnl"/>
        </w:rPr>
        <w:lastRenderedPageBreak/>
        <w:t>ANEXO 2</w:t>
      </w:r>
    </w:p>
    <w:p w:rsidR="00626175" w:rsidRPr="00C370CC" w:rsidRDefault="00626175" w:rsidP="00C370CC">
      <w:pPr>
        <w:pStyle w:val="AnnexNotitle0"/>
        <w:spacing w:before="240"/>
        <w:rPr>
          <w:rFonts w:asciiTheme="minorHAnsi" w:hAnsiTheme="minorHAnsi"/>
          <w:lang w:val="es-ES_tradnl"/>
        </w:rPr>
      </w:pPr>
      <w:r w:rsidRPr="00C370CC">
        <w:rPr>
          <w:rFonts w:asciiTheme="minorHAnsi" w:hAnsiTheme="minorHAnsi"/>
          <w:lang w:val="es-ES_tradnl"/>
        </w:rPr>
        <w:t>Cuadro de correspondencia entre números provisionales y definitivos para las nuevas notas del Artículo 5 aprobadas por la CMR-15</w:t>
      </w:r>
    </w:p>
    <w:p w:rsidR="00626175" w:rsidRPr="00554BAF" w:rsidRDefault="00626175" w:rsidP="004D4709">
      <w:pPr>
        <w:jc w:val="left"/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626175" w:rsidRPr="00C3187D" w:rsidTr="008605B1">
        <w:trPr>
          <w:trHeight w:val="298"/>
        </w:trPr>
        <w:tc>
          <w:tcPr>
            <w:tcW w:w="4750" w:type="dxa"/>
            <w:shd w:val="clear" w:color="auto" w:fill="BFBFBF" w:themeFill="background1" w:themeFillShade="BF"/>
          </w:tcPr>
          <w:p w:rsidR="00626175" w:rsidRPr="00C3187D" w:rsidRDefault="00626175" w:rsidP="00D949E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Número provisional</w:t>
            </w:r>
          </w:p>
        </w:tc>
        <w:tc>
          <w:tcPr>
            <w:tcW w:w="4750" w:type="dxa"/>
            <w:shd w:val="clear" w:color="auto" w:fill="BFBFBF" w:themeFill="background1" w:themeFillShade="BF"/>
          </w:tcPr>
          <w:p w:rsidR="00626175" w:rsidRPr="00C3187D" w:rsidRDefault="00626175" w:rsidP="00D949E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Número definitivo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5.A14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5.133B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5.228AA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5.A911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5.265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5.idR2a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5.295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5.idR3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5.296A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5.allocateR2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5.308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5.idR2</w:t>
            </w:r>
            <w:r w:rsidRPr="00B22D3D">
              <w:rPr>
                <w:rFonts w:asciiTheme="majorBidi" w:hAnsiTheme="majorBidi" w:cstheme="majorBidi"/>
                <w:iCs/>
                <w:sz w:val="20"/>
              </w:rPr>
              <w:t>b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5.308A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5.A25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5.328AA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5.R1a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5.341A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5.R2a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5.341B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5.R3g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5.341C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5.R1b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5.346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5.R3h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5.346A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5.R1a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5.R1b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5.429C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5.429D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5.R3d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5.429E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5.R3e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5.429F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5.IMT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5.431B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5.IMT2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5.434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5.A117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5.436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5.B117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5.437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5.441A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5.R3f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5.441B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5.460A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5.460B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5.A192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5.461AA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5.B192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5.461AB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5.C112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5.D112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5.474C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5.B112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5.474D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5.A15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5.484B</w:t>
            </w:r>
          </w:p>
        </w:tc>
      </w:tr>
    </w:tbl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626175" w:rsidRPr="00C3187D" w:rsidTr="008605B1">
        <w:trPr>
          <w:trHeight w:val="298"/>
        </w:trPr>
        <w:tc>
          <w:tcPr>
            <w:tcW w:w="4750" w:type="dxa"/>
            <w:shd w:val="clear" w:color="auto" w:fill="BFBFBF" w:themeFill="background1" w:themeFillShade="BF"/>
          </w:tcPr>
          <w:p w:rsidR="00626175" w:rsidRPr="00C3187D" w:rsidRDefault="00626175" w:rsidP="00D949E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Número provisional</w:t>
            </w:r>
          </w:p>
        </w:tc>
        <w:tc>
          <w:tcPr>
            <w:tcW w:w="4750" w:type="dxa"/>
            <w:shd w:val="clear" w:color="auto" w:fill="BFBFBF" w:themeFill="background1" w:themeFillShade="BF"/>
          </w:tcPr>
          <w:p w:rsidR="00626175" w:rsidRPr="00C3187D" w:rsidRDefault="00626175" w:rsidP="00D949E7">
            <w:pPr>
              <w:keepNext/>
              <w:keepLines/>
              <w:tabs>
                <w:tab w:val="left" w:pos="1134"/>
                <w:tab w:val="left" w:pos="1871"/>
                <w:tab w:val="left" w:pos="2268"/>
              </w:tabs>
              <w:spacing w:before="120" w:line="240" w:lineRule="auto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Número definitivo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5.A161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5.X161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5.B161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5.499C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5.B161A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5.499D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5.C161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5.499E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5.509B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5.B16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5.509C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5.D16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5.509D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5.E16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5.509E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5.F16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5.509F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5.C16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5.509G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5.5X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5.527A</w:t>
            </w:r>
          </w:p>
        </w:tc>
      </w:tr>
      <w:tr w:rsidR="00626175" w:rsidRPr="00090F69" w:rsidTr="008605B1">
        <w:trPr>
          <w:trHeight w:hRule="exact" w:val="340"/>
        </w:trPr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5.A118</w:t>
            </w:r>
          </w:p>
        </w:tc>
        <w:tc>
          <w:tcPr>
            <w:tcW w:w="4750" w:type="dxa"/>
          </w:tcPr>
          <w:p w:rsidR="00626175" w:rsidRPr="00090F69" w:rsidRDefault="00626175" w:rsidP="00D949E7">
            <w:pPr>
              <w:spacing w:before="120" w:line="240" w:lineRule="auto"/>
              <w:jc w:val="center"/>
              <w:rPr>
                <w:rFonts w:asciiTheme="majorBidi" w:hAnsiTheme="majorBidi" w:cstheme="majorBidi"/>
                <w:iCs/>
                <w:sz w:val="20"/>
              </w:rPr>
            </w:pPr>
            <w:r w:rsidRPr="00090F69">
              <w:rPr>
                <w:rFonts w:asciiTheme="majorBidi" w:hAnsiTheme="majorBidi" w:cstheme="majorBidi"/>
                <w:iCs/>
                <w:sz w:val="20"/>
              </w:rPr>
              <w:t>5.559B</w:t>
            </w:r>
          </w:p>
        </w:tc>
      </w:tr>
    </w:tbl>
    <w:p w:rsidR="00626175" w:rsidRDefault="00626175" w:rsidP="004D4709">
      <w:pPr>
        <w:jc w:val="left"/>
      </w:pPr>
    </w:p>
    <w:p w:rsidR="00626175" w:rsidRDefault="00626175" w:rsidP="004D4709">
      <w:pPr>
        <w:jc w:val="left"/>
      </w:pPr>
    </w:p>
    <w:p w:rsidR="00626175" w:rsidRPr="00EC4E10" w:rsidRDefault="00626175" w:rsidP="00D949E7">
      <w:pPr>
        <w:jc w:val="center"/>
      </w:pPr>
      <w:r>
        <w:t>______________</w:t>
      </w:r>
    </w:p>
    <w:sectPr w:rsidR="00626175" w:rsidRPr="00EC4E10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75" w:rsidRDefault="00626175">
      <w:r>
        <w:separator/>
      </w:r>
    </w:p>
  </w:endnote>
  <w:endnote w:type="continuationSeparator" w:id="0">
    <w:p w:rsidR="00626175" w:rsidRDefault="0062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 xml:space="preserve">Tel: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75" w:rsidRDefault="00626175">
      <w:r>
        <w:t>____________________</w:t>
      </w:r>
    </w:p>
  </w:footnote>
  <w:footnote w:type="continuationSeparator" w:id="0">
    <w:p w:rsidR="00626175" w:rsidRDefault="0062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D97EF5" w:rsidP="00807655">
    <w:pPr>
      <w:pStyle w:val="Header"/>
      <w:jc w:val="center"/>
      <w:rPr>
        <w:rStyle w:val="PageNumber"/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007348">
      <w:rPr>
        <w:rStyle w:val="PageNumber"/>
        <w:noProof/>
        <w:sz w:val="18"/>
        <w:szCs w:val="16"/>
      </w:rPr>
      <w:t>8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807655">
      <w:rPr>
        <w:rStyle w:val="PageNumber"/>
        <w:sz w:val="18"/>
        <w:szCs w:val="16"/>
      </w:rPr>
      <w:br/>
      <w:t>CR/406-S</w:t>
    </w:r>
  </w:p>
  <w:p w:rsidR="00807655" w:rsidRPr="00D239B4" w:rsidRDefault="00807655" w:rsidP="00807655">
    <w:pPr>
      <w:pStyle w:val="Header"/>
      <w:jc w:val="center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6A27F7" w:rsidP="00807655">
    <w:pPr>
      <w:pStyle w:val="Header"/>
      <w:jc w:val="center"/>
      <w:rPr>
        <w:rStyle w:val="PageNumber"/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007348">
      <w:rPr>
        <w:rStyle w:val="PageNumber"/>
        <w:noProof/>
        <w:sz w:val="18"/>
        <w:szCs w:val="16"/>
      </w:rPr>
      <w:t>7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807655">
      <w:rPr>
        <w:rStyle w:val="PageNumber"/>
        <w:sz w:val="18"/>
        <w:szCs w:val="16"/>
      </w:rPr>
      <w:br/>
      <w:t>CR/406-S</w:t>
    </w:r>
  </w:p>
  <w:p w:rsidR="00807655" w:rsidRPr="00AF3325" w:rsidRDefault="00807655" w:rsidP="0080765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807655" w:rsidRDefault="00E915AF" w:rsidP="00807655">
    <w:pPr>
      <w:pStyle w:val="Header"/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26175"/>
    <w:rsid w:val="00006A31"/>
    <w:rsid w:val="00006C82"/>
    <w:rsid w:val="00007348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56D10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B58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470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6175"/>
    <w:rsid w:val="0064371D"/>
    <w:rsid w:val="00650543"/>
    <w:rsid w:val="00650B2A"/>
    <w:rsid w:val="00651777"/>
    <w:rsid w:val="006550F8"/>
    <w:rsid w:val="006820FF"/>
    <w:rsid w:val="006829F3"/>
    <w:rsid w:val="006A27F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A563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07655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55E4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0CC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2562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49E7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06CF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6E2F0FE-47EF-403C-BF10-00843804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uiPriority w:val="99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261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626175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626175"/>
    <w:rPr>
      <w:rFonts w:ascii="Times New Roman" w:hAnsi="Times New Roman"/>
      <w:b/>
    </w:rPr>
  </w:style>
  <w:style w:type="paragraph" w:customStyle="1" w:styleId="AnnexNotitle0">
    <w:name w:val="Annex_No &amp; title"/>
    <w:basedOn w:val="Normal"/>
    <w:next w:val="Normal"/>
    <w:uiPriority w:val="99"/>
    <w:rsid w:val="006261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26175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D62D-9ABE-4972-8DB7-A13EEB42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</TotalTime>
  <Pages>8</Pages>
  <Words>2390</Words>
  <Characters>12757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15117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christe</dc:creator>
  <cp:lastModifiedBy>Gimenez, Christine</cp:lastModifiedBy>
  <cp:revision>5</cp:revision>
  <cp:lastPrinted>2013-03-08T10:15:00Z</cp:lastPrinted>
  <dcterms:created xsi:type="dcterms:W3CDTF">2016-06-28T08:06:00Z</dcterms:created>
  <dcterms:modified xsi:type="dcterms:W3CDTF">2016-07-04T13:13:00Z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