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137"/>
        <w:gridCol w:w="3226"/>
      </w:tblGrid>
      <w:tr w:rsidR="00EA15B3" w:rsidRPr="00F42C8C" w:rsidTr="007E480E">
        <w:trPr>
          <w:jc w:val="center"/>
        </w:trPr>
        <w:tc>
          <w:tcPr>
            <w:tcW w:w="9889" w:type="dxa"/>
            <w:gridSpan w:val="3"/>
          </w:tcPr>
          <w:p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7E480E">
        <w:trPr>
          <w:jc w:val="center"/>
        </w:trPr>
        <w:tc>
          <w:tcPr>
            <w:tcW w:w="9889" w:type="dxa"/>
            <w:gridSpan w:val="3"/>
          </w:tcPr>
          <w:p w:rsidR="00EA15B3" w:rsidRPr="00F42C8C" w:rsidRDefault="00EA15B3" w:rsidP="00EA15B3">
            <w:pPr>
              <w:jc w:val="left"/>
            </w:pPr>
          </w:p>
        </w:tc>
      </w:tr>
      <w:tr w:rsidR="00445327" w:rsidRPr="00662065" w:rsidTr="005B41A8">
        <w:trPr>
          <w:jc w:val="center"/>
        </w:trPr>
        <w:tc>
          <w:tcPr>
            <w:tcW w:w="6663" w:type="dxa"/>
            <w:gridSpan w:val="2"/>
            <w:shd w:val="clear" w:color="auto" w:fill="auto"/>
          </w:tcPr>
          <w:p w:rsidR="00445327" w:rsidRPr="00662065" w:rsidRDefault="00445327" w:rsidP="00445327">
            <w:pPr>
              <w:spacing w:before="0"/>
              <w:jc w:val="left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Carta </w:t>
            </w:r>
            <w:r w:rsidRPr="00662065">
              <w:rPr>
                <w:szCs w:val="24"/>
                <w:lang w:val="es-ES"/>
              </w:rPr>
              <w:t xml:space="preserve">Circular </w:t>
            </w:r>
          </w:p>
          <w:p w:rsidR="00445327" w:rsidRPr="00662065" w:rsidRDefault="00445327" w:rsidP="00445327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662065">
              <w:rPr>
                <w:b/>
                <w:bCs/>
                <w:szCs w:val="24"/>
                <w:lang w:val="es-ES"/>
              </w:rPr>
              <w:t>CR/400</w:t>
            </w:r>
          </w:p>
        </w:tc>
        <w:tc>
          <w:tcPr>
            <w:tcW w:w="3226" w:type="dxa"/>
            <w:shd w:val="clear" w:color="auto" w:fill="auto"/>
          </w:tcPr>
          <w:p w:rsidR="00445327" w:rsidRPr="00662065" w:rsidRDefault="007C1782" w:rsidP="00445327">
            <w:pPr>
              <w:spacing w:before="0"/>
              <w:jc w:val="right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1</w:t>
            </w:r>
            <w:r w:rsidR="00445327" w:rsidRPr="00662065">
              <w:rPr>
                <w:szCs w:val="24"/>
                <w:lang w:val="es-ES"/>
              </w:rPr>
              <w:t xml:space="preserve">3 </w:t>
            </w:r>
            <w:r w:rsidR="00445327">
              <w:rPr>
                <w:szCs w:val="24"/>
                <w:lang w:val="es-ES"/>
              </w:rPr>
              <w:t>de mayo de</w:t>
            </w:r>
            <w:r w:rsidR="00445327" w:rsidRPr="00662065">
              <w:rPr>
                <w:szCs w:val="24"/>
                <w:lang w:val="es-ES"/>
              </w:rPr>
              <w:t xml:space="preserve"> 2016</w:t>
            </w:r>
          </w:p>
        </w:tc>
      </w:tr>
      <w:tr w:rsidR="00445327" w:rsidRPr="00662065" w:rsidTr="0044532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445327" w:rsidRPr="00662065" w:rsidRDefault="00445327" w:rsidP="00445327">
            <w:pPr>
              <w:spacing w:before="0"/>
              <w:jc w:val="left"/>
              <w:rPr>
                <w:rFonts w:cs="Arial"/>
                <w:szCs w:val="24"/>
                <w:lang w:val="es-ES"/>
              </w:rPr>
            </w:pPr>
          </w:p>
        </w:tc>
      </w:tr>
      <w:tr w:rsidR="00445327" w:rsidRPr="00662065" w:rsidTr="0044532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445327" w:rsidRPr="00662065" w:rsidRDefault="00445327" w:rsidP="00445327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445327" w:rsidRPr="00662065" w:rsidTr="0044532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445327" w:rsidRPr="00662065" w:rsidRDefault="00445327" w:rsidP="00445327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>
              <w:rPr>
                <w:b/>
                <w:bCs/>
                <w:szCs w:val="24"/>
                <w:lang w:val="es-ES"/>
              </w:rPr>
              <w:t xml:space="preserve">A las Administraciones de los Estados Miembros de la UIT </w:t>
            </w:r>
          </w:p>
          <w:p w:rsidR="00445327" w:rsidRPr="00662065" w:rsidRDefault="00445327" w:rsidP="00445327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445327" w:rsidRPr="00662065" w:rsidTr="0044532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445327" w:rsidRPr="00662065" w:rsidRDefault="00445327" w:rsidP="00445327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445327" w:rsidRPr="00662065" w:rsidTr="0044532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445327" w:rsidRPr="00662065" w:rsidRDefault="00445327" w:rsidP="00445327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445327" w:rsidRPr="00662065" w:rsidTr="00445327">
        <w:trPr>
          <w:jc w:val="center"/>
        </w:trPr>
        <w:tc>
          <w:tcPr>
            <w:tcW w:w="1526" w:type="dxa"/>
            <w:shd w:val="clear" w:color="auto" w:fill="auto"/>
          </w:tcPr>
          <w:p w:rsidR="00445327" w:rsidRPr="00662065" w:rsidRDefault="00445327" w:rsidP="00445327">
            <w:pPr>
              <w:spacing w:before="0"/>
              <w:jc w:val="left"/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>Asunto</w:t>
            </w:r>
            <w:r w:rsidRPr="00662065">
              <w:rPr>
                <w:szCs w:val="24"/>
                <w:lang w:val="es-ES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45327" w:rsidRPr="00662065" w:rsidRDefault="00445327" w:rsidP="00445327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662065">
              <w:rPr>
                <w:rFonts w:asciiTheme="minorHAnsi" w:hAnsiTheme="minorHAnsi"/>
                <w:b/>
                <w:bCs/>
                <w:lang w:val="es-ES"/>
              </w:rPr>
              <w:t xml:space="preserve">Implementación </w:t>
            </w:r>
            <w:r>
              <w:rPr>
                <w:rFonts w:asciiTheme="minorHAnsi" w:hAnsiTheme="minorHAnsi"/>
                <w:b/>
                <w:bCs/>
                <w:lang w:val="es-ES"/>
              </w:rPr>
              <w:t xml:space="preserve">de los Apéndices 30 y 30A revisados (Rev.CMR-15) y de la </w:t>
            </w:r>
            <w:r w:rsidR="000502A6">
              <w:rPr>
                <w:rFonts w:asciiTheme="minorHAnsi" w:hAnsiTheme="minorHAnsi"/>
                <w:b/>
                <w:bCs/>
                <w:szCs w:val="24"/>
                <w:lang w:val="es-ES" w:eastAsia="zh-CN"/>
              </w:rPr>
              <w:t>Resolución </w:t>
            </w:r>
            <w:r w:rsidRPr="00662065">
              <w:rPr>
                <w:rFonts w:asciiTheme="minorHAnsi" w:hAnsiTheme="minorHAnsi"/>
                <w:b/>
                <w:bCs/>
                <w:szCs w:val="24"/>
                <w:lang w:val="es-ES" w:eastAsia="zh-CN"/>
              </w:rPr>
              <w:t>556 (</w:t>
            </w:r>
            <w:r>
              <w:rPr>
                <w:rFonts w:asciiTheme="minorHAnsi" w:hAnsiTheme="minorHAnsi"/>
                <w:b/>
                <w:bCs/>
                <w:szCs w:val="24"/>
                <w:lang w:val="es-ES" w:eastAsia="zh-CN"/>
              </w:rPr>
              <w:t>CMR</w:t>
            </w:r>
            <w:r w:rsidRPr="00662065">
              <w:rPr>
                <w:rFonts w:asciiTheme="minorHAnsi" w:hAnsiTheme="minorHAnsi"/>
                <w:b/>
                <w:bCs/>
                <w:szCs w:val="24"/>
                <w:lang w:val="es-ES" w:eastAsia="zh-CN"/>
              </w:rPr>
              <w:t>-15)</w:t>
            </w:r>
          </w:p>
        </w:tc>
      </w:tr>
      <w:tr w:rsidR="00445327" w:rsidRPr="00662065" w:rsidTr="00445327">
        <w:trPr>
          <w:jc w:val="center"/>
        </w:trPr>
        <w:tc>
          <w:tcPr>
            <w:tcW w:w="1526" w:type="dxa"/>
            <w:shd w:val="clear" w:color="auto" w:fill="auto"/>
          </w:tcPr>
          <w:p w:rsidR="00445327" w:rsidRPr="00662065" w:rsidRDefault="00445327" w:rsidP="00445327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445327" w:rsidRPr="00662065" w:rsidRDefault="00445327" w:rsidP="00445327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445327" w:rsidRPr="00662065" w:rsidTr="00445327">
        <w:trPr>
          <w:jc w:val="center"/>
        </w:trPr>
        <w:tc>
          <w:tcPr>
            <w:tcW w:w="1526" w:type="dxa"/>
            <w:shd w:val="clear" w:color="auto" w:fill="auto"/>
          </w:tcPr>
          <w:p w:rsidR="00445327" w:rsidRPr="00662065" w:rsidRDefault="00445327" w:rsidP="00445327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445327" w:rsidRPr="00662065" w:rsidRDefault="00445327" w:rsidP="00445327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445327" w:rsidRPr="00662065" w:rsidTr="00445327">
        <w:trPr>
          <w:trHeight w:val="73"/>
          <w:jc w:val="center"/>
        </w:trPr>
        <w:tc>
          <w:tcPr>
            <w:tcW w:w="9889" w:type="dxa"/>
            <w:gridSpan w:val="3"/>
            <w:shd w:val="clear" w:color="auto" w:fill="auto"/>
          </w:tcPr>
          <w:p w:rsidR="00445327" w:rsidRPr="00662065" w:rsidRDefault="00445327" w:rsidP="00445327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</w:tbl>
    <w:p w:rsidR="00445327" w:rsidRPr="00662065" w:rsidRDefault="00445327" w:rsidP="005672BD">
      <w:pPr>
        <w:rPr>
          <w:rFonts w:eastAsia="SimSun"/>
          <w:lang w:val="es-ES" w:eastAsia="zh-CN"/>
        </w:rPr>
      </w:pPr>
      <w:bookmarkStart w:id="2" w:name="Formula"/>
      <w:bookmarkStart w:id="3" w:name="MainStory"/>
      <w:bookmarkStart w:id="4" w:name="CurrentLocation"/>
      <w:bookmarkEnd w:id="2"/>
      <w:bookmarkEnd w:id="3"/>
      <w:bookmarkEnd w:id="4"/>
      <w:r>
        <w:rPr>
          <w:rFonts w:eastAsia="SimSun"/>
          <w:lang w:val="es-ES" w:eastAsia="zh-CN"/>
        </w:rPr>
        <w:t xml:space="preserve">La Conferencia Mundial de Radiocomunicaciones, Ginebra, 2015 (CMR-15) adoptó disposiciones revisadas para los Planes del servicio de radiodifusión por satélite (SRS) y los enlaces de conexión asociados, según figuran en los Apéndices </w:t>
      </w:r>
      <w:r w:rsidRPr="00662065">
        <w:rPr>
          <w:rFonts w:eastAsia="SimSun"/>
          <w:b/>
          <w:bCs/>
          <w:lang w:val="es-ES" w:eastAsia="zh-CN"/>
        </w:rPr>
        <w:t>30</w:t>
      </w:r>
      <w:r w:rsidRPr="00662065">
        <w:rPr>
          <w:rFonts w:eastAsia="SimSun"/>
          <w:lang w:val="es-ES" w:eastAsia="zh-CN"/>
        </w:rPr>
        <w:t xml:space="preserve"> </w:t>
      </w:r>
      <w:r>
        <w:rPr>
          <w:rFonts w:eastAsia="SimSun"/>
          <w:lang w:val="es-ES" w:eastAsia="zh-CN"/>
        </w:rPr>
        <w:t>y</w:t>
      </w:r>
      <w:r w:rsidRPr="00662065">
        <w:rPr>
          <w:rFonts w:eastAsia="SimSun"/>
          <w:lang w:val="es-ES" w:eastAsia="zh-CN"/>
        </w:rPr>
        <w:t xml:space="preserve"> </w:t>
      </w:r>
      <w:r w:rsidRPr="00662065">
        <w:rPr>
          <w:rFonts w:eastAsia="SimSun"/>
          <w:b/>
          <w:bCs/>
          <w:lang w:val="es-ES" w:eastAsia="zh-CN"/>
        </w:rPr>
        <w:t>30A</w:t>
      </w:r>
      <w:r w:rsidRPr="00662065">
        <w:rPr>
          <w:rFonts w:eastAsia="SimSun"/>
          <w:lang w:val="es-ES" w:eastAsia="zh-CN"/>
        </w:rPr>
        <w:t xml:space="preserve"> </w:t>
      </w:r>
      <w:r w:rsidRPr="00662065">
        <w:rPr>
          <w:rFonts w:eastAsia="SimSun"/>
          <w:b/>
          <w:bCs/>
          <w:lang w:val="es-ES" w:eastAsia="zh-CN"/>
        </w:rPr>
        <w:t>(Rev.</w:t>
      </w:r>
      <w:r>
        <w:rPr>
          <w:rFonts w:eastAsia="SimSun"/>
          <w:b/>
          <w:bCs/>
          <w:lang w:val="es-ES" w:eastAsia="zh-CN"/>
        </w:rPr>
        <w:t>CMR</w:t>
      </w:r>
      <w:r w:rsidRPr="00662065">
        <w:rPr>
          <w:rFonts w:eastAsia="SimSun"/>
          <w:b/>
          <w:bCs/>
          <w:lang w:val="es-ES" w:eastAsia="zh-CN"/>
        </w:rPr>
        <w:t>-15)</w:t>
      </w:r>
      <w:r w:rsidRPr="00662065">
        <w:rPr>
          <w:rFonts w:eastAsia="SimSun"/>
          <w:lang w:val="es-ES" w:eastAsia="zh-CN"/>
        </w:rPr>
        <w:t xml:space="preserve">. </w:t>
      </w:r>
      <w:r>
        <w:rPr>
          <w:rFonts w:eastAsia="SimSun"/>
          <w:lang w:val="es-ES" w:eastAsia="zh-CN"/>
        </w:rPr>
        <w:t xml:space="preserve">La CMR-15 también adoptó la </w:t>
      </w:r>
      <w:r w:rsidRPr="00662065">
        <w:rPr>
          <w:rFonts w:eastAsia="SimSun"/>
          <w:lang w:val="es-ES" w:eastAsia="zh-CN"/>
        </w:rPr>
        <w:t xml:space="preserve">Resolución </w:t>
      </w:r>
      <w:r w:rsidRPr="00662065">
        <w:rPr>
          <w:rFonts w:eastAsia="SimSun"/>
          <w:b/>
          <w:bCs/>
          <w:lang w:val="es-ES" w:eastAsia="zh-CN"/>
        </w:rPr>
        <w:t>556</w:t>
      </w:r>
      <w:r w:rsidRPr="00662065">
        <w:rPr>
          <w:rFonts w:eastAsia="SimSun"/>
          <w:lang w:val="es-ES" w:eastAsia="zh-CN"/>
        </w:rPr>
        <w:t xml:space="preserve"> (</w:t>
      </w:r>
      <w:r>
        <w:rPr>
          <w:rFonts w:eastAsia="SimSun"/>
          <w:b/>
          <w:bCs/>
          <w:lang w:val="es-ES" w:eastAsia="zh-CN"/>
        </w:rPr>
        <w:t>CMR</w:t>
      </w:r>
      <w:r w:rsidRPr="00662065">
        <w:rPr>
          <w:rFonts w:eastAsia="SimSun"/>
          <w:b/>
          <w:bCs/>
          <w:lang w:val="es-ES" w:eastAsia="zh-CN"/>
        </w:rPr>
        <w:t>-15</w:t>
      </w:r>
      <w:r w:rsidRPr="00662065">
        <w:rPr>
          <w:rFonts w:eastAsia="SimSun"/>
          <w:lang w:val="es-ES" w:eastAsia="zh-CN"/>
        </w:rPr>
        <w:t xml:space="preserve">) </w:t>
      </w:r>
      <w:r>
        <w:rPr>
          <w:rFonts w:eastAsia="SimSun"/>
          <w:lang w:val="es-ES" w:eastAsia="zh-CN"/>
        </w:rPr>
        <w:t>sobre la</w:t>
      </w:r>
      <w:r w:rsidRPr="00662065">
        <w:rPr>
          <w:rFonts w:eastAsia="SimSun"/>
          <w:lang w:val="es-ES" w:eastAsia="zh-CN"/>
        </w:rPr>
        <w:t xml:space="preserve"> </w:t>
      </w:r>
      <w:r>
        <w:rPr>
          <w:rFonts w:eastAsia="SimSun"/>
          <w:lang w:val="es-ES" w:eastAsia="zh-CN"/>
        </w:rPr>
        <w:t>"</w:t>
      </w:r>
      <w:r w:rsidRPr="00662065">
        <w:rPr>
          <w:rFonts w:eastAsia="SimSun"/>
          <w:lang w:val="es-ES" w:eastAsia="zh-CN"/>
        </w:rPr>
        <w:t xml:space="preserve">Conversión de todas las asignaciones analógicas que figuran en el Plan y la Lista de los Apéndices </w:t>
      </w:r>
      <w:r w:rsidRPr="00662065">
        <w:rPr>
          <w:rFonts w:eastAsia="SimSun"/>
          <w:b/>
          <w:bCs/>
          <w:lang w:val="es-ES" w:eastAsia="zh-CN"/>
        </w:rPr>
        <w:t>30</w:t>
      </w:r>
      <w:r w:rsidRPr="00662065">
        <w:rPr>
          <w:rFonts w:eastAsia="SimSun"/>
          <w:lang w:val="es-ES" w:eastAsia="zh-CN"/>
        </w:rPr>
        <w:t xml:space="preserve"> y </w:t>
      </w:r>
      <w:r w:rsidRPr="00662065">
        <w:rPr>
          <w:rFonts w:eastAsia="SimSun"/>
          <w:b/>
          <w:bCs/>
          <w:lang w:val="es-ES" w:eastAsia="zh-CN"/>
        </w:rPr>
        <w:t>30A</w:t>
      </w:r>
      <w:r w:rsidRPr="00662065">
        <w:rPr>
          <w:rFonts w:eastAsia="SimSun"/>
          <w:lang w:val="es-ES" w:eastAsia="zh-CN"/>
        </w:rPr>
        <w:t xml:space="preserve"> para las Regiones 1 y 3 en asignaciones digitales</w:t>
      </w:r>
      <w:r>
        <w:rPr>
          <w:rFonts w:eastAsia="SimSun"/>
          <w:lang w:val="es-ES" w:eastAsia="zh-CN"/>
        </w:rPr>
        <w:t>"</w:t>
      </w:r>
      <w:r w:rsidRPr="00662065">
        <w:rPr>
          <w:rFonts w:eastAsia="SimSun"/>
          <w:lang w:val="es-ES" w:eastAsia="zh-CN"/>
        </w:rPr>
        <w:t>.</w:t>
      </w:r>
    </w:p>
    <w:p w:rsidR="00445327" w:rsidRPr="00662065" w:rsidRDefault="00445327" w:rsidP="005672BD">
      <w:pPr>
        <w:rPr>
          <w:lang w:val="es-ES" w:eastAsia="zh-CN"/>
        </w:rPr>
      </w:pPr>
      <w:r>
        <w:rPr>
          <w:lang w:val="es-ES" w:eastAsia="zh-CN"/>
        </w:rPr>
        <w:t>A este respecto, la Oficina de Radiocomunicaciones desea llamar su atención sobre lo siguiente</w:t>
      </w:r>
      <w:r w:rsidRPr="00662065">
        <w:rPr>
          <w:lang w:val="es-ES" w:eastAsia="zh-CN"/>
        </w:rPr>
        <w:t>:</w:t>
      </w:r>
    </w:p>
    <w:p w:rsidR="00445327" w:rsidRPr="00445327" w:rsidRDefault="005672BD" w:rsidP="005672BD">
      <w:pPr>
        <w:pStyle w:val="enumlev1"/>
        <w:rPr>
          <w:rFonts w:eastAsia="SimSun"/>
          <w:b/>
          <w:bCs/>
          <w:szCs w:val="24"/>
          <w:lang w:val="es-ES" w:eastAsia="zh-CN"/>
        </w:rPr>
      </w:pPr>
      <w:r w:rsidRPr="005672BD">
        <w:rPr>
          <w:b/>
          <w:bCs/>
          <w:lang w:val="es-ES" w:eastAsia="zh-CN"/>
        </w:rPr>
        <w:t>•</w:t>
      </w:r>
      <w:r>
        <w:rPr>
          <w:b/>
          <w:bCs/>
          <w:lang w:val="es-ES" w:eastAsia="zh-CN"/>
        </w:rPr>
        <w:tab/>
      </w:r>
      <w:r w:rsidR="00445327" w:rsidRPr="005672BD">
        <w:rPr>
          <w:lang w:val="es-ES" w:eastAsia="zh-CN"/>
        </w:rPr>
        <w:t>Comentarios sobre las Secciones Especiales publicadas con arreglo al §</w:t>
      </w:r>
      <w:r w:rsidR="00307690">
        <w:rPr>
          <w:lang w:val="es-ES" w:eastAsia="zh-CN"/>
        </w:rPr>
        <w:t> </w:t>
      </w:r>
      <w:r w:rsidR="00445327" w:rsidRPr="005672BD">
        <w:rPr>
          <w:lang w:val="es-ES" w:eastAsia="zh-CN"/>
        </w:rPr>
        <w:t>4.1.5 de los</w:t>
      </w:r>
      <w:r w:rsidR="00307690">
        <w:rPr>
          <w:lang w:val="es-ES" w:eastAsia="zh-CN"/>
        </w:rPr>
        <w:t xml:space="preserve"> </w:t>
      </w:r>
      <w:r w:rsidR="00445327" w:rsidRPr="005672BD">
        <w:rPr>
          <w:rFonts w:eastAsia="SimSun"/>
          <w:szCs w:val="24"/>
          <w:lang w:val="es-ES" w:eastAsia="zh-CN"/>
        </w:rPr>
        <w:t>Apéndices 30 y</w:t>
      </w:r>
      <w:r>
        <w:rPr>
          <w:rFonts w:eastAsia="SimSun"/>
          <w:szCs w:val="24"/>
          <w:lang w:val="es-ES" w:eastAsia="zh-CN"/>
        </w:rPr>
        <w:t> </w:t>
      </w:r>
      <w:r w:rsidR="00445327" w:rsidRPr="005672BD">
        <w:rPr>
          <w:rFonts w:eastAsia="SimSun"/>
          <w:szCs w:val="24"/>
          <w:lang w:val="es-ES" w:eastAsia="zh-CN"/>
        </w:rPr>
        <w:t>30A:</w:t>
      </w:r>
      <w:r w:rsidR="00445327" w:rsidRPr="00445327">
        <w:rPr>
          <w:rFonts w:eastAsia="SimSun"/>
          <w:b/>
          <w:bCs/>
          <w:szCs w:val="24"/>
          <w:lang w:val="es-ES" w:eastAsia="zh-CN"/>
        </w:rPr>
        <w:t xml:space="preserve"> </w:t>
      </w:r>
    </w:p>
    <w:p w:rsidR="00445327" w:rsidRPr="00662065" w:rsidRDefault="00445327" w:rsidP="005672BD">
      <w:pPr>
        <w:rPr>
          <w:lang w:val="es-ES"/>
        </w:rPr>
      </w:pPr>
      <w:r>
        <w:rPr>
          <w:lang w:val="es-ES"/>
        </w:rPr>
        <w:t>LA CMR</w:t>
      </w:r>
      <w:r w:rsidRPr="00662065">
        <w:rPr>
          <w:lang w:val="es-ES"/>
        </w:rPr>
        <w:t>-15 adopt</w:t>
      </w:r>
      <w:r>
        <w:rPr>
          <w:lang w:val="es-ES"/>
        </w:rPr>
        <w:t xml:space="preserve">ó </w:t>
      </w:r>
      <w:r w:rsidRPr="00662065">
        <w:rPr>
          <w:lang w:val="es-ES"/>
        </w:rPr>
        <w:t>modificaciones</w:t>
      </w:r>
      <w:r>
        <w:rPr>
          <w:lang w:val="es-ES"/>
        </w:rPr>
        <w:t xml:space="preserve"> al procedimiento para presentar comentarios aplicables a las Regiones 1 y 3 en el </w:t>
      </w:r>
      <w:r w:rsidRPr="00662065">
        <w:rPr>
          <w:lang w:val="es-ES"/>
        </w:rPr>
        <w:t>§</w:t>
      </w:r>
      <w:r w:rsidR="005672BD">
        <w:rPr>
          <w:lang w:val="es-ES"/>
        </w:rPr>
        <w:t> </w:t>
      </w:r>
      <w:r w:rsidRPr="00662065">
        <w:rPr>
          <w:lang w:val="es-ES"/>
        </w:rPr>
        <w:t xml:space="preserve">4.1.10 </w:t>
      </w:r>
      <w:r>
        <w:rPr>
          <w:lang w:val="es-ES"/>
        </w:rPr>
        <w:t>de los</w:t>
      </w:r>
      <w:r w:rsidRPr="00662065">
        <w:rPr>
          <w:lang w:val="es-ES"/>
        </w:rPr>
        <w:t xml:space="preserve"> Apéndices </w:t>
      </w:r>
      <w:r w:rsidRPr="00662065">
        <w:rPr>
          <w:b/>
          <w:bCs/>
          <w:lang w:val="es-ES"/>
        </w:rPr>
        <w:t>30</w:t>
      </w:r>
      <w:r w:rsidRPr="00662065">
        <w:rPr>
          <w:lang w:val="es-ES"/>
        </w:rPr>
        <w:t xml:space="preserve"> </w:t>
      </w:r>
      <w:r>
        <w:rPr>
          <w:lang w:val="es-ES"/>
        </w:rPr>
        <w:t>y</w:t>
      </w:r>
      <w:r w:rsidRPr="00662065">
        <w:rPr>
          <w:lang w:val="es-ES"/>
        </w:rPr>
        <w:t xml:space="preserve"> </w:t>
      </w:r>
      <w:r w:rsidRPr="00662065">
        <w:rPr>
          <w:b/>
          <w:bCs/>
          <w:lang w:val="es-ES"/>
        </w:rPr>
        <w:t>30A</w:t>
      </w:r>
      <w:r w:rsidRPr="00662065">
        <w:rPr>
          <w:lang w:val="es-ES"/>
        </w:rPr>
        <w:t xml:space="preserve">. </w:t>
      </w:r>
      <w:r>
        <w:rPr>
          <w:lang w:val="es-ES"/>
        </w:rPr>
        <w:t>De acuerdo con la disposición revisada, s</w:t>
      </w:r>
      <w:r w:rsidRPr="00662065">
        <w:rPr>
          <w:lang w:val="es-ES"/>
        </w:rPr>
        <w:t>e considerará que una administración que no comunique su acuerdo dentro de los cuatro meses siguientes a la fecha de</w:t>
      </w:r>
      <w:r>
        <w:rPr>
          <w:lang w:val="es-ES"/>
        </w:rPr>
        <w:t xml:space="preserve"> publicación de una Sección Especial</w:t>
      </w:r>
      <w:r w:rsidRPr="00662065">
        <w:rPr>
          <w:lang w:val="es-ES"/>
        </w:rPr>
        <w:t xml:space="preserve"> a </w:t>
      </w:r>
      <w:r>
        <w:rPr>
          <w:lang w:val="es-ES"/>
        </w:rPr>
        <w:t xml:space="preserve">la </w:t>
      </w:r>
      <w:r w:rsidRPr="00662065">
        <w:rPr>
          <w:lang w:val="es-ES"/>
        </w:rPr>
        <w:t>que se hace referencia en el § 4.1.5</w:t>
      </w:r>
      <w:r w:rsidRPr="00757427">
        <w:rPr>
          <w:lang w:val="es-ES"/>
        </w:rPr>
        <w:t xml:space="preserve"> </w:t>
      </w:r>
      <w:r>
        <w:rPr>
          <w:lang w:val="es-ES"/>
        </w:rPr>
        <w:t>de los</w:t>
      </w:r>
      <w:r w:rsidRPr="00662065">
        <w:rPr>
          <w:lang w:val="es-ES"/>
        </w:rPr>
        <w:t xml:space="preserve"> Apéndices </w:t>
      </w:r>
      <w:r w:rsidRPr="00662065">
        <w:rPr>
          <w:b/>
          <w:bCs/>
          <w:lang w:val="es-ES"/>
        </w:rPr>
        <w:t>30</w:t>
      </w:r>
      <w:r w:rsidRPr="00662065">
        <w:rPr>
          <w:lang w:val="es-ES"/>
        </w:rPr>
        <w:t xml:space="preserve"> </w:t>
      </w:r>
      <w:r>
        <w:rPr>
          <w:lang w:val="es-ES"/>
        </w:rPr>
        <w:t>y</w:t>
      </w:r>
      <w:r w:rsidRPr="00662065">
        <w:rPr>
          <w:lang w:val="es-ES"/>
        </w:rPr>
        <w:t xml:space="preserve"> </w:t>
      </w:r>
      <w:r w:rsidRPr="00662065">
        <w:rPr>
          <w:b/>
          <w:bCs/>
          <w:lang w:val="es-ES"/>
        </w:rPr>
        <w:t>30A</w:t>
      </w:r>
      <w:r w:rsidRPr="00662065">
        <w:rPr>
          <w:lang w:val="es-ES"/>
        </w:rPr>
        <w:t xml:space="preserve"> </w:t>
      </w:r>
      <w:r>
        <w:rPr>
          <w:lang w:val="es-ES"/>
        </w:rPr>
        <w:t>(es decir, la Parte</w:t>
      </w:r>
      <w:r w:rsidR="005672BD">
        <w:rPr>
          <w:lang w:val="es-ES"/>
        </w:rPr>
        <w:t> </w:t>
      </w:r>
      <w:r>
        <w:rPr>
          <w:lang w:val="es-ES"/>
        </w:rPr>
        <w:t>A de la Sección Especial AP30/E o</w:t>
      </w:r>
      <w:r w:rsidRPr="00662065">
        <w:rPr>
          <w:lang w:val="es-ES"/>
        </w:rPr>
        <w:t xml:space="preserve"> AP30A/E) </w:t>
      </w:r>
      <w:r w:rsidRPr="00757427">
        <w:rPr>
          <w:lang w:val="es-ES"/>
        </w:rPr>
        <w:t>no está de acuerdo con la asignación propuesta</w:t>
      </w:r>
      <w:r w:rsidRPr="00662065">
        <w:rPr>
          <w:lang w:val="es-ES"/>
        </w:rPr>
        <w:t>.</w:t>
      </w:r>
    </w:p>
    <w:p w:rsidR="00445327" w:rsidRPr="00662065" w:rsidRDefault="00445327" w:rsidP="005B41A8">
      <w:pPr>
        <w:rPr>
          <w:lang w:val="es-ES"/>
        </w:rPr>
      </w:pPr>
      <w:r>
        <w:rPr>
          <w:lang w:val="es-ES"/>
        </w:rPr>
        <w:t xml:space="preserve">En consecuencia, a partir de la fecha de entrada en vigor de la citada disposición revisada </w:t>
      </w:r>
      <w:r w:rsidRPr="00662065">
        <w:rPr>
          <w:lang w:val="es-ES"/>
        </w:rPr>
        <w:t xml:space="preserve">(1 </w:t>
      </w:r>
      <w:r>
        <w:rPr>
          <w:lang w:val="es-ES"/>
        </w:rPr>
        <w:t xml:space="preserve">de enero de </w:t>
      </w:r>
      <w:r w:rsidRPr="00662065">
        <w:rPr>
          <w:lang w:val="es-ES"/>
        </w:rPr>
        <w:t xml:space="preserve">2017), </w:t>
      </w:r>
      <w:r>
        <w:rPr>
          <w:lang w:val="es-ES"/>
        </w:rPr>
        <w:t xml:space="preserve">se interrumpirá la publicación de la </w:t>
      </w:r>
      <w:r w:rsidRPr="00662065">
        <w:rPr>
          <w:lang w:val="es-ES"/>
        </w:rPr>
        <w:t xml:space="preserve">Parte D </w:t>
      </w:r>
      <w:r>
        <w:rPr>
          <w:lang w:val="es-ES"/>
        </w:rPr>
        <w:t xml:space="preserve">de las Secciones Especiales </w:t>
      </w:r>
      <w:r w:rsidRPr="00662065">
        <w:rPr>
          <w:lang w:val="es-ES"/>
        </w:rPr>
        <w:t xml:space="preserve">AP30/E </w:t>
      </w:r>
      <w:r>
        <w:rPr>
          <w:lang w:val="es-ES"/>
        </w:rPr>
        <w:t>y</w:t>
      </w:r>
      <w:r w:rsidRPr="00662065">
        <w:rPr>
          <w:lang w:val="es-ES"/>
        </w:rPr>
        <w:t xml:space="preserve"> AP30A/E. </w:t>
      </w:r>
      <w:r>
        <w:rPr>
          <w:lang w:val="es-ES"/>
        </w:rPr>
        <w:t xml:space="preserve">Además, ya no se requerirá presentar los comentarios a las Secciones Especiales de la Parte A de </w:t>
      </w:r>
      <w:r w:rsidRPr="00662065">
        <w:rPr>
          <w:lang w:val="es-ES"/>
        </w:rPr>
        <w:t xml:space="preserve">P30/E o AP30A/E </w:t>
      </w:r>
      <w:r>
        <w:rPr>
          <w:lang w:val="es-ES"/>
        </w:rPr>
        <w:t xml:space="preserve">por medio de </w:t>
      </w:r>
      <w:r w:rsidRPr="00662065">
        <w:rPr>
          <w:lang w:val="es-ES"/>
        </w:rPr>
        <w:t>SpaceCom</w:t>
      </w:r>
      <w:r>
        <w:rPr>
          <w:lang w:val="es-ES"/>
        </w:rPr>
        <w:t xml:space="preserve">, según se indica en el </w:t>
      </w:r>
      <w:r w:rsidRPr="00C831AB">
        <w:rPr>
          <w:i/>
          <w:iCs/>
          <w:lang w:val="es-ES"/>
        </w:rPr>
        <w:t>resuelve</w:t>
      </w:r>
      <w:r>
        <w:rPr>
          <w:lang w:val="es-ES"/>
        </w:rPr>
        <w:t xml:space="preserve"> 4 de la Resolución</w:t>
      </w:r>
      <w:r w:rsidR="00307690">
        <w:rPr>
          <w:lang w:val="es-ES"/>
        </w:rPr>
        <w:t xml:space="preserve"> </w:t>
      </w:r>
      <w:r w:rsidRPr="00662065">
        <w:rPr>
          <w:b/>
          <w:bCs/>
          <w:lang w:val="es-ES"/>
        </w:rPr>
        <w:t xml:space="preserve">55 (Rev. </w:t>
      </w:r>
      <w:r>
        <w:rPr>
          <w:b/>
          <w:bCs/>
          <w:lang w:val="es-ES"/>
        </w:rPr>
        <w:t>CMR</w:t>
      </w:r>
      <w:r w:rsidRPr="00662065">
        <w:rPr>
          <w:b/>
          <w:bCs/>
          <w:lang w:val="es-ES"/>
        </w:rPr>
        <w:t>-15)</w:t>
      </w:r>
      <w:r w:rsidRPr="00662065">
        <w:rPr>
          <w:lang w:val="es-ES"/>
        </w:rPr>
        <w:t xml:space="preserve">. </w:t>
      </w:r>
    </w:p>
    <w:p w:rsidR="00445327" w:rsidRPr="00662065" w:rsidRDefault="00445327" w:rsidP="005672BD">
      <w:pPr>
        <w:rPr>
          <w:lang w:val="es-ES"/>
        </w:rPr>
      </w:pPr>
      <w:r>
        <w:rPr>
          <w:lang w:val="es-ES"/>
        </w:rPr>
        <w:t xml:space="preserve">Del mismo modo, para el uso de las bandas de guarda en las Regiones 1 y 3 con arreglo al Artículo </w:t>
      </w:r>
      <w:r w:rsidRPr="00662065">
        <w:rPr>
          <w:lang w:val="es-ES"/>
        </w:rPr>
        <w:t xml:space="preserve">2A </w:t>
      </w:r>
      <w:r>
        <w:rPr>
          <w:lang w:val="es-ES"/>
        </w:rPr>
        <w:t>de los Apéndices</w:t>
      </w:r>
      <w:r w:rsidRPr="00662065">
        <w:rPr>
          <w:lang w:val="es-ES"/>
        </w:rPr>
        <w:t xml:space="preserve"> </w:t>
      </w:r>
      <w:r w:rsidRPr="00662065">
        <w:rPr>
          <w:b/>
          <w:bCs/>
          <w:lang w:val="es-ES"/>
        </w:rPr>
        <w:t>30</w:t>
      </w:r>
      <w:r w:rsidRPr="00662065">
        <w:rPr>
          <w:lang w:val="es-ES"/>
        </w:rPr>
        <w:t xml:space="preserve"> </w:t>
      </w:r>
      <w:r>
        <w:rPr>
          <w:lang w:val="es-ES"/>
        </w:rPr>
        <w:t>y</w:t>
      </w:r>
      <w:r w:rsidRPr="00662065">
        <w:rPr>
          <w:lang w:val="es-ES"/>
        </w:rPr>
        <w:t xml:space="preserve"> </w:t>
      </w:r>
      <w:r w:rsidRPr="00662065">
        <w:rPr>
          <w:b/>
          <w:bCs/>
          <w:lang w:val="es-ES"/>
        </w:rPr>
        <w:t>30A</w:t>
      </w:r>
      <w:r w:rsidRPr="00662065">
        <w:rPr>
          <w:lang w:val="es-ES"/>
        </w:rPr>
        <w:t xml:space="preserve">, </w:t>
      </w:r>
      <w:r>
        <w:rPr>
          <w:lang w:val="es-ES"/>
        </w:rPr>
        <w:t xml:space="preserve">se interrumpirá la publicación de las Secciones Especiales </w:t>
      </w:r>
      <w:r w:rsidRPr="00662065">
        <w:rPr>
          <w:bCs/>
          <w:lang w:val="es-ES"/>
        </w:rPr>
        <w:t>AP30-30A/F/D</w:t>
      </w:r>
      <w:r w:rsidRPr="00662065">
        <w:rPr>
          <w:lang w:val="es-ES"/>
        </w:rPr>
        <w:t xml:space="preserve"> </w:t>
      </w:r>
      <w:r>
        <w:rPr>
          <w:lang w:val="es-ES"/>
        </w:rPr>
        <w:t>relativas a las Regiones</w:t>
      </w:r>
      <w:r w:rsidRPr="00662065">
        <w:rPr>
          <w:lang w:val="es-ES"/>
        </w:rPr>
        <w:t xml:space="preserve"> 1 </w:t>
      </w:r>
      <w:r>
        <w:rPr>
          <w:lang w:val="es-ES"/>
        </w:rPr>
        <w:t>y</w:t>
      </w:r>
      <w:r w:rsidRPr="00662065">
        <w:rPr>
          <w:lang w:val="es-ES"/>
        </w:rPr>
        <w:t xml:space="preserve"> 3</w:t>
      </w:r>
      <w:r>
        <w:rPr>
          <w:lang w:val="es-ES"/>
        </w:rPr>
        <w:t>, y</w:t>
      </w:r>
      <w:r w:rsidR="00307690">
        <w:rPr>
          <w:lang w:val="es-ES"/>
        </w:rPr>
        <w:t xml:space="preserve"> </w:t>
      </w:r>
      <w:r w:rsidRPr="00593C10">
        <w:rPr>
          <w:lang w:val="es-ES"/>
        </w:rPr>
        <w:t xml:space="preserve">ya no se requerirá </w:t>
      </w:r>
      <w:r>
        <w:rPr>
          <w:lang w:val="es-ES"/>
        </w:rPr>
        <w:t xml:space="preserve">la utilización de SpaceCom para </w:t>
      </w:r>
      <w:r w:rsidRPr="00593C10">
        <w:rPr>
          <w:lang w:val="es-ES"/>
        </w:rPr>
        <w:t xml:space="preserve">presentar los comentarios a las Secciones Especiales de AP30-30A/F/C </w:t>
      </w:r>
      <w:r>
        <w:rPr>
          <w:lang w:val="es-ES"/>
        </w:rPr>
        <w:t xml:space="preserve">en relación con las </w:t>
      </w:r>
      <w:r w:rsidRPr="00662065">
        <w:rPr>
          <w:bCs/>
          <w:lang w:val="es-ES"/>
        </w:rPr>
        <w:t xml:space="preserve">Regiones 1 </w:t>
      </w:r>
      <w:r>
        <w:rPr>
          <w:bCs/>
          <w:lang w:val="es-ES"/>
        </w:rPr>
        <w:t>y</w:t>
      </w:r>
      <w:r w:rsidRPr="00662065">
        <w:rPr>
          <w:bCs/>
          <w:lang w:val="es-ES"/>
        </w:rPr>
        <w:t xml:space="preserve"> 3</w:t>
      </w:r>
      <w:r w:rsidRPr="00662065">
        <w:rPr>
          <w:lang w:val="es-ES"/>
        </w:rPr>
        <w:t>.</w:t>
      </w:r>
    </w:p>
    <w:p w:rsidR="00445327" w:rsidRPr="00662065" w:rsidRDefault="00445327" w:rsidP="005672BD">
      <w:pPr>
        <w:rPr>
          <w:bCs/>
          <w:lang w:val="es-ES"/>
        </w:rPr>
      </w:pPr>
      <w:r w:rsidRPr="00662065">
        <w:rPr>
          <w:lang w:val="es-ES"/>
        </w:rPr>
        <w:t>H</w:t>
      </w:r>
      <w:r>
        <w:rPr>
          <w:lang w:val="es-ES"/>
        </w:rPr>
        <w:t xml:space="preserve">abida cuenta de lo anterior, a partir del 1 de enero de 2017, la Oficina aplicará el </w:t>
      </w:r>
      <w:r w:rsidRPr="00662065">
        <w:rPr>
          <w:lang w:val="es-ES"/>
        </w:rPr>
        <w:t>§</w:t>
      </w:r>
      <w:r w:rsidR="005B41A8">
        <w:rPr>
          <w:lang w:val="es-ES"/>
        </w:rPr>
        <w:t> </w:t>
      </w:r>
      <w:r w:rsidRPr="00662065">
        <w:rPr>
          <w:lang w:val="es-ES"/>
        </w:rPr>
        <w:t xml:space="preserve">4.1.10 </w:t>
      </w:r>
      <w:r>
        <w:rPr>
          <w:lang w:val="es-ES"/>
        </w:rPr>
        <w:t>de los</w:t>
      </w:r>
      <w:r w:rsidRPr="00662065">
        <w:rPr>
          <w:lang w:val="es-ES"/>
        </w:rPr>
        <w:t xml:space="preserve"> Apéndices 30 </w:t>
      </w:r>
      <w:r>
        <w:rPr>
          <w:lang w:val="es-ES"/>
        </w:rPr>
        <w:t>y</w:t>
      </w:r>
      <w:r w:rsidRPr="00662065">
        <w:rPr>
          <w:lang w:val="es-ES"/>
        </w:rPr>
        <w:t xml:space="preserve"> 30A </w:t>
      </w:r>
      <w:r>
        <w:rPr>
          <w:bCs/>
          <w:lang w:val="es-ES"/>
        </w:rPr>
        <w:t>como sigue</w:t>
      </w:r>
      <w:r w:rsidRPr="00662065">
        <w:rPr>
          <w:bCs/>
          <w:lang w:val="es-ES"/>
        </w:rPr>
        <w:t>:</w:t>
      </w:r>
    </w:p>
    <w:p w:rsidR="00445327" w:rsidRPr="00662065" w:rsidRDefault="00445327" w:rsidP="00B91EA0">
      <w:pPr>
        <w:rPr>
          <w:lang w:val="es-ES"/>
        </w:rPr>
      </w:pPr>
      <w:r>
        <w:rPr>
          <w:lang w:val="es-ES"/>
        </w:rPr>
        <w:t xml:space="preserve">En lo que respecta a la </w:t>
      </w:r>
      <w:r w:rsidRPr="00662065">
        <w:rPr>
          <w:lang w:val="es-ES"/>
        </w:rPr>
        <w:t xml:space="preserve">Parte A </w:t>
      </w:r>
      <w:r>
        <w:rPr>
          <w:lang w:val="es-ES"/>
        </w:rPr>
        <w:t>de las Secciones Especiales de</w:t>
      </w:r>
      <w:r w:rsidR="00307690">
        <w:rPr>
          <w:lang w:val="es-ES"/>
        </w:rPr>
        <w:t xml:space="preserve"> </w:t>
      </w:r>
      <w:r w:rsidRPr="00662065">
        <w:rPr>
          <w:lang w:val="es-ES"/>
        </w:rPr>
        <w:t xml:space="preserve">AP30/E/ o AP30A/E/ </w:t>
      </w:r>
      <w:r>
        <w:rPr>
          <w:lang w:val="es-ES"/>
        </w:rPr>
        <w:t xml:space="preserve">o de las Secciones Especiales de </w:t>
      </w:r>
      <w:r w:rsidRPr="00662065">
        <w:rPr>
          <w:lang w:val="es-ES"/>
        </w:rPr>
        <w:t xml:space="preserve">AP30-30A/F/C </w:t>
      </w:r>
      <w:r>
        <w:rPr>
          <w:lang w:val="es-ES"/>
        </w:rPr>
        <w:t>relativas a las</w:t>
      </w:r>
      <w:r w:rsidRPr="00662065">
        <w:rPr>
          <w:lang w:val="es-ES"/>
        </w:rPr>
        <w:t xml:space="preserve"> Regiones 1 </w:t>
      </w:r>
      <w:r>
        <w:rPr>
          <w:lang w:val="es-ES"/>
        </w:rPr>
        <w:t>y</w:t>
      </w:r>
      <w:r w:rsidRPr="00662065">
        <w:rPr>
          <w:lang w:val="es-ES"/>
        </w:rPr>
        <w:t xml:space="preserve"> 3 </w:t>
      </w:r>
      <w:r>
        <w:rPr>
          <w:lang w:val="es-ES"/>
        </w:rPr>
        <w:t>publicadas en una</w:t>
      </w:r>
      <w:r w:rsidRPr="00662065">
        <w:rPr>
          <w:lang w:val="es-ES"/>
        </w:rPr>
        <w:t xml:space="preserve"> BR IFIC </w:t>
      </w:r>
      <w:r>
        <w:rPr>
          <w:b/>
          <w:lang w:val="es-ES"/>
        </w:rPr>
        <w:t>antes del</w:t>
      </w:r>
      <w:r w:rsidRPr="00662065">
        <w:rPr>
          <w:b/>
          <w:lang w:val="es-ES"/>
        </w:rPr>
        <w:t xml:space="preserve"> 31 </w:t>
      </w:r>
      <w:r>
        <w:rPr>
          <w:b/>
          <w:lang w:val="es-ES"/>
        </w:rPr>
        <w:t>de diciembre de</w:t>
      </w:r>
      <w:r w:rsidRPr="00662065">
        <w:rPr>
          <w:b/>
          <w:lang w:val="es-ES"/>
        </w:rPr>
        <w:t xml:space="preserve"> 2016</w:t>
      </w:r>
      <w:r w:rsidRPr="00662065">
        <w:rPr>
          <w:lang w:val="es-ES"/>
        </w:rPr>
        <w:t xml:space="preserve">, </w:t>
      </w:r>
      <w:r>
        <w:rPr>
          <w:lang w:val="es-ES"/>
        </w:rPr>
        <w:t xml:space="preserve">los comentarios sobre la red publicada se enviarán a la Oficina dentro de los cuatro meses posteriores a la fecha de la BR IFIC utilizando el software SpaceCom. Se considerará que las administraciones que no hayan presentado comentarios dentro del periodo de cuatro meses están de acuerdo con las </w:t>
      </w:r>
      <w:r>
        <w:rPr>
          <w:lang w:val="es-ES"/>
        </w:rPr>
        <w:lastRenderedPageBreak/>
        <w:t>asignaciones propuestas, incluso en el caso de que el periodo de cuatro meses para los comentarios sea posterior al 1 de enero de 2017. En ese momento, la Parte D de la Sección Especial del</w:t>
      </w:r>
      <w:r w:rsidR="00307690">
        <w:rPr>
          <w:lang w:val="es-ES"/>
        </w:rPr>
        <w:t xml:space="preserve"> </w:t>
      </w:r>
      <w:r w:rsidRPr="00662065">
        <w:rPr>
          <w:lang w:val="es-ES"/>
        </w:rPr>
        <w:t>AP30/E/ o</w:t>
      </w:r>
      <w:r>
        <w:rPr>
          <w:lang w:val="es-ES"/>
        </w:rPr>
        <w:t xml:space="preserve"> el</w:t>
      </w:r>
      <w:r w:rsidRPr="00662065">
        <w:rPr>
          <w:lang w:val="es-ES"/>
        </w:rPr>
        <w:t xml:space="preserve"> AP30A/E/ </w:t>
      </w:r>
      <w:r>
        <w:rPr>
          <w:lang w:val="es-ES"/>
        </w:rPr>
        <w:t>o la Sección Especial del</w:t>
      </w:r>
      <w:r w:rsidRPr="00662065">
        <w:rPr>
          <w:rFonts w:eastAsiaTheme="minorEastAsia" w:cs="TT1C18o00"/>
          <w:lang w:val="es-ES" w:eastAsia="zh-CN"/>
        </w:rPr>
        <w:t xml:space="preserve"> </w:t>
      </w:r>
      <w:r w:rsidRPr="00662065">
        <w:rPr>
          <w:lang w:val="es-ES"/>
        </w:rPr>
        <w:t xml:space="preserve">AP30-30A/F/D </w:t>
      </w:r>
      <w:r>
        <w:rPr>
          <w:lang w:val="es-ES"/>
        </w:rPr>
        <w:t>se publicarán con arreglo a los comentarios recibidos dentro del periodo de cuatro meses para comentarios.</w:t>
      </w:r>
      <w:r w:rsidRPr="00662065">
        <w:rPr>
          <w:lang w:val="es-ES"/>
        </w:rPr>
        <w:t xml:space="preserve"> </w:t>
      </w:r>
    </w:p>
    <w:p w:rsidR="00445327" w:rsidRPr="00662065" w:rsidRDefault="00445327" w:rsidP="005672BD">
      <w:pPr>
        <w:rPr>
          <w:lang w:val="es-ES"/>
        </w:rPr>
      </w:pPr>
      <w:r w:rsidRPr="00AE2B0B">
        <w:rPr>
          <w:lang w:val="es-ES"/>
        </w:rPr>
        <w:t>En lo que respecta a la Parte A de las Secciones Especiales de</w:t>
      </w:r>
      <w:r w:rsidR="00307690">
        <w:rPr>
          <w:lang w:val="es-ES"/>
        </w:rPr>
        <w:t xml:space="preserve"> </w:t>
      </w:r>
      <w:r w:rsidRPr="00662065">
        <w:rPr>
          <w:lang w:val="es-ES"/>
        </w:rPr>
        <w:t>AP30/E/ o</w:t>
      </w:r>
      <w:r>
        <w:rPr>
          <w:lang w:val="es-ES"/>
        </w:rPr>
        <w:t xml:space="preserve"> de</w:t>
      </w:r>
      <w:r w:rsidRPr="00662065">
        <w:rPr>
          <w:lang w:val="es-ES"/>
        </w:rPr>
        <w:t xml:space="preserve"> AP30A/E/ </w:t>
      </w:r>
      <w:r w:rsidRPr="00AE2B0B">
        <w:rPr>
          <w:lang w:val="es-ES"/>
        </w:rPr>
        <w:t>o de las Secciones Especiales de</w:t>
      </w:r>
      <w:r w:rsidRPr="00662065">
        <w:rPr>
          <w:lang w:val="es-ES"/>
        </w:rPr>
        <w:t xml:space="preserve"> AP30-30A/F/C </w:t>
      </w:r>
      <w:r>
        <w:rPr>
          <w:lang w:val="es-ES"/>
        </w:rPr>
        <w:t>relativas a las</w:t>
      </w:r>
      <w:r w:rsidRPr="00662065">
        <w:rPr>
          <w:lang w:val="es-ES"/>
        </w:rPr>
        <w:t xml:space="preserve"> Regiones 1 </w:t>
      </w:r>
      <w:r>
        <w:rPr>
          <w:lang w:val="es-ES"/>
        </w:rPr>
        <w:t>y</w:t>
      </w:r>
      <w:r w:rsidRPr="00662065">
        <w:rPr>
          <w:lang w:val="es-ES"/>
        </w:rPr>
        <w:t xml:space="preserve"> 3 </w:t>
      </w:r>
      <w:r>
        <w:rPr>
          <w:lang w:val="es-ES"/>
        </w:rPr>
        <w:t>publicada en una</w:t>
      </w:r>
      <w:r w:rsidRPr="00662065">
        <w:rPr>
          <w:lang w:val="es-ES"/>
        </w:rPr>
        <w:t xml:space="preserve"> BR IFIC </w:t>
      </w:r>
      <w:r>
        <w:rPr>
          <w:b/>
          <w:lang w:val="es-ES"/>
        </w:rPr>
        <w:t>después del 1 de enero de 2017</w:t>
      </w:r>
      <w:r w:rsidRPr="00662065">
        <w:rPr>
          <w:lang w:val="es-ES"/>
        </w:rPr>
        <w:t xml:space="preserve">, </w:t>
      </w:r>
      <w:r>
        <w:rPr>
          <w:lang w:val="es-ES"/>
        </w:rPr>
        <w:t>con independencia de la fecha de la presentación, se considerará que una administración identificada en la publicación</w:t>
      </w:r>
      <w:r w:rsidR="00307690">
        <w:rPr>
          <w:lang w:val="es-ES"/>
        </w:rPr>
        <w:t xml:space="preserve"> </w:t>
      </w:r>
      <w:r>
        <w:rPr>
          <w:lang w:val="es-ES"/>
        </w:rPr>
        <w:t>no está de acuerdo con la red publicada si no se han recibido comentarios dentro de un periodo de cuatro meses a partir de la fecha de la BR IFIC. Todo comentario de las administraciones sobre las citadas Secciones Especiales a partir de esa fecha se enviará a la Oficina y a la Administración notificante por</w:t>
      </w:r>
      <w:r w:rsidRPr="00662065">
        <w:rPr>
          <w:lang w:val="es-ES"/>
        </w:rPr>
        <w:t xml:space="preserve"> telefax.</w:t>
      </w:r>
    </w:p>
    <w:p w:rsidR="00445327" w:rsidRPr="00662065" w:rsidRDefault="00445327" w:rsidP="005B41A8">
      <w:pPr>
        <w:rPr>
          <w:lang w:val="es-ES"/>
        </w:rPr>
      </w:pPr>
      <w:r>
        <w:rPr>
          <w:lang w:val="es-ES"/>
        </w:rPr>
        <w:t>La CMR</w:t>
      </w:r>
      <w:r w:rsidRPr="00662065">
        <w:rPr>
          <w:lang w:val="es-ES"/>
        </w:rPr>
        <w:t xml:space="preserve">-15 </w:t>
      </w:r>
      <w:r>
        <w:rPr>
          <w:lang w:val="es-ES"/>
        </w:rPr>
        <w:t xml:space="preserve">no modificó las disposiciones relativas a la presentación de comentarios sobre una modificación del Plan de la Región 2 con arreglo a los </w:t>
      </w:r>
      <w:r w:rsidRPr="00662065">
        <w:rPr>
          <w:lang w:val="es-ES"/>
        </w:rPr>
        <w:t>§</w:t>
      </w:r>
      <w:r w:rsidR="005672BD">
        <w:rPr>
          <w:lang w:val="es-ES"/>
        </w:rPr>
        <w:t> </w:t>
      </w:r>
      <w:r w:rsidRPr="00662065">
        <w:rPr>
          <w:lang w:val="es-ES"/>
        </w:rPr>
        <w:t xml:space="preserve">4.2.10, 4.2.13 </w:t>
      </w:r>
      <w:r w:rsidR="005B41A8">
        <w:rPr>
          <w:lang w:val="es-ES"/>
        </w:rPr>
        <w:t>ó</w:t>
      </w:r>
      <w:r w:rsidRPr="00662065">
        <w:rPr>
          <w:lang w:val="es-ES"/>
        </w:rPr>
        <w:t xml:space="preserve"> 4.2.14 </w:t>
      </w:r>
      <w:r>
        <w:rPr>
          <w:lang w:val="es-ES"/>
        </w:rPr>
        <w:t>de los</w:t>
      </w:r>
      <w:r w:rsidRPr="00662065">
        <w:rPr>
          <w:lang w:val="es-ES"/>
        </w:rPr>
        <w:t xml:space="preserve"> Apéndices </w:t>
      </w:r>
      <w:r w:rsidRPr="00662065">
        <w:rPr>
          <w:b/>
          <w:lang w:val="es-ES"/>
        </w:rPr>
        <w:t>30</w:t>
      </w:r>
      <w:r w:rsidRPr="00662065">
        <w:rPr>
          <w:lang w:val="es-ES"/>
        </w:rPr>
        <w:t xml:space="preserve"> </w:t>
      </w:r>
      <w:r>
        <w:rPr>
          <w:lang w:val="es-ES"/>
        </w:rPr>
        <w:t>y</w:t>
      </w:r>
      <w:r w:rsidRPr="00662065">
        <w:rPr>
          <w:lang w:val="es-ES"/>
        </w:rPr>
        <w:t> </w:t>
      </w:r>
      <w:r w:rsidRPr="00662065">
        <w:rPr>
          <w:b/>
          <w:lang w:val="es-ES"/>
        </w:rPr>
        <w:t>30A</w:t>
      </w:r>
      <w:r w:rsidRPr="00662065">
        <w:rPr>
          <w:lang w:val="es-ES"/>
        </w:rPr>
        <w:t xml:space="preserve"> o</w:t>
      </w:r>
      <w:r>
        <w:rPr>
          <w:lang w:val="es-ES"/>
        </w:rPr>
        <w:t xml:space="preserve"> comentarios sobre una asignación con arreglo al Artículo</w:t>
      </w:r>
      <w:r w:rsidRPr="00662065">
        <w:rPr>
          <w:lang w:val="es-ES"/>
        </w:rPr>
        <w:t xml:space="preserve"> 2A </w:t>
      </w:r>
      <w:r>
        <w:rPr>
          <w:lang w:val="es-ES"/>
        </w:rPr>
        <w:t xml:space="preserve">en favor de una asignación sujeta al Plan de la Región 2. El actual enfoque, según el cual se utiliza </w:t>
      </w:r>
      <w:r w:rsidRPr="00662065">
        <w:rPr>
          <w:lang w:val="es-ES"/>
        </w:rPr>
        <w:t xml:space="preserve">SpaceCom </w:t>
      </w:r>
      <w:r>
        <w:rPr>
          <w:lang w:val="es-ES"/>
        </w:rPr>
        <w:t xml:space="preserve">para presentar comentarios dentro del periodo de cuatro meses tras la publicación se mantendrá sin cambios de acuerdo con el </w:t>
      </w:r>
      <w:r w:rsidRPr="0013485E">
        <w:rPr>
          <w:i/>
          <w:iCs/>
          <w:lang w:val="es-ES"/>
        </w:rPr>
        <w:t>resuelve</w:t>
      </w:r>
      <w:r>
        <w:rPr>
          <w:lang w:val="es-ES"/>
        </w:rPr>
        <w:t xml:space="preserve"> 4 de la Resolución </w:t>
      </w:r>
      <w:r w:rsidRPr="00662065">
        <w:rPr>
          <w:b/>
          <w:lang w:val="es-ES"/>
        </w:rPr>
        <w:t>55</w:t>
      </w:r>
      <w:r w:rsidRPr="00662065">
        <w:rPr>
          <w:lang w:val="es-ES"/>
        </w:rPr>
        <w:t xml:space="preserve"> (Rev.</w:t>
      </w:r>
      <w:r>
        <w:rPr>
          <w:lang w:val="es-ES"/>
        </w:rPr>
        <w:t>CMR</w:t>
      </w:r>
      <w:r w:rsidRPr="00662065">
        <w:rPr>
          <w:lang w:val="es-ES"/>
        </w:rPr>
        <w:t>-15).</w:t>
      </w:r>
    </w:p>
    <w:p w:rsidR="00445327" w:rsidRPr="00662065" w:rsidRDefault="005672BD" w:rsidP="005672BD">
      <w:pPr>
        <w:pStyle w:val="enumlev1"/>
        <w:rPr>
          <w:lang w:val="es-ES" w:eastAsia="zh-CN"/>
        </w:rPr>
      </w:pPr>
      <w:r w:rsidRPr="005672BD">
        <w:rPr>
          <w:rFonts w:eastAsia="SimSun"/>
          <w:lang w:val="es-ES" w:eastAsia="zh-CN"/>
        </w:rPr>
        <w:t>•</w:t>
      </w:r>
      <w:r>
        <w:rPr>
          <w:rFonts w:eastAsia="SimSun"/>
          <w:lang w:val="es-ES" w:eastAsia="zh-CN"/>
        </w:rPr>
        <w:tab/>
      </w:r>
      <w:r w:rsidR="00445327" w:rsidRPr="00662065">
        <w:rPr>
          <w:rFonts w:eastAsia="SimSun"/>
          <w:lang w:val="es-ES" w:eastAsia="zh-CN"/>
        </w:rPr>
        <w:t xml:space="preserve">Conversión de todas las asignaciones analógicas que figuran en el Plan y la Lista de los Apéndices </w:t>
      </w:r>
      <w:r w:rsidR="00445327" w:rsidRPr="00662065">
        <w:rPr>
          <w:rFonts w:eastAsia="SimSun"/>
          <w:b/>
          <w:bCs/>
          <w:lang w:val="es-ES" w:eastAsia="zh-CN"/>
        </w:rPr>
        <w:t>30</w:t>
      </w:r>
      <w:r w:rsidR="00445327" w:rsidRPr="00662065">
        <w:rPr>
          <w:rFonts w:eastAsia="SimSun"/>
          <w:lang w:val="es-ES" w:eastAsia="zh-CN"/>
        </w:rPr>
        <w:t xml:space="preserve"> y </w:t>
      </w:r>
      <w:r w:rsidR="00445327" w:rsidRPr="00662065">
        <w:rPr>
          <w:rFonts w:eastAsia="SimSun"/>
          <w:b/>
          <w:bCs/>
          <w:lang w:val="es-ES" w:eastAsia="zh-CN"/>
        </w:rPr>
        <w:t>30A</w:t>
      </w:r>
      <w:r w:rsidR="00445327" w:rsidRPr="00662065">
        <w:rPr>
          <w:rFonts w:eastAsia="SimSun"/>
          <w:lang w:val="es-ES" w:eastAsia="zh-CN"/>
        </w:rPr>
        <w:t xml:space="preserve"> para las Regiones 1 y 3 en asignaciones digitales</w:t>
      </w:r>
      <w:r w:rsidR="00445327" w:rsidRPr="00662065">
        <w:rPr>
          <w:lang w:val="es-ES" w:eastAsia="zh-CN"/>
        </w:rPr>
        <w:t>:</w:t>
      </w:r>
    </w:p>
    <w:p w:rsidR="00445327" w:rsidRPr="00662065" w:rsidRDefault="00445327" w:rsidP="005672BD">
      <w:pPr>
        <w:rPr>
          <w:rFonts w:eastAsiaTheme="minorEastAsia"/>
          <w:szCs w:val="24"/>
          <w:lang w:val="es-ES" w:eastAsia="zh-CN"/>
        </w:rPr>
      </w:pPr>
      <w:r>
        <w:rPr>
          <w:lang w:val="es-ES"/>
        </w:rPr>
        <w:t>De acuerdo con lo dispuesto en la Resolución</w:t>
      </w:r>
      <w:r w:rsidRPr="00662065">
        <w:rPr>
          <w:lang w:val="es-ES"/>
        </w:rPr>
        <w:t xml:space="preserve"> </w:t>
      </w:r>
      <w:r w:rsidRPr="00662065">
        <w:rPr>
          <w:b/>
          <w:bCs/>
          <w:lang w:val="es-ES"/>
        </w:rPr>
        <w:t>556</w:t>
      </w:r>
      <w:r w:rsidRPr="00662065">
        <w:rPr>
          <w:lang w:val="es-ES"/>
        </w:rPr>
        <w:t xml:space="preserve"> (</w:t>
      </w:r>
      <w:r>
        <w:rPr>
          <w:b/>
          <w:bCs/>
          <w:lang w:val="es-ES"/>
        </w:rPr>
        <w:t>CMR</w:t>
      </w:r>
      <w:r w:rsidRPr="00662065">
        <w:rPr>
          <w:b/>
          <w:bCs/>
          <w:lang w:val="es-ES"/>
        </w:rPr>
        <w:t>-15</w:t>
      </w:r>
      <w:r w:rsidRPr="00662065">
        <w:rPr>
          <w:lang w:val="es-ES"/>
        </w:rPr>
        <w:t xml:space="preserve">), </w:t>
      </w:r>
      <w:r>
        <w:rPr>
          <w:lang w:val="es-ES"/>
        </w:rPr>
        <w:t xml:space="preserve">a partir del 1 de enero de 2017, todas las asignaciones analógicas incluidas en el Artículo </w:t>
      </w:r>
      <w:r w:rsidRPr="00662065">
        <w:rPr>
          <w:lang w:val="es-ES"/>
        </w:rPr>
        <w:t xml:space="preserve">9A </w:t>
      </w:r>
      <w:r>
        <w:rPr>
          <w:lang w:val="es-ES"/>
        </w:rPr>
        <w:t>del Apéndice</w:t>
      </w:r>
      <w:r w:rsidRPr="00662065">
        <w:rPr>
          <w:lang w:val="es-ES"/>
        </w:rPr>
        <w:t xml:space="preserve"> </w:t>
      </w:r>
      <w:r w:rsidRPr="00662065">
        <w:rPr>
          <w:b/>
          <w:bCs/>
          <w:lang w:val="es-ES"/>
        </w:rPr>
        <w:t>30A</w:t>
      </w:r>
      <w:r>
        <w:rPr>
          <w:lang w:val="es-ES"/>
        </w:rPr>
        <w:t>, en el</w:t>
      </w:r>
      <w:r w:rsidRPr="00662065">
        <w:rPr>
          <w:lang w:val="es-ES"/>
        </w:rPr>
        <w:t xml:space="preserve"> </w:t>
      </w:r>
      <w:r>
        <w:rPr>
          <w:lang w:val="es-ES"/>
        </w:rPr>
        <w:t>Artículo</w:t>
      </w:r>
      <w:r w:rsidRPr="00662065">
        <w:rPr>
          <w:lang w:val="es-ES"/>
        </w:rPr>
        <w:t xml:space="preserve"> 11 </w:t>
      </w:r>
      <w:r>
        <w:rPr>
          <w:lang w:val="es-ES"/>
        </w:rPr>
        <w:t>del</w:t>
      </w:r>
      <w:r w:rsidRPr="00662065">
        <w:rPr>
          <w:lang w:val="es-ES"/>
        </w:rPr>
        <w:t xml:space="preserve"> Ap</w:t>
      </w:r>
      <w:r>
        <w:rPr>
          <w:lang w:val="es-ES"/>
        </w:rPr>
        <w:t>éndice</w:t>
      </w:r>
      <w:r w:rsidRPr="00662065">
        <w:rPr>
          <w:lang w:val="es-ES"/>
        </w:rPr>
        <w:t xml:space="preserve"> </w:t>
      </w:r>
      <w:r w:rsidRPr="00662065">
        <w:rPr>
          <w:b/>
          <w:bCs/>
          <w:lang w:val="es-ES"/>
        </w:rPr>
        <w:t>30</w:t>
      </w:r>
      <w:r w:rsidRPr="00662065">
        <w:rPr>
          <w:lang w:val="es-ES"/>
        </w:rPr>
        <w:t xml:space="preserve"> </w:t>
      </w:r>
      <w:r>
        <w:rPr>
          <w:lang w:val="es-ES"/>
        </w:rPr>
        <w:t>y en las Listas de las</w:t>
      </w:r>
      <w:r w:rsidRPr="00662065">
        <w:rPr>
          <w:lang w:val="es-ES"/>
        </w:rPr>
        <w:t xml:space="preserve"> Regiones 1 </w:t>
      </w:r>
      <w:r>
        <w:rPr>
          <w:lang w:val="es-ES"/>
        </w:rPr>
        <w:t>y</w:t>
      </w:r>
      <w:r w:rsidRPr="00662065">
        <w:rPr>
          <w:lang w:val="es-ES"/>
        </w:rPr>
        <w:t xml:space="preserve"> 3 </w:t>
      </w:r>
      <w:r>
        <w:rPr>
          <w:lang w:val="es-ES"/>
        </w:rPr>
        <w:t xml:space="preserve">se convertirán en asignaciones digitales. </w:t>
      </w:r>
    </w:p>
    <w:p w:rsidR="00445327" w:rsidRPr="00662065" w:rsidRDefault="00445327" w:rsidP="005672BD">
      <w:pPr>
        <w:rPr>
          <w:rFonts w:eastAsiaTheme="minorEastAsia"/>
          <w:lang w:val="es-ES" w:eastAsia="zh-CN"/>
        </w:rPr>
      </w:pPr>
      <w:r>
        <w:rPr>
          <w:rFonts w:eastAsiaTheme="minorEastAsia"/>
          <w:lang w:val="es-ES" w:eastAsia="zh-CN"/>
        </w:rPr>
        <w:t>En el anexo a la presente Carta Circular figura la lista de todas las asignaciones analógicas afectadas de las Listas de las Regiones 1 y 3, junto con sus</w:t>
      </w:r>
      <w:r w:rsidRPr="0005313A">
        <w:t xml:space="preserve"> </w:t>
      </w:r>
      <w:r w:rsidRPr="0005313A">
        <w:rPr>
          <w:rFonts w:eastAsiaTheme="minorEastAsia"/>
          <w:lang w:val="es-ES" w:eastAsia="zh-CN"/>
        </w:rPr>
        <w:t>clases de emisión</w:t>
      </w:r>
      <w:r>
        <w:rPr>
          <w:rFonts w:eastAsiaTheme="minorEastAsia"/>
          <w:lang w:val="es-ES" w:eastAsia="zh-CN"/>
        </w:rPr>
        <w:t xml:space="preserve">, que se convertirán en digitales. De acuerdo con el </w:t>
      </w:r>
      <w:r w:rsidRPr="0005313A">
        <w:rPr>
          <w:rFonts w:eastAsiaTheme="minorEastAsia"/>
          <w:i/>
          <w:iCs/>
          <w:lang w:val="es-ES" w:eastAsia="zh-CN"/>
        </w:rPr>
        <w:t>resuelve</w:t>
      </w:r>
      <w:r>
        <w:rPr>
          <w:rFonts w:eastAsiaTheme="minorEastAsia"/>
          <w:lang w:val="es-ES" w:eastAsia="zh-CN"/>
        </w:rPr>
        <w:t xml:space="preserve"> 1.2 de la Resolución </w:t>
      </w:r>
      <w:r w:rsidRPr="00662065">
        <w:rPr>
          <w:lang w:val="es-ES"/>
        </w:rPr>
        <w:t>556 (</w:t>
      </w:r>
      <w:r>
        <w:rPr>
          <w:b/>
          <w:bCs/>
          <w:lang w:val="es-ES"/>
        </w:rPr>
        <w:t>CMR</w:t>
      </w:r>
      <w:r w:rsidRPr="00662065">
        <w:rPr>
          <w:b/>
          <w:bCs/>
          <w:lang w:val="es-ES"/>
        </w:rPr>
        <w:t>-15</w:t>
      </w:r>
      <w:r w:rsidRPr="00662065">
        <w:rPr>
          <w:lang w:val="es-ES"/>
        </w:rPr>
        <w:t>)</w:t>
      </w:r>
      <w:r w:rsidRPr="00662065">
        <w:rPr>
          <w:rFonts w:eastAsiaTheme="minorEastAsia"/>
          <w:lang w:val="es-ES" w:eastAsia="zh-CN"/>
        </w:rPr>
        <w:t xml:space="preserve">, </w:t>
      </w:r>
      <w:r>
        <w:rPr>
          <w:rFonts w:eastAsiaTheme="minorEastAsia"/>
          <w:lang w:val="es-ES" w:eastAsia="zh-CN"/>
        </w:rPr>
        <w:t xml:space="preserve">una vez que se haya completado la conversión, las situaciones de referencia (EPM) de los Planes y Listas de las Regiones 1 y 3 y de otras comunicaciones con arreglo al Artículo 4 de los Apéndices </w:t>
      </w:r>
      <w:r w:rsidRPr="00662065">
        <w:rPr>
          <w:rFonts w:eastAsiaTheme="minorEastAsia"/>
          <w:b/>
          <w:bCs/>
          <w:lang w:val="es-ES" w:eastAsia="zh-CN"/>
        </w:rPr>
        <w:t>30</w:t>
      </w:r>
      <w:r w:rsidRPr="00662065">
        <w:rPr>
          <w:rFonts w:eastAsiaTheme="minorEastAsia"/>
          <w:lang w:val="es-ES" w:eastAsia="zh-CN"/>
        </w:rPr>
        <w:t xml:space="preserve"> </w:t>
      </w:r>
      <w:r>
        <w:rPr>
          <w:rFonts w:eastAsiaTheme="minorEastAsia"/>
          <w:lang w:val="es-ES" w:eastAsia="zh-CN"/>
        </w:rPr>
        <w:t>y</w:t>
      </w:r>
      <w:r w:rsidRPr="00662065">
        <w:rPr>
          <w:rFonts w:eastAsiaTheme="minorEastAsia"/>
          <w:lang w:val="es-ES" w:eastAsia="zh-CN"/>
        </w:rPr>
        <w:t xml:space="preserve"> </w:t>
      </w:r>
      <w:r w:rsidRPr="00662065">
        <w:rPr>
          <w:rFonts w:eastAsiaTheme="minorEastAsia"/>
          <w:b/>
          <w:bCs/>
          <w:lang w:val="es-ES" w:eastAsia="zh-CN"/>
        </w:rPr>
        <w:t>30A</w:t>
      </w:r>
      <w:r w:rsidRPr="00662065">
        <w:rPr>
          <w:rFonts w:eastAsiaTheme="minorEastAsia"/>
          <w:lang w:val="es-ES" w:eastAsia="zh-CN"/>
        </w:rPr>
        <w:t xml:space="preserve"> </w:t>
      </w:r>
      <w:r>
        <w:rPr>
          <w:rFonts w:eastAsiaTheme="minorEastAsia"/>
          <w:lang w:val="es-ES" w:eastAsia="zh-CN"/>
        </w:rPr>
        <w:t xml:space="preserve">que aún se encuentren en fase de aplicación de dicho Artículo, según figure en la base de datos </w:t>
      </w:r>
      <w:r w:rsidRPr="00662065">
        <w:rPr>
          <w:rFonts w:eastAsiaTheme="minorEastAsia"/>
          <w:lang w:val="es-ES" w:eastAsia="zh-CN"/>
        </w:rPr>
        <w:t xml:space="preserve">SPS_ALL, </w:t>
      </w:r>
      <w:r>
        <w:rPr>
          <w:rFonts w:eastAsiaTheme="minorEastAsia"/>
          <w:lang w:val="es-ES" w:eastAsia="zh-CN"/>
        </w:rPr>
        <w:t>se actualizarán en consecuencia</w:t>
      </w:r>
      <w:r w:rsidRPr="00662065">
        <w:rPr>
          <w:rFonts w:eastAsiaTheme="minorEastAsia"/>
          <w:lang w:val="es-ES" w:eastAsia="zh-CN"/>
        </w:rPr>
        <w:t>.</w:t>
      </w:r>
    </w:p>
    <w:p w:rsidR="00445327" w:rsidRPr="00662065" w:rsidRDefault="00445327" w:rsidP="005B41A8">
      <w:pPr>
        <w:rPr>
          <w:rFonts w:eastAsiaTheme="minorEastAsia"/>
          <w:lang w:val="es-ES" w:eastAsia="zh-CN"/>
        </w:rPr>
      </w:pPr>
      <w:r>
        <w:rPr>
          <w:rFonts w:eastAsiaTheme="minorEastAsia"/>
          <w:lang w:val="es-ES" w:eastAsia="zh-CN"/>
        </w:rPr>
        <w:t xml:space="preserve">Las modificaciones antes citadas se introducirán en la base de datos </w:t>
      </w:r>
      <w:r w:rsidRPr="00662065">
        <w:rPr>
          <w:rFonts w:eastAsiaTheme="minorEastAsia"/>
          <w:lang w:val="es-ES" w:eastAsia="zh-CN"/>
        </w:rPr>
        <w:t xml:space="preserve">SPS_ALL </w:t>
      </w:r>
      <w:r>
        <w:rPr>
          <w:rFonts w:eastAsiaTheme="minorEastAsia"/>
          <w:lang w:val="es-ES" w:eastAsia="zh-CN"/>
        </w:rPr>
        <w:t xml:space="preserve">incluida en la </w:t>
      </w:r>
      <w:r w:rsidRPr="00662065">
        <w:rPr>
          <w:rFonts w:eastAsiaTheme="minorEastAsia"/>
          <w:lang w:val="es-ES" w:eastAsia="zh-CN"/>
        </w:rPr>
        <w:t xml:space="preserve">BR IFIC 2836 </w:t>
      </w:r>
      <w:r>
        <w:rPr>
          <w:rFonts w:eastAsiaTheme="minorEastAsia"/>
          <w:lang w:val="es-ES" w:eastAsia="zh-CN"/>
        </w:rPr>
        <w:t>de</w:t>
      </w:r>
      <w:r w:rsidRPr="00662065">
        <w:rPr>
          <w:rFonts w:eastAsiaTheme="minorEastAsia"/>
          <w:lang w:val="es-ES" w:eastAsia="zh-CN"/>
        </w:rPr>
        <w:t xml:space="preserve"> 10 </w:t>
      </w:r>
      <w:r>
        <w:rPr>
          <w:rFonts w:eastAsiaTheme="minorEastAsia"/>
          <w:lang w:val="es-ES" w:eastAsia="zh-CN"/>
        </w:rPr>
        <w:t>de enero de</w:t>
      </w:r>
      <w:r w:rsidRPr="00662065">
        <w:rPr>
          <w:rFonts w:eastAsiaTheme="minorEastAsia"/>
          <w:lang w:val="es-ES" w:eastAsia="zh-CN"/>
        </w:rPr>
        <w:t xml:space="preserve"> 2017.</w:t>
      </w:r>
    </w:p>
    <w:p w:rsidR="00445327" w:rsidRPr="00662065" w:rsidRDefault="00445327" w:rsidP="005672BD">
      <w:pPr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 xml:space="preserve">La Oficina de Radiocomunicaciones confía en que la información facilitada más arriba sea de utilidad, y se mantiene a disposición de su Administración para cualquier información adicional que pudiera requerir. </w:t>
      </w:r>
    </w:p>
    <w:p w:rsidR="00445327" w:rsidRPr="00662065" w:rsidRDefault="00445327" w:rsidP="00445327">
      <w:pPr>
        <w:spacing w:before="120" w:line="240" w:lineRule="auto"/>
        <w:rPr>
          <w:rFonts w:asciiTheme="minorHAnsi" w:hAnsiTheme="minorHAnsi"/>
          <w:szCs w:val="24"/>
          <w:lang w:val="es-ES"/>
        </w:rPr>
      </w:pPr>
    </w:p>
    <w:p w:rsidR="00445327" w:rsidRPr="00662065" w:rsidRDefault="00445327" w:rsidP="00445327">
      <w:pPr>
        <w:spacing w:before="120" w:line="240" w:lineRule="auto"/>
        <w:jc w:val="left"/>
        <w:rPr>
          <w:rFonts w:asciiTheme="minorHAnsi" w:hAnsiTheme="minorHAnsi" w:cstheme="minorHAnsi"/>
          <w:szCs w:val="24"/>
          <w:lang w:val="es-ES"/>
        </w:rPr>
      </w:pPr>
    </w:p>
    <w:p w:rsidR="00445327" w:rsidRPr="00662065" w:rsidRDefault="00445327" w:rsidP="00445327">
      <w:pPr>
        <w:spacing w:before="120" w:line="240" w:lineRule="auto"/>
        <w:jc w:val="left"/>
        <w:rPr>
          <w:rFonts w:asciiTheme="minorHAnsi" w:hAnsiTheme="minorHAnsi" w:cstheme="minorHAnsi"/>
          <w:szCs w:val="24"/>
          <w:lang w:val="es-ES"/>
        </w:rPr>
      </w:pPr>
    </w:p>
    <w:p w:rsidR="00445327" w:rsidRPr="00662065" w:rsidRDefault="00445327" w:rsidP="00445327">
      <w:pPr>
        <w:spacing w:before="120" w:line="240" w:lineRule="auto"/>
        <w:jc w:val="left"/>
        <w:rPr>
          <w:rFonts w:asciiTheme="minorHAnsi" w:hAnsiTheme="minorHAnsi" w:cstheme="minorHAnsi"/>
          <w:szCs w:val="24"/>
          <w:lang w:val="es-ES"/>
        </w:rPr>
      </w:pPr>
      <w:r w:rsidRPr="00662065">
        <w:rPr>
          <w:rFonts w:asciiTheme="minorHAnsi" w:hAnsiTheme="minorHAnsi" w:cstheme="minorHAnsi"/>
          <w:szCs w:val="24"/>
          <w:lang w:val="es-ES"/>
        </w:rPr>
        <w:t>François Rancy</w:t>
      </w:r>
      <w:r w:rsidRPr="00662065">
        <w:rPr>
          <w:rFonts w:asciiTheme="minorHAnsi" w:hAnsiTheme="minorHAnsi" w:cstheme="minorHAnsi"/>
          <w:szCs w:val="24"/>
          <w:lang w:val="es-ES"/>
        </w:rPr>
        <w:br/>
        <w:t>Director</w:t>
      </w:r>
    </w:p>
    <w:p w:rsidR="005672BD" w:rsidRDefault="005672BD" w:rsidP="00445327">
      <w:pPr>
        <w:spacing w:before="120" w:line="240" w:lineRule="auto"/>
        <w:jc w:val="left"/>
        <w:rPr>
          <w:rFonts w:asciiTheme="minorHAnsi" w:hAnsiTheme="minorHAnsi" w:cstheme="minorHAnsi"/>
          <w:szCs w:val="24"/>
          <w:lang w:val="es-ES"/>
        </w:rPr>
      </w:pPr>
    </w:p>
    <w:p w:rsidR="00445327" w:rsidRPr="00662065" w:rsidRDefault="00445327" w:rsidP="00445327">
      <w:pPr>
        <w:spacing w:before="120" w:line="240" w:lineRule="auto"/>
        <w:jc w:val="left"/>
        <w:rPr>
          <w:rFonts w:asciiTheme="minorHAnsi" w:hAnsiTheme="minorHAnsi" w:cstheme="minorHAnsi"/>
          <w:szCs w:val="24"/>
          <w:lang w:val="es-ES"/>
        </w:rPr>
      </w:pPr>
      <w:r w:rsidRPr="00662065">
        <w:rPr>
          <w:rFonts w:asciiTheme="minorHAnsi" w:hAnsiTheme="minorHAnsi" w:cstheme="minorHAnsi"/>
          <w:szCs w:val="24"/>
          <w:lang w:val="es-ES"/>
        </w:rPr>
        <w:t xml:space="preserve">Anexo: Lista </w:t>
      </w:r>
      <w:r>
        <w:rPr>
          <w:rFonts w:asciiTheme="minorHAnsi" w:hAnsiTheme="minorHAnsi" w:cstheme="minorHAnsi"/>
          <w:szCs w:val="24"/>
          <w:lang w:val="es-ES"/>
        </w:rPr>
        <w:t>de asignaciones analógicas</w:t>
      </w:r>
    </w:p>
    <w:p w:rsidR="00445327" w:rsidRPr="00662065" w:rsidRDefault="00445327" w:rsidP="00445327">
      <w:pPr>
        <w:keepLines/>
        <w:tabs>
          <w:tab w:val="right" w:pos="9639"/>
        </w:tabs>
        <w:spacing w:before="480"/>
        <w:rPr>
          <w:b/>
          <w:bCs/>
          <w:sz w:val="18"/>
          <w:szCs w:val="18"/>
          <w:u w:val="single"/>
          <w:lang w:val="es-ES"/>
        </w:rPr>
      </w:pPr>
      <w:r w:rsidRPr="00662065">
        <w:rPr>
          <w:b/>
          <w:bCs/>
          <w:sz w:val="18"/>
          <w:szCs w:val="18"/>
          <w:u w:val="single"/>
          <w:lang w:val="es-ES"/>
        </w:rPr>
        <w:t>Distribución:</w:t>
      </w:r>
    </w:p>
    <w:p w:rsidR="00445327" w:rsidRPr="00662065" w:rsidRDefault="00445327" w:rsidP="00445327">
      <w:pPr>
        <w:tabs>
          <w:tab w:val="clear" w:pos="794"/>
          <w:tab w:val="left" w:pos="284"/>
        </w:tabs>
        <w:spacing w:before="80"/>
        <w:ind w:left="794" w:hanging="794"/>
        <w:rPr>
          <w:sz w:val="18"/>
          <w:szCs w:val="18"/>
          <w:lang w:val="es-ES"/>
        </w:rPr>
      </w:pPr>
      <w:r w:rsidRPr="00662065">
        <w:rPr>
          <w:sz w:val="18"/>
          <w:szCs w:val="18"/>
          <w:lang w:val="es-ES"/>
        </w:rPr>
        <w:t>–</w:t>
      </w:r>
      <w:r w:rsidRPr="00662065">
        <w:rPr>
          <w:sz w:val="18"/>
          <w:szCs w:val="18"/>
          <w:lang w:val="es-ES"/>
        </w:rPr>
        <w:tab/>
        <w:t xml:space="preserve">Administraciones </w:t>
      </w:r>
      <w:r>
        <w:rPr>
          <w:sz w:val="18"/>
          <w:szCs w:val="18"/>
          <w:lang w:val="es-ES"/>
        </w:rPr>
        <w:t>de los Estados Miembros de la UIT</w:t>
      </w:r>
    </w:p>
    <w:p w:rsidR="00445327" w:rsidRPr="00662065" w:rsidRDefault="00445327" w:rsidP="000502A6">
      <w:pPr>
        <w:tabs>
          <w:tab w:val="clear" w:pos="794"/>
          <w:tab w:val="left" w:pos="284"/>
        </w:tabs>
        <w:spacing w:before="0"/>
        <w:ind w:left="794" w:hanging="794"/>
        <w:jc w:val="left"/>
        <w:rPr>
          <w:sz w:val="18"/>
          <w:szCs w:val="18"/>
          <w:lang w:val="es-ES"/>
        </w:rPr>
        <w:sectPr w:rsidR="00445327" w:rsidRPr="00662065" w:rsidSect="00445327">
          <w:headerReference w:type="default" r:id="rId7"/>
          <w:headerReference w:type="first" r:id="rId8"/>
          <w:footerReference w:type="first" r:id="rId9"/>
          <w:pgSz w:w="11907" w:h="16834" w:code="9"/>
          <w:pgMar w:top="1134" w:right="1134" w:bottom="992" w:left="1134" w:header="567" w:footer="397" w:gutter="0"/>
          <w:cols w:space="720"/>
          <w:titlePg/>
          <w:docGrid w:linePitch="326"/>
        </w:sectPr>
      </w:pPr>
      <w:r w:rsidRPr="00662065">
        <w:rPr>
          <w:sz w:val="18"/>
          <w:szCs w:val="18"/>
          <w:lang w:val="es-ES"/>
        </w:rPr>
        <w:t>–</w:t>
      </w:r>
      <w:r w:rsidRPr="00662065">
        <w:rPr>
          <w:sz w:val="18"/>
          <w:szCs w:val="18"/>
          <w:lang w:val="es-ES"/>
        </w:rPr>
        <w:tab/>
        <w:t>M</w:t>
      </w:r>
      <w:r>
        <w:rPr>
          <w:sz w:val="18"/>
          <w:szCs w:val="18"/>
          <w:lang w:val="es-ES"/>
        </w:rPr>
        <w:t>iembros de la</w:t>
      </w:r>
      <w:bookmarkStart w:id="5" w:name="_GoBack"/>
      <w:bookmarkEnd w:id="5"/>
      <w:r>
        <w:rPr>
          <w:sz w:val="18"/>
          <w:szCs w:val="18"/>
          <w:lang w:val="es-ES"/>
        </w:rPr>
        <w:t xml:space="preserve"> Junta del Reglamento de Radiocomunicaciones </w:t>
      </w:r>
    </w:p>
    <w:p w:rsidR="00445327" w:rsidRPr="00662065" w:rsidRDefault="00445327" w:rsidP="00445327">
      <w:pPr>
        <w:jc w:val="center"/>
        <w:rPr>
          <w:b/>
          <w:bCs/>
          <w:sz w:val="28"/>
          <w:lang w:val="es-ES"/>
        </w:rPr>
      </w:pPr>
      <w:r w:rsidRPr="00662065">
        <w:rPr>
          <w:b/>
          <w:bCs/>
          <w:sz w:val="28"/>
          <w:lang w:val="es-ES"/>
        </w:rPr>
        <w:lastRenderedPageBreak/>
        <w:t>Anexo</w:t>
      </w:r>
    </w:p>
    <w:p w:rsidR="00445327" w:rsidRPr="00662065" w:rsidRDefault="00445327" w:rsidP="005B41A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/>
        <w:jc w:val="center"/>
        <w:textAlignment w:val="auto"/>
        <w:rPr>
          <w:rFonts w:eastAsiaTheme="minorEastAsia"/>
          <w:b/>
          <w:bCs/>
          <w:szCs w:val="24"/>
          <w:lang w:val="es-ES" w:eastAsia="zh-CN"/>
        </w:rPr>
      </w:pPr>
      <w:r w:rsidRPr="00662065">
        <w:rPr>
          <w:rFonts w:eastAsiaTheme="minorEastAsia"/>
          <w:b/>
          <w:bCs/>
          <w:szCs w:val="24"/>
          <w:lang w:val="es-ES" w:eastAsia="zh-CN"/>
        </w:rPr>
        <w:t xml:space="preserve">Lista </w:t>
      </w:r>
      <w:r>
        <w:rPr>
          <w:rFonts w:eastAsiaTheme="minorEastAsia"/>
          <w:b/>
          <w:bCs/>
          <w:szCs w:val="24"/>
          <w:lang w:val="es-ES" w:eastAsia="zh-CN"/>
        </w:rPr>
        <w:t xml:space="preserve">de las asignaciones analógicas incluidas en los Planes y Listas de las Regiones 1 y 3 que se </w:t>
      </w:r>
      <w:r w:rsidR="005B41A8">
        <w:rPr>
          <w:rFonts w:eastAsiaTheme="minorEastAsia"/>
          <w:b/>
          <w:bCs/>
          <w:szCs w:val="24"/>
          <w:lang w:val="es-ES" w:eastAsia="zh-CN"/>
        </w:rPr>
        <w:br/>
      </w:r>
      <w:r>
        <w:rPr>
          <w:rFonts w:eastAsiaTheme="minorEastAsia"/>
          <w:b/>
          <w:bCs/>
          <w:szCs w:val="24"/>
          <w:lang w:val="es-ES" w:eastAsia="zh-CN"/>
        </w:rPr>
        <w:t xml:space="preserve">convertirán en digitales a partir del 1 de enero de 2017 </w:t>
      </w:r>
    </w:p>
    <w:p w:rsidR="00445327" w:rsidRPr="00662065" w:rsidRDefault="00445327" w:rsidP="00445327">
      <w:pPr>
        <w:spacing w:before="80" w:line="240" w:lineRule="auto"/>
        <w:jc w:val="center"/>
        <w:rPr>
          <w:lang w:val="es-ES"/>
        </w:rPr>
      </w:pPr>
    </w:p>
    <w:tbl>
      <w:tblPr>
        <w:tblStyle w:val="TableGrid"/>
        <w:tblW w:w="13758" w:type="dxa"/>
        <w:jc w:val="center"/>
        <w:tblLook w:val="04A0" w:firstRow="1" w:lastRow="0" w:firstColumn="1" w:lastColumn="0" w:noHBand="0" w:noVBand="1"/>
      </w:tblPr>
      <w:tblGrid>
        <w:gridCol w:w="2120"/>
        <w:gridCol w:w="1394"/>
        <w:gridCol w:w="1886"/>
        <w:gridCol w:w="2054"/>
        <w:gridCol w:w="1117"/>
        <w:gridCol w:w="913"/>
        <w:gridCol w:w="737"/>
        <w:gridCol w:w="1765"/>
        <w:gridCol w:w="1772"/>
      </w:tblGrid>
      <w:tr w:rsidR="00445327" w:rsidRPr="00662065" w:rsidTr="00307690">
        <w:trPr>
          <w:tblHeader/>
          <w:jc w:val="center"/>
        </w:trPr>
        <w:tc>
          <w:tcPr>
            <w:tcW w:w="2119" w:type="dxa"/>
            <w:shd w:val="clear" w:color="auto" w:fill="DDD9C3" w:themeFill="background2" w:themeFillShade="E6"/>
            <w:vAlign w:val="center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val="es-ES" w:eastAsia="zh-CN"/>
              </w:rPr>
            </w:pPr>
            <w:r w:rsidRPr="00662065">
              <w:rPr>
                <w:b/>
                <w:bCs/>
                <w:color w:val="000000"/>
                <w:sz w:val="20"/>
                <w:lang w:val="es-ES" w:eastAsia="zh-CN"/>
              </w:rPr>
              <w:t>Plan/Lista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  <w:hideMark/>
          </w:tcPr>
          <w:p w:rsidR="00445327" w:rsidRPr="005672BD" w:rsidRDefault="00445327" w:rsidP="003076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es-ES" w:eastAsia="zh-CN"/>
              </w:rPr>
            </w:pPr>
            <w:r w:rsidRPr="005672BD">
              <w:rPr>
                <w:rFonts w:asciiTheme="minorHAnsi" w:eastAsiaTheme="minorEastAsia" w:hAnsiTheme="minorHAnsi" w:cstheme="minorHAnsi"/>
                <w:b/>
                <w:bCs/>
                <w:sz w:val="20"/>
                <w:lang w:val="es-ES" w:eastAsia="zh-CN"/>
              </w:rPr>
              <w:t>Símbolo de Admin.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  <w:hideMark/>
          </w:tcPr>
          <w:p w:rsidR="00445327" w:rsidRPr="005672BD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es-ES" w:eastAsia="zh-CN"/>
              </w:rPr>
            </w:pPr>
            <w:r w:rsidRPr="005672BD">
              <w:rPr>
                <w:rFonts w:asciiTheme="minorHAnsi" w:eastAsiaTheme="minorEastAsia" w:hAnsiTheme="minorHAnsi" w:cstheme="minorHAnsi"/>
                <w:b/>
                <w:bCs/>
                <w:sz w:val="20"/>
                <w:lang w:val="es-ES" w:eastAsia="zh-CN"/>
              </w:rPr>
              <w:t>Número de identificación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  <w:hideMark/>
          </w:tcPr>
          <w:p w:rsidR="00445327" w:rsidRPr="005672BD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es-ES" w:eastAsia="zh-CN"/>
              </w:rPr>
            </w:pPr>
            <w:r w:rsidRPr="005672BD">
              <w:rPr>
                <w:rFonts w:asciiTheme="minorHAnsi" w:eastAsiaTheme="minorEastAsia" w:hAnsiTheme="minorHAnsi" w:cstheme="minorHAnsi"/>
                <w:b/>
                <w:bCs/>
                <w:sz w:val="20"/>
                <w:lang w:val="es-ES" w:eastAsia="zh-CN"/>
              </w:rPr>
              <w:t xml:space="preserve">Identidad de la red de satélites </w:t>
            </w:r>
          </w:p>
        </w:tc>
        <w:tc>
          <w:tcPr>
            <w:tcW w:w="1117" w:type="dxa"/>
            <w:shd w:val="clear" w:color="auto" w:fill="DDD9C3" w:themeFill="background2" w:themeFillShade="E6"/>
            <w:vAlign w:val="center"/>
            <w:hideMark/>
          </w:tcPr>
          <w:p w:rsidR="00445327" w:rsidRPr="005672BD" w:rsidRDefault="00445327" w:rsidP="003076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es-ES" w:eastAsia="zh-CN"/>
              </w:rPr>
            </w:pPr>
            <w:r w:rsidRPr="005672BD">
              <w:rPr>
                <w:rFonts w:asciiTheme="minorHAnsi" w:eastAsiaTheme="minorEastAsia" w:hAnsiTheme="minorHAnsi" w:cstheme="minorHAnsi"/>
                <w:b/>
                <w:bCs/>
                <w:sz w:val="20"/>
                <w:lang w:val="es-ES" w:eastAsia="zh-CN"/>
              </w:rPr>
              <w:t>Posición orbital</w:t>
            </w:r>
            <w:r w:rsidR="00307690">
              <w:rPr>
                <w:rFonts w:asciiTheme="minorHAnsi" w:eastAsiaTheme="minorEastAsia" w:hAnsiTheme="minorHAnsi" w:cstheme="minorHAnsi"/>
                <w:b/>
                <w:bCs/>
                <w:sz w:val="20"/>
                <w:lang w:val="es-ES" w:eastAsia="zh-CN"/>
              </w:rPr>
              <w:br/>
            </w:r>
            <w:r w:rsidRPr="005672BD">
              <w:rPr>
                <w:rFonts w:asciiTheme="minorHAnsi" w:eastAsiaTheme="minorEastAsia" w:hAnsiTheme="minorHAnsi" w:cstheme="minorHAnsi"/>
                <w:b/>
                <w:bCs/>
                <w:sz w:val="20"/>
                <w:lang w:val="es-ES" w:eastAsia="zh-CN"/>
              </w:rPr>
              <w:t>(</w:t>
            </w:r>
            <w:r w:rsidRPr="005672BD">
              <w:rPr>
                <w:rFonts w:asciiTheme="minorHAnsi" w:eastAsiaTheme="minorEastAsia" w:hAnsiTheme="minorHAnsi" w:cstheme="minorHAnsi"/>
                <w:b/>
                <w:bCs/>
                <w:sz w:val="20"/>
                <w:vertAlign w:val="superscript"/>
                <w:lang w:val="es-ES" w:eastAsia="zh-CN"/>
              </w:rPr>
              <w:t>0</w:t>
            </w:r>
            <w:r w:rsidRPr="005672BD">
              <w:rPr>
                <w:rFonts w:asciiTheme="minorHAnsi" w:eastAsiaTheme="minorEastAsia" w:hAnsiTheme="minorHAnsi" w:cstheme="minorHAnsi"/>
                <w:b/>
                <w:bCs/>
                <w:sz w:val="20"/>
                <w:lang w:val="es-ES" w:eastAsia="zh-CN"/>
              </w:rPr>
              <w:t>E)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  <w:hideMark/>
          </w:tcPr>
          <w:p w:rsidR="00445327" w:rsidRPr="005672BD" w:rsidRDefault="005B41A8" w:rsidP="005B41A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es-ES"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lang w:val="es-ES" w:eastAsia="zh-CN"/>
              </w:rPr>
              <w:t>Haz de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lang w:val="es-ES" w:eastAsia="zh-CN"/>
              </w:rPr>
              <w:br/>
              <w:t>e</w:t>
            </w:r>
            <w:r w:rsidR="00445327" w:rsidRPr="005672BD">
              <w:rPr>
                <w:rFonts w:asciiTheme="minorHAnsi" w:eastAsiaTheme="minorEastAsia" w:hAnsiTheme="minorHAnsi" w:cstheme="minorHAnsi"/>
                <w:b/>
                <w:bCs/>
                <w:sz w:val="20"/>
                <w:lang w:val="es-ES" w:eastAsia="zh-CN"/>
              </w:rPr>
              <w:t>stación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lang w:val="es-ES" w:eastAsia="zh-CN"/>
              </w:rPr>
              <w:br/>
            </w:r>
            <w:r w:rsidR="00445327" w:rsidRPr="005672BD">
              <w:rPr>
                <w:rFonts w:asciiTheme="minorHAnsi" w:eastAsiaTheme="minorEastAsia" w:hAnsiTheme="minorHAnsi" w:cstheme="minorHAnsi"/>
                <w:b/>
                <w:bCs/>
                <w:sz w:val="20"/>
                <w:lang w:val="es-ES" w:eastAsia="zh-CN"/>
              </w:rPr>
              <w:t>espacial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  <w:hideMark/>
          </w:tcPr>
          <w:p w:rsidR="00445327" w:rsidRPr="005672BD" w:rsidRDefault="00307690" w:rsidP="003076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es-ES"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lang w:val="es-ES" w:eastAsia="zh-CN"/>
              </w:rPr>
              <w:t>ID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lang w:val="es-ES" w:eastAsia="zh-CN"/>
              </w:rPr>
              <w:br/>
            </w:r>
            <w:r w:rsidR="00445327" w:rsidRPr="005672BD">
              <w:rPr>
                <w:rFonts w:asciiTheme="minorHAnsi" w:eastAsiaTheme="minorEastAsia" w:hAnsiTheme="minorHAnsi" w:cstheme="minorHAnsi"/>
                <w:b/>
                <w:bCs/>
                <w:sz w:val="20"/>
                <w:lang w:val="es-ES" w:eastAsia="zh-CN"/>
              </w:rPr>
              <w:t xml:space="preserve">Grupo 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  <w:hideMark/>
          </w:tcPr>
          <w:p w:rsidR="00445327" w:rsidRPr="005672BD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es-ES" w:eastAsia="zh-CN"/>
              </w:rPr>
            </w:pPr>
            <w:r w:rsidRPr="005672BD">
              <w:rPr>
                <w:rFonts w:asciiTheme="minorHAnsi" w:eastAsiaTheme="minorEastAsia" w:hAnsiTheme="minorHAnsi" w:cstheme="minorHAnsi"/>
                <w:b/>
                <w:bCs/>
                <w:sz w:val="20"/>
                <w:lang w:val="es-ES" w:eastAsia="zh-CN"/>
              </w:rPr>
              <w:t>Clase de emisión original</w:t>
            </w:r>
          </w:p>
        </w:tc>
        <w:tc>
          <w:tcPr>
            <w:tcW w:w="1772" w:type="dxa"/>
            <w:shd w:val="clear" w:color="auto" w:fill="DDD9C3" w:themeFill="background2" w:themeFillShade="E6"/>
            <w:vAlign w:val="center"/>
            <w:hideMark/>
          </w:tcPr>
          <w:p w:rsidR="00445327" w:rsidRPr="005672BD" w:rsidRDefault="00307690" w:rsidP="003076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es-ES" w:eastAsia="zh-CN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lang w:val="es-ES" w:eastAsia="zh-CN"/>
              </w:rPr>
              <w:t>Nueva clase de</w:t>
            </w: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lang w:val="es-ES" w:eastAsia="zh-CN"/>
              </w:rPr>
              <w:br/>
            </w:r>
            <w:r w:rsidR="00445327" w:rsidRPr="005672BD">
              <w:rPr>
                <w:rFonts w:asciiTheme="minorHAnsi" w:eastAsiaTheme="minorEastAsia" w:hAnsiTheme="minorHAnsi" w:cstheme="minorHAnsi"/>
                <w:b/>
                <w:bCs/>
                <w:sz w:val="20"/>
                <w:lang w:val="es-ES" w:eastAsia="zh-CN"/>
              </w:rPr>
              <w:t>emisión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 w:val="restart"/>
            <w:hideMark/>
          </w:tcPr>
          <w:p w:rsidR="00445327" w:rsidRPr="00662065" w:rsidRDefault="00445327" w:rsidP="003076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20"/>
                <w:lang w:val="es-ES" w:eastAsia="zh-CN"/>
              </w:rPr>
            </w:pPr>
            <w:r>
              <w:rPr>
                <w:color w:val="000000"/>
                <w:sz w:val="20"/>
                <w:lang w:val="es-ES" w:eastAsia="zh-CN"/>
              </w:rPr>
              <w:t xml:space="preserve">Plan de enlaces descendentes </w:t>
            </w:r>
            <w:r w:rsidRPr="005672BD">
              <w:t>R1</w:t>
            </w:r>
            <w:r w:rsidR="005672BD">
              <w:t xml:space="preserve"> </w:t>
            </w:r>
            <w:r w:rsidRPr="00662065">
              <w:rPr>
                <w:color w:val="000000"/>
                <w:sz w:val="20"/>
                <w:lang w:val="es-ES" w:eastAsia="zh-CN"/>
              </w:rPr>
              <w:t>&amp;</w:t>
            </w:r>
            <w:r w:rsidR="005672BD">
              <w:rPr>
                <w:color w:val="000000"/>
                <w:sz w:val="20"/>
                <w:lang w:val="es-ES" w:eastAsia="zh-CN"/>
              </w:rPr>
              <w:t xml:space="preserve"> </w:t>
            </w:r>
            <w:r w:rsidR="005B41A8">
              <w:rPr>
                <w:color w:val="000000"/>
                <w:sz w:val="20"/>
                <w:lang w:val="es-ES" w:eastAsia="zh-CN"/>
              </w:rPr>
              <w:t>R</w:t>
            </w:r>
            <w:r w:rsidRPr="00662065">
              <w:rPr>
                <w:color w:val="000000"/>
                <w:sz w:val="20"/>
                <w:lang w:val="es-ES" w:eastAsia="zh-CN"/>
              </w:rPr>
              <w:t>3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100550070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HISPASAT-1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-30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COP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3402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jc w:val="left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J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100550116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BS-3M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110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E001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3454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jc w:val="left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J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100550116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BS-3M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110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E001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3455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jc w:val="left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J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100550116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BS-3M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110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E001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3456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jc w:val="left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J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100550116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BS-3M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110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E001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3457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jc w:val="left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J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100550117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BS-3N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109.85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E001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3458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jc w:val="left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J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100550117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BS-3N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109.85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E001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3459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jc w:val="left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J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100550117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BS-3N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109.85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E001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3460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jc w:val="left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J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100550117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BS-3N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109.85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E001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3461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jc w:val="left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KOR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100550125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KOREASAT-1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116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E001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3471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jc w:val="left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KOR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100550125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KOREASAT-1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116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E001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3472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jc w:val="left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RUS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100550172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RST-1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E001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3520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RUS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100550172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RST-1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E001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3521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 w:val="restart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20"/>
                <w:lang w:val="es-ES" w:eastAsia="zh-CN"/>
              </w:rPr>
            </w:pPr>
            <w:r>
              <w:rPr>
                <w:color w:val="000000"/>
                <w:sz w:val="20"/>
                <w:lang w:val="es-ES" w:eastAsia="zh-CN"/>
              </w:rPr>
              <w:t xml:space="preserve">Lista </w:t>
            </w:r>
            <w:r w:rsidRPr="00825FC7">
              <w:rPr>
                <w:color w:val="000000"/>
                <w:sz w:val="20"/>
                <w:lang w:val="es-ES" w:eastAsia="zh-CN"/>
              </w:rPr>
              <w:t>de enlace</w:t>
            </w:r>
            <w:r>
              <w:rPr>
                <w:color w:val="000000"/>
                <w:sz w:val="20"/>
                <w:lang w:val="es-ES" w:eastAsia="zh-CN"/>
              </w:rPr>
              <w:t>s</w:t>
            </w:r>
            <w:r w:rsidRPr="00825FC7">
              <w:rPr>
                <w:color w:val="000000"/>
                <w:sz w:val="20"/>
                <w:lang w:val="es-ES" w:eastAsia="zh-CN"/>
              </w:rPr>
              <w:t xml:space="preserve"> descendente</w:t>
            </w:r>
            <w:r>
              <w:rPr>
                <w:color w:val="000000"/>
                <w:sz w:val="20"/>
                <w:lang w:val="es-ES" w:eastAsia="zh-CN"/>
              </w:rPr>
              <w:t>s</w:t>
            </w:r>
            <w:r w:rsidRPr="00825FC7">
              <w:rPr>
                <w:color w:val="000000"/>
                <w:sz w:val="20"/>
                <w:lang w:val="es-ES" w:eastAsia="zh-CN"/>
              </w:rPr>
              <w:t xml:space="preserve"> R1</w:t>
            </w:r>
            <w:r w:rsidR="005672BD">
              <w:rPr>
                <w:color w:val="000000"/>
                <w:sz w:val="20"/>
                <w:lang w:val="es-ES" w:eastAsia="zh-CN"/>
              </w:rPr>
              <w:t> </w:t>
            </w:r>
            <w:r w:rsidRPr="00825FC7">
              <w:rPr>
                <w:color w:val="000000"/>
                <w:sz w:val="20"/>
                <w:lang w:val="es-ES" w:eastAsia="zh-CN"/>
              </w:rPr>
              <w:t>&amp;</w:t>
            </w:r>
            <w:r w:rsidR="005672BD">
              <w:rPr>
                <w:color w:val="000000"/>
                <w:sz w:val="20"/>
                <w:lang w:val="es-ES" w:eastAsia="zh-CN"/>
              </w:rPr>
              <w:t> </w:t>
            </w:r>
            <w:r w:rsidR="005B41A8">
              <w:rPr>
                <w:color w:val="000000"/>
                <w:sz w:val="20"/>
                <w:lang w:val="es-ES" w:eastAsia="zh-CN"/>
              </w:rPr>
              <w:t>R</w:t>
            </w:r>
            <w:r w:rsidRPr="00825FC7">
              <w:rPr>
                <w:color w:val="000000"/>
                <w:sz w:val="20"/>
                <w:lang w:val="es-ES" w:eastAsia="zh-CN"/>
              </w:rPr>
              <w:t>3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100551033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HISPASAT 2U3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-30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E001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3656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100551006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13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SHA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3615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100551006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13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SHA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3616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100551006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13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SHA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3617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100551006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13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SHA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3618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100551006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13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ZOS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3627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100551006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13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ZOS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3628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100551006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13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ZOS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3629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100551006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13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ZOS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3630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100551006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13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WIS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3639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100551006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13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WIS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3640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100551006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13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WIS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3641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100551006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13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WIS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3642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100551031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SIRIUS-2-BSS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5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E001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3581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100551031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SIRIUS-2-BSS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5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NOR1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3658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100551031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SIRIUS-2-BSS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5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STR1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3660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100551031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SIRIUS-2-BSS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5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NOR2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3662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100551031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SIRIUS-2-BSS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5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STR2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3664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100551031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SIRIUS-2-BSS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5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NOR2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3666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100551031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SIRIUS-2-BSS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5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STR2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3668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100551031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SIRIUS-2-BSS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5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NOR3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3670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100551031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SIRIUS-2-BSS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5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STR3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3672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100551031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SIRIUS-2-BSS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5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STR3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3673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100551031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SIRIUS-2-BSS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5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STR3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3675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100551032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SIRIUS-3-BSS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5.2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E001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3582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100551032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SIRIUS-3-BSS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5.2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E001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3583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100551032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SIRIUS-3-BSS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5.2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NORA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3679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100551032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SIRIUS-3-BSS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5.2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NORB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3680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100551032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SIRIUS-3-BSS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5.2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NORB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3682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 w:val="restart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color w:val="000000"/>
                <w:sz w:val="20"/>
                <w:lang w:val="es-ES" w:eastAsia="zh-CN"/>
              </w:rPr>
            </w:pPr>
            <w:r>
              <w:rPr>
                <w:color w:val="000000"/>
                <w:sz w:val="20"/>
                <w:lang w:val="es-ES" w:eastAsia="zh-CN"/>
              </w:rPr>
              <w:t xml:space="preserve">Plan de enlaces de conexión </w:t>
            </w:r>
            <w:r w:rsidRPr="00662065">
              <w:rPr>
                <w:color w:val="000000"/>
                <w:sz w:val="20"/>
                <w:lang w:val="es-ES" w:eastAsia="zh-CN"/>
              </w:rPr>
              <w:t>R1</w:t>
            </w:r>
            <w:r w:rsidR="005672BD">
              <w:rPr>
                <w:color w:val="000000"/>
                <w:sz w:val="20"/>
                <w:lang w:val="es-ES" w:eastAsia="zh-CN"/>
              </w:rPr>
              <w:t> </w:t>
            </w:r>
            <w:r w:rsidRPr="00662065">
              <w:rPr>
                <w:color w:val="000000"/>
                <w:sz w:val="20"/>
                <w:lang w:val="es-ES" w:eastAsia="zh-CN"/>
              </w:rPr>
              <w:t>&amp;</w:t>
            </w:r>
            <w:r w:rsidR="005672BD">
              <w:rPr>
                <w:color w:val="000000"/>
                <w:sz w:val="20"/>
                <w:lang w:val="es-ES" w:eastAsia="zh-CN"/>
              </w:rPr>
              <w:t> </w:t>
            </w:r>
            <w:r w:rsidR="005B41A8">
              <w:rPr>
                <w:color w:val="000000"/>
                <w:sz w:val="20"/>
                <w:lang w:val="es-ES" w:eastAsia="zh-CN"/>
              </w:rPr>
              <w:t>R</w:t>
            </w:r>
            <w:r w:rsidRPr="00662065">
              <w:rPr>
                <w:color w:val="000000"/>
                <w:sz w:val="20"/>
                <w:lang w:val="es-ES" w:eastAsia="zh-CN"/>
              </w:rPr>
              <w:t xml:space="preserve">3 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100550713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HISPASAT-1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-30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ECO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1820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jc w:val="left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100550713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HISPASAT-1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-30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ECO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1821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jc w:val="left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J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100550758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BS-3M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110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E001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1864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jc w:val="left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J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100550759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BS-3N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109.85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E001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1865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jc w:val="left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KOR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100550416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KOREASAT-1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116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E001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1056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spacing w:before="0"/>
              <w:jc w:val="left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RUS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100550806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RST-1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COP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1912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RUS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100550806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RST-1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COP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1913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 w:val="restart"/>
            <w:hideMark/>
          </w:tcPr>
          <w:p w:rsidR="00445327" w:rsidRPr="00662065" w:rsidRDefault="00445327" w:rsidP="005672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20"/>
                <w:lang w:val="es-ES" w:eastAsia="zh-CN"/>
              </w:rPr>
            </w:pPr>
            <w:r>
              <w:rPr>
                <w:color w:val="000000"/>
                <w:sz w:val="20"/>
                <w:lang w:val="es-ES" w:eastAsia="zh-CN"/>
              </w:rPr>
              <w:t xml:space="preserve">Lista </w:t>
            </w:r>
            <w:r w:rsidRPr="00825FC7">
              <w:rPr>
                <w:color w:val="000000"/>
                <w:sz w:val="20"/>
                <w:lang w:val="es-ES" w:eastAsia="zh-CN"/>
              </w:rPr>
              <w:t>de enlace</w:t>
            </w:r>
            <w:r>
              <w:rPr>
                <w:color w:val="000000"/>
                <w:sz w:val="20"/>
                <w:lang w:val="es-ES" w:eastAsia="zh-CN"/>
              </w:rPr>
              <w:t>s</w:t>
            </w:r>
            <w:r w:rsidRPr="00825FC7">
              <w:rPr>
                <w:color w:val="000000"/>
                <w:sz w:val="20"/>
                <w:lang w:val="es-ES" w:eastAsia="zh-CN"/>
              </w:rPr>
              <w:t xml:space="preserve"> de conexión R1</w:t>
            </w:r>
            <w:r w:rsidR="005672BD">
              <w:t xml:space="preserve"> </w:t>
            </w:r>
            <w:r w:rsidRPr="00825FC7">
              <w:rPr>
                <w:color w:val="000000"/>
                <w:sz w:val="20"/>
                <w:lang w:val="es-ES" w:eastAsia="zh-CN"/>
              </w:rPr>
              <w:t>&amp;</w:t>
            </w:r>
            <w:r w:rsidR="005672BD">
              <w:rPr>
                <w:color w:val="000000"/>
                <w:sz w:val="20"/>
                <w:lang w:val="es-ES" w:eastAsia="zh-CN"/>
              </w:rPr>
              <w:t> </w:t>
            </w:r>
            <w:r w:rsidR="005B41A8">
              <w:rPr>
                <w:color w:val="000000"/>
                <w:sz w:val="20"/>
                <w:lang w:val="es-ES" w:eastAsia="zh-CN"/>
              </w:rPr>
              <w:t>R</w:t>
            </w:r>
            <w:r w:rsidRPr="00825FC7">
              <w:rPr>
                <w:color w:val="000000"/>
                <w:sz w:val="20"/>
                <w:lang w:val="es-ES" w:eastAsia="zh-CN"/>
              </w:rPr>
              <w:t>3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100551606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HISPASAT 2U3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-30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E001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1990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100551605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13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RB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1986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100551605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13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RB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1987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100551605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13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RB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1988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100551605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B-13E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13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RB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1989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AFU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1992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AFU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1993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E002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1994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E002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1995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E002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1996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E002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1997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AFU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1998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AFU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1999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E002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2000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E002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2001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E002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2002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E002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2003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SPO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2016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SPO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2017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SPO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2018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SPO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2019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COR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2024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COR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2025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COR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2026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COR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2027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COR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2028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COR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2029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COR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2030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F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100551608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 xml:space="preserve">EUTELSAT B-36E 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COR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2031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33M0F9W--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33M0G7W--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100551626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SIRIUS-2-BSS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5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E001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1974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100551626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SIRIUS-2-BSS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5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NOR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2066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100551626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SIRIUS-2-BSS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5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NOR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2067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100551626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SIRIUS-2-BSS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5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NOR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2070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100551626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SIRIUS-2-BSS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5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STR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2072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100551626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SIRIUS-2-BSS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5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STR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2073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100551627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SIRIUS-3-BSS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5.2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E001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1975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100551627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SIRIUS-3-BSS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5.2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E001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1976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27M0F8W--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27M0G7W--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100551627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SIRIUS-3-BSS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5.2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NOR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3912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32M0G7W--</w:t>
            </w:r>
          </w:p>
        </w:tc>
      </w:tr>
      <w:tr w:rsidR="00445327" w:rsidRPr="00662065" w:rsidTr="00445327">
        <w:trPr>
          <w:jc w:val="center"/>
        </w:trPr>
        <w:tc>
          <w:tcPr>
            <w:tcW w:w="2119" w:type="dxa"/>
            <w:vMerge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100551627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SIRIUS-3-BSS</w:t>
            </w:r>
          </w:p>
        </w:tc>
        <w:tc>
          <w:tcPr>
            <w:tcW w:w="1117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5.2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NOR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3913</w:t>
            </w:r>
          </w:p>
        </w:tc>
        <w:tc>
          <w:tcPr>
            <w:tcW w:w="0" w:type="auto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32M0F3F--</w:t>
            </w:r>
          </w:p>
        </w:tc>
        <w:tc>
          <w:tcPr>
            <w:tcW w:w="1772" w:type="dxa"/>
            <w:hideMark/>
          </w:tcPr>
          <w:p w:rsidR="00445327" w:rsidRPr="00662065" w:rsidRDefault="00445327" w:rsidP="0044532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es-ES" w:eastAsia="zh-CN"/>
              </w:rPr>
            </w:pPr>
            <w:r w:rsidRPr="00662065">
              <w:rPr>
                <w:color w:val="000000"/>
                <w:sz w:val="20"/>
                <w:lang w:val="es-ES" w:eastAsia="zh-CN"/>
              </w:rPr>
              <w:t>32M0G7W--</w:t>
            </w:r>
          </w:p>
        </w:tc>
      </w:tr>
    </w:tbl>
    <w:p w:rsidR="000C03C7" w:rsidRDefault="000C03C7" w:rsidP="00EA15B3"/>
    <w:p w:rsidR="005672BD" w:rsidRDefault="005672BD" w:rsidP="0032202E">
      <w:pPr>
        <w:pStyle w:val="Reasons"/>
      </w:pPr>
    </w:p>
    <w:p w:rsidR="005672BD" w:rsidRDefault="005672BD">
      <w:pPr>
        <w:jc w:val="center"/>
      </w:pPr>
      <w:r>
        <w:t>______________</w:t>
      </w:r>
    </w:p>
    <w:p w:rsidR="005672BD" w:rsidRPr="00F42C8C" w:rsidRDefault="005672BD" w:rsidP="00EA15B3"/>
    <w:sectPr w:rsidR="005672BD" w:rsidRPr="00F42C8C" w:rsidSect="00E32E0C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6834" w:h="11907" w:orient="landscape" w:code="9"/>
      <w:pgMar w:top="1134" w:right="1134" w:bottom="1134" w:left="1134" w:header="567" w:footer="567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327" w:rsidRDefault="00445327">
      <w:r>
        <w:separator/>
      </w:r>
    </w:p>
  </w:endnote>
  <w:endnote w:type="continuationSeparator" w:id="0">
    <w:p w:rsidR="00445327" w:rsidRDefault="0044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T1C18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327" w:rsidRPr="00083740" w:rsidRDefault="00083740" w:rsidP="00083740">
    <w:pPr>
      <w:pStyle w:val="FirstFooter"/>
      <w:spacing w:line="240" w:lineRule="auto"/>
      <w:ind w:left="-397" w:right="-397"/>
      <w:jc w:val="center"/>
    </w:pPr>
    <w:r w:rsidRPr="00836C8A">
      <w:rPr>
        <w:color w:val="3E8EDE"/>
        <w:sz w:val="18"/>
        <w:szCs w:val="18"/>
      </w:rPr>
      <w:t xml:space="preserve">Unión Internacional de Telecomunicaciones • Place des </w:t>
    </w:r>
    <w:proofErr w:type="spellStart"/>
    <w:r w:rsidRPr="00836C8A">
      <w:rPr>
        <w:color w:val="3E8EDE"/>
        <w:sz w:val="18"/>
        <w:szCs w:val="18"/>
      </w:rPr>
      <w:t>Nations</w:t>
    </w:r>
    <w:proofErr w:type="spellEnd"/>
    <w:r w:rsidRPr="00836C8A">
      <w:rPr>
        <w:color w:val="3E8EDE"/>
        <w:sz w:val="18"/>
        <w:szCs w:val="18"/>
      </w:rPr>
      <w:t xml:space="preserve"> • CH</w:t>
    </w:r>
    <w:r w:rsidRPr="00836C8A">
      <w:rPr>
        <w:color w:val="3E8EDE"/>
        <w:sz w:val="18"/>
        <w:szCs w:val="18"/>
      </w:rPr>
      <w:noBreakHyphen/>
      <w:t>1211 Ginebra 20 • Suiza</w:t>
    </w:r>
    <w:r w:rsidRPr="00836C8A"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</w:r>
    <w:r w:rsidRPr="00836C8A">
      <w:rPr>
        <w:color w:val="3E8EDE"/>
        <w:sz w:val="18"/>
        <w:szCs w:val="18"/>
      </w:rPr>
      <w:t xml:space="preserve">Correo-e: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E0C" w:rsidRPr="007C1782" w:rsidRDefault="00E32E0C" w:rsidP="007C17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E0C" w:rsidRPr="007C1782" w:rsidRDefault="00E32E0C" w:rsidP="007C17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327" w:rsidRDefault="00445327">
      <w:r>
        <w:t>____________________</w:t>
      </w:r>
    </w:p>
  </w:footnote>
  <w:footnote w:type="continuationSeparator" w:id="0">
    <w:p w:rsidR="00445327" w:rsidRDefault="00445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327" w:rsidRPr="005A5874" w:rsidRDefault="00445327" w:rsidP="00445327">
    <w:pPr>
      <w:pStyle w:val="Header"/>
      <w:tabs>
        <w:tab w:val="clear" w:pos="9639"/>
        <w:tab w:val="left" w:pos="5535"/>
      </w:tabs>
      <w:jc w:val="center"/>
      <w:rPr>
        <w:iCs/>
      </w:rPr>
    </w:pPr>
    <w:r>
      <w:rPr>
        <w:iCs/>
      </w:rPr>
      <w:t>-</w:t>
    </w:r>
    <w:r w:rsidRPr="007C1782">
      <w:rPr>
        <w:iCs/>
        <w:sz w:val="18"/>
        <w:szCs w:val="18"/>
      </w:rPr>
      <w:fldChar w:fldCharType="begin"/>
    </w:r>
    <w:r w:rsidRPr="007C1782">
      <w:rPr>
        <w:iCs/>
        <w:sz w:val="18"/>
        <w:szCs w:val="18"/>
      </w:rPr>
      <w:instrText xml:space="preserve"> PAGE  \* MERGEFORMAT </w:instrText>
    </w:r>
    <w:r w:rsidRPr="007C1782">
      <w:rPr>
        <w:iCs/>
        <w:sz w:val="18"/>
        <w:szCs w:val="18"/>
      </w:rPr>
      <w:fldChar w:fldCharType="separate"/>
    </w:r>
    <w:r w:rsidR="007C1782">
      <w:rPr>
        <w:iCs/>
        <w:noProof/>
        <w:sz w:val="18"/>
        <w:szCs w:val="18"/>
      </w:rPr>
      <w:t>2</w:t>
    </w:r>
    <w:r w:rsidRPr="007C1782">
      <w:rPr>
        <w:iCs/>
        <w:sz w:val="18"/>
        <w:szCs w:val="18"/>
      </w:rPr>
      <w:fldChar w:fldCharType="end"/>
    </w:r>
    <w:r w:rsidRPr="007C1782">
      <w:rPr>
        <w:iCs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9"/>
      <w:gridCol w:w="222"/>
    </w:tblGrid>
    <w:tr w:rsidR="00445327" w:rsidTr="00445327">
      <w:tc>
        <w:tcPr>
          <w:tcW w:w="4889" w:type="dxa"/>
        </w:tcPr>
        <w:tbl>
          <w:tblPr>
            <w:tblStyle w:val="TableGrid"/>
            <w:tblW w:w="99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031"/>
            <w:gridCol w:w="4892"/>
          </w:tblGrid>
          <w:tr w:rsidR="00445327" w:rsidTr="00445327">
            <w:tc>
              <w:tcPr>
                <w:tcW w:w="5031" w:type="dxa"/>
              </w:tcPr>
              <w:p w:rsidR="00445327" w:rsidRDefault="00445327" w:rsidP="00445327">
                <w:pPr>
                  <w:pStyle w:val="Header"/>
                  <w:tabs>
                    <w:tab w:val="clear" w:pos="794"/>
                    <w:tab w:val="clear" w:pos="4820"/>
                  </w:tabs>
                  <w:spacing w:before="120" w:line="360" w:lineRule="auto"/>
                </w:pPr>
                <w:r>
                  <w:rPr>
                    <w:b/>
                    <w:bCs/>
                    <w:noProof/>
                    <w:lang w:val="fr-CH" w:eastAsia="zh-CN"/>
                  </w:rPr>
                  <w:drawing>
                    <wp:inline distT="0" distB="0" distL="0" distR="0" wp14:anchorId="4B79702C" wp14:editId="0CD12FC3">
                      <wp:extent cx="579396" cy="657225"/>
                      <wp:effectExtent l="0" t="0" r="0" b="0"/>
                      <wp:docPr id="19" name="Pictur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0025" cy="6579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92" w:type="dxa"/>
              </w:tcPr>
              <w:p w:rsidR="00445327" w:rsidRDefault="00445327" w:rsidP="00445327">
                <w:pPr>
                  <w:pStyle w:val="Header"/>
                  <w:tabs>
                    <w:tab w:val="clear" w:pos="794"/>
                    <w:tab w:val="clear" w:pos="4820"/>
                  </w:tabs>
                  <w:spacing w:line="360" w:lineRule="auto"/>
                  <w:jc w:val="right"/>
                </w:pPr>
                <w:r w:rsidRPr="00975D6F">
                  <w:rPr>
                    <w:rFonts w:cs="Arial"/>
                    <w:noProof/>
                    <w:lang w:val="fr-CH" w:eastAsia="zh-CN"/>
                  </w:rPr>
                  <w:drawing>
                    <wp:inline distT="0" distB="0" distL="0" distR="0" wp14:anchorId="50221545" wp14:editId="4696D234">
                      <wp:extent cx="1017905" cy="925067"/>
                      <wp:effectExtent l="0" t="0" r="0" b="8890"/>
                      <wp:docPr id="20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3050" cy="9479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445327" w:rsidRDefault="00445327" w:rsidP="00445327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</w:p>
      </w:tc>
      <w:tc>
        <w:tcPr>
          <w:tcW w:w="5000" w:type="dxa"/>
        </w:tcPr>
        <w:p w:rsidR="00445327" w:rsidRDefault="00445327" w:rsidP="00445327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</w:p>
      </w:tc>
    </w:tr>
  </w:tbl>
  <w:p w:rsidR="00445327" w:rsidRPr="00BA072F" w:rsidRDefault="00445327" w:rsidP="004453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327" w:rsidRPr="00235A29" w:rsidRDefault="00445327" w:rsidP="00337394">
    <w:pPr>
      <w:pStyle w:val="Header"/>
    </w:pPr>
    <w:r>
      <w:tab/>
    </w:r>
    <w:r>
      <w:tab/>
      <w:t xml:space="preserve">- </w:t>
    </w: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 PAGE </w:instrText>
    </w:r>
    <w:r>
      <w:rPr>
        <w:rStyle w:val="PageNumber"/>
        <w:rFonts w:cs="Calibri"/>
      </w:rPr>
      <w:fldChar w:fldCharType="separate"/>
    </w:r>
    <w:r w:rsidR="00E32E0C">
      <w:rPr>
        <w:rStyle w:val="PageNumber"/>
        <w:rFonts w:cs="Calibri"/>
        <w:noProof/>
      </w:rPr>
      <w:t>4</w:t>
    </w:r>
    <w:r>
      <w:rPr>
        <w:rStyle w:val="PageNumber"/>
        <w:rFonts w:cs="Calibri"/>
      </w:rPr>
      <w:fldChar w:fldCharType="end"/>
    </w:r>
    <w:r>
      <w:rPr>
        <w:rStyle w:val="PageNumber"/>
        <w:rFonts w:cs="Calibri"/>
      </w:rPr>
      <w:t xml:space="preserve"> 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E0C" w:rsidRPr="00E32E0C" w:rsidRDefault="00E32E0C" w:rsidP="00E32E0C">
    <w:pPr>
      <w:pStyle w:val="Header"/>
    </w:pPr>
    <w:r>
      <w:ptab w:relativeTo="margin" w:alignment="center" w:leader="none"/>
    </w:r>
    <w:r>
      <w:t xml:space="preserve">- </w:t>
    </w:r>
    <w:r w:rsidRPr="007C1782">
      <w:rPr>
        <w:sz w:val="18"/>
        <w:szCs w:val="18"/>
      </w:rPr>
      <w:fldChar w:fldCharType="begin"/>
    </w:r>
    <w:r w:rsidRPr="007C1782">
      <w:rPr>
        <w:sz w:val="18"/>
        <w:szCs w:val="18"/>
      </w:rPr>
      <w:instrText xml:space="preserve"> PAGE   \* MERGEFORMAT </w:instrText>
    </w:r>
    <w:r w:rsidRPr="007C1782">
      <w:rPr>
        <w:sz w:val="18"/>
        <w:szCs w:val="18"/>
      </w:rPr>
      <w:fldChar w:fldCharType="separate"/>
    </w:r>
    <w:r w:rsidR="007C1782">
      <w:rPr>
        <w:noProof/>
        <w:sz w:val="18"/>
        <w:szCs w:val="18"/>
      </w:rPr>
      <w:t>6</w:t>
    </w:r>
    <w:r w:rsidRPr="007C1782">
      <w:rPr>
        <w:noProof/>
        <w:sz w:val="18"/>
        <w:szCs w:val="18"/>
      </w:rPr>
      <w:fldChar w:fldCharType="end"/>
    </w:r>
    <w:r>
      <w:rPr>
        <w:noProof/>
      </w:rPr>
      <w:t xml:space="preserve"> -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327" w:rsidRPr="00E32E0C" w:rsidRDefault="00E32E0C" w:rsidP="00E32E0C">
    <w:pPr>
      <w:pStyle w:val="Header"/>
    </w:pPr>
    <w:r>
      <w:ptab w:relativeTo="margin" w:alignment="center" w:leader="none"/>
    </w:r>
    <w:r>
      <w:t xml:space="preserve">- </w:t>
    </w:r>
    <w:r w:rsidRPr="007C1782">
      <w:rPr>
        <w:sz w:val="18"/>
        <w:szCs w:val="18"/>
      </w:rPr>
      <w:fldChar w:fldCharType="begin"/>
    </w:r>
    <w:r w:rsidRPr="007C1782">
      <w:rPr>
        <w:sz w:val="18"/>
        <w:szCs w:val="18"/>
      </w:rPr>
      <w:instrText xml:space="preserve"> PAGE   \* MERGEFORMAT </w:instrText>
    </w:r>
    <w:r w:rsidRPr="007C1782">
      <w:rPr>
        <w:sz w:val="18"/>
        <w:szCs w:val="18"/>
      </w:rPr>
      <w:fldChar w:fldCharType="separate"/>
    </w:r>
    <w:r w:rsidR="007C1782">
      <w:rPr>
        <w:noProof/>
        <w:sz w:val="18"/>
        <w:szCs w:val="18"/>
      </w:rPr>
      <w:t>3</w:t>
    </w:r>
    <w:r w:rsidRPr="007C1782">
      <w:rPr>
        <w:noProof/>
        <w:sz w:val="18"/>
        <w:szCs w:val="18"/>
      </w:rPr>
      <w:fldChar w:fldCharType="end"/>
    </w:r>
    <w:r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8A198E"/>
    <w:multiLevelType w:val="hybridMultilevel"/>
    <w:tmpl w:val="3D4C2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70F03"/>
    <w:multiLevelType w:val="hybridMultilevel"/>
    <w:tmpl w:val="387A0C56"/>
    <w:lvl w:ilvl="0" w:tplc="FFFFFFFF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E2087"/>
    <w:multiLevelType w:val="multilevel"/>
    <w:tmpl w:val="1FC2AA20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8" w15:restartNumberingAfterBreak="0">
    <w:nsid w:val="4AE878A0"/>
    <w:multiLevelType w:val="hybridMultilevel"/>
    <w:tmpl w:val="ABBE3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F56AB"/>
    <w:multiLevelType w:val="hybridMultilevel"/>
    <w:tmpl w:val="91C82A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86284"/>
    <w:multiLevelType w:val="hybridMultilevel"/>
    <w:tmpl w:val="9A08C8B6"/>
    <w:lvl w:ilvl="0" w:tplc="B55ABF4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F517C"/>
    <w:multiLevelType w:val="hybridMultilevel"/>
    <w:tmpl w:val="7876B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A28A3"/>
    <w:multiLevelType w:val="multilevel"/>
    <w:tmpl w:val="564A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BB3612"/>
    <w:multiLevelType w:val="hybridMultilevel"/>
    <w:tmpl w:val="E8EAD6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22798"/>
    <w:multiLevelType w:val="multilevel"/>
    <w:tmpl w:val="1FC2AA20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8"/>
  </w:num>
  <w:num w:numId="5">
    <w:abstractNumId w:val="6"/>
  </w:num>
  <w:num w:numId="6">
    <w:abstractNumId w:val="14"/>
  </w:num>
  <w:num w:numId="7">
    <w:abstractNumId w:val="11"/>
  </w:num>
  <w:num w:numId="8">
    <w:abstractNumId w:val="9"/>
  </w:num>
  <w:num w:numId="9">
    <w:abstractNumId w:val="5"/>
  </w:num>
  <w:num w:numId="10">
    <w:abstractNumId w:val="4"/>
  </w:num>
  <w:num w:numId="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45327"/>
    <w:rsid w:val="00010E30"/>
    <w:rsid w:val="00026CF8"/>
    <w:rsid w:val="00031E64"/>
    <w:rsid w:val="00040DF5"/>
    <w:rsid w:val="000502A6"/>
    <w:rsid w:val="00054534"/>
    <w:rsid w:val="00070258"/>
    <w:rsid w:val="00072B9B"/>
    <w:rsid w:val="00072E16"/>
    <w:rsid w:val="0007323C"/>
    <w:rsid w:val="00083740"/>
    <w:rsid w:val="00086D03"/>
    <w:rsid w:val="000A7051"/>
    <w:rsid w:val="000C03C7"/>
    <w:rsid w:val="000D786F"/>
    <w:rsid w:val="000E3DEE"/>
    <w:rsid w:val="000E5E18"/>
    <w:rsid w:val="00103C76"/>
    <w:rsid w:val="00105660"/>
    <w:rsid w:val="0011265F"/>
    <w:rsid w:val="00145AA2"/>
    <w:rsid w:val="001466DA"/>
    <w:rsid w:val="0016308F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861E6"/>
    <w:rsid w:val="002A2700"/>
    <w:rsid w:val="002D3428"/>
    <w:rsid w:val="002D6688"/>
    <w:rsid w:val="002F0890"/>
    <w:rsid w:val="00307690"/>
    <w:rsid w:val="003370B8"/>
    <w:rsid w:val="00337394"/>
    <w:rsid w:val="00350BBA"/>
    <w:rsid w:val="003666FF"/>
    <w:rsid w:val="003741EE"/>
    <w:rsid w:val="003B2BDA"/>
    <w:rsid w:val="003B55EC"/>
    <w:rsid w:val="003C4471"/>
    <w:rsid w:val="003E504F"/>
    <w:rsid w:val="004326DB"/>
    <w:rsid w:val="0043682E"/>
    <w:rsid w:val="00445327"/>
    <w:rsid w:val="004815EB"/>
    <w:rsid w:val="00496920"/>
    <w:rsid w:val="004B7C9A"/>
    <w:rsid w:val="004E0DC4"/>
    <w:rsid w:val="004E0FB5"/>
    <w:rsid w:val="004E43BB"/>
    <w:rsid w:val="004F178E"/>
    <w:rsid w:val="004F6466"/>
    <w:rsid w:val="00505309"/>
    <w:rsid w:val="0050789B"/>
    <w:rsid w:val="00515771"/>
    <w:rsid w:val="00542A47"/>
    <w:rsid w:val="00543DF8"/>
    <w:rsid w:val="00546101"/>
    <w:rsid w:val="00553DD7"/>
    <w:rsid w:val="00560755"/>
    <w:rsid w:val="005672BD"/>
    <w:rsid w:val="0057469A"/>
    <w:rsid w:val="00580814"/>
    <w:rsid w:val="005A03A3"/>
    <w:rsid w:val="005B214C"/>
    <w:rsid w:val="005B41A8"/>
    <w:rsid w:val="00602D53"/>
    <w:rsid w:val="00651777"/>
    <w:rsid w:val="0067458B"/>
    <w:rsid w:val="00674F4F"/>
    <w:rsid w:val="006B0590"/>
    <w:rsid w:val="006B49DA"/>
    <w:rsid w:val="006C18EB"/>
    <w:rsid w:val="00700636"/>
    <w:rsid w:val="00707216"/>
    <w:rsid w:val="007234B1"/>
    <w:rsid w:val="00730B9A"/>
    <w:rsid w:val="00783681"/>
    <w:rsid w:val="007921A7"/>
    <w:rsid w:val="007A5C27"/>
    <w:rsid w:val="007B3DB1"/>
    <w:rsid w:val="007C1782"/>
    <w:rsid w:val="007D183E"/>
    <w:rsid w:val="007E304D"/>
    <w:rsid w:val="007E3F13"/>
    <w:rsid w:val="007E480E"/>
    <w:rsid w:val="00800012"/>
    <w:rsid w:val="0081513E"/>
    <w:rsid w:val="00823210"/>
    <w:rsid w:val="00843445"/>
    <w:rsid w:val="00847D46"/>
    <w:rsid w:val="00854131"/>
    <w:rsid w:val="0085652D"/>
    <w:rsid w:val="0087694B"/>
    <w:rsid w:val="008F4F21"/>
    <w:rsid w:val="00904D4A"/>
    <w:rsid w:val="009151BA"/>
    <w:rsid w:val="009277BC"/>
    <w:rsid w:val="00927D57"/>
    <w:rsid w:val="00941D23"/>
    <w:rsid w:val="0095010C"/>
    <w:rsid w:val="00963D9D"/>
    <w:rsid w:val="00976AAD"/>
    <w:rsid w:val="00981B54"/>
    <w:rsid w:val="009842C3"/>
    <w:rsid w:val="009A6BB6"/>
    <w:rsid w:val="009B3F43"/>
    <w:rsid w:val="009C161F"/>
    <w:rsid w:val="009E4AEC"/>
    <w:rsid w:val="009E5BD8"/>
    <w:rsid w:val="009E681E"/>
    <w:rsid w:val="00A34D6F"/>
    <w:rsid w:val="00A41F91"/>
    <w:rsid w:val="00A9168B"/>
    <w:rsid w:val="00A963DF"/>
    <w:rsid w:val="00AC3896"/>
    <w:rsid w:val="00AE0E3A"/>
    <w:rsid w:val="00AE6CFA"/>
    <w:rsid w:val="00AF3325"/>
    <w:rsid w:val="00B34CF9"/>
    <w:rsid w:val="00B67004"/>
    <w:rsid w:val="00B90C45"/>
    <w:rsid w:val="00B91EA0"/>
    <w:rsid w:val="00B933BE"/>
    <w:rsid w:val="00BB4069"/>
    <w:rsid w:val="00BD7E5E"/>
    <w:rsid w:val="00BE6574"/>
    <w:rsid w:val="00C57E2C"/>
    <w:rsid w:val="00C608B7"/>
    <w:rsid w:val="00C66F24"/>
    <w:rsid w:val="00C764BA"/>
    <w:rsid w:val="00C9291E"/>
    <w:rsid w:val="00CA3F44"/>
    <w:rsid w:val="00CA4E58"/>
    <w:rsid w:val="00CB3771"/>
    <w:rsid w:val="00CB5153"/>
    <w:rsid w:val="00CC0DA0"/>
    <w:rsid w:val="00CF6752"/>
    <w:rsid w:val="00D10BA0"/>
    <w:rsid w:val="00D15CFA"/>
    <w:rsid w:val="00D2339B"/>
    <w:rsid w:val="00D24EB5"/>
    <w:rsid w:val="00D41571"/>
    <w:rsid w:val="00D416A0"/>
    <w:rsid w:val="00D47672"/>
    <w:rsid w:val="00D509E3"/>
    <w:rsid w:val="00D5123C"/>
    <w:rsid w:val="00D51C9E"/>
    <w:rsid w:val="00D55560"/>
    <w:rsid w:val="00D61C5A"/>
    <w:rsid w:val="00DB3A18"/>
    <w:rsid w:val="00DE66A5"/>
    <w:rsid w:val="00DF2B50"/>
    <w:rsid w:val="00DF7310"/>
    <w:rsid w:val="00E003F5"/>
    <w:rsid w:val="00E04C86"/>
    <w:rsid w:val="00E20F30"/>
    <w:rsid w:val="00E27BBA"/>
    <w:rsid w:val="00E32E0C"/>
    <w:rsid w:val="00E34CD1"/>
    <w:rsid w:val="00E35E8F"/>
    <w:rsid w:val="00E438E8"/>
    <w:rsid w:val="00E520E2"/>
    <w:rsid w:val="00E64254"/>
    <w:rsid w:val="00E7474D"/>
    <w:rsid w:val="00EA15B3"/>
    <w:rsid w:val="00EB2358"/>
    <w:rsid w:val="00EB3EB8"/>
    <w:rsid w:val="00F42C8C"/>
    <w:rsid w:val="00F468C5"/>
    <w:rsid w:val="00F51F3E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FC9BAD5C-9423-49A3-A10A-FE820160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table" w:styleId="TableGrid">
    <w:name w:val="Table Grid"/>
    <w:basedOn w:val="TableNormal"/>
    <w:uiPriority w:val="59"/>
    <w:rsid w:val="00A9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445327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453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sz w:val="24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45327"/>
    <w:rPr>
      <w:rFonts w:eastAsia="SimSun"/>
      <w:sz w:val="24"/>
      <w:szCs w:val="22"/>
      <w:lang w:val="en-US"/>
    </w:rPr>
  </w:style>
  <w:style w:type="paragraph" w:styleId="BodyText2">
    <w:name w:val="Body Text 2"/>
    <w:basedOn w:val="Normal"/>
    <w:link w:val="BodyText2Char"/>
    <w:rsid w:val="00445327"/>
    <w:pPr>
      <w:tabs>
        <w:tab w:val="clear" w:pos="794"/>
        <w:tab w:val="left" w:pos="900"/>
      </w:tabs>
      <w:spacing w:before="120" w:line="240" w:lineRule="auto"/>
    </w:pPr>
    <w:rPr>
      <w:rFonts w:ascii="Times New Roman" w:hAnsi="Times New Roman" w:cs="Times New Roman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445327"/>
    <w:rPr>
      <w:rFonts w:ascii="Times New Roman" w:hAnsi="Times New Roman" w:cs="Times New Roman"/>
      <w:sz w:val="24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445327"/>
    <w:pPr>
      <w:ind w:left="720"/>
      <w:contextualSpacing/>
    </w:pPr>
    <w:rPr>
      <w:sz w:val="24"/>
      <w:lang w:val="en-US"/>
    </w:rPr>
  </w:style>
  <w:style w:type="paragraph" w:customStyle="1" w:styleId="Char">
    <w:name w:val="Char"/>
    <w:basedOn w:val="Normal"/>
    <w:rsid w:val="00445327"/>
    <w:pPr>
      <w:widowControl w:val="0"/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Message">
    <w:name w:val="Message"/>
    <w:rsid w:val="00445327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 w:cs="Times New Roman"/>
      <w:sz w:val="22"/>
      <w:lang w:val="en-US" w:eastAsia="en-US"/>
    </w:rPr>
  </w:style>
  <w:style w:type="character" w:customStyle="1" w:styleId="Appref">
    <w:name w:val="App_ref"/>
    <w:basedOn w:val="DefaultParagraphFont"/>
    <w:rsid w:val="00445327"/>
  </w:style>
  <w:style w:type="paragraph" w:customStyle="1" w:styleId="itu">
    <w:name w:val="itu"/>
    <w:basedOn w:val="Normal"/>
    <w:rsid w:val="0044532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CharChar">
    <w:name w:val="Char Char"/>
    <w:basedOn w:val="Normal"/>
    <w:rsid w:val="004453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kern w:val="16"/>
      <w:sz w:val="20"/>
      <w:szCs w:val="20"/>
      <w:lang w:val="tr-TR"/>
    </w:rPr>
  </w:style>
  <w:style w:type="paragraph" w:customStyle="1" w:styleId="AnnexNotitle0">
    <w:name w:val="Annex_No &amp; title"/>
    <w:basedOn w:val="Normal"/>
    <w:next w:val="Normal"/>
    <w:uiPriority w:val="99"/>
    <w:rsid w:val="0044532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5672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34</TotalTime>
  <Pages>6</Pages>
  <Words>1879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11875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</dc:creator>
  <cp:lastModifiedBy>Marchetti, Caroline</cp:lastModifiedBy>
  <cp:revision>10</cp:revision>
  <cp:lastPrinted>2010-01-19T09:33:00Z</cp:lastPrinted>
  <dcterms:created xsi:type="dcterms:W3CDTF">2016-05-11T13:33:00Z</dcterms:created>
  <dcterms:modified xsi:type="dcterms:W3CDTF">2016-05-13T06:59:00Z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