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EA15B3" w:rsidRPr="00F42C8C" w:rsidTr="00EA15B3">
        <w:tc>
          <w:tcPr>
            <w:tcW w:w="9889" w:type="dxa"/>
            <w:gridSpan w:val="3"/>
            <w:shd w:val="clear" w:color="auto" w:fill="auto"/>
          </w:tcPr>
          <w:p w:rsidR="00EA15B3" w:rsidRPr="00B06435" w:rsidRDefault="00B06435" w:rsidP="00F914DD">
            <w:pPr>
              <w:jc w:val="left"/>
              <w:rPr>
                <w:b/>
                <w:bCs/>
                <w:color w:val="808080"/>
                <w:sz w:val="28"/>
                <w:szCs w:val="28"/>
              </w:rPr>
            </w:pPr>
            <w:bookmarkStart w:id="0" w:name="Logo"/>
            <w:bookmarkStart w:id="1" w:name="Origine"/>
            <w:bookmarkEnd w:id="0"/>
            <w:bookmarkEnd w:id="1"/>
            <w:r w:rsidRPr="00B06435">
              <w:rPr>
                <w:b/>
                <w:bCs/>
                <w:color w:val="808080"/>
                <w:sz w:val="28"/>
                <w:szCs w:val="28"/>
              </w:rPr>
              <w:t>Oficina de Radiocomunicaciones (BR)</w:t>
            </w:r>
          </w:p>
        </w:tc>
      </w:tr>
      <w:tr w:rsidR="00EA15B3" w:rsidRPr="00F42C8C" w:rsidTr="00EA15B3">
        <w:tc>
          <w:tcPr>
            <w:tcW w:w="9889" w:type="dxa"/>
            <w:gridSpan w:val="3"/>
            <w:shd w:val="clear" w:color="auto" w:fill="auto"/>
          </w:tcPr>
          <w:p w:rsidR="00EA15B3" w:rsidRPr="00F42C8C" w:rsidRDefault="00EA15B3" w:rsidP="00EA15B3">
            <w:pPr>
              <w:jc w:val="left"/>
            </w:pPr>
          </w:p>
        </w:tc>
      </w:tr>
      <w:tr w:rsidR="00651777" w:rsidRPr="00F42C8C" w:rsidTr="00651777">
        <w:tc>
          <w:tcPr>
            <w:tcW w:w="5353" w:type="dxa"/>
            <w:gridSpan w:val="2"/>
            <w:shd w:val="clear" w:color="auto" w:fill="auto"/>
          </w:tcPr>
          <w:p w:rsidR="00651777" w:rsidRPr="00F42C8C" w:rsidRDefault="00B06435" w:rsidP="00B06435">
            <w:pPr>
              <w:spacing w:before="0"/>
              <w:jc w:val="left"/>
            </w:pPr>
            <w:r w:rsidRPr="00AF0E92">
              <w:rPr>
                <w:rFonts w:asciiTheme="minorHAnsi" w:hAnsiTheme="minorHAnsi"/>
                <w:sz w:val="24"/>
                <w:szCs w:val="24"/>
                <w:lang w:val="es-ES"/>
              </w:rPr>
              <w:t>Circular Administrativa</w:t>
            </w:r>
            <w:r>
              <w:rPr>
                <w:rFonts w:asciiTheme="minorHAnsi" w:hAnsiTheme="minorHAnsi"/>
                <w:sz w:val="24"/>
                <w:szCs w:val="24"/>
                <w:lang w:val="es-ES"/>
              </w:rPr>
              <w:br/>
            </w:r>
            <w:r w:rsidRPr="00AF0E92">
              <w:rPr>
                <w:rFonts w:asciiTheme="minorHAnsi" w:hAnsiTheme="minorHAnsi"/>
                <w:b/>
                <w:bCs/>
                <w:sz w:val="24"/>
                <w:szCs w:val="24"/>
                <w:lang w:val="es-ES"/>
              </w:rPr>
              <w:t>CR/375</w:t>
            </w:r>
          </w:p>
        </w:tc>
        <w:tc>
          <w:tcPr>
            <w:tcW w:w="4536" w:type="dxa"/>
            <w:shd w:val="clear" w:color="auto" w:fill="auto"/>
          </w:tcPr>
          <w:p w:rsidR="00651777" w:rsidRPr="00F42C8C" w:rsidRDefault="00F42C8C" w:rsidP="00021CD3">
            <w:r w:rsidRPr="00F42C8C">
              <w:t xml:space="preserve">Ginebra, </w:t>
            </w:r>
            <w:sdt>
              <w:sdtPr>
                <w:rPr>
                  <w:rFonts w:cs="Arial"/>
                </w:rPr>
                <w:alias w:val="Date"/>
                <w:tag w:val="Date"/>
                <w:id w:val="20922293"/>
                <w:lock w:val="sdtLocked"/>
                <w:placeholder>
                  <w:docPart w:val="84F5B785F39545968C76E5C0986A2946"/>
                </w:placeholder>
                <w:date>
                  <w:dateFormat w:val="d' de 'MMMM' de 'yyyy"/>
                  <w:lid w:val="es-ES_tradnl"/>
                  <w:storeMappedDataAs w:val="date"/>
                  <w:calendar w:val="gregorian"/>
                </w:date>
              </w:sdtPr>
              <w:sdtEndPr/>
              <w:sdtContent>
                <w:r w:rsidR="00B06435">
                  <w:rPr>
                    <w:rFonts w:cs="Arial"/>
                  </w:rPr>
                  <w:t>1</w:t>
                </w:r>
                <w:r w:rsidR="00021CD3">
                  <w:rPr>
                    <w:rFonts w:cs="Arial"/>
                  </w:rPr>
                  <w:t>9</w:t>
                </w:r>
                <w:r w:rsidR="00B06435">
                  <w:rPr>
                    <w:rFonts w:cs="Arial"/>
                  </w:rPr>
                  <w:t xml:space="preserve"> de diciembre de 2014</w:t>
                </w:r>
              </w:sdtContent>
            </w:sdt>
          </w:p>
        </w:tc>
      </w:tr>
      <w:tr w:rsidR="00EA15B3" w:rsidRPr="00F42C8C" w:rsidTr="00EA15B3">
        <w:tc>
          <w:tcPr>
            <w:tcW w:w="9889" w:type="dxa"/>
            <w:gridSpan w:val="3"/>
            <w:shd w:val="clear" w:color="auto" w:fill="auto"/>
          </w:tcPr>
          <w:p w:rsidR="00B06435" w:rsidRPr="00F42C8C" w:rsidRDefault="00B06435" w:rsidP="00B06435">
            <w:pPr>
              <w:spacing w:before="0" w:line="240" w:lineRule="auto"/>
            </w:pPr>
          </w:p>
        </w:tc>
      </w:tr>
      <w:tr w:rsidR="00B06435" w:rsidRPr="00F42C8C" w:rsidTr="0002595E">
        <w:tc>
          <w:tcPr>
            <w:tcW w:w="9889" w:type="dxa"/>
            <w:gridSpan w:val="3"/>
            <w:shd w:val="clear" w:color="auto" w:fill="auto"/>
          </w:tcPr>
          <w:p w:rsidR="00B06435" w:rsidRPr="00F42C8C" w:rsidRDefault="00B06435" w:rsidP="00B06435">
            <w:pPr>
              <w:spacing w:before="0" w:line="240" w:lineRule="auto"/>
            </w:pPr>
            <w:bookmarkStart w:id="2" w:name="Subject"/>
            <w:bookmarkEnd w:id="2"/>
          </w:p>
        </w:tc>
      </w:tr>
      <w:tr w:rsidR="00B06435" w:rsidRPr="00AF0E92" w:rsidTr="00B06435">
        <w:tc>
          <w:tcPr>
            <w:tcW w:w="9889" w:type="dxa"/>
            <w:gridSpan w:val="3"/>
            <w:shd w:val="clear" w:color="auto" w:fill="auto"/>
          </w:tcPr>
          <w:p w:rsidR="00B06435" w:rsidRPr="00B06435" w:rsidRDefault="00B06435" w:rsidP="00B06435">
            <w:pPr>
              <w:spacing w:before="0" w:line="240" w:lineRule="auto"/>
              <w:rPr>
                <w:b/>
                <w:bCs/>
              </w:rPr>
            </w:pPr>
            <w:r w:rsidRPr="00B06435">
              <w:rPr>
                <w:b/>
                <w:bCs/>
              </w:rPr>
              <w:t>A las Administraciones de los Estados Miembros de la UIT</w:t>
            </w:r>
            <w:r w:rsidRPr="00B06435">
              <w:rPr>
                <w:rStyle w:val="FootnoteReference"/>
                <w:b/>
                <w:bCs/>
                <w:position w:val="0"/>
                <w:sz w:val="22"/>
                <w:vertAlign w:val="superscript"/>
              </w:rPr>
              <w:footnoteReference w:id="1"/>
            </w:r>
          </w:p>
          <w:p w:rsidR="00B06435" w:rsidRPr="00B06435" w:rsidRDefault="00B06435" w:rsidP="00B06435">
            <w:pPr>
              <w:spacing w:before="0" w:line="240" w:lineRule="auto"/>
              <w:rPr>
                <w:b/>
                <w:bCs/>
              </w:rPr>
            </w:pPr>
          </w:p>
        </w:tc>
      </w:tr>
      <w:tr w:rsidR="00B06435" w:rsidRPr="00AF0E92" w:rsidTr="00B06435">
        <w:tc>
          <w:tcPr>
            <w:tcW w:w="9889" w:type="dxa"/>
            <w:gridSpan w:val="3"/>
            <w:shd w:val="clear" w:color="auto" w:fill="auto"/>
          </w:tcPr>
          <w:p w:rsidR="00B06435" w:rsidRPr="00B06435" w:rsidRDefault="00B06435" w:rsidP="00B06435">
            <w:pPr>
              <w:spacing w:before="0" w:line="240" w:lineRule="auto"/>
            </w:pPr>
          </w:p>
        </w:tc>
      </w:tr>
      <w:tr w:rsidR="00B06435" w:rsidRPr="00AF0E92" w:rsidTr="00B06435">
        <w:tc>
          <w:tcPr>
            <w:tcW w:w="9889" w:type="dxa"/>
            <w:gridSpan w:val="3"/>
            <w:shd w:val="clear" w:color="auto" w:fill="auto"/>
          </w:tcPr>
          <w:p w:rsidR="00B06435" w:rsidRPr="00B06435" w:rsidRDefault="00B06435" w:rsidP="00B06435">
            <w:pPr>
              <w:spacing w:before="0" w:line="240" w:lineRule="auto"/>
            </w:pPr>
          </w:p>
        </w:tc>
      </w:tr>
      <w:tr w:rsidR="00B06435" w:rsidRPr="00AF0E92" w:rsidTr="00791E5E">
        <w:tc>
          <w:tcPr>
            <w:tcW w:w="1526" w:type="dxa"/>
            <w:shd w:val="clear" w:color="auto" w:fill="auto"/>
          </w:tcPr>
          <w:p w:rsidR="00B06435" w:rsidRPr="00AF0E92" w:rsidRDefault="00B06435" w:rsidP="00B06435">
            <w:pPr>
              <w:spacing w:before="0"/>
              <w:jc w:val="left"/>
              <w:rPr>
                <w:rFonts w:asciiTheme="minorHAnsi" w:hAnsiTheme="minorHAnsi"/>
                <w:sz w:val="24"/>
                <w:szCs w:val="24"/>
                <w:lang w:val="es-ES"/>
              </w:rPr>
            </w:pPr>
            <w:r>
              <w:rPr>
                <w:rFonts w:asciiTheme="minorHAnsi" w:hAnsiTheme="minorHAnsi"/>
                <w:sz w:val="24"/>
                <w:szCs w:val="24"/>
                <w:lang w:val="es-ES"/>
              </w:rPr>
              <w:t>Asunto</w:t>
            </w:r>
            <w:r w:rsidRPr="00AF0E92">
              <w:rPr>
                <w:rFonts w:asciiTheme="minorHAnsi" w:hAnsiTheme="minorHAnsi"/>
                <w:sz w:val="24"/>
                <w:szCs w:val="24"/>
                <w:lang w:val="es-ES"/>
              </w:rPr>
              <w:t>:</w:t>
            </w:r>
          </w:p>
        </w:tc>
        <w:tc>
          <w:tcPr>
            <w:tcW w:w="8363" w:type="dxa"/>
            <w:gridSpan w:val="2"/>
            <w:vMerge w:val="restart"/>
            <w:shd w:val="clear" w:color="auto" w:fill="auto"/>
          </w:tcPr>
          <w:p w:rsidR="00B06435" w:rsidRPr="00AF0E92" w:rsidRDefault="00B06435" w:rsidP="00B06435">
            <w:pPr>
              <w:spacing w:before="0"/>
              <w:jc w:val="left"/>
              <w:rPr>
                <w:rFonts w:asciiTheme="minorHAnsi" w:hAnsiTheme="minorHAnsi"/>
                <w:b/>
                <w:bCs/>
                <w:sz w:val="24"/>
                <w:szCs w:val="24"/>
                <w:lang w:val="es-ES"/>
              </w:rPr>
            </w:pPr>
            <w:r>
              <w:rPr>
                <w:rFonts w:cs="Times New Roman"/>
                <w:b/>
                <w:bCs/>
                <w:color w:val="000000"/>
                <w:lang w:val="es-ES"/>
              </w:rPr>
              <w:t xml:space="preserve">Final del periodo de transición a la radiodifusión digital establecido por el Acuerdo </w:t>
            </w:r>
            <w:r w:rsidRPr="00AF0E92">
              <w:rPr>
                <w:rFonts w:cs="Times New Roman"/>
                <w:b/>
                <w:bCs/>
                <w:color w:val="000000"/>
                <w:lang w:val="es-ES"/>
              </w:rPr>
              <w:t xml:space="preserve">GE06 </w:t>
            </w:r>
            <w:r w:rsidRPr="00AF0E92">
              <w:rPr>
                <w:rFonts w:cs="Times New Roman"/>
                <w:b/>
                <w:bCs/>
                <w:color w:val="000000"/>
                <w:lang w:val="es-ES"/>
              </w:rPr>
              <w:br/>
            </w:r>
            <w:r w:rsidRPr="00AF0E92">
              <w:rPr>
                <w:b/>
                <w:bCs/>
                <w:lang w:val="es-ES"/>
              </w:rPr>
              <w:br/>
            </w:r>
            <w:r w:rsidRPr="002F48A8">
              <w:rPr>
                <w:b/>
                <w:bCs/>
                <w:lang w:val="es-ES"/>
              </w:rPr>
              <w:t>Acuerdo Regional (Ginebra, 2006) sobre planificación del servicio de radiodifusión digital terrenal en partes de las Regiones 1 y 3, en las bandas de frecuencia 174-230 MHz y 470</w:t>
            </w:r>
            <w:r>
              <w:rPr>
                <w:b/>
                <w:bCs/>
                <w:lang w:val="es-ES"/>
              </w:rPr>
              <w:noBreakHyphen/>
            </w:r>
            <w:r w:rsidRPr="002F48A8">
              <w:rPr>
                <w:b/>
                <w:bCs/>
                <w:lang w:val="es-ES"/>
              </w:rPr>
              <w:t>862 MHz</w:t>
            </w:r>
          </w:p>
        </w:tc>
      </w:tr>
      <w:tr w:rsidR="00B06435" w:rsidRPr="00AF0E92" w:rsidTr="00791E5E">
        <w:tc>
          <w:tcPr>
            <w:tcW w:w="1526" w:type="dxa"/>
            <w:shd w:val="clear" w:color="auto" w:fill="auto"/>
          </w:tcPr>
          <w:p w:rsidR="00B06435" w:rsidRPr="00AF0E92" w:rsidRDefault="00B06435" w:rsidP="00B06435">
            <w:pPr>
              <w:spacing w:before="0"/>
              <w:jc w:val="left"/>
              <w:rPr>
                <w:rFonts w:asciiTheme="minorHAnsi" w:hAnsiTheme="minorHAnsi"/>
                <w:sz w:val="24"/>
                <w:szCs w:val="24"/>
                <w:lang w:val="es-ES"/>
              </w:rPr>
            </w:pPr>
          </w:p>
        </w:tc>
        <w:tc>
          <w:tcPr>
            <w:tcW w:w="8363" w:type="dxa"/>
            <w:gridSpan w:val="2"/>
            <w:vMerge/>
            <w:shd w:val="clear" w:color="auto" w:fill="auto"/>
          </w:tcPr>
          <w:p w:rsidR="00B06435" w:rsidRPr="00AF0E92" w:rsidRDefault="00B06435" w:rsidP="00B06435">
            <w:pPr>
              <w:spacing w:before="0"/>
              <w:jc w:val="left"/>
              <w:rPr>
                <w:rFonts w:asciiTheme="minorHAnsi" w:hAnsiTheme="minorHAnsi"/>
                <w:b/>
                <w:bCs/>
                <w:sz w:val="24"/>
                <w:szCs w:val="24"/>
                <w:lang w:val="es-ES"/>
              </w:rPr>
            </w:pPr>
          </w:p>
        </w:tc>
      </w:tr>
      <w:tr w:rsidR="00B06435" w:rsidRPr="00AF0E92" w:rsidTr="00791E5E">
        <w:tc>
          <w:tcPr>
            <w:tcW w:w="1526" w:type="dxa"/>
            <w:shd w:val="clear" w:color="auto" w:fill="auto"/>
          </w:tcPr>
          <w:p w:rsidR="00B06435" w:rsidRPr="00AF0E92" w:rsidRDefault="00B06435" w:rsidP="00B06435">
            <w:pPr>
              <w:spacing w:before="0"/>
              <w:jc w:val="left"/>
              <w:rPr>
                <w:rFonts w:asciiTheme="minorHAnsi" w:hAnsiTheme="minorHAnsi"/>
                <w:sz w:val="24"/>
                <w:szCs w:val="24"/>
                <w:lang w:val="es-ES"/>
              </w:rPr>
            </w:pPr>
            <w:r w:rsidRPr="00AF0E92">
              <w:rPr>
                <w:rFonts w:asciiTheme="minorHAnsi" w:hAnsiTheme="minorHAnsi"/>
                <w:sz w:val="24"/>
                <w:szCs w:val="24"/>
                <w:lang w:val="es-ES"/>
              </w:rPr>
              <w:t>Referenc</w:t>
            </w:r>
            <w:r>
              <w:rPr>
                <w:rFonts w:asciiTheme="minorHAnsi" w:hAnsiTheme="minorHAnsi"/>
                <w:sz w:val="24"/>
                <w:szCs w:val="24"/>
                <w:lang w:val="es-ES"/>
              </w:rPr>
              <w:t>ia</w:t>
            </w:r>
            <w:r w:rsidRPr="00AF0E92">
              <w:rPr>
                <w:rFonts w:asciiTheme="minorHAnsi" w:hAnsiTheme="minorHAnsi"/>
                <w:sz w:val="24"/>
                <w:szCs w:val="24"/>
                <w:lang w:val="es-ES"/>
              </w:rPr>
              <w:t>:</w:t>
            </w:r>
          </w:p>
        </w:tc>
        <w:tc>
          <w:tcPr>
            <w:tcW w:w="8363" w:type="dxa"/>
            <w:gridSpan w:val="2"/>
            <w:vMerge/>
            <w:shd w:val="clear" w:color="auto" w:fill="auto"/>
          </w:tcPr>
          <w:p w:rsidR="00B06435" w:rsidRPr="00AF0E92" w:rsidRDefault="00B06435" w:rsidP="00B06435">
            <w:pPr>
              <w:spacing w:before="0"/>
              <w:jc w:val="left"/>
              <w:rPr>
                <w:rFonts w:asciiTheme="minorHAnsi" w:hAnsiTheme="minorHAnsi"/>
                <w:b/>
                <w:bCs/>
                <w:sz w:val="24"/>
                <w:szCs w:val="24"/>
                <w:lang w:val="es-ES"/>
              </w:rPr>
            </w:pPr>
          </w:p>
        </w:tc>
      </w:tr>
    </w:tbl>
    <w:p w:rsidR="00651777" w:rsidRPr="00B06435" w:rsidRDefault="00651777">
      <w:pPr>
        <w:rPr>
          <w:lang w:val="es-ES"/>
        </w:rPr>
      </w:pPr>
    </w:p>
    <w:p w:rsidR="00B06435" w:rsidRPr="00AF0E92" w:rsidRDefault="00B06435" w:rsidP="001D5925">
      <w:pPr>
        <w:spacing w:before="136"/>
        <w:rPr>
          <w:lang w:val="es-ES"/>
        </w:rPr>
      </w:pPr>
      <w:bookmarkStart w:id="3" w:name="Formula"/>
      <w:bookmarkStart w:id="4" w:name="MainStory"/>
      <w:bookmarkStart w:id="5" w:name="CurrentLocation"/>
      <w:bookmarkEnd w:id="3"/>
      <w:bookmarkEnd w:id="4"/>
      <w:bookmarkEnd w:id="5"/>
      <w:r>
        <w:rPr>
          <w:lang w:val="es-ES"/>
        </w:rPr>
        <w:t xml:space="preserve">El periodo de transición de la radiodifusión de televisión analógica a la digital, según se define en el Acuerdo GE06, llegará a su término el 17 de junio de 2015 a las </w:t>
      </w:r>
      <w:r w:rsidRPr="00AF0E92">
        <w:rPr>
          <w:lang w:val="es-ES"/>
        </w:rPr>
        <w:t>00</w:t>
      </w:r>
      <w:r w:rsidR="001D5925">
        <w:rPr>
          <w:lang w:val="es-ES"/>
        </w:rPr>
        <w:t>.</w:t>
      </w:r>
      <w:r w:rsidRPr="00AF0E92">
        <w:rPr>
          <w:lang w:val="es-ES"/>
        </w:rPr>
        <w:t>01 ho</w:t>
      </w:r>
      <w:r>
        <w:rPr>
          <w:lang w:val="es-ES"/>
        </w:rPr>
        <w:t>ras</w:t>
      </w:r>
      <w:r w:rsidRPr="00AF0E92">
        <w:rPr>
          <w:lang w:val="es-ES"/>
        </w:rPr>
        <w:t xml:space="preserve"> UTC. </w:t>
      </w:r>
      <w:r>
        <w:rPr>
          <w:lang w:val="es-ES"/>
        </w:rPr>
        <w:t>Sin embargo, para los países y las bandas de frecuencias que se indican en el siguiente cuadro, el periodo de transición finalizará el 17 de junio de 2020 a las 00</w:t>
      </w:r>
      <w:r w:rsidR="001D5925">
        <w:rPr>
          <w:lang w:val="es-ES"/>
        </w:rPr>
        <w:t>.</w:t>
      </w:r>
      <w:r>
        <w:rPr>
          <w:lang w:val="es-ES"/>
        </w:rPr>
        <w:t xml:space="preserve">01 horas </w:t>
      </w:r>
      <w:r w:rsidRPr="00AF0E92">
        <w:rPr>
          <w:lang w:val="es-ES"/>
        </w:rPr>
        <w:t>UTC.</w:t>
      </w:r>
    </w:p>
    <w:p w:rsidR="00B06435" w:rsidRPr="00AF0E92" w:rsidRDefault="00B06435" w:rsidP="00B06435">
      <w:pPr>
        <w:spacing w:before="136"/>
        <w:rPr>
          <w:lang w:val="es-ES"/>
        </w:rPr>
      </w:pPr>
    </w:p>
    <w:tbl>
      <w:tblPr>
        <w:tblStyle w:val="TableGrid"/>
        <w:tblW w:w="0" w:type="auto"/>
        <w:jc w:val="center"/>
        <w:tblLayout w:type="fixed"/>
        <w:tblLook w:val="04A0" w:firstRow="1" w:lastRow="0" w:firstColumn="1" w:lastColumn="0" w:noHBand="0" w:noVBand="1"/>
      </w:tblPr>
      <w:tblGrid>
        <w:gridCol w:w="1701"/>
        <w:gridCol w:w="7792"/>
      </w:tblGrid>
      <w:tr w:rsidR="00B06435" w:rsidRPr="00AF0E92" w:rsidTr="00791E5E">
        <w:trPr>
          <w:jc w:val="center"/>
        </w:trPr>
        <w:tc>
          <w:tcPr>
            <w:tcW w:w="1701" w:type="dxa"/>
          </w:tcPr>
          <w:p w:rsidR="00B06435" w:rsidRPr="00AF0E92" w:rsidRDefault="00B06435" w:rsidP="00791E5E">
            <w:pPr>
              <w:spacing w:before="80" w:after="80"/>
              <w:jc w:val="center"/>
              <w:rPr>
                <w:lang w:val="es-ES"/>
              </w:rPr>
            </w:pPr>
            <w:r w:rsidRPr="00AF0E92">
              <w:rPr>
                <w:lang w:val="es-ES"/>
              </w:rPr>
              <w:t>Band</w:t>
            </w:r>
            <w:r>
              <w:rPr>
                <w:lang w:val="es-ES"/>
              </w:rPr>
              <w:t>a</w:t>
            </w:r>
          </w:p>
        </w:tc>
        <w:tc>
          <w:tcPr>
            <w:tcW w:w="7792" w:type="dxa"/>
          </w:tcPr>
          <w:p w:rsidR="00B06435" w:rsidRPr="00AF0E92" w:rsidRDefault="00B06435" w:rsidP="00791E5E">
            <w:pPr>
              <w:spacing w:before="80" w:after="80"/>
              <w:jc w:val="center"/>
              <w:rPr>
                <w:lang w:val="es-ES"/>
              </w:rPr>
            </w:pPr>
            <w:r>
              <w:rPr>
                <w:lang w:val="es-ES"/>
              </w:rPr>
              <w:t>Países</w:t>
            </w:r>
          </w:p>
        </w:tc>
      </w:tr>
      <w:tr w:rsidR="00B06435" w:rsidRPr="00AF0E92" w:rsidTr="00791E5E">
        <w:trPr>
          <w:jc w:val="center"/>
        </w:trPr>
        <w:tc>
          <w:tcPr>
            <w:tcW w:w="1701" w:type="dxa"/>
          </w:tcPr>
          <w:p w:rsidR="00B06435" w:rsidRPr="00AF0E92" w:rsidRDefault="00B06435" w:rsidP="00791E5E">
            <w:pPr>
              <w:spacing w:before="136"/>
              <w:rPr>
                <w:lang w:val="es-ES"/>
              </w:rPr>
            </w:pPr>
            <w:r w:rsidRPr="00AF0E92">
              <w:rPr>
                <w:lang w:val="es-ES"/>
              </w:rPr>
              <w:t>174-230 MHz</w:t>
            </w:r>
          </w:p>
        </w:tc>
        <w:tc>
          <w:tcPr>
            <w:tcW w:w="7792" w:type="dxa"/>
          </w:tcPr>
          <w:p w:rsidR="00B06435" w:rsidRPr="00AF0E92" w:rsidRDefault="00B06435" w:rsidP="00791E5E">
            <w:pPr>
              <w:spacing w:before="80" w:line="240" w:lineRule="auto"/>
              <w:jc w:val="left"/>
              <w:rPr>
                <w:rFonts w:asciiTheme="minorHAnsi" w:hAnsiTheme="minorHAnsi"/>
                <w:lang w:val="es-ES"/>
              </w:rPr>
            </w:pPr>
            <w:r w:rsidRPr="00AF0E92">
              <w:rPr>
                <w:rFonts w:asciiTheme="minorHAnsi" w:hAnsiTheme="minorHAnsi"/>
                <w:lang w:val="es-ES"/>
              </w:rPr>
              <w:t>(Administraciones present</w:t>
            </w:r>
            <w:r>
              <w:rPr>
                <w:rFonts w:asciiTheme="minorHAnsi" w:hAnsiTheme="minorHAnsi"/>
                <w:lang w:val="es-ES"/>
              </w:rPr>
              <w:t>es en la</w:t>
            </w:r>
            <w:r w:rsidRPr="00AF0E92">
              <w:rPr>
                <w:rFonts w:asciiTheme="minorHAnsi" w:hAnsiTheme="minorHAnsi"/>
                <w:lang w:val="es-ES"/>
              </w:rPr>
              <w:t xml:space="preserve"> CRR-06):</w:t>
            </w:r>
          </w:p>
          <w:p w:rsidR="00B06435" w:rsidRDefault="00B06435" w:rsidP="005E7B78">
            <w:pPr>
              <w:spacing w:before="0" w:line="240" w:lineRule="auto"/>
              <w:rPr>
                <w:rFonts w:asciiTheme="minorHAnsi" w:hAnsiTheme="minorHAnsi"/>
                <w:lang w:val="es-ES"/>
              </w:rPr>
            </w:pPr>
            <w:r w:rsidRPr="00CA0693">
              <w:rPr>
                <w:rFonts w:asciiTheme="minorHAnsi" w:hAnsiTheme="minorHAnsi"/>
                <w:lang w:val="es-ES"/>
              </w:rPr>
              <w:t xml:space="preserve">Argelia (República Argelina Democrática y Popular), Burkina Faso, Camerún (República de), Congo (República del), </w:t>
            </w:r>
            <w:proofErr w:type="spellStart"/>
            <w:r w:rsidRPr="00CA0693">
              <w:rPr>
                <w:rFonts w:asciiTheme="minorHAnsi" w:hAnsiTheme="minorHAnsi"/>
                <w:lang w:val="es-ES"/>
              </w:rPr>
              <w:t>Côte</w:t>
            </w:r>
            <w:proofErr w:type="spellEnd"/>
            <w:r w:rsidRPr="00CA0693">
              <w:rPr>
                <w:rFonts w:asciiTheme="minorHAnsi" w:hAnsiTheme="minorHAnsi"/>
                <w:lang w:val="es-ES"/>
              </w:rPr>
              <w:t xml:space="preserve"> </w:t>
            </w:r>
            <w:proofErr w:type="spellStart"/>
            <w:r w:rsidRPr="00CA0693">
              <w:rPr>
                <w:rFonts w:asciiTheme="minorHAnsi" w:hAnsiTheme="minorHAnsi"/>
                <w:lang w:val="es-ES"/>
              </w:rPr>
              <w:t>d'Ivoire</w:t>
            </w:r>
            <w:proofErr w:type="spellEnd"/>
            <w:r w:rsidRPr="00CA0693">
              <w:rPr>
                <w:rFonts w:asciiTheme="minorHAnsi" w:hAnsiTheme="minorHAnsi"/>
                <w:lang w:val="es-ES"/>
              </w:rPr>
              <w:t xml:space="preserve"> (República de), Egipto (República Árabe de), Gabonesa (República), Ghana, Guinea (República de), Irán (República Islámica del), Jordania (Reino Hachemita de), Malí (República de), Marruecos (Reino de), Mauritania (República Islámica de), Nigeria (República Federal de), República Árabe Siria, Sudán (República del), Chad (República del), Togolesa (República), Túnez, Yemen (República del).</w:t>
            </w:r>
          </w:p>
          <w:p w:rsidR="00B06435" w:rsidRPr="00AF0E92" w:rsidRDefault="00B06435" w:rsidP="005E7B78">
            <w:pPr>
              <w:spacing w:before="0" w:line="240" w:lineRule="auto"/>
              <w:rPr>
                <w:rFonts w:asciiTheme="minorHAnsi" w:hAnsiTheme="minorHAnsi"/>
                <w:lang w:val="es-ES"/>
              </w:rPr>
            </w:pPr>
          </w:p>
          <w:p w:rsidR="00B06435" w:rsidRPr="00AF0E92" w:rsidRDefault="00B06435" w:rsidP="005E7B78">
            <w:pPr>
              <w:pStyle w:val="FootnoteText"/>
              <w:keepLines w:val="0"/>
              <w:tabs>
                <w:tab w:val="clear" w:pos="255"/>
              </w:tabs>
              <w:spacing w:before="0" w:line="240" w:lineRule="auto"/>
              <w:ind w:left="0" w:firstLine="0"/>
              <w:rPr>
                <w:rFonts w:asciiTheme="minorHAnsi" w:hAnsiTheme="minorHAnsi"/>
                <w:sz w:val="22"/>
                <w:lang w:val="es-ES"/>
              </w:rPr>
            </w:pPr>
            <w:r w:rsidRPr="00AF0E92">
              <w:rPr>
                <w:rFonts w:asciiTheme="minorHAnsi" w:hAnsiTheme="minorHAnsi"/>
                <w:sz w:val="22"/>
                <w:lang w:val="es-ES"/>
              </w:rPr>
              <w:t>(</w:t>
            </w:r>
            <w:r w:rsidRPr="00BC2040">
              <w:rPr>
                <w:rFonts w:asciiTheme="minorHAnsi" w:hAnsiTheme="minorHAnsi"/>
                <w:sz w:val="22"/>
                <w:lang w:val="es-ES"/>
              </w:rPr>
              <w:t xml:space="preserve">Administraciones </w:t>
            </w:r>
            <w:r w:rsidR="0044714F">
              <w:rPr>
                <w:rFonts w:asciiTheme="minorHAnsi" w:hAnsiTheme="minorHAnsi"/>
                <w:sz w:val="22"/>
                <w:lang w:val="es-ES"/>
              </w:rPr>
              <w:t xml:space="preserve">no </w:t>
            </w:r>
            <w:r w:rsidRPr="00BC2040">
              <w:rPr>
                <w:rFonts w:asciiTheme="minorHAnsi" w:hAnsiTheme="minorHAnsi"/>
                <w:sz w:val="22"/>
                <w:lang w:val="es-ES"/>
              </w:rPr>
              <w:t>presentes en la CRR-06</w:t>
            </w:r>
            <w:r w:rsidRPr="00AF0E92">
              <w:rPr>
                <w:rFonts w:asciiTheme="minorHAnsi" w:hAnsiTheme="minorHAnsi"/>
                <w:sz w:val="22"/>
                <w:lang w:val="es-ES"/>
              </w:rPr>
              <w:t>):</w:t>
            </w:r>
          </w:p>
          <w:p w:rsidR="00B06435" w:rsidRPr="00AF0E92" w:rsidRDefault="00B06435" w:rsidP="00791E5E">
            <w:pPr>
              <w:pStyle w:val="FootnoteText"/>
              <w:tabs>
                <w:tab w:val="clear" w:pos="255"/>
              </w:tabs>
              <w:spacing w:before="0" w:after="80" w:line="240" w:lineRule="auto"/>
              <w:ind w:left="28" w:firstLine="0"/>
              <w:rPr>
                <w:rFonts w:asciiTheme="minorHAnsi" w:hAnsiTheme="minorHAnsi"/>
                <w:lang w:val="es-ES"/>
              </w:rPr>
            </w:pPr>
            <w:r w:rsidRPr="00BC2040">
              <w:rPr>
                <w:rFonts w:asciiTheme="minorHAnsi" w:hAnsiTheme="minorHAnsi"/>
                <w:sz w:val="22"/>
                <w:lang w:val="es-ES"/>
              </w:rPr>
              <w:t>Benín</w:t>
            </w:r>
            <w:r>
              <w:rPr>
                <w:rFonts w:asciiTheme="minorHAnsi" w:hAnsiTheme="minorHAnsi"/>
                <w:sz w:val="22"/>
                <w:lang w:val="es-ES"/>
              </w:rPr>
              <w:t xml:space="preserve"> </w:t>
            </w:r>
            <w:r w:rsidRPr="00BC2040">
              <w:rPr>
                <w:rFonts w:asciiTheme="minorHAnsi" w:hAnsiTheme="minorHAnsi"/>
                <w:sz w:val="22"/>
                <w:lang w:val="es-ES"/>
              </w:rPr>
              <w:t>(República de), Centroafricana (República), Eritrea, Etiopía (República Democrática Federal de), Guinea-Bissau (República de), Guinea Ecuatorial (República de), Liberia (República de), Madagascar (República de), Níger (República del), República Democrática del Congo, Santo Tomé y Príncipe (República Democrática de), Sierra Leona, Somalí (República Democrática)</w:t>
            </w:r>
            <w:r w:rsidRPr="00AF0E92">
              <w:rPr>
                <w:rFonts w:asciiTheme="minorHAnsi" w:hAnsiTheme="minorHAnsi"/>
                <w:sz w:val="22"/>
                <w:lang w:val="es-ES"/>
              </w:rPr>
              <w:t>.</w:t>
            </w:r>
          </w:p>
        </w:tc>
      </w:tr>
      <w:tr w:rsidR="00B06435" w:rsidRPr="00AF0E92" w:rsidTr="00791E5E">
        <w:trPr>
          <w:jc w:val="center"/>
        </w:trPr>
        <w:tc>
          <w:tcPr>
            <w:tcW w:w="1701" w:type="dxa"/>
          </w:tcPr>
          <w:p w:rsidR="00B06435" w:rsidRPr="00AF0E92" w:rsidRDefault="00B06435" w:rsidP="00791E5E">
            <w:pPr>
              <w:spacing w:before="80" w:after="80"/>
              <w:rPr>
                <w:lang w:val="es-ES"/>
              </w:rPr>
            </w:pPr>
            <w:r w:rsidRPr="00AF0E92">
              <w:rPr>
                <w:lang w:val="es-ES"/>
              </w:rPr>
              <w:t>170-230 MHz</w:t>
            </w:r>
          </w:p>
        </w:tc>
        <w:tc>
          <w:tcPr>
            <w:tcW w:w="7792" w:type="dxa"/>
          </w:tcPr>
          <w:p w:rsidR="00B06435" w:rsidRPr="00AF0E92" w:rsidRDefault="00B06435" w:rsidP="00791E5E">
            <w:pPr>
              <w:spacing w:before="80" w:after="80"/>
              <w:rPr>
                <w:lang w:val="es-ES"/>
              </w:rPr>
            </w:pPr>
            <w:r w:rsidRPr="00AF0E92">
              <w:rPr>
                <w:lang w:val="es-ES"/>
              </w:rPr>
              <w:t>M</w:t>
            </w:r>
            <w:r>
              <w:rPr>
                <w:lang w:val="es-ES"/>
              </w:rPr>
              <w:t>arruecos</w:t>
            </w:r>
          </w:p>
        </w:tc>
      </w:tr>
    </w:tbl>
    <w:p w:rsidR="00B06435" w:rsidRPr="00AF0E92" w:rsidRDefault="00B06435" w:rsidP="00B06435">
      <w:pPr>
        <w:spacing w:before="136"/>
        <w:rPr>
          <w:lang w:val="es-ES"/>
        </w:rPr>
      </w:pPr>
      <w:r>
        <w:rPr>
          <w:lang w:val="es-ES"/>
        </w:rPr>
        <w:t>Durante el periodo de transición, que comenzó el 17 de junio de 2006 a las 00</w:t>
      </w:r>
      <w:r w:rsidR="00C70004">
        <w:rPr>
          <w:lang w:val="es-ES"/>
        </w:rPr>
        <w:t>.</w:t>
      </w:r>
      <w:r>
        <w:rPr>
          <w:lang w:val="es-ES"/>
        </w:rPr>
        <w:t xml:space="preserve">01 horas UTC, las asignaciones analógicas registradas en el Plan analógico de GE06 siguen estando protegidas. </w:t>
      </w:r>
    </w:p>
    <w:p w:rsidR="00B06435" w:rsidRPr="00AF0E92" w:rsidRDefault="005E7B78" w:rsidP="00B06435">
      <w:pPr>
        <w:spacing w:before="136"/>
        <w:rPr>
          <w:b/>
          <w:bCs/>
          <w:lang w:val="es-ES"/>
        </w:rPr>
      </w:pPr>
      <w:r>
        <w:rPr>
          <w:lang w:val="es-ES"/>
        </w:rPr>
        <w:lastRenderedPageBreak/>
        <w:br/>
      </w:r>
      <w:bookmarkStart w:id="6" w:name="_GoBack"/>
      <w:bookmarkEnd w:id="6"/>
      <w:r w:rsidR="00B06435">
        <w:rPr>
          <w:lang w:val="es-ES"/>
        </w:rPr>
        <w:t>Una vez finalizado el periodo de transición y</w:t>
      </w:r>
      <w:r w:rsidR="00B06435" w:rsidRPr="003C2CDA">
        <w:rPr>
          <w:lang w:val="es-ES"/>
        </w:rPr>
        <w:t xml:space="preserve"> </w:t>
      </w:r>
      <w:r w:rsidR="00B06435">
        <w:rPr>
          <w:lang w:val="es-ES"/>
        </w:rPr>
        <w:t xml:space="preserve">con arreglo a la disposición </w:t>
      </w:r>
      <w:r w:rsidR="00C70004">
        <w:rPr>
          <w:lang w:val="es-ES"/>
        </w:rPr>
        <w:t xml:space="preserve">número </w:t>
      </w:r>
      <w:r w:rsidR="00B06435">
        <w:rPr>
          <w:lang w:val="es-ES"/>
        </w:rPr>
        <w:t xml:space="preserve">12.6 del Acuerdo GE06, la Oficina llevará cabo las siguientes acciones respecto de las inscripciones del Plan analógico: </w:t>
      </w:r>
    </w:p>
    <w:p w:rsidR="00B06435" w:rsidRPr="00AF0E92" w:rsidRDefault="00C70004" w:rsidP="001D5925">
      <w:pPr>
        <w:pStyle w:val="enumlev1"/>
        <w:rPr>
          <w:lang w:val="es-ES"/>
        </w:rPr>
      </w:pPr>
      <w:r>
        <w:rPr>
          <w:lang w:val="es-ES"/>
        </w:rPr>
        <w:t>–</w:t>
      </w:r>
      <w:r w:rsidR="00B06435" w:rsidRPr="00AF0E92">
        <w:rPr>
          <w:lang w:val="es-ES"/>
        </w:rPr>
        <w:tab/>
      </w:r>
      <w:r w:rsidR="00B06435">
        <w:rPr>
          <w:lang w:val="es-ES"/>
        </w:rPr>
        <w:t>Se cancelarán las inscripciones del Plan analógico</w:t>
      </w:r>
      <w:r w:rsidR="00B06435" w:rsidRPr="00AF0E92">
        <w:rPr>
          <w:lang w:val="es-ES"/>
        </w:rPr>
        <w:t xml:space="preserve">. </w:t>
      </w:r>
    </w:p>
    <w:p w:rsidR="00B06435" w:rsidRDefault="00C70004" w:rsidP="001D5925">
      <w:pPr>
        <w:pStyle w:val="enumlev1"/>
        <w:rPr>
          <w:lang w:val="es-ES"/>
        </w:rPr>
      </w:pPr>
      <w:r>
        <w:rPr>
          <w:lang w:val="es-ES"/>
        </w:rPr>
        <w:t>–</w:t>
      </w:r>
      <w:r w:rsidR="00B06435" w:rsidRPr="00AF0E92">
        <w:rPr>
          <w:lang w:val="es-ES"/>
        </w:rPr>
        <w:tab/>
      </w:r>
      <w:r w:rsidR="00B06435">
        <w:rPr>
          <w:lang w:val="es-ES"/>
        </w:rPr>
        <w:t>Dejará de aplicarse el número</w:t>
      </w:r>
      <w:r w:rsidR="00B06435" w:rsidRPr="00AF0E92">
        <w:rPr>
          <w:lang w:val="es-ES"/>
        </w:rPr>
        <w:t xml:space="preserve"> 4.1 </w:t>
      </w:r>
      <w:r w:rsidR="00B06435">
        <w:rPr>
          <w:lang w:val="es-ES"/>
        </w:rPr>
        <w:t>del Artículo</w:t>
      </w:r>
      <w:r w:rsidR="00B06435" w:rsidRPr="00AF0E92">
        <w:rPr>
          <w:lang w:val="es-ES"/>
        </w:rPr>
        <w:t xml:space="preserve"> 4, </w:t>
      </w:r>
      <w:r w:rsidR="00B06435">
        <w:rPr>
          <w:lang w:val="es-ES"/>
        </w:rPr>
        <w:t>relativo a la modificación del Plan analógico.</w:t>
      </w:r>
    </w:p>
    <w:p w:rsidR="00B06435" w:rsidRPr="00AF0E92" w:rsidRDefault="00C70004" w:rsidP="0020632A">
      <w:pPr>
        <w:pStyle w:val="enumlev1"/>
        <w:rPr>
          <w:lang w:val="es-ES"/>
        </w:rPr>
      </w:pPr>
      <w:r>
        <w:rPr>
          <w:lang w:val="es-ES"/>
        </w:rPr>
        <w:t>–</w:t>
      </w:r>
      <w:r w:rsidR="00B06435" w:rsidRPr="00AF0E92">
        <w:rPr>
          <w:lang w:val="es-ES"/>
        </w:rPr>
        <w:tab/>
      </w:r>
      <w:r w:rsidR="0020632A">
        <w:rPr>
          <w:lang w:val="es-ES"/>
        </w:rPr>
        <w:t>S</w:t>
      </w:r>
      <w:r w:rsidR="00B06435">
        <w:rPr>
          <w:lang w:val="es-ES"/>
        </w:rPr>
        <w:t xml:space="preserve">e eliminarán las observaciones del Plan relativas a las asignaciones analógicas. </w:t>
      </w:r>
    </w:p>
    <w:p w:rsidR="00B06435" w:rsidRPr="00AF0E92" w:rsidRDefault="00B06435" w:rsidP="001D5925">
      <w:pPr>
        <w:tabs>
          <w:tab w:val="left" w:pos="851"/>
          <w:tab w:val="left" w:pos="993"/>
        </w:tabs>
        <w:rPr>
          <w:lang w:val="es-ES"/>
        </w:rPr>
      </w:pPr>
      <w:r>
        <w:rPr>
          <w:lang w:val="es-ES"/>
        </w:rPr>
        <w:t xml:space="preserve">Una vez finalizado el periodo de transición y de acuerdo con el </w:t>
      </w:r>
      <w:r w:rsidRPr="00AF0E92">
        <w:rPr>
          <w:lang w:val="es-ES"/>
        </w:rPr>
        <w:t xml:space="preserve">§ 12.7 </w:t>
      </w:r>
      <w:r>
        <w:rPr>
          <w:lang w:val="es-ES"/>
        </w:rPr>
        <w:t>del Acuerdo</w:t>
      </w:r>
      <w:r w:rsidRPr="00AF0E92">
        <w:rPr>
          <w:lang w:val="es-ES"/>
        </w:rPr>
        <w:t xml:space="preserve"> GE06, </w:t>
      </w:r>
      <w:r>
        <w:rPr>
          <w:lang w:val="es-ES"/>
        </w:rPr>
        <w:t xml:space="preserve">la Oficina preparará una lista para cada Administración con las inscripciones en el Registro Internacional de Frecuencias que es preciso eliminar. Una vez respondido la Administración: </w:t>
      </w:r>
    </w:p>
    <w:p w:rsidR="00B06435" w:rsidRPr="00AF0E92" w:rsidRDefault="00C70004" w:rsidP="001D5925">
      <w:pPr>
        <w:pStyle w:val="enumlev1"/>
        <w:ind w:left="0" w:firstLine="0"/>
        <w:rPr>
          <w:lang w:val="es-ES"/>
        </w:rPr>
      </w:pPr>
      <w:r>
        <w:rPr>
          <w:lang w:val="es-ES"/>
        </w:rPr>
        <w:t>–</w:t>
      </w:r>
      <w:r w:rsidR="00B06435" w:rsidRPr="00AF0E92">
        <w:rPr>
          <w:lang w:val="es-ES"/>
        </w:rPr>
        <w:tab/>
      </w:r>
      <w:r w:rsidR="00B06435">
        <w:rPr>
          <w:lang w:val="es-ES"/>
        </w:rPr>
        <w:t xml:space="preserve">La Oficina cancelará las inscripciones correspondientes en el Registro, si así lo solicita la </w:t>
      </w:r>
      <w:r w:rsidR="00B06435">
        <w:rPr>
          <w:lang w:val="es-ES"/>
        </w:rPr>
        <w:tab/>
        <w:t>Administración.</w:t>
      </w:r>
    </w:p>
    <w:p w:rsidR="00B06435" w:rsidRPr="00AF0E92" w:rsidRDefault="00C70004" w:rsidP="00C70004">
      <w:pPr>
        <w:pStyle w:val="enumlev1"/>
        <w:rPr>
          <w:lang w:val="es-ES"/>
        </w:rPr>
      </w:pPr>
      <w:r>
        <w:rPr>
          <w:lang w:val="es-ES"/>
        </w:rPr>
        <w:t>–</w:t>
      </w:r>
      <w:r w:rsidR="00B06435" w:rsidRPr="00AF0E92">
        <w:rPr>
          <w:lang w:val="es-ES"/>
        </w:rPr>
        <w:tab/>
      </w:r>
      <w:r w:rsidR="00B06435">
        <w:rPr>
          <w:lang w:val="es-ES"/>
        </w:rPr>
        <w:t xml:space="preserve">Si la Administración decide mantener las asignaciones inscritas en el Registro, la Oficina actualizará dichas asignaciones en consecuencia, siempre que cumplan las siguientes condiciones: </w:t>
      </w:r>
    </w:p>
    <w:p w:rsidR="00B06435" w:rsidRPr="00AF0E92" w:rsidRDefault="005E7B78" w:rsidP="00C70004">
      <w:pPr>
        <w:pStyle w:val="enumlev2"/>
        <w:rPr>
          <w:lang w:val="es-ES"/>
        </w:rPr>
      </w:pPr>
      <w:r w:rsidRPr="005E7B78">
        <w:t>•</w:t>
      </w:r>
      <w:r w:rsidR="00B06435" w:rsidRPr="00AF0E92">
        <w:rPr>
          <w:lang w:val="es-ES"/>
        </w:rPr>
        <w:tab/>
      </w:r>
      <w:proofErr w:type="gramStart"/>
      <w:r w:rsidR="00B06435">
        <w:rPr>
          <w:lang w:val="es-ES"/>
        </w:rPr>
        <w:t>que</w:t>
      </w:r>
      <w:proofErr w:type="gramEnd"/>
      <w:r w:rsidR="00B06435">
        <w:rPr>
          <w:lang w:val="es-ES"/>
        </w:rPr>
        <w:t xml:space="preserve"> estuvieran recogidas en el Plan analógico</w:t>
      </w:r>
      <w:r w:rsidR="00B06435" w:rsidRPr="00AF0E92">
        <w:rPr>
          <w:lang w:val="es-ES"/>
        </w:rPr>
        <w:t>;</w:t>
      </w:r>
    </w:p>
    <w:p w:rsidR="00B06435" w:rsidRPr="00AF0E92" w:rsidRDefault="005E7B78" w:rsidP="00C70004">
      <w:pPr>
        <w:pStyle w:val="enumlev2"/>
        <w:rPr>
          <w:lang w:val="es-ES"/>
        </w:rPr>
      </w:pPr>
      <w:r w:rsidRPr="005E7B78">
        <w:t>•</w:t>
      </w:r>
      <w:r w:rsidR="00B06435" w:rsidRPr="00AF0E92">
        <w:rPr>
          <w:lang w:val="es-ES"/>
        </w:rPr>
        <w:tab/>
      </w:r>
      <w:proofErr w:type="gramStart"/>
      <w:r w:rsidR="00B06435">
        <w:rPr>
          <w:lang w:val="es-ES"/>
        </w:rPr>
        <w:t>que</w:t>
      </w:r>
      <w:proofErr w:type="gramEnd"/>
      <w:r w:rsidR="00B06435">
        <w:rPr>
          <w:lang w:val="es-ES"/>
        </w:rPr>
        <w:t xml:space="preserve"> sigan en explotación</w:t>
      </w:r>
      <w:r w:rsidR="00B06435" w:rsidRPr="00AF0E92">
        <w:rPr>
          <w:lang w:val="es-ES"/>
        </w:rPr>
        <w:t>;</w:t>
      </w:r>
    </w:p>
    <w:p w:rsidR="00B06435" w:rsidRPr="00AF0E92" w:rsidRDefault="005E7B78" w:rsidP="00C70004">
      <w:pPr>
        <w:pStyle w:val="enumlev2"/>
        <w:rPr>
          <w:lang w:val="es-ES"/>
        </w:rPr>
      </w:pPr>
      <w:r w:rsidRPr="005E7B78">
        <w:t>•</w:t>
      </w:r>
      <w:r w:rsidR="00B06435" w:rsidRPr="00AF0E92">
        <w:rPr>
          <w:lang w:val="es-ES"/>
        </w:rPr>
        <w:tab/>
      </w:r>
      <w:proofErr w:type="gramStart"/>
      <w:r w:rsidR="00B06435">
        <w:rPr>
          <w:lang w:val="es-ES"/>
        </w:rPr>
        <w:t>que</w:t>
      </w:r>
      <w:proofErr w:type="gramEnd"/>
      <w:r w:rsidR="00B06435">
        <w:rPr>
          <w:lang w:val="es-ES"/>
        </w:rPr>
        <w:t xml:space="preserve"> no causen interferencia perjudicial a ninguna asignación de acuerdo con el Acuerdo GE06 y el Plan asociado al mismo;</w:t>
      </w:r>
    </w:p>
    <w:p w:rsidR="00B06435" w:rsidRPr="00AF0E92" w:rsidRDefault="005E7B78" w:rsidP="00C70004">
      <w:pPr>
        <w:pStyle w:val="enumlev2"/>
        <w:rPr>
          <w:lang w:val="es-ES"/>
        </w:rPr>
      </w:pPr>
      <w:r w:rsidRPr="005E7B78">
        <w:t>•</w:t>
      </w:r>
      <w:r w:rsidR="00B06435" w:rsidRPr="00AF0E92">
        <w:rPr>
          <w:lang w:val="es-ES"/>
        </w:rPr>
        <w:tab/>
      </w:r>
      <w:proofErr w:type="gramStart"/>
      <w:r w:rsidR="00B06435">
        <w:rPr>
          <w:lang w:val="es-ES"/>
        </w:rPr>
        <w:t>no</w:t>
      </w:r>
      <w:proofErr w:type="gramEnd"/>
      <w:r w:rsidR="00B06435">
        <w:rPr>
          <w:lang w:val="es-ES"/>
        </w:rPr>
        <w:t xml:space="preserve"> reclamen protección respecto de ninguna asignación que sea conforme al Acuerdo GE06 y el Plan asociado al mismo</w:t>
      </w:r>
      <w:r w:rsidR="00B06435" w:rsidRPr="00AF0E92">
        <w:rPr>
          <w:lang w:val="es-ES"/>
        </w:rPr>
        <w:t>.</w:t>
      </w:r>
    </w:p>
    <w:p w:rsidR="00B06435" w:rsidRPr="00AF0E92" w:rsidRDefault="00B06435" w:rsidP="00B06435">
      <w:pPr>
        <w:tabs>
          <w:tab w:val="clear" w:pos="794"/>
          <w:tab w:val="clear" w:pos="1191"/>
          <w:tab w:val="clear" w:pos="1588"/>
          <w:tab w:val="clear" w:pos="1985"/>
          <w:tab w:val="center" w:pos="7140"/>
        </w:tabs>
        <w:spacing w:before="1418"/>
        <w:jc w:val="left"/>
        <w:rPr>
          <w:rFonts w:asciiTheme="minorHAnsi" w:hAnsiTheme="minorHAnsi" w:cstheme="minorHAnsi"/>
          <w:sz w:val="24"/>
          <w:szCs w:val="24"/>
          <w:lang w:val="es-ES"/>
        </w:rPr>
      </w:pPr>
      <w:r w:rsidRPr="00AF0E92">
        <w:rPr>
          <w:rFonts w:asciiTheme="minorHAnsi" w:hAnsiTheme="minorHAnsi" w:cstheme="minorHAnsi"/>
          <w:sz w:val="24"/>
          <w:szCs w:val="24"/>
          <w:lang w:val="es-ES"/>
        </w:rPr>
        <w:t>François Rancy</w:t>
      </w:r>
      <w:r w:rsidRPr="00AF0E92">
        <w:rPr>
          <w:rFonts w:asciiTheme="minorHAnsi" w:hAnsiTheme="minorHAnsi" w:cstheme="minorHAnsi"/>
          <w:sz w:val="24"/>
          <w:szCs w:val="24"/>
          <w:lang w:val="es-ES"/>
        </w:rPr>
        <w:br/>
        <w:t>Director</w:t>
      </w:r>
    </w:p>
    <w:p w:rsidR="00B06435" w:rsidRPr="00AF0E92" w:rsidRDefault="00B06435" w:rsidP="00B06435">
      <w:pPr>
        <w:rPr>
          <w:rFonts w:asciiTheme="minorHAnsi" w:hAnsiTheme="minorHAnsi" w:cstheme="minorHAnsi"/>
          <w:b/>
          <w:bCs/>
          <w:sz w:val="24"/>
          <w:szCs w:val="24"/>
          <w:lang w:val="es-ES"/>
        </w:rPr>
      </w:pPr>
    </w:p>
    <w:p w:rsidR="00B06435" w:rsidRPr="00AF0E92" w:rsidRDefault="00B06435" w:rsidP="00B06435">
      <w:pPr>
        <w:rPr>
          <w:rFonts w:asciiTheme="minorHAnsi" w:hAnsiTheme="minorHAnsi" w:cstheme="minorHAnsi"/>
          <w:b/>
          <w:bCs/>
          <w:sz w:val="24"/>
          <w:szCs w:val="24"/>
          <w:lang w:val="es-ES"/>
        </w:rPr>
      </w:pPr>
    </w:p>
    <w:p w:rsidR="00B06435" w:rsidRPr="00AF0E92" w:rsidRDefault="00B06435" w:rsidP="00B06435">
      <w:pPr>
        <w:rPr>
          <w:rFonts w:asciiTheme="minorHAnsi" w:hAnsiTheme="minorHAnsi" w:cstheme="minorHAnsi"/>
          <w:b/>
          <w:bCs/>
          <w:sz w:val="24"/>
          <w:szCs w:val="24"/>
          <w:lang w:val="es-ES"/>
        </w:rPr>
      </w:pPr>
    </w:p>
    <w:p w:rsidR="00B06435" w:rsidRPr="00AF0E92" w:rsidRDefault="00B06435" w:rsidP="00B06435">
      <w:pPr>
        <w:rPr>
          <w:rFonts w:asciiTheme="minorHAnsi" w:hAnsiTheme="minorHAnsi" w:cstheme="minorHAnsi"/>
          <w:b/>
          <w:bCs/>
          <w:sz w:val="24"/>
          <w:szCs w:val="24"/>
          <w:lang w:val="es-ES"/>
        </w:rPr>
      </w:pPr>
    </w:p>
    <w:p w:rsidR="00B06435" w:rsidRPr="00AF0E92" w:rsidRDefault="00B06435" w:rsidP="00B06435">
      <w:pPr>
        <w:rPr>
          <w:rFonts w:asciiTheme="minorHAnsi" w:hAnsiTheme="minorHAnsi" w:cstheme="minorHAnsi"/>
          <w:b/>
          <w:bCs/>
          <w:sz w:val="24"/>
          <w:szCs w:val="24"/>
          <w:lang w:val="es-ES"/>
        </w:rPr>
      </w:pPr>
    </w:p>
    <w:p w:rsidR="00B06435" w:rsidRPr="00AF0E92" w:rsidRDefault="00B06435" w:rsidP="00B06435">
      <w:pPr>
        <w:rPr>
          <w:rFonts w:asciiTheme="minorHAnsi" w:hAnsiTheme="minorHAnsi" w:cstheme="minorHAnsi"/>
          <w:sz w:val="24"/>
          <w:szCs w:val="24"/>
          <w:lang w:val="es-ES"/>
        </w:rPr>
      </w:pPr>
    </w:p>
    <w:p w:rsidR="00B06435" w:rsidRDefault="00B06435" w:rsidP="00B06435">
      <w:pPr>
        <w:rPr>
          <w:rFonts w:asciiTheme="minorHAnsi" w:hAnsiTheme="minorHAnsi" w:cstheme="minorHAnsi"/>
          <w:sz w:val="24"/>
          <w:szCs w:val="24"/>
          <w:lang w:val="es-ES"/>
        </w:rPr>
      </w:pPr>
    </w:p>
    <w:p w:rsidR="001D5925" w:rsidRPr="00AF0E92" w:rsidRDefault="001D5925" w:rsidP="00B06435">
      <w:pPr>
        <w:rPr>
          <w:rFonts w:asciiTheme="minorHAnsi" w:hAnsiTheme="minorHAnsi" w:cstheme="minorHAnsi"/>
          <w:sz w:val="24"/>
          <w:szCs w:val="24"/>
          <w:lang w:val="es-ES"/>
        </w:rPr>
      </w:pPr>
    </w:p>
    <w:p w:rsidR="00B06435" w:rsidRPr="00AF0E92" w:rsidRDefault="00B06435" w:rsidP="00B06435">
      <w:pPr>
        <w:tabs>
          <w:tab w:val="left" w:pos="284"/>
          <w:tab w:val="left" w:pos="568"/>
        </w:tabs>
        <w:spacing w:after="160"/>
        <w:rPr>
          <w:rFonts w:asciiTheme="minorHAnsi" w:hAnsiTheme="minorHAnsi" w:cstheme="minorHAnsi"/>
          <w:b/>
          <w:bCs/>
          <w:sz w:val="18"/>
          <w:szCs w:val="18"/>
          <w:lang w:val="es-ES"/>
        </w:rPr>
      </w:pPr>
      <w:bookmarkStart w:id="7" w:name="ddistribution"/>
      <w:bookmarkEnd w:id="7"/>
      <w:r w:rsidRPr="00AF0E92">
        <w:rPr>
          <w:rFonts w:asciiTheme="minorHAnsi" w:hAnsiTheme="minorHAnsi" w:cstheme="minorHAnsi"/>
          <w:b/>
          <w:bCs/>
          <w:sz w:val="18"/>
          <w:szCs w:val="18"/>
          <w:u w:val="single"/>
          <w:lang w:val="es-ES"/>
        </w:rPr>
        <w:t>Distribución</w:t>
      </w:r>
      <w:r w:rsidRPr="00AF0E92">
        <w:rPr>
          <w:rFonts w:asciiTheme="minorHAnsi" w:hAnsiTheme="minorHAnsi" w:cstheme="minorHAnsi"/>
          <w:b/>
          <w:bCs/>
          <w:sz w:val="18"/>
          <w:szCs w:val="18"/>
          <w:lang w:val="es-ES"/>
        </w:rPr>
        <w:t>:</w:t>
      </w:r>
    </w:p>
    <w:p w:rsidR="00B06435" w:rsidRPr="00AF0E92" w:rsidRDefault="00B06435" w:rsidP="00B06435">
      <w:pPr>
        <w:spacing w:before="0" w:line="240" w:lineRule="auto"/>
        <w:ind w:left="426" w:hanging="426"/>
        <w:jc w:val="left"/>
        <w:rPr>
          <w:rFonts w:asciiTheme="minorHAnsi" w:hAnsiTheme="minorHAnsi" w:cstheme="minorHAnsi"/>
          <w:sz w:val="18"/>
          <w:szCs w:val="18"/>
          <w:lang w:val="es-ES"/>
        </w:rPr>
      </w:pPr>
      <w:r w:rsidRPr="00AF0E92">
        <w:rPr>
          <w:rFonts w:asciiTheme="minorHAnsi" w:hAnsiTheme="minorHAnsi" w:cstheme="minorHAnsi"/>
          <w:sz w:val="18"/>
          <w:szCs w:val="18"/>
          <w:lang w:val="es-ES"/>
        </w:rPr>
        <w:t>–</w:t>
      </w:r>
      <w:r w:rsidRPr="00AF0E92">
        <w:rPr>
          <w:rFonts w:asciiTheme="minorHAnsi" w:hAnsiTheme="minorHAnsi" w:cstheme="minorHAnsi"/>
          <w:sz w:val="18"/>
          <w:szCs w:val="18"/>
          <w:lang w:val="es-ES"/>
        </w:rPr>
        <w:tab/>
        <w:t xml:space="preserve">Administraciones </w:t>
      </w:r>
      <w:r>
        <w:rPr>
          <w:rFonts w:asciiTheme="minorHAnsi" w:hAnsiTheme="minorHAnsi" w:cstheme="minorHAnsi"/>
          <w:sz w:val="18"/>
          <w:szCs w:val="18"/>
          <w:lang w:val="es-ES"/>
        </w:rPr>
        <w:t>de los Estados Miembros de la UIT</w:t>
      </w:r>
    </w:p>
    <w:p w:rsidR="0020632A" w:rsidRPr="00AF0E92" w:rsidRDefault="00B06435" w:rsidP="0020632A">
      <w:pPr>
        <w:spacing w:before="0" w:line="240" w:lineRule="auto"/>
        <w:ind w:left="426" w:hanging="426"/>
        <w:jc w:val="left"/>
        <w:rPr>
          <w:rFonts w:asciiTheme="minorHAnsi" w:hAnsiTheme="minorHAnsi" w:cstheme="minorHAnsi"/>
          <w:sz w:val="18"/>
          <w:szCs w:val="18"/>
          <w:lang w:val="es-ES"/>
        </w:rPr>
      </w:pPr>
      <w:r w:rsidRPr="00AF0E92">
        <w:rPr>
          <w:rFonts w:asciiTheme="minorHAnsi" w:hAnsiTheme="minorHAnsi" w:cstheme="minorHAnsi"/>
          <w:sz w:val="18"/>
          <w:szCs w:val="18"/>
          <w:lang w:val="es-ES"/>
        </w:rPr>
        <w:t>–</w:t>
      </w:r>
      <w:r w:rsidRPr="00AF0E92">
        <w:rPr>
          <w:rFonts w:asciiTheme="minorHAnsi" w:hAnsiTheme="minorHAnsi" w:cstheme="minorHAnsi"/>
          <w:sz w:val="18"/>
          <w:szCs w:val="18"/>
          <w:lang w:val="es-ES"/>
        </w:rPr>
        <w:tab/>
      </w:r>
      <w:r>
        <w:rPr>
          <w:rFonts w:asciiTheme="minorHAnsi" w:hAnsiTheme="minorHAnsi" w:cstheme="minorHAnsi"/>
          <w:sz w:val="18"/>
          <w:szCs w:val="18"/>
          <w:lang w:val="es-ES"/>
        </w:rPr>
        <w:t>Miembros de la Junta del Reglamento de Radiocomunicaciones</w:t>
      </w:r>
    </w:p>
    <w:sectPr w:rsidR="0020632A" w:rsidRPr="00AF0E92" w:rsidSect="00235A29">
      <w:headerReference w:type="even" r:id="rId7"/>
      <w:headerReference w:type="default" r:id="rId8"/>
      <w:headerReference w:type="first" r:id="rId9"/>
      <w:footerReference w:type="first" r:id="rId1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35" w:rsidRDefault="00B06435">
      <w:r>
        <w:separator/>
      </w:r>
    </w:p>
  </w:endnote>
  <w:endnote w:type="continuationSeparator" w:id="0">
    <w:p w:rsidR="00B06435" w:rsidRDefault="00B0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E0" w:rsidRDefault="00D420E0" w:rsidP="00F914DD">
    <w:pPr>
      <w:pStyle w:val="FirstFooter"/>
      <w:spacing w:line="240" w:lineRule="auto"/>
      <w:ind w:left="-397" w:right="-397"/>
      <w:jc w:val="center"/>
      <w:rPr>
        <w:sz w:val="18"/>
        <w:szCs w:val="18"/>
      </w:rPr>
    </w:pPr>
  </w:p>
  <w:p w:rsidR="00026CF8" w:rsidRPr="00F42C8C" w:rsidRDefault="00F42C8C" w:rsidP="00F914DD">
    <w:pPr>
      <w:pStyle w:val="FirstFooter"/>
      <w:spacing w:line="240" w:lineRule="auto"/>
      <w:ind w:left="-397" w:right="-397"/>
      <w:jc w:val="center"/>
      <w:rPr>
        <w:sz w:val="18"/>
        <w:szCs w:val="18"/>
      </w:rPr>
    </w:pPr>
    <w:r w:rsidRPr="00F42C8C">
      <w:rPr>
        <w:sz w:val="18"/>
        <w:szCs w:val="18"/>
      </w:rPr>
      <w:t xml:space="preserve">Unión Internacional de Telecomunicaciones • Place des </w:t>
    </w:r>
    <w:proofErr w:type="spellStart"/>
    <w:r w:rsidRPr="00F42C8C">
      <w:rPr>
        <w:sz w:val="18"/>
        <w:szCs w:val="18"/>
      </w:rPr>
      <w:t>Nations</w:t>
    </w:r>
    <w:proofErr w:type="spellEnd"/>
    <w:r w:rsidRPr="00F42C8C">
      <w:rPr>
        <w:sz w:val="18"/>
        <w:szCs w:val="18"/>
      </w:rPr>
      <w:t xml:space="preserve">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sz w:val="18"/>
          <w:szCs w:val="18"/>
        </w:rPr>
        <w:t>itumail@itu.int</w:t>
      </w:r>
    </w:hyperlink>
    <w:r w:rsidRPr="00F42C8C">
      <w:rPr>
        <w:sz w:val="18"/>
        <w:szCs w:val="18"/>
      </w:rPr>
      <w:t xml:space="preserve"> • </w:t>
    </w:r>
    <w:hyperlink r:id="rId2" w:history="1">
      <w:r w:rsidRPr="00F42C8C">
        <w:rPr>
          <w:rStyle w:val="Hyperlink"/>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35" w:rsidRDefault="00B06435">
      <w:r>
        <w:t>____________________</w:t>
      </w:r>
    </w:p>
  </w:footnote>
  <w:footnote w:type="continuationSeparator" w:id="0">
    <w:p w:rsidR="00B06435" w:rsidRDefault="00B06435">
      <w:r>
        <w:continuationSeparator/>
      </w:r>
    </w:p>
  </w:footnote>
  <w:footnote w:id="1">
    <w:p w:rsidR="00B06435" w:rsidRPr="00EE7789" w:rsidRDefault="00B06435" w:rsidP="00B06435">
      <w:pPr>
        <w:pStyle w:val="FootnoteText"/>
        <w:rPr>
          <w:i/>
          <w:iCs/>
        </w:rPr>
      </w:pPr>
      <w:r>
        <w:rPr>
          <w:rStyle w:val="FootnoteReference"/>
        </w:rPr>
        <w:footnoteRef/>
      </w:r>
      <w:r>
        <w:tab/>
      </w:r>
      <w:r w:rsidRPr="00BC2040">
        <w:rPr>
          <w:i/>
          <w:iCs/>
          <w:lang w:val="es-ES"/>
        </w:rPr>
        <w:t>Esta Circular Administrativa va dirigida principalmente a los Estados Miembros de la UIT, los Estados Miembros de la Región 1 del Sector UIT</w:t>
      </w:r>
      <w:r>
        <w:rPr>
          <w:i/>
          <w:iCs/>
          <w:lang w:val="es-ES"/>
        </w:rPr>
        <w:t>-</w:t>
      </w:r>
      <w:r w:rsidRPr="00BC2040">
        <w:rPr>
          <w:i/>
          <w:iCs/>
          <w:lang w:val="es-ES"/>
        </w:rPr>
        <w:t xml:space="preserve">R (excepto Mongolia) y a la República Islámica </w:t>
      </w:r>
      <w:proofErr w:type="spellStart"/>
      <w:r w:rsidRPr="00BC2040">
        <w:rPr>
          <w:i/>
          <w:iCs/>
          <w:lang w:val="es-ES"/>
        </w:rPr>
        <w:t>del</w:t>
      </w:r>
      <w:proofErr w:type="spellEnd"/>
      <w:r w:rsidRPr="00BC2040">
        <w:rPr>
          <w:i/>
          <w:iCs/>
          <w:lang w:val="es-ES"/>
        </w:rPr>
        <w:t xml:space="preserve"> Irán. Para los demás Estados Miembros del Sector UIT-R fuera del área de planificación del Acuerdo GE06 sólo tiene carácter informativo</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5E7B78" w:rsidRDefault="00026CF8">
    <w:pPr>
      <w:pStyle w:val="Header"/>
      <w:rPr>
        <w:sz w:val="18"/>
        <w:szCs w:val="18"/>
      </w:rPr>
    </w:pPr>
    <w:r>
      <w:tab/>
    </w:r>
    <w:r>
      <w:tab/>
    </w:r>
    <w:r w:rsidRPr="005E7B78">
      <w:rPr>
        <w:sz w:val="18"/>
        <w:szCs w:val="18"/>
      </w:rPr>
      <w:t xml:space="preserve">– </w:t>
    </w:r>
    <w:r w:rsidR="00200936" w:rsidRPr="005E7B78">
      <w:rPr>
        <w:rStyle w:val="PageNumber"/>
        <w:sz w:val="18"/>
        <w:szCs w:val="18"/>
      </w:rPr>
      <w:fldChar w:fldCharType="begin"/>
    </w:r>
    <w:r w:rsidRPr="005E7B78">
      <w:rPr>
        <w:rStyle w:val="PageNumber"/>
        <w:sz w:val="18"/>
        <w:szCs w:val="18"/>
      </w:rPr>
      <w:instrText xml:space="preserve"> PAGE </w:instrText>
    </w:r>
    <w:r w:rsidR="00200936" w:rsidRPr="005E7B78">
      <w:rPr>
        <w:rStyle w:val="PageNumber"/>
        <w:sz w:val="18"/>
        <w:szCs w:val="18"/>
      </w:rPr>
      <w:fldChar w:fldCharType="separate"/>
    </w:r>
    <w:r w:rsidR="005E7B78">
      <w:rPr>
        <w:rStyle w:val="PageNumber"/>
        <w:noProof/>
        <w:sz w:val="18"/>
        <w:szCs w:val="18"/>
      </w:rPr>
      <w:t>2</w:t>
    </w:r>
    <w:r w:rsidR="00200936" w:rsidRPr="005E7B78">
      <w:rPr>
        <w:rStyle w:val="PageNumber"/>
        <w:sz w:val="18"/>
        <w:szCs w:val="18"/>
      </w:rPr>
      <w:fldChar w:fldCharType="end"/>
    </w:r>
    <w:r w:rsidRPr="005E7B7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026CF8">
    <w:pPr>
      <w:pStyle w:val="Header"/>
    </w:pPr>
    <w:r>
      <w:tab/>
    </w:r>
    <w:r>
      <w:tab/>
    </w:r>
    <w:r w:rsidR="00200936" w:rsidRPr="00AF3325">
      <w:rPr>
        <w:i/>
      </w:rPr>
      <w:fldChar w:fldCharType="begin"/>
    </w:r>
    <w:r w:rsidRPr="00AF3325">
      <w:rPr>
        <w:i/>
      </w:rPr>
      <w:instrText xml:space="preserve"> PAGE  \* MERGEFORMAT </w:instrText>
    </w:r>
    <w:r w:rsidR="00200936" w:rsidRPr="00AF3325">
      <w:rPr>
        <w:i/>
      </w:rPr>
      <w:fldChar w:fldCharType="separate"/>
    </w:r>
    <w:r w:rsidR="0020632A">
      <w:rPr>
        <w:i/>
        <w:noProof/>
      </w:rPr>
      <w:t>3</w:t>
    </w:r>
    <w:r w:rsidR="00200936"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3C4471">
      <w:rPr>
        <w:b/>
        <w:bCs/>
        <w:noProof/>
        <w:lang w:val="en-US"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06435"/>
    <w:rsid w:val="00010E30"/>
    <w:rsid w:val="00021CD3"/>
    <w:rsid w:val="00026CF8"/>
    <w:rsid w:val="00070258"/>
    <w:rsid w:val="00072B9B"/>
    <w:rsid w:val="00072E16"/>
    <w:rsid w:val="0007323C"/>
    <w:rsid w:val="00086D03"/>
    <w:rsid w:val="000A7051"/>
    <w:rsid w:val="000C03C7"/>
    <w:rsid w:val="000D786F"/>
    <w:rsid w:val="000E3DEE"/>
    <w:rsid w:val="00103C76"/>
    <w:rsid w:val="0011265F"/>
    <w:rsid w:val="0016308F"/>
    <w:rsid w:val="00196710"/>
    <w:rsid w:val="00197324"/>
    <w:rsid w:val="001B1CE8"/>
    <w:rsid w:val="001D5925"/>
    <w:rsid w:val="001D7070"/>
    <w:rsid w:val="001F5A49"/>
    <w:rsid w:val="00200936"/>
    <w:rsid w:val="00201097"/>
    <w:rsid w:val="00201B6E"/>
    <w:rsid w:val="0020632A"/>
    <w:rsid w:val="002240B2"/>
    <w:rsid w:val="00234E6C"/>
    <w:rsid w:val="00235A29"/>
    <w:rsid w:val="002861E6"/>
    <w:rsid w:val="002A2700"/>
    <w:rsid w:val="002D6688"/>
    <w:rsid w:val="002F0890"/>
    <w:rsid w:val="003370B8"/>
    <w:rsid w:val="003666FF"/>
    <w:rsid w:val="003741EE"/>
    <w:rsid w:val="003B2BDA"/>
    <w:rsid w:val="003B55EC"/>
    <w:rsid w:val="003C4471"/>
    <w:rsid w:val="003E3C72"/>
    <w:rsid w:val="003E504F"/>
    <w:rsid w:val="004326DB"/>
    <w:rsid w:val="0043682E"/>
    <w:rsid w:val="0044714F"/>
    <w:rsid w:val="004815EB"/>
    <w:rsid w:val="00496920"/>
    <w:rsid w:val="004B7C9A"/>
    <w:rsid w:val="004E0DC4"/>
    <w:rsid w:val="004E0FB5"/>
    <w:rsid w:val="004E43BB"/>
    <w:rsid w:val="004F178E"/>
    <w:rsid w:val="00505309"/>
    <w:rsid w:val="0050789B"/>
    <w:rsid w:val="00515771"/>
    <w:rsid w:val="00542A47"/>
    <w:rsid w:val="00543DF8"/>
    <w:rsid w:val="00546101"/>
    <w:rsid w:val="00553DD7"/>
    <w:rsid w:val="0057469A"/>
    <w:rsid w:val="00580814"/>
    <w:rsid w:val="005A03A3"/>
    <w:rsid w:val="005B214C"/>
    <w:rsid w:val="005E7B78"/>
    <w:rsid w:val="00602D53"/>
    <w:rsid w:val="00651777"/>
    <w:rsid w:val="006752F2"/>
    <w:rsid w:val="006B0590"/>
    <w:rsid w:val="006B49DA"/>
    <w:rsid w:val="00707216"/>
    <w:rsid w:val="007234B1"/>
    <w:rsid w:val="00730B9A"/>
    <w:rsid w:val="007921A7"/>
    <w:rsid w:val="007A5C27"/>
    <w:rsid w:val="007B3DB1"/>
    <w:rsid w:val="007D183E"/>
    <w:rsid w:val="007E3F13"/>
    <w:rsid w:val="00800012"/>
    <w:rsid w:val="0081513E"/>
    <w:rsid w:val="00823210"/>
    <w:rsid w:val="00843445"/>
    <w:rsid w:val="00847D46"/>
    <w:rsid w:val="00854131"/>
    <w:rsid w:val="0085652D"/>
    <w:rsid w:val="0087694B"/>
    <w:rsid w:val="008F4F21"/>
    <w:rsid w:val="00904D4A"/>
    <w:rsid w:val="009151BA"/>
    <w:rsid w:val="009277BC"/>
    <w:rsid w:val="00927D57"/>
    <w:rsid w:val="00941D23"/>
    <w:rsid w:val="0095010C"/>
    <w:rsid w:val="00963D9D"/>
    <w:rsid w:val="00981B54"/>
    <w:rsid w:val="009842C3"/>
    <w:rsid w:val="009A6BB6"/>
    <w:rsid w:val="009C161F"/>
    <w:rsid w:val="009E4AEC"/>
    <w:rsid w:val="009E5BD8"/>
    <w:rsid w:val="009E681E"/>
    <w:rsid w:val="00A34D6F"/>
    <w:rsid w:val="00A41F91"/>
    <w:rsid w:val="00A963DF"/>
    <w:rsid w:val="00AC3896"/>
    <w:rsid w:val="00AE6CFA"/>
    <w:rsid w:val="00AF3325"/>
    <w:rsid w:val="00B06435"/>
    <w:rsid w:val="00B151F7"/>
    <w:rsid w:val="00B34CF9"/>
    <w:rsid w:val="00B67004"/>
    <w:rsid w:val="00B90C45"/>
    <w:rsid w:val="00B933BE"/>
    <w:rsid w:val="00BA08E0"/>
    <w:rsid w:val="00BB4069"/>
    <w:rsid w:val="00BD7E5E"/>
    <w:rsid w:val="00BE6574"/>
    <w:rsid w:val="00C57E2C"/>
    <w:rsid w:val="00C608B7"/>
    <w:rsid w:val="00C66F24"/>
    <w:rsid w:val="00C70004"/>
    <w:rsid w:val="00C9291E"/>
    <w:rsid w:val="00CA3F44"/>
    <w:rsid w:val="00CA4E58"/>
    <w:rsid w:val="00CB3771"/>
    <w:rsid w:val="00CB5153"/>
    <w:rsid w:val="00CC0DA0"/>
    <w:rsid w:val="00CF6752"/>
    <w:rsid w:val="00D10BA0"/>
    <w:rsid w:val="00D24EB5"/>
    <w:rsid w:val="00D41571"/>
    <w:rsid w:val="00D416A0"/>
    <w:rsid w:val="00D420E0"/>
    <w:rsid w:val="00D47672"/>
    <w:rsid w:val="00D5123C"/>
    <w:rsid w:val="00D51C9E"/>
    <w:rsid w:val="00D55560"/>
    <w:rsid w:val="00D61C5A"/>
    <w:rsid w:val="00DE66A5"/>
    <w:rsid w:val="00DF2B50"/>
    <w:rsid w:val="00E003F5"/>
    <w:rsid w:val="00E04C86"/>
    <w:rsid w:val="00E20F30"/>
    <w:rsid w:val="00E27BBA"/>
    <w:rsid w:val="00E34CD1"/>
    <w:rsid w:val="00E35E8F"/>
    <w:rsid w:val="00E438E8"/>
    <w:rsid w:val="00E520E2"/>
    <w:rsid w:val="00E64254"/>
    <w:rsid w:val="00EA15B3"/>
    <w:rsid w:val="00EB2358"/>
    <w:rsid w:val="00EB3EB8"/>
    <w:rsid w:val="00F42C8C"/>
    <w:rsid w:val="00F44FC7"/>
    <w:rsid w:val="00F468C5"/>
    <w:rsid w:val="00F52F39"/>
    <w:rsid w:val="00F55EAB"/>
    <w:rsid w:val="00F63B0D"/>
    <w:rsid w:val="00F914DD"/>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617338-22C1-4F28-B01C-17141710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B0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F5B785F39545968C76E5C0986A2946"/>
        <w:category>
          <w:name w:val="General"/>
          <w:gallery w:val="placeholder"/>
        </w:category>
        <w:types>
          <w:type w:val="bbPlcHdr"/>
        </w:types>
        <w:behaviors>
          <w:behavior w:val="content"/>
        </w:behaviors>
        <w:guid w:val="{5169A058-EB4F-4BF4-9502-F28B735C33AC}"/>
      </w:docPartPr>
      <w:docPartBody>
        <w:p w:rsidR="001A1B29" w:rsidRDefault="001A1B29">
          <w:pPr>
            <w:pStyle w:val="84F5B785F39545968C76E5C0986A294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29"/>
    <w:rsid w:val="001A1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F5B785F39545968C76E5C0986A2946">
    <w:name w:val="84F5B785F39545968C76E5C0986A2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Letter-Fax-S.dotm</Template>
  <TotalTime>110</TotalTime>
  <Pages>2</Pages>
  <Words>512</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International Telecommunication Union (ITU)</Company>
  <LinksUpToDate>false</LinksUpToDate>
  <CharactersWithSpaces>3556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Gimenez, Christine</cp:lastModifiedBy>
  <cp:revision>11</cp:revision>
  <cp:lastPrinted>2014-12-17T13:05:00Z</cp:lastPrinted>
  <dcterms:created xsi:type="dcterms:W3CDTF">2014-12-17T08:38:00Z</dcterms:created>
  <dcterms:modified xsi:type="dcterms:W3CDTF">2014-12-19T10:22:00Z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