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10598" w:type="dxa"/>
        <w:tblLook w:val="01E0" w:firstRow="1" w:lastRow="1" w:firstColumn="1" w:lastColumn="1" w:noHBand="0" w:noVBand="0"/>
      </w:tblPr>
      <w:tblGrid>
        <w:gridCol w:w="9039"/>
        <w:gridCol w:w="1559"/>
      </w:tblGrid>
      <w:tr w:rsidR="00F96264" w:rsidRPr="00D35752" w:rsidTr="00035B7A">
        <w:tc>
          <w:tcPr>
            <w:tcW w:w="9039" w:type="dxa"/>
            <w:vAlign w:val="center"/>
          </w:tcPr>
          <w:p w:rsidR="00F96264" w:rsidRPr="00D35752" w:rsidRDefault="00F96264" w:rsidP="00035B7A">
            <w:pPr>
              <w:spacing w:before="0"/>
            </w:pPr>
            <w:r w:rsidRPr="00035B7A">
              <w:rPr>
                <w:rFonts w:ascii="Futura Lt BT" w:hAnsi="Futura Lt BT"/>
                <w:spacing w:val="5"/>
                <w:sz w:val="44"/>
              </w:rPr>
              <w:t>U</w:t>
            </w:r>
            <w:r w:rsidRPr="00035B7A">
              <w:rPr>
                <w:rFonts w:ascii="Futura Lt BT" w:hAnsi="Futura Lt BT"/>
                <w:spacing w:val="5"/>
                <w:sz w:val="34"/>
                <w:szCs w:val="34"/>
              </w:rPr>
              <w:t>NIÓN</w:t>
            </w:r>
            <w:r w:rsidRPr="00035B7A">
              <w:rPr>
                <w:rFonts w:ascii="Futura Lt BT" w:hAnsi="Futura Lt BT"/>
                <w:spacing w:val="5"/>
                <w:sz w:val="36"/>
              </w:rPr>
              <w:t xml:space="preserve"> </w:t>
            </w:r>
            <w:r w:rsidRPr="00035B7A">
              <w:rPr>
                <w:rFonts w:ascii="Futura Lt BT" w:hAnsi="Futura Lt BT"/>
                <w:spacing w:val="5"/>
                <w:sz w:val="44"/>
              </w:rPr>
              <w:t>I</w:t>
            </w:r>
            <w:r w:rsidRPr="00035B7A">
              <w:rPr>
                <w:rFonts w:ascii="Futura Lt BT" w:hAnsi="Futura Lt BT"/>
                <w:spacing w:val="5"/>
                <w:sz w:val="34"/>
                <w:szCs w:val="34"/>
              </w:rPr>
              <w:t>NTERNACIONAL DE</w:t>
            </w:r>
            <w:r w:rsidRPr="00035B7A">
              <w:rPr>
                <w:rFonts w:ascii="Futura Lt BT" w:hAnsi="Futura Lt BT"/>
                <w:spacing w:val="5"/>
                <w:sz w:val="36"/>
              </w:rPr>
              <w:t xml:space="preserve"> </w:t>
            </w:r>
            <w:r w:rsidRPr="00035B7A">
              <w:rPr>
                <w:rFonts w:ascii="Futura Lt BT" w:hAnsi="Futura Lt BT"/>
                <w:spacing w:val="5"/>
                <w:sz w:val="44"/>
              </w:rPr>
              <w:t>T</w:t>
            </w:r>
            <w:r w:rsidRPr="00035B7A">
              <w:rPr>
                <w:rFonts w:ascii="Futura Lt BT" w:hAnsi="Futura Lt BT"/>
                <w:spacing w:val="5"/>
                <w:sz w:val="34"/>
                <w:szCs w:val="34"/>
              </w:rPr>
              <w:t>ELECOMUNICACIONES</w:t>
            </w:r>
          </w:p>
        </w:tc>
        <w:tc>
          <w:tcPr>
            <w:tcW w:w="1559" w:type="dxa"/>
          </w:tcPr>
          <w:p w:rsidR="00F96264" w:rsidRPr="00D35752" w:rsidRDefault="005D7BD6" w:rsidP="00035B7A">
            <w:pPr>
              <w:spacing w:before="0"/>
              <w:jc w:val="right"/>
            </w:pPr>
            <w:r>
              <w:rPr>
                <w:noProof/>
                <w:lang w:eastAsia="zh-CN"/>
              </w:rPr>
              <w:drawing>
                <wp:inline distT="0" distB="0" distL="0" distR="0">
                  <wp:extent cx="838200" cy="942975"/>
                  <wp:effectExtent l="0" t="0" r="0"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942975"/>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F96264">
        <w:trPr>
          <w:cantSplit/>
        </w:trPr>
        <w:tc>
          <w:tcPr>
            <w:tcW w:w="5075" w:type="dxa"/>
          </w:tcPr>
          <w:p w:rsidR="00F96264" w:rsidRPr="00F96264" w:rsidRDefault="00F96264" w:rsidP="00DB0CCA">
            <w:pPr>
              <w:spacing w:before="0"/>
              <w:rPr>
                <w:i/>
                <w:smallCaps/>
                <w:sz w:val="28"/>
                <w:szCs w:val="28"/>
              </w:rPr>
            </w:pPr>
            <w:r w:rsidRPr="00F96264">
              <w:rPr>
                <w:i/>
                <w:sz w:val="28"/>
                <w:szCs w:val="28"/>
              </w:rPr>
              <w:t>Oficina de Radiocomunicaciones</w:t>
            </w:r>
          </w:p>
          <w:p w:rsidR="00F96264" w:rsidRPr="00D42395" w:rsidRDefault="00F96264" w:rsidP="00DB0CCA">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D42395" w:rsidRDefault="00F96264" w:rsidP="00DB0CCA">
      <w:pPr>
        <w:tabs>
          <w:tab w:val="left" w:pos="7513"/>
        </w:tabs>
      </w:pPr>
    </w:p>
    <w:tbl>
      <w:tblPr>
        <w:tblW w:w="10020" w:type="dxa"/>
        <w:tblLayout w:type="fixed"/>
        <w:tblLook w:val="0000" w:firstRow="0" w:lastRow="0" w:firstColumn="0" w:lastColumn="0" w:noHBand="0" w:noVBand="0"/>
      </w:tblPr>
      <w:tblGrid>
        <w:gridCol w:w="2518"/>
        <w:gridCol w:w="7502"/>
      </w:tblGrid>
      <w:tr w:rsidR="00F96264" w:rsidRPr="0012343A">
        <w:trPr>
          <w:cantSplit/>
        </w:trPr>
        <w:tc>
          <w:tcPr>
            <w:tcW w:w="2518" w:type="dxa"/>
          </w:tcPr>
          <w:p w:rsidR="00F96264" w:rsidRPr="0000010E" w:rsidRDefault="004A7D24" w:rsidP="00DB0CCA">
            <w:pPr>
              <w:tabs>
                <w:tab w:val="left" w:pos="7513"/>
              </w:tabs>
              <w:jc w:val="center"/>
              <w:rPr>
                <w:b/>
              </w:rPr>
            </w:pPr>
            <w:bookmarkStart w:id="0" w:name="dletter"/>
            <w:bookmarkEnd w:id="0"/>
            <w:r w:rsidRPr="0000010E">
              <w:t>Carta Circular</w:t>
            </w:r>
          </w:p>
          <w:p w:rsidR="00F96264" w:rsidRPr="005A7AB1" w:rsidRDefault="004A7D24" w:rsidP="00D42395">
            <w:pPr>
              <w:tabs>
                <w:tab w:val="clear" w:pos="794"/>
                <w:tab w:val="clear" w:pos="1191"/>
              </w:tabs>
              <w:spacing w:before="0"/>
              <w:jc w:val="center"/>
              <w:rPr>
                <w:b/>
              </w:rPr>
            </w:pPr>
            <w:bookmarkStart w:id="1" w:name="dnum"/>
            <w:bookmarkEnd w:id="1"/>
            <w:r w:rsidRPr="005A7AB1">
              <w:rPr>
                <w:b/>
              </w:rPr>
              <w:t>CR/</w:t>
            </w:r>
            <w:r w:rsidR="009952B4">
              <w:rPr>
                <w:b/>
              </w:rPr>
              <w:t>3</w:t>
            </w:r>
            <w:r w:rsidR="00D42395">
              <w:rPr>
                <w:b/>
              </w:rPr>
              <w:t>26</w:t>
            </w:r>
          </w:p>
        </w:tc>
        <w:tc>
          <w:tcPr>
            <w:tcW w:w="7502" w:type="dxa"/>
          </w:tcPr>
          <w:p w:rsidR="00F96264" w:rsidRPr="0000010E" w:rsidRDefault="00A46F52" w:rsidP="009952B4">
            <w:pPr>
              <w:tabs>
                <w:tab w:val="left" w:pos="7513"/>
              </w:tabs>
              <w:jc w:val="right"/>
              <w:rPr>
                <w:bCs/>
              </w:rPr>
            </w:pPr>
            <w:bookmarkStart w:id="2" w:name="ddate"/>
            <w:bookmarkEnd w:id="2"/>
            <w:r>
              <w:rPr>
                <w:bCs/>
              </w:rPr>
              <w:t>17</w:t>
            </w:r>
            <w:r w:rsidR="00D42395">
              <w:rPr>
                <w:bCs/>
              </w:rPr>
              <w:t xml:space="preserve"> de agosto de 2011</w:t>
            </w:r>
          </w:p>
        </w:tc>
      </w:tr>
    </w:tbl>
    <w:p w:rsidR="00F96264" w:rsidRPr="00F96264" w:rsidRDefault="00F96264" w:rsidP="00DB0CCA">
      <w:pPr>
        <w:tabs>
          <w:tab w:val="left" w:pos="7513"/>
        </w:tabs>
        <w:spacing w:before="480"/>
        <w:jc w:val="center"/>
        <w:rPr>
          <w:b/>
          <w:bCs/>
        </w:rPr>
      </w:pPr>
      <w:r>
        <w:rPr>
          <w:b/>
        </w:rPr>
        <w:t>A las Administraciones de los Estados Miembros de la UIT</w:t>
      </w:r>
    </w:p>
    <w:p w:rsidR="00F96264" w:rsidRPr="004A7D24" w:rsidRDefault="00F96264" w:rsidP="0086616C">
      <w:pPr>
        <w:tabs>
          <w:tab w:val="clear" w:pos="794"/>
          <w:tab w:val="clear" w:pos="1191"/>
          <w:tab w:val="clear" w:pos="1588"/>
          <w:tab w:val="clear" w:pos="1985"/>
          <w:tab w:val="left" w:pos="709"/>
        </w:tabs>
        <w:spacing w:before="480"/>
        <w:ind w:left="1440" w:hanging="1440"/>
      </w:pPr>
      <w:r>
        <w:rPr>
          <w:b/>
        </w:rPr>
        <w:t>Asunto</w:t>
      </w:r>
      <w:r>
        <w:t>:</w:t>
      </w:r>
      <w:r w:rsidRPr="004A7D24">
        <w:tab/>
      </w:r>
      <w:bookmarkStart w:id="3" w:name="dtitle1"/>
      <w:bookmarkEnd w:id="3"/>
      <w:r w:rsidR="004A7D24" w:rsidRPr="004A7D24">
        <w:t>Reglas de Procedimiento aprobadas</w:t>
      </w:r>
      <w:r w:rsidR="0086616C">
        <w:t xml:space="preserve"> por la Junta del Reglamento de </w:t>
      </w:r>
      <w:r w:rsidR="004A7D24" w:rsidRPr="004A7D24">
        <w:t>Radiocomunicaciones</w:t>
      </w:r>
    </w:p>
    <w:p w:rsidR="00F96264" w:rsidRPr="00416F5A" w:rsidRDefault="0086616C" w:rsidP="0086616C">
      <w:pPr>
        <w:tabs>
          <w:tab w:val="clear" w:pos="794"/>
          <w:tab w:val="clear" w:pos="1191"/>
          <w:tab w:val="clear" w:pos="1588"/>
          <w:tab w:val="clear" w:pos="1985"/>
          <w:tab w:val="left" w:pos="709"/>
        </w:tabs>
        <w:spacing w:before="360"/>
        <w:ind w:left="709" w:hanging="709"/>
        <w:rPr>
          <w:b/>
        </w:rPr>
      </w:pPr>
      <w:r w:rsidRPr="00416F5A">
        <w:rPr>
          <w:b/>
        </w:rPr>
        <w:t>Al</w:t>
      </w:r>
      <w:r w:rsidR="004A7D24" w:rsidRPr="00416F5A">
        <w:rPr>
          <w:b/>
        </w:rPr>
        <w:t xml:space="preserve"> </w:t>
      </w:r>
      <w:r w:rsidR="00F96264" w:rsidRPr="00416F5A">
        <w:rPr>
          <w:b/>
        </w:rPr>
        <w:t>Director General</w:t>
      </w:r>
    </w:p>
    <w:p w:rsidR="00F96264" w:rsidRPr="00FE1623" w:rsidRDefault="00D42395" w:rsidP="00DB0CCA">
      <w:pPr>
        <w:tabs>
          <w:tab w:val="clear" w:pos="794"/>
          <w:tab w:val="clear" w:pos="1191"/>
          <w:tab w:val="clear" w:pos="1588"/>
          <w:tab w:val="clear" w:pos="1985"/>
          <w:tab w:val="left" w:pos="709"/>
        </w:tabs>
        <w:spacing w:before="480"/>
        <w:ind w:left="709" w:hanging="709"/>
      </w:pPr>
      <w:r>
        <w:t>Muy S</w:t>
      </w:r>
      <w:r w:rsidR="0086616C">
        <w:t>eñora mía/</w:t>
      </w:r>
      <w:r>
        <w:t>Muy S</w:t>
      </w:r>
      <w:r w:rsidR="00F96264">
        <w:t>eñor mío:</w:t>
      </w:r>
    </w:p>
    <w:p w:rsidR="00F96264" w:rsidRDefault="004A7D24" w:rsidP="00D42395">
      <w:pPr>
        <w:pStyle w:val="Normalaftertitle"/>
      </w:pPr>
      <w:r>
        <w:t>1</w:t>
      </w:r>
      <w:r>
        <w:tab/>
        <w:t>Con arreglo a l</w:t>
      </w:r>
      <w:r w:rsidR="00815C99">
        <w:t>o dispuesto en</w:t>
      </w:r>
      <w:r>
        <w:t xml:space="preserve"> los números 13.12 y 13.14 del Reglamento de Radiocomunicaciones, la Junta del Reglamento de Radiocomunicaciones (RRB) </w:t>
      </w:r>
      <w:r w:rsidR="00815C99">
        <w:t xml:space="preserve">aprobó </w:t>
      </w:r>
      <w:r>
        <w:t xml:space="preserve">en su </w:t>
      </w:r>
      <w:r w:rsidR="009952B4">
        <w:t>5</w:t>
      </w:r>
      <w:r w:rsidR="00D42395">
        <w:t>7</w:t>
      </w:r>
      <w:r w:rsidR="00815C99">
        <w:t>ª </w:t>
      </w:r>
      <w:r>
        <w:t>reunión (</w:t>
      </w:r>
      <w:r w:rsidR="00D42395">
        <w:t>13</w:t>
      </w:r>
      <w:r w:rsidR="009952B4">
        <w:t>-2</w:t>
      </w:r>
      <w:r w:rsidR="00D42395">
        <w:t>1</w:t>
      </w:r>
      <w:r w:rsidR="0012343A">
        <w:t> </w:t>
      </w:r>
      <w:r>
        <w:t>de</w:t>
      </w:r>
      <w:r w:rsidR="0012343A">
        <w:t> </w:t>
      </w:r>
      <w:r w:rsidR="00D42395">
        <w:t>junio</w:t>
      </w:r>
      <w:r>
        <w:t xml:space="preserve"> de 20</w:t>
      </w:r>
      <w:r w:rsidR="009952B4">
        <w:t>1</w:t>
      </w:r>
      <w:r w:rsidR="00D42395">
        <w:t>1</w:t>
      </w:r>
      <w:r>
        <w:t xml:space="preserve">) </w:t>
      </w:r>
      <w:r w:rsidR="009952B4">
        <w:t xml:space="preserve">nuevas </w:t>
      </w:r>
      <w:r>
        <w:t>Reglas de Procedimiento.</w:t>
      </w:r>
    </w:p>
    <w:p w:rsidR="004A7D24" w:rsidRDefault="004A7D24" w:rsidP="009952B4">
      <w:r>
        <w:t>2</w:t>
      </w:r>
      <w:r>
        <w:tab/>
        <w:t xml:space="preserve">Las </w:t>
      </w:r>
      <w:r w:rsidR="009952B4">
        <w:t xml:space="preserve">nuevas </w:t>
      </w:r>
      <w:r>
        <w:t xml:space="preserve">Reglas de Procedimiento se incluyen en las páginas </w:t>
      </w:r>
      <w:r w:rsidR="004A2C44">
        <w:t xml:space="preserve">de </w:t>
      </w:r>
      <w:r>
        <w:t>sustitución adjuntas</w:t>
      </w:r>
      <w:r w:rsidR="0000010E">
        <w:t>,</w:t>
      </w:r>
      <w:r>
        <w:t xml:space="preserve"> </w:t>
      </w:r>
      <w:r w:rsidR="00815C99">
        <w:t xml:space="preserve">que </w:t>
      </w:r>
      <w:r w:rsidR="0000010E">
        <w:t>van destinadas</w:t>
      </w:r>
      <w:r w:rsidR="00815C99">
        <w:t xml:space="preserve"> </w:t>
      </w:r>
      <w:r>
        <w:t>al volumen recientemente publicado</w:t>
      </w:r>
      <w:r w:rsidR="00362D28">
        <w:t xml:space="preserve"> </w:t>
      </w:r>
      <w:r>
        <w:t>(</w:t>
      </w:r>
      <w:r w:rsidR="00815C99">
        <w:t>e</w:t>
      </w:r>
      <w:r>
        <w:t>dición de 200</w:t>
      </w:r>
      <w:r w:rsidR="009952B4">
        <w:t>9</w:t>
      </w:r>
      <w:r>
        <w:t xml:space="preserve"> de las Reglas de Procedimiento, </w:t>
      </w:r>
      <w:r w:rsidR="0086616C">
        <w:t>a la que se hace referencia en</w:t>
      </w:r>
      <w:r>
        <w:t xml:space="preserve"> la Carta Circular CR/</w:t>
      </w:r>
      <w:r w:rsidR="009952B4">
        <w:t>307</w:t>
      </w:r>
      <w:r>
        <w:t xml:space="preserve">). Todas las nuevas Reglas indicadas </w:t>
      </w:r>
      <w:r w:rsidR="009952B4">
        <w:t>en el Anexo</w:t>
      </w:r>
      <w:r>
        <w:t xml:space="preserve"> </w:t>
      </w:r>
      <w:r w:rsidR="009952B4">
        <w:t>entran en vigor con efecto</w:t>
      </w:r>
      <w:r>
        <w:t xml:space="preserve"> inmediato.</w:t>
      </w:r>
    </w:p>
    <w:p w:rsidR="00F96264" w:rsidRPr="00CD1F0D" w:rsidRDefault="00F96264" w:rsidP="00DB0CCA">
      <w:r w:rsidRPr="00CD1F0D">
        <w:t>Atentamente</w:t>
      </w:r>
      <w:r w:rsidR="0012343A">
        <w:t>.</w:t>
      </w:r>
    </w:p>
    <w:p w:rsidR="00F96264" w:rsidRPr="00CD1F0D" w:rsidRDefault="00362D28" w:rsidP="00D42395">
      <w:pPr>
        <w:tabs>
          <w:tab w:val="clear" w:pos="794"/>
          <w:tab w:val="clear" w:pos="1191"/>
          <w:tab w:val="clear" w:pos="1588"/>
          <w:tab w:val="clear" w:pos="1985"/>
          <w:tab w:val="left" w:pos="4678"/>
          <w:tab w:val="center" w:pos="7088"/>
        </w:tabs>
        <w:spacing w:before="880"/>
        <w:ind w:left="4678"/>
      </w:pPr>
      <w:r>
        <w:tab/>
      </w:r>
      <w:r w:rsidR="00D42395">
        <w:t>François Rancy</w:t>
      </w:r>
      <w:r>
        <w:br/>
      </w:r>
      <w:r w:rsidR="00F96264" w:rsidRPr="00CD1F0D">
        <w:t>Director de la Oficina de Radiocomunicaciones</w:t>
      </w:r>
    </w:p>
    <w:p w:rsidR="00362D28" w:rsidRDefault="00362D28" w:rsidP="00DB0CCA">
      <w:pPr>
        <w:rPr>
          <w:b/>
          <w:bCs/>
        </w:rPr>
      </w:pPr>
    </w:p>
    <w:p w:rsidR="00066394" w:rsidRDefault="00066394" w:rsidP="00DB0CCA">
      <w:pPr>
        <w:rPr>
          <w:b/>
          <w:bCs/>
        </w:rPr>
      </w:pPr>
    </w:p>
    <w:p w:rsidR="00066394" w:rsidRDefault="00066394" w:rsidP="00DB0CCA">
      <w:pPr>
        <w:rPr>
          <w:b/>
          <w:bCs/>
        </w:rPr>
      </w:pPr>
    </w:p>
    <w:p w:rsidR="00F96264" w:rsidRPr="004A7D24" w:rsidRDefault="004A7D24" w:rsidP="00D42395">
      <w:pPr>
        <w:tabs>
          <w:tab w:val="clear" w:pos="794"/>
          <w:tab w:val="clear" w:pos="1191"/>
          <w:tab w:val="left" w:pos="993"/>
        </w:tabs>
      </w:pPr>
      <w:r w:rsidRPr="004A7D24">
        <w:rPr>
          <w:b/>
          <w:bCs/>
        </w:rPr>
        <w:t>Anexo:</w:t>
      </w:r>
      <w:r>
        <w:rPr>
          <w:b/>
          <w:bCs/>
        </w:rPr>
        <w:tab/>
      </w:r>
      <w:hyperlink r:id="rId8" w:history="1">
        <w:r w:rsidRPr="00862823">
          <w:rPr>
            <w:rStyle w:val="Hipervnculo"/>
          </w:rPr>
          <w:t>Reglas de Procedimiento – Edición de 200</w:t>
        </w:r>
        <w:r w:rsidR="009952B4" w:rsidRPr="00862823">
          <w:rPr>
            <w:rStyle w:val="Hipervnculo"/>
          </w:rPr>
          <w:t>9</w:t>
        </w:r>
        <w:r w:rsidRPr="00862823">
          <w:rPr>
            <w:rStyle w:val="Hipervnculo"/>
          </w:rPr>
          <w:t xml:space="preserve"> – Actualización </w:t>
        </w:r>
        <w:r w:rsidR="00D42395" w:rsidRPr="00862823">
          <w:rPr>
            <w:rStyle w:val="Hipervnculo"/>
          </w:rPr>
          <w:t>3</w:t>
        </w:r>
      </w:hyperlink>
    </w:p>
    <w:p w:rsidR="00066394" w:rsidRDefault="00066394" w:rsidP="00DB0CCA"/>
    <w:p w:rsidR="002371E4" w:rsidRDefault="002371E4" w:rsidP="00DB0CCA"/>
    <w:p w:rsidR="004A7D24" w:rsidRDefault="004A7D24" w:rsidP="00DB0CCA">
      <w:pPr>
        <w:rPr>
          <w:b/>
          <w:bCs/>
          <w:sz w:val="18"/>
        </w:rPr>
      </w:pPr>
      <w:bookmarkStart w:id="4" w:name="ddistribution"/>
      <w:bookmarkEnd w:id="4"/>
      <w:r>
        <w:rPr>
          <w:b/>
          <w:bCs/>
          <w:sz w:val="18"/>
        </w:rPr>
        <w:t>Distribución:</w:t>
      </w:r>
    </w:p>
    <w:p w:rsidR="004A7D24" w:rsidRDefault="004A7D24" w:rsidP="00DB0CCA">
      <w:pPr>
        <w:tabs>
          <w:tab w:val="clear" w:pos="794"/>
          <w:tab w:val="left" w:pos="284"/>
        </w:tabs>
        <w:rPr>
          <w:sz w:val="18"/>
        </w:rPr>
      </w:pPr>
      <w:r>
        <w:rPr>
          <w:sz w:val="18"/>
        </w:rPr>
        <w:t>–</w:t>
      </w:r>
      <w:r>
        <w:rPr>
          <w:sz w:val="18"/>
        </w:rPr>
        <w:tab/>
        <w:t>Administraciones de los Estados Miembros de la UIT</w:t>
      </w:r>
      <w:r>
        <w:rPr>
          <w:sz w:val="18"/>
        </w:rPr>
        <w:br/>
        <w:t>–</w:t>
      </w:r>
      <w:r>
        <w:rPr>
          <w:sz w:val="18"/>
        </w:rPr>
        <w:tab/>
        <w:t>Miembros de la Junta del Reglamento de Radiocomunicaciones</w:t>
      </w:r>
    </w:p>
    <w:p w:rsidR="007F69C1" w:rsidRDefault="007F69C1" w:rsidP="00DB0CCA">
      <w:pPr>
        <w:tabs>
          <w:tab w:val="clear" w:pos="794"/>
          <w:tab w:val="left" w:pos="284"/>
        </w:tabs>
        <w:rPr>
          <w:sz w:val="18"/>
        </w:rPr>
      </w:pPr>
    </w:p>
    <w:p w:rsidR="00C60A1B" w:rsidRDefault="00C60A1B" w:rsidP="00DB0CCA">
      <w:pPr>
        <w:tabs>
          <w:tab w:val="clear" w:pos="794"/>
          <w:tab w:val="left" w:pos="284"/>
        </w:tabs>
        <w:sectPr w:rsidR="00C60A1B" w:rsidSect="00695600">
          <w:headerReference w:type="default" r:id="rId9"/>
          <w:footerReference w:type="default" r:id="rId10"/>
          <w:footerReference w:type="first" r:id="rId11"/>
          <w:pgSz w:w="11907" w:h="16834"/>
          <w:pgMar w:top="1418" w:right="1134" w:bottom="1418" w:left="1134" w:header="720" w:footer="720" w:gutter="0"/>
          <w:paperSrc w:first="258" w:other="258"/>
          <w:cols w:space="720"/>
          <w:titlePg/>
        </w:sectPr>
      </w:pPr>
    </w:p>
    <w:p w:rsidR="00C60A1B" w:rsidRPr="00974207" w:rsidRDefault="00C60A1B" w:rsidP="00CD6379">
      <w:pPr>
        <w:pStyle w:val="Ttulo1"/>
        <w:jc w:val="center"/>
        <w:rPr>
          <w:rFonts w:eastAsia="SimSun"/>
          <w:szCs w:val="28"/>
          <w:lang w:eastAsia="zh-CN"/>
        </w:rPr>
      </w:pPr>
      <w:r w:rsidRPr="00974207">
        <w:rPr>
          <w:rFonts w:eastAsia="SimSun"/>
          <w:szCs w:val="28"/>
          <w:lang w:eastAsia="zh-CN"/>
        </w:rPr>
        <w:lastRenderedPageBreak/>
        <w:t>ACTUALIZACIÓN de las</w:t>
      </w:r>
    </w:p>
    <w:p w:rsidR="00C60A1B" w:rsidRPr="00974207" w:rsidRDefault="00C60A1B" w:rsidP="00CD6379">
      <w:pPr>
        <w:pStyle w:val="Ttulo2"/>
        <w:jc w:val="center"/>
        <w:rPr>
          <w:rFonts w:eastAsia="SimSun"/>
          <w:lang w:eastAsia="zh-CN"/>
        </w:rPr>
      </w:pPr>
      <w:r w:rsidRPr="00974207">
        <w:rPr>
          <w:rFonts w:eastAsia="SimSun"/>
          <w:lang w:eastAsia="zh-CN"/>
        </w:rPr>
        <w:t>Reglas de Procedimiento</w:t>
      </w:r>
    </w:p>
    <w:p w:rsidR="00C60A1B" w:rsidRPr="00974207" w:rsidRDefault="00C60A1B" w:rsidP="00CD6379">
      <w:pPr>
        <w:jc w:val="center"/>
        <w:rPr>
          <w:rFonts w:ascii="TimesNewRoman" w:eastAsia="SimSun" w:hAnsi="TimesNewRoman" w:cs="TimesNewRoman"/>
          <w:szCs w:val="24"/>
          <w:lang w:eastAsia="zh-CN"/>
        </w:rPr>
      </w:pPr>
      <w:r w:rsidRPr="00974207">
        <w:rPr>
          <w:rFonts w:ascii="TimesNewRoman" w:eastAsia="SimSun" w:hAnsi="TimesNewRoman" w:cs="TimesNewRoman"/>
          <w:szCs w:val="24"/>
          <w:lang w:eastAsia="zh-CN"/>
        </w:rPr>
        <w:t>(Edición de 2009)</w:t>
      </w:r>
    </w:p>
    <w:p w:rsidR="00C60A1B" w:rsidRPr="00974207" w:rsidRDefault="00C60A1B" w:rsidP="00CD6379">
      <w:pPr>
        <w:pStyle w:val="Ttulo2"/>
        <w:ind w:left="0" w:firstLine="0"/>
        <w:jc w:val="center"/>
        <w:rPr>
          <w:rFonts w:eastAsia="SimSun"/>
          <w:szCs w:val="26"/>
          <w:lang w:eastAsia="zh-CN"/>
        </w:rPr>
      </w:pPr>
      <w:r w:rsidRPr="00974207">
        <w:rPr>
          <w:rFonts w:eastAsia="SimSun"/>
          <w:szCs w:val="26"/>
          <w:lang w:eastAsia="zh-CN"/>
        </w:rPr>
        <w:t>aprobadas por la Junta del Reglamento de Radiocomunicaciones</w:t>
      </w:r>
    </w:p>
    <w:p w:rsidR="00C60A1B" w:rsidRPr="00974207" w:rsidRDefault="00C60A1B" w:rsidP="00CD6379">
      <w:pPr>
        <w:spacing w:before="0"/>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1536"/>
        <w:gridCol w:w="1530"/>
        <w:gridCol w:w="1543"/>
        <w:gridCol w:w="1554"/>
        <w:gridCol w:w="1555"/>
      </w:tblGrid>
      <w:tr w:rsidR="00C60A1B" w:rsidRPr="00946B78" w:rsidTr="00974207">
        <w:tc>
          <w:tcPr>
            <w:tcW w:w="1569" w:type="dxa"/>
            <w:tcBorders>
              <w:top w:val="single" w:sz="4" w:space="0" w:color="auto"/>
              <w:left w:val="single" w:sz="4" w:space="0" w:color="auto"/>
              <w:bottom w:val="single" w:sz="4" w:space="0" w:color="auto"/>
              <w:right w:val="single" w:sz="4" w:space="0" w:color="auto"/>
            </w:tcBorders>
            <w:vAlign w:val="center"/>
          </w:tcPr>
          <w:p w:rsidR="00C60A1B" w:rsidRDefault="00C60A1B">
            <w:pPr>
              <w:pStyle w:val="Tablehead"/>
              <w:rPr>
                <w:rFonts w:eastAsia="SimSun"/>
                <w:lang w:eastAsia="zh-CN"/>
              </w:rPr>
            </w:pPr>
            <w:r>
              <w:rPr>
                <w:rFonts w:ascii="TimesNewRoman,Bold" w:eastAsia="SimSun" w:hAnsi="TimesNewRoman,Bold" w:cs="TimesNewRoman,Bold"/>
                <w:bCs/>
                <w:sz w:val="20"/>
                <w:lang w:eastAsia="zh-CN"/>
              </w:rPr>
              <w:t xml:space="preserve">Revisión </w:t>
            </w:r>
            <w:r>
              <w:rPr>
                <w:rFonts w:ascii="TimesNewRoman,Bold" w:eastAsia="SimSun" w:hAnsi="TimesNewRoman,Bold" w:cs="TimesNewRoman,Bold"/>
                <w:bCs/>
                <w:sz w:val="20"/>
                <w:vertAlign w:val="superscript"/>
                <w:lang w:eastAsia="zh-CN"/>
              </w:rPr>
              <w:t>(1)</w:t>
            </w:r>
            <w:r>
              <w:rPr>
                <w:rFonts w:ascii="TimesNewRoman,Bold" w:eastAsia="SimSun" w:hAnsi="TimesNewRoman,Bold" w:cs="TimesNewRoman,Bold"/>
                <w:bCs/>
                <w:sz w:val="16"/>
                <w:szCs w:val="16"/>
                <w:lang w:eastAsia="zh-CN"/>
              </w:rPr>
              <w:br/>
            </w:r>
            <w:r>
              <w:rPr>
                <w:rFonts w:ascii="TimesNewRoman,Bold" w:eastAsia="SimSun" w:hAnsi="TimesNewRoman,Bold" w:cs="TimesNewRoman,Bold"/>
                <w:bCs/>
                <w:sz w:val="20"/>
                <w:lang w:eastAsia="zh-CN"/>
              </w:rPr>
              <w:t>(Circular N.</w:t>
            </w:r>
            <w:r>
              <w:rPr>
                <w:rFonts w:ascii="TimesNewRoman,Bold" w:eastAsia="SimSun" w:hAnsi="TimesNewRoman,Bold" w:cs="TimesNewRoman,Bold"/>
                <w:bCs/>
                <w:sz w:val="16"/>
                <w:szCs w:val="16"/>
                <w:lang w:eastAsia="zh-CN"/>
              </w:rPr>
              <w:t>º</w:t>
            </w:r>
            <w:r>
              <w:rPr>
                <w:rFonts w:ascii="TimesNewRoman,Bold" w:eastAsia="SimSun" w:hAnsi="TimesNewRoman,Bold" w:cs="TimesNewRoman,Bold"/>
                <w:bCs/>
                <w:sz w:val="20"/>
                <w:lang w:eastAsia="zh-CN"/>
              </w:rPr>
              <w:t>)</w:t>
            </w:r>
          </w:p>
        </w:tc>
        <w:tc>
          <w:tcPr>
            <w:tcW w:w="1536" w:type="dxa"/>
            <w:tcBorders>
              <w:top w:val="single" w:sz="4" w:space="0" w:color="auto"/>
              <w:left w:val="single" w:sz="4" w:space="0" w:color="auto"/>
              <w:bottom w:val="single" w:sz="4" w:space="0" w:color="auto"/>
              <w:right w:val="single" w:sz="4" w:space="0" w:color="auto"/>
            </w:tcBorders>
            <w:vAlign w:val="center"/>
          </w:tcPr>
          <w:p w:rsidR="00C60A1B" w:rsidRDefault="00C60A1B">
            <w:pPr>
              <w:pStyle w:val="Tablehead"/>
              <w:rPr>
                <w:rFonts w:eastAsia="SimSun"/>
                <w:lang w:eastAsia="zh-CN"/>
              </w:rPr>
            </w:pPr>
            <w:r>
              <w:rPr>
                <w:rFonts w:ascii="TimesNewRoman,Bold" w:eastAsia="SimSun" w:hAnsi="TimesNewRoman,Bold" w:cs="TimesNewRoman,Bold"/>
                <w:bCs/>
                <w:sz w:val="20"/>
                <w:lang w:eastAsia="zh-CN"/>
              </w:rPr>
              <w:t>Fecha</w:t>
            </w:r>
          </w:p>
        </w:tc>
        <w:tc>
          <w:tcPr>
            <w:tcW w:w="1530" w:type="dxa"/>
            <w:tcBorders>
              <w:top w:val="single" w:sz="4" w:space="0" w:color="auto"/>
              <w:left w:val="single" w:sz="4" w:space="0" w:color="auto"/>
              <w:bottom w:val="single" w:sz="4" w:space="0" w:color="auto"/>
              <w:right w:val="single" w:sz="4" w:space="0" w:color="auto"/>
            </w:tcBorders>
            <w:vAlign w:val="center"/>
          </w:tcPr>
          <w:p w:rsidR="00C60A1B" w:rsidRDefault="00C60A1B">
            <w:pPr>
              <w:pStyle w:val="Tablehead"/>
              <w:rPr>
                <w:rFonts w:eastAsia="SimSun"/>
                <w:lang w:eastAsia="zh-CN"/>
              </w:rPr>
            </w:pPr>
            <w:r>
              <w:rPr>
                <w:rFonts w:ascii="TimesNewRoman,Bold" w:eastAsia="SimSun" w:hAnsi="TimesNewRoman,Bold" w:cs="TimesNewRoman,Bold"/>
                <w:bCs/>
                <w:sz w:val="20"/>
                <w:lang w:eastAsia="zh-CN"/>
              </w:rPr>
              <w:t>Parte</w:t>
            </w:r>
          </w:p>
        </w:tc>
        <w:tc>
          <w:tcPr>
            <w:tcW w:w="1543" w:type="dxa"/>
            <w:tcBorders>
              <w:top w:val="single" w:sz="4" w:space="0" w:color="auto"/>
              <w:left w:val="single" w:sz="4" w:space="0" w:color="auto"/>
              <w:bottom w:val="single" w:sz="4" w:space="0" w:color="auto"/>
              <w:right w:val="single" w:sz="4" w:space="0" w:color="auto"/>
            </w:tcBorders>
            <w:vAlign w:val="center"/>
          </w:tcPr>
          <w:p w:rsidR="00C60A1B" w:rsidRDefault="00C60A1B">
            <w:pPr>
              <w:pStyle w:val="Tablehead"/>
              <w:rPr>
                <w:rFonts w:eastAsia="SimSun"/>
                <w:lang w:eastAsia="zh-CN"/>
              </w:rPr>
            </w:pPr>
            <w:r>
              <w:rPr>
                <w:rFonts w:ascii="TimesNewRoman,Bold" w:eastAsia="SimSun" w:hAnsi="TimesNewRoman,Bold" w:cs="TimesNewRoman,Bold"/>
                <w:bCs/>
                <w:sz w:val="20"/>
                <w:lang w:eastAsia="zh-CN"/>
              </w:rPr>
              <w:t>AR</w:t>
            </w:r>
          </w:p>
        </w:tc>
        <w:tc>
          <w:tcPr>
            <w:tcW w:w="1554" w:type="dxa"/>
            <w:tcBorders>
              <w:top w:val="single" w:sz="4" w:space="0" w:color="auto"/>
              <w:left w:val="single" w:sz="4" w:space="0" w:color="auto"/>
              <w:bottom w:val="single" w:sz="4" w:space="0" w:color="auto"/>
              <w:right w:val="single" w:sz="4" w:space="0" w:color="auto"/>
            </w:tcBorders>
            <w:vAlign w:val="center"/>
          </w:tcPr>
          <w:p w:rsidR="00C60A1B" w:rsidRDefault="00C60A1B">
            <w:pPr>
              <w:pStyle w:val="Tablehead"/>
              <w:rPr>
                <w:rFonts w:eastAsia="SimSun"/>
                <w:lang w:eastAsia="zh-CN"/>
              </w:rPr>
            </w:pPr>
            <w:r>
              <w:rPr>
                <w:rFonts w:ascii="TimesNewRoman,Bold" w:eastAsia="SimSun" w:hAnsi="TimesNewRoman,Bold" w:cs="TimesNewRoman,Bold"/>
                <w:bCs/>
                <w:sz w:val="20"/>
                <w:lang w:eastAsia="zh-CN"/>
              </w:rPr>
              <w:t>Páginas que hay que retirar</w:t>
            </w:r>
          </w:p>
        </w:tc>
        <w:tc>
          <w:tcPr>
            <w:tcW w:w="1555" w:type="dxa"/>
            <w:tcBorders>
              <w:top w:val="single" w:sz="4" w:space="0" w:color="auto"/>
              <w:left w:val="single" w:sz="4" w:space="0" w:color="auto"/>
              <w:bottom w:val="single" w:sz="4" w:space="0" w:color="auto"/>
              <w:right w:val="single" w:sz="4" w:space="0" w:color="auto"/>
            </w:tcBorders>
            <w:vAlign w:val="center"/>
          </w:tcPr>
          <w:p w:rsidR="00C60A1B" w:rsidRDefault="00C60A1B">
            <w:pPr>
              <w:pStyle w:val="Tablehead"/>
              <w:rPr>
                <w:rFonts w:eastAsia="SimSun"/>
                <w:lang w:eastAsia="zh-CN"/>
              </w:rPr>
            </w:pPr>
            <w:r>
              <w:rPr>
                <w:rFonts w:ascii="TimesNewRoman,Bold" w:eastAsia="SimSun" w:hAnsi="TimesNewRoman,Bold" w:cs="TimesNewRoman,Bold"/>
                <w:bCs/>
                <w:sz w:val="20"/>
                <w:lang w:eastAsia="zh-CN"/>
              </w:rPr>
              <w:t>Páginas que hay que insertar</w:t>
            </w:r>
          </w:p>
        </w:tc>
      </w:tr>
      <w:tr w:rsidR="00C60A1B" w:rsidRPr="00C60A1B" w:rsidTr="00974207">
        <w:tc>
          <w:tcPr>
            <w:tcW w:w="1569" w:type="dxa"/>
            <w:tcBorders>
              <w:top w:val="single" w:sz="4" w:space="0" w:color="auto"/>
              <w:left w:val="single" w:sz="4" w:space="0" w:color="auto"/>
              <w:bottom w:val="single" w:sz="4" w:space="0" w:color="auto"/>
              <w:right w:val="single" w:sz="4" w:space="0" w:color="auto"/>
            </w:tcBorders>
            <w:vAlign w:val="center"/>
          </w:tcPr>
          <w:p w:rsidR="00C60A1B" w:rsidRDefault="00C60A1B">
            <w:pPr>
              <w:pStyle w:val="Tabletext"/>
              <w:spacing w:before="80" w:after="80"/>
              <w:jc w:val="center"/>
              <w:rPr>
                <w:rFonts w:eastAsia="SimSun"/>
                <w:sz w:val="18"/>
                <w:szCs w:val="18"/>
                <w:lang w:eastAsia="zh-CN"/>
              </w:rPr>
            </w:pPr>
            <w:r>
              <w:rPr>
                <w:rFonts w:eastAsia="SimSun"/>
                <w:sz w:val="18"/>
                <w:szCs w:val="18"/>
                <w:lang w:eastAsia="zh-CN"/>
              </w:rPr>
              <w:t>1</w:t>
            </w:r>
            <w:r>
              <w:rPr>
                <w:rFonts w:eastAsia="SimSun"/>
                <w:sz w:val="18"/>
                <w:szCs w:val="18"/>
                <w:lang w:eastAsia="zh-CN"/>
              </w:rPr>
              <w:br/>
              <w:t>Véase CR/307</w:t>
            </w:r>
          </w:p>
        </w:tc>
        <w:tc>
          <w:tcPr>
            <w:tcW w:w="1536" w:type="dxa"/>
            <w:tcBorders>
              <w:top w:val="single" w:sz="4" w:space="0" w:color="auto"/>
              <w:left w:val="single" w:sz="4" w:space="0" w:color="auto"/>
              <w:bottom w:val="single" w:sz="4" w:space="0" w:color="auto"/>
              <w:right w:val="single" w:sz="4" w:space="0" w:color="auto"/>
            </w:tcBorders>
            <w:vAlign w:val="center"/>
          </w:tcPr>
          <w:p w:rsidR="00C60A1B" w:rsidRDefault="00C60A1B">
            <w:pPr>
              <w:pStyle w:val="Tabletext"/>
              <w:spacing w:before="80" w:after="80"/>
              <w:jc w:val="center"/>
              <w:rPr>
                <w:rFonts w:eastAsia="SimSun"/>
                <w:sz w:val="18"/>
                <w:szCs w:val="18"/>
                <w:lang w:eastAsia="zh-CN"/>
              </w:rPr>
            </w:pPr>
            <w:r>
              <w:rPr>
                <w:rFonts w:eastAsia="SimSun"/>
                <w:sz w:val="18"/>
                <w:szCs w:val="18"/>
                <w:lang w:eastAsia="zh-CN"/>
              </w:rPr>
              <w:t>Agosto de 2009</w:t>
            </w:r>
          </w:p>
        </w:tc>
        <w:tc>
          <w:tcPr>
            <w:tcW w:w="1530" w:type="dxa"/>
            <w:tcBorders>
              <w:top w:val="single" w:sz="4" w:space="0" w:color="auto"/>
              <w:left w:val="single" w:sz="4" w:space="0" w:color="auto"/>
              <w:bottom w:val="single" w:sz="4" w:space="0" w:color="auto"/>
              <w:right w:val="single" w:sz="4" w:space="0" w:color="auto"/>
            </w:tcBorders>
            <w:vAlign w:val="center"/>
          </w:tcPr>
          <w:p w:rsidR="00C60A1B" w:rsidRDefault="00C60A1B">
            <w:pPr>
              <w:pStyle w:val="Tabletext"/>
              <w:spacing w:before="80" w:after="80"/>
              <w:jc w:val="center"/>
              <w:rPr>
                <w:rFonts w:eastAsia="SimSun"/>
                <w:sz w:val="18"/>
                <w:szCs w:val="18"/>
                <w:lang w:eastAsia="zh-CN"/>
              </w:rPr>
            </w:pPr>
            <w:r>
              <w:rPr>
                <w:rFonts w:eastAsia="SimSun"/>
                <w:sz w:val="18"/>
                <w:szCs w:val="18"/>
                <w:lang w:eastAsia="zh-CN"/>
              </w:rPr>
              <w:t>A1</w:t>
            </w:r>
            <w:r>
              <w:rPr>
                <w:rFonts w:eastAsia="SimSun"/>
                <w:sz w:val="18"/>
                <w:szCs w:val="18"/>
                <w:lang w:eastAsia="zh-CN"/>
              </w:rPr>
              <w:br/>
              <w:t>A10</w:t>
            </w:r>
            <w:r>
              <w:rPr>
                <w:rFonts w:eastAsia="SimSun"/>
                <w:sz w:val="18"/>
                <w:szCs w:val="18"/>
                <w:lang w:eastAsia="zh-CN"/>
              </w:rPr>
              <w:br/>
              <w:t>B</w:t>
            </w:r>
          </w:p>
        </w:tc>
        <w:tc>
          <w:tcPr>
            <w:tcW w:w="1543" w:type="dxa"/>
            <w:tcBorders>
              <w:top w:val="single" w:sz="4" w:space="0" w:color="auto"/>
              <w:left w:val="single" w:sz="4" w:space="0" w:color="auto"/>
              <w:bottom w:val="single" w:sz="4" w:space="0" w:color="auto"/>
              <w:right w:val="single" w:sz="4" w:space="0" w:color="auto"/>
            </w:tcBorders>
            <w:vAlign w:val="center"/>
          </w:tcPr>
          <w:p w:rsidR="00C60A1B" w:rsidRDefault="00C60A1B">
            <w:pPr>
              <w:pStyle w:val="Tabletext"/>
              <w:spacing w:before="80" w:after="80"/>
              <w:jc w:val="center"/>
              <w:rPr>
                <w:rFonts w:eastAsia="SimSun"/>
                <w:sz w:val="18"/>
                <w:szCs w:val="18"/>
                <w:lang w:eastAsia="zh-CN"/>
              </w:rPr>
            </w:pPr>
            <w:r w:rsidRPr="00974207">
              <w:rPr>
                <w:rFonts w:eastAsia="SimSun"/>
                <w:sz w:val="18"/>
                <w:szCs w:val="18"/>
                <w:lang w:eastAsia="zh-CN"/>
              </w:rPr>
              <w:t>AP30B</w:t>
            </w:r>
            <w:r w:rsidRPr="00974207">
              <w:rPr>
                <w:rFonts w:eastAsia="SimSun"/>
                <w:sz w:val="18"/>
                <w:szCs w:val="18"/>
                <w:lang w:eastAsia="zh-CN"/>
              </w:rPr>
              <w:br/>
              <w:t>GE06</w:t>
            </w:r>
            <w:r w:rsidRPr="00974207">
              <w:rPr>
                <w:rFonts w:eastAsia="SimSun"/>
                <w:sz w:val="18"/>
                <w:szCs w:val="18"/>
                <w:lang w:eastAsia="zh-CN"/>
              </w:rPr>
              <w:br/>
              <w:t>Sección B4</w:t>
            </w:r>
            <w:r w:rsidRPr="00974207">
              <w:rPr>
                <w:rFonts w:eastAsia="SimSun"/>
                <w:sz w:val="18"/>
                <w:szCs w:val="18"/>
                <w:lang w:eastAsia="zh-CN"/>
              </w:rPr>
              <w:br/>
            </w:r>
            <w:r w:rsidRPr="00974207">
              <w:rPr>
                <w:rFonts w:eastAsia="SimSun"/>
                <w:sz w:val="18"/>
                <w:szCs w:val="18"/>
                <w:lang w:eastAsia="zh-CN"/>
              </w:rPr>
              <w:br/>
            </w:r>
            <w:r w:rsidRPr="00974207">
              <w:rPr>
                <w:rFonts w:eastAsia="SimSun"/>
                <w:sz w:val="18"/>
                <w:szCs w:val="18"/>
                <w:lang w:eastAsia="zh-CN"/>
              </w:rPr>
              <w:br/>
              <w:t>Sección B6</w:t>
            </w:r>
          </w:p>
        </w:tc>
        <w:tc>
          <w:tcPr>
            <w:tcW w:w="1554" w:type="dxa"/>
            <w:tcBorders>
              <w:top w:val="single" w:sz="4" w:space="0" w:color="auto"/>
              <w:left w:val="single" w:sz="4" w:space="0" w:color="auto"/>
              <w:bottom w:val="single" w:sz="4" w:space="0" w:color="auto"/>
              <w:right w:val="single" w:sz="4" w:space="0" w:color="auto"/>
            </w:tcBorders>
            <w:vAlign w:val="center"/>
          </w:tcPr>
          <w:p w:rsidR="00C60A1B" w:rsidRDefault="00C60A1B">
            <w:pPr>
              <w:pStyle w:val="Tabletext"/>
              <w:spacing w:before="80" w:after="80"/>
              <w:jc w:val="center"/>
              <w:rPr>
                <w:rFonts w:eastAsia="SimSun"/>
                <w:sz w:val="18"/>
                <w:szCs w:val="18"/>
                <w:lang w:eastAsia="zh-CN"/>
              </w:rPr>
            </w:pPr>
            <w:r>
              <w:rPr>
                <w:rFonts w:eastAsia="SimSun"/>
                <w:sz w:val="18"/>
                <w:szCs w:val="18"/>
                <w:lang w:eastAsia="zh-CN"/>
              </w:rPr>
              <w:t>5</w:t>
            </w:r>
            <w:r>
              <w:rPr>
                <w:rFonts w:eastAsia="SimSun"/>
                <w:sz w:val="18"/>
                <w:szCs w:val="18"/>
                <w:lang w:eastAsia="zh-CN"/>
              </w:rPr>
              <w:br/>
              <w:t>3-4</w:t>
            </w:r>
            <w:r>
              <w:rPr>
                <w:rFonts w:eastAsia="SimSun"/>
                <w:sz w:val="18"/>
                <w:szCs w:val="18"/>
                <w:lang w:eastAsia="zh-CN"/>
              </w:rPr>
              <w:br/>
              <w:t>1-4</w:t>
            </w:r>
            <w:r>
              <w:rPr>
                <w:rFonts w:eastAsia="SimSun"/>
                <w:sz w:val="18"/>
                <w:szCs w:val="18"/>
                <w:lang w:eastAsia="zh-CN"/>
              </w:rPr>
              <w:br/>
              <w:t>9-10</w:t>
            </w:r>
            <w:r>
              <w:rPr>
                <w:rFonts w:eastAsia="SimSun"/>
                <w:sz w:val="18"/>
                <w:szCs w:val="18"/>
                <w:lang w:eastAsia="zh-CN"/>
              </w:rPr>
              <w:br/>
              <w:t>13-16</w:t>
            </w:r>
            <w:r>
              <w:rPr>
                <w:rFonts w:eastAsia="SimSun"/>
                <w:sz w:val="18"/>
                <w:szCs w:val="18"/>
                <w:lang w:eastAsia="zh-CN"/>
              </w:rPr>
              <w:br/>
              <w:t>1-3</w:t>
            </w:r>
          </w:p>
        </w:tc>
        <w:tc>
          <w:tcPr>
            <w:tcW w:w="1555" w:type="dxa"/>
            <w:tcBorders>
              <w:top w:val="single" w:sz="4" w:space="0" w:color="auto"/>
              <w:left w:val="single" w:sz="4" w:space="0" w:color="auto"/>
              <w:bottom w:val="single" w:sz="4" w:space="0" w:color="auto"/>
              <w:right w:val="single" w:sz="4" w:space="0" w:color="auto"/>
            </w:tcBorders>
            <w:vAlign w:val="center"/>
          </w:tcPr>
          <w:p w:rsidR="00C60A1B" w:rsidRDefault="00C60A1B">
            <w:pPr>
              <w:pStyle w:val="Tabletext"/>
              <w:spacing w:before="80" w:after="80"/>
              <w:jc w:val="center"/>
              <w:rPr>
                <w:rFonts w:eastAsia="SimSun"/>
                <w:sz w:val="18"/>
                <w:szCs w:val="18"/>
                <w:lang w:val="en-US" w:eastAsia="zh-CN"/>
              </w:rPr>
            </w:pPr>
            <w:r>
              <w:rPr>
                <w:rFonts w:eastAsia="SimSun"/>
                <w:sz w:val="18"/>
                <w:szCs w:val="18"/>
                <w:lang w:val="en-US" w:eastAsia="zh-CN"/>
              </w:rPr>
              <w:t>5-6 (Rev.1)</w:t>
            </w:r>
            <w:r>
              <w:rPr>
                <w:rFonts w:eastAsia="SimSun"/>
                <w:sz w:val="18"/>
                <w:szCs w:val="18"/>
                <w:lang w:val="en-US" w:eastAsia="zh-CN"/>
              </w:rPr>
              <w:br/>
              <w:t>3-4</w:t>
            </w:r>
            <w:r>
              <w:rPr>
                <w:rFonts w:eastAsia="SimSun"/>
                <w:i/>
                <w:iCs/>
                <w:sz w:val="18"/>
                <w:szCs w:val="18"/>
                <w:lang w:val="en-US" w:eastAsia="zh-CN"/>
              </w:rPr>
              <w:t>ter</w:t>
            </w:r>
            <w:r>
              <w:rPr>
                <w:rFonts w:eastAsia="SimSun"/>
                <w:sz w:val="18"/>
                <w:szCs w:val="18"/>
                <w:lang w:val="en-US" w:eastAsia="zh-CN"/>
              </w:rPr>
              <w:t xml:space="preserve"> (Rev.1)</w:t>
            </w:r>
            <w:r>
              <w:rPr>
                <w:rFonts w:eastAsia="SimSun"/>
                <w:sz w:val="18"/>
                <w:szCs w:val="18"/>
                <w:lang w:val="en-US" w:eastAsia="zh-CN"/>
              </w:rPr>
              <w:br/>
              <w:t>1-4 (Rev.1)</w:t>
            </w:r>
            <w:r>
              <w:rPr>
                <w:rFonts w:eastAsia="SimSun"/>
                <w:sz w:val="18"/>
                <w:szCs w:val="18"/>
                <w:lang w:val="en-US" w:eastAsia="zh-CN"/>
              </w:rPr>
              <w:br/>
              <w:t>9-10 (Rev.1)</w:t>
            </w:r>
            <w:r>
              <w:rPr>
                <w:rFonts w:eastAsia="SimSun"/>
                <w:sz w:val="18"/>
                <w:szCs w:val="18"/>
                <w:lang w:val="en-US" w:eastAsia="zh-CN"/>
              </w:rPr>
              <w:br/>
              <w:t>13-16</w:t>
            </w:r>
            <w:r>
              <w:rPr>
                <w:rFonts w:eastAsia="SimSun"/>
                <w:sz w:val="18"/>
                <w:szCs w:val="18"/>
                <w:lang w:val="en-US" w:eastAsia="zh-CN"/>
              </w:rPr>
              <w:br/>
              <w:t>1-3 (Rev.1)</w:t>
            </w:r>
          </w:p>
        </w:tc>
      </w:tr>
      <w:tr w:rsidR="00C60A1B" w:rsidTr="00261A53">
        <w:tc>
          <w:tcPr>
            <w:tcW w:w="1569" w:type="dxa"/>
            <w:tcBorders>
              <w:top w:val="single" w:sz="4" w:space="0" w:color="auto"/>
              <w:left w:val="single" w:sz="4" w:space="0" w:color="auto"/>
              <w:bottom w:val="single" w:sz="4" w:space="0" w:color="auto"/>
              <w:right w:val="single" w:sz="4" w:space="0" w:color="auto"/>
            </w:tcBorders>
            <w:vAlign w:val="center"/>
          </w:tcPr>
          <w:p w:rsidR="00C60A1B" w:rsidRPr="00A36817" w:rsidRDefault="00C60A1B" w:rsidP="00974207">
            <w:pPr>
              <w:pStyle w:val="TableText0"/>
              <w:spacing w:before="80" w:after="80"/>
              <w:jc w:val="center"/>
              <w:rPr>
                <w:sz w:val="18"/>
                <w:szCs w:val="18"/>
                <w:lang w:val="en-US"/>
              </w:rPr>
            </w:pPr>
            <w:r w:rsidRPr="00A36817">
              <w:rPr>
                <w:sz w:val="18"/>
                <w:szCs w:val="18"/>
                <w:lang w:val="en-US"/>
              </w:rPr>
              <w:t>2</w:t>
            </w:r>
            <w:r w:rsidRPr="00A36817">
              <w:rPr>
                <w:sz w:val="18"/>
                <w:szCs w:val="18"/>
                <w:lang w:val="en-US"/>
              </w:rPr>
              <w:br/>
            </w:r>
            <w:r w:rsidRPr="00A36817">
              <w:rPr>
                <w:rFonts w:eastAsia="SimSun"/>
                <w:sz w:val="18"/>
                <w:szCs w:val="18"/>
                <w:lang w:eastAsia="zh-CN"/>
              </w:rPr>
              <w:t xml:space="preserve">Véase </w:t>
            </w:r>
            <w:r w:rsidRPr="00A36817">
              <w:rPr>
                <w:sz w:val="18"/>
                <w:szCs w:val="18"/>
                <w:lang w:val="en-US"/>
              </w:rPr>
              <w:t>CR/312</w:t>
            </w:r>
          </w:p>
        </w:tc>
        <w:tc>
          <w:tcPr>
            <w:tcW w:w="1536" w:type="dxa"/>
            <w:tcBorders>
              <w:top w:val="single" w:sz="4" w:space="0" w:color="auto"/>
              <w:left w:val="single" w:sz="4" w:space="0" w:color="auto"/>
              <w:bottom w:val="single" w:sz="4" w:space="0" w:color="auto"/>
              <w:right w:val="single" w:sz="4" w:space="0" w:color="auto"/>
            </w:tcBorders>
          </w:tcPr>
          <w:p w:rsidR="00C60A1B" w:rsidRPr="00A36817" w:rsidRDefault="00C60A1B" w:rsidP="00974207">
            <w:pPr>
              <w:pStyle w:val="TableText0"/>
              <w:spacing w:before="80" w:after="80"/>
              <w:jc w:val="center"/>
              <w:rPr>
                <w:sz w:val="18"/>
                <w:szCs w:val="18"/>
                <w:lang w:val="en-US"/>
              </w:rPr>
            </w:pPr>
            <w:r w:rsidRPr="00A36817">
              <w:rPr>
                <w:sz w:val="18"/>
                <w:szCs w:val="18"/>
                <w:lang w:val="en-US"/>
              </w:rPr>
              <w:br/>
              <w:t>Marzo de 2010</w:t>
            </w:r>
          </w:p>
        </w:tc>
        <w:tc>
          <w:tcPr>
            <w:tcW w:w="1530" w:type="dxa"/>
            <w:tcBorders>
              <w:top w:val="single" w:sz="4" w:space="0" w:color="auto"/>
              <w:left w:val="single" w:sz="4" w:space="0" w:color="auto"/>
              <w:bottom w:val="single" w:sz="4" w:space="0" w:color="auto"/>
              <w:right w:val="single" w:sz="4" w:space="0" w:color="auto"/>
            </w:tcBorders>
          </w:tcPr>
          <w:p w:rsidR="00C60A1B" w:rsidRPr="00A36817" w:rsidRDefault="00C60A1B" w:rsidP="00974207">
            <w:pPr>
              <w:pStyle w:val="TableText0"/>
              <w:spacing w:before="80" w:after="80"/>
              <w:jc w:val="center"/>
              <w:rPr>
                <w:sz w:val="18"/>
                <w:szCs w:val="18"/>
                <w:lang w:val="en-US"/>
              </w:rPr>
            </w:pPr>
            <w:r w:rsidRPr="00A36817">
              <w:rPr>
                <w:sz w:val="18"/>
                <w:szCs w:val="18"/>
                <w:lang w:val="en-US"/>
              </w:rPr>
              <w:br/>
              <w:t>A1</w:t>
            </w:r>
          </w:p>
        </w:tc>
        <w:tc>
          <w:tcPr>
            <w:tcW w:w="1543" w:type="dxa"/>
            <w:tcBorders>
              <w:top w:val="single" w:sz="4" w:space="0" w:color="auto"/>
              <w:left w:val="single" w:sz="4" w:space="0" w:color="auto"/>
              <w:bottom w:val="single" w:sz="4" w:space="0" w:color="auto"/>
              <w:right w:val="single" w:sz="4" w:space="0" w:color="auto"/>
            </w:tcBorders>
          </w:tcPr>
          <w:p w:rsidR="00C60A1B" w:rsidRPr="00A36817" w:rsidRDefault="00C60A1B" w:rsidP="00974207">
            <w:pPr>
              <w:pStyle w:val="TableText0"/>
              <w:spacing w:before="80" w:after="80"/>
              <w:jc w:val="center"/>
              <w:rPr>
                <w:sz w:val="18"/>
                <w:szCs w:val="18"/>
                <w:lang w:val="en-US"/>
              </w:rPr>
            </w:pPr>
            <w:r w:rsidRPr="00A36817">
              <w:rPr>
                <w:sz w:val="18"/>
                <w:szCs w:val="18"/>
                <w:lang w:val="en-US"/>
              </w:rPr>
              <w:br/>
              <w:t>AR5</w:t>
            </w:r>
          </w:p>
        </w:tc>
        <w:tc>
          <w:tcPr>
            <w:tcW w:w="1554" w:type="dxa"/>
            <w:tcBorders>
              <w:top w:val="single" w:sz="4" w:space="0" w:color="auto"/>
              <w:left w:val="single" w:sz="4" w:space="0" w:color="auto"/>
              <w:bottom w:val="single" w:sz="4" w:space="0" w:color="auto"/>
              <w:right w:val="single" w:sz="4" w:space="0" w:color="auto"/>
            </w:tcBorders>
          </w:tcPr>
          <w:p w:rsidR="00C60A1B" w:rsidRPr="00A36817" w:rsidRDefault="00C60A1B" w:rsidP="00974207">
            <w:pPr>
              <w:pStyle w:val="TableText0"/>
              <w:spacing w:before="80" w:after="80"/>
              <w:jc w:val="center"/>
              <w:rPr>
                <w:sz w:val="18"/>
                <w:szCs w:val="18"/>
                <w:lang w:val="en-US"/>
              </w:rPr>
            </w:pPr>
            <w:r w:rsidRPr="00A36817">
              <w:rPr>
                <w:sz w:val="18"/>
                <w:szCs w:val="18"/>
                <w:lang w:val="en-US"/>
              </w:rPr>
              <w:br/>
              <w:t>19-20</w:t>
            </w:r>
          </w:p>
        </w:tc>
        <w:tc>
          <w:tcPr>
            <w:tcW w:w="1555" w:type="dxa"/>
            <w:tcBorders>
              <w:top w:val="single" w:sz="4" w:space="0" w:color="auto"/>
              <w:left w:val="single" w:sz="4" w:space="0" w:color="auto"/>
              <w:bottom w:val="single" w:sz="4" w:space="0" w:color="auto"/>
              <w:right w:val="single" w:sz="4" w:space="0" w:color="auto"/>
            </w:tcBorders>
          </w:tcPr>
          <w:p w:rsidR="00C60A1B" w:rsidRPr="00A36817" w:rsidRDefault="00C60A1B" w:rsidP="00974207">
            <w:pPr>
              <w:pStyle w:val="TableText0"/>
              <w:spacing w:before="80" w:after="80"/>
              <w:jc w:val="center"/>
              <w:rPr>
                <w:sz w:val="18"/>
                <w:szCs w:val="18"/>
                <w:lang w:val="en-US"/>
              </w:rPr>
            </w:pPr>
            <w:r w:rsidRPr="00A36817">
              <w:rPr>
                <w:sz w:val="18"/>
                <w:szCs w:val="18"/>
                <w:lang w:val="en-US"/>
              </w:rPr>
              <w:br/>
              <w:t>19-20 (Rev.1)</w:t>
            </w:r>
          </w:p>
        </w:tc>
      </w:tr>
      <w:tr w:rsidR="00C60A1B" w:rsidTr="00261A53">
        <w:tc>
          <w:tcPr>
            <w:tcW w:w="1569" w:type="dxa"/>
            <w:tcBorders>
              <w:top w:val="single" w:sz="4" w:space="0" w:color="auto"/>
              <w:left w:val="single" w:sz="4" w:space="0" w:color="auto"/>
              <w:bottom w:val="single" w:sz="4" w:space="0" w:color="auto"/>
              <w:right w:val="single" w:sz="4" w:space="0" w:color="auto"/>
            </w:tcBorders>
            <w:vAlign w:val="center"/>
          </w:tcPr>
          <w:p w:rsidR="00C60A1B" w:rsidRPr="00946B78" w:rsidRDefault="00C60A1B" w:rsidP="00946B78">
            <w:pPr>
              <w:pStyle w:val="TableText0"/>
              <w:spacing w:before="80" w:after="80"/>
              <w:jc w:val="center"/>
              <w:rPr>
                <w:sz w:val="18"/>
                <w:szCs w:val="18"/>
                <w:lang w:val="en-US"/>
              </w:rPr>
            </w:pPr>
            <w:r w:rsidRPr="00946B78">
              <w:rPr>
                <w:sz w:val="18"/>
                <w:szCs w:val="18"/>
                <w:lang w:val="en-US"/>
              </w:rPr>
              <w:t>3</w:t>
            </w:r>
            <w:r w:rsidRPr="00946B78">
              <w:rPr>
                <w:sz w:val="18"/>
                <w:szCs w:val="18"/>
                <w:lang w:val="en-US"/>
              </w:rPr>
              <w:br/>
              <w:t>Véase CR/326</w:t>
            </w:r>
          </w:p>
        </w:tc>
        <w:tc>
          <w:tcPr>
            <w:tcW w:w="1536" w:type="dxa"/>
            <w:tcBorders>
              <w:top w:val="single" w:sz="4" w:space="0" w:color="auto"/>
              <w:left w:val="single" w:sz="4" w:space="0" w:color="auto"/>
              <w:bottom w:val="single" w:sz="4" w:space="0" w:color="auto"/>
              <w:right w:val="single" w:sz="4" w:space="0" w:color="auto"/>
            </w:tcBorders>
          </w:tcPr>
          <w:p w:rsidR="00C60A1B" w:rsidRPr="00946B78" w:rsidRDefault="00C60A1B" w:rsidP="00946B78">
            <w:pPr>
              <w:pStyle w:val="TableText0"/>
              <w:spacing w:before="80" w:after="80"/>
              <w:jc w:val="center"/>
              <w:rPr>
                <w:sz w:val="18"/>
                <w:szCs w:val="18"/>
                <w:lang w:val="en-US"/>
              </w:rPr>
            </w:pPr>
            <w:r w:rsidRPr="00946B78">
              <w:rPr>
                <w:sz w:val="18"/>
                <w:szCs w:val="18"/>
                <w:lang w:val="en-US"/>
              </w:rPr>
              <w:br/>
            </w:r>
            <w:r w:rsidRPr="00946B78">
              <w:rPr>
                <w:sz w:val="18"/>
                <w:szCs w:val="18"/>
                <w:lang w:val="en-US"/>
              </w:rPr>
              <w:br/>
              <w:t>Junio de 2011</w:t>
            </w:r>
          </w:p>
        </w:tc>
        <w:tc>
          <w:tcPr>
            <w:tcW w:w="1530" w:type="dxa"/>
            <w:tcBorders>
              <w:top w:val="single" w:sz="4" w:space="0" w:color="auto"/>
              <w:left w:val="single" w:sz="4" w:space="0" w:color="auto"/>
              <w:bottom w:val="single" w:sz="4" w:space="0" w:color="auto"/>
              <w:right w:val="single" w:sz="4" w:space="0" w:color="auto"/>
            </w:tcBorders>
          </w:tcPr>
          <w:p w:rsidR="00C60A1B" w:rsidRPr="00946B78" w:rsidRDefault="00C60A1B" w:rsidP="00966074">
            <w:pPr>
              <w:pStyle w:val="TableText0"/>
              <w:spacing w:before="80" w:after="80"/>
              <w:jc w:val="center"/>
              <w:rPr>
                <w:sz w:val="18"/>
                <w:szCs w:val="18"/>
                <w:lang w:val="en-US"/>
              </w:rPr>
            </w:pPr>
            <w:r w:rsidRPr="00946B78">
              <w:rPr>
                <w:sz w:val="18"/>
                <w:szCs w:val="18"/>
                <w:lang w:val="en-US"/>
              </w:rPr>
              <w:t>A1</w:t>
            </w:r>
          </w:p>
        </w:tc>
        <w:tc>
          <w:tcPr>
            <w:tcW w:w="1543" w:type="dxa"/>
            <w:tcBorders>
              <w:top w:val="single" w:sz="4" w:space="0" w:color="auto"/>
              <w:left w:val="single" w:sz="4" w:space="0" w:color="auto"/>
              <w:bottom w:val="single" w:sz="4" w:space="0" w:color="auto"/>
              <w:right w:val="single" w:sz="4" w:space="0" w:color="auto"/>
            </w:tcBorders>
          </w:tcPr>
          <w:p w:rsidR="00C60A1B" w:rsidRPr="00946B78" w:rsidRDefault="00C60A1B" w:rsidP="00946B78">
            <w:pPr>
              <w:pStyle w:val="TableText0"/>
              <w:spacing w:before="80" w:after="80"/>
              <w:jc w:val="center"/>
              <w:rPr>
                <w:sz w:val="18"/>
                <w:szCs w:val="18"/>
                <w:lang w:val="es-ES_tradnl"/>
              </w:rPr>
            </w:pPr>
            <w:r w:rsidRPr="00946B78">
              <w:rPr>
                <w:sz w:val="18"/>
                <w:szCs w:val="18"/>
                <w:lang w:val="es-ES_tradnl"/>
              </w:rPr>
              <w:t>Administración Notificante</w:t>
            </w:r>
            <w:r w:rsidRPr="00946B78">
              <w:rPr>
                <w:sz w:val="18"/>
                <w:szCs w:val="18"/>
                <w:lang w:val="es-ES_tradnl"/>
              </w:rPr>
              <w:br/>
              <w:t>AÑADIR nueva sección después Aceptabilidad (p.5)</w:t>
            </w:r>
          </w:p>
        </w:tc>
        <w:tc>
          <w:tcPr>
            <w:tcW w:w="1554" w:type="dxa"/>
            <w:tcBorders>
              <w:top w:val="single" w:sz="4" w:space="0" w:color="auto"/>
              <w:left w:val="single" w:sz="4" w:space="0" w:color="auto"/>
              <w:bottom w:val="single" w:sz="4" w:space="0" w:color="auto"/>
              <w:right w:val="single" w:sz="4" w:space="0" w:color="auto"/>
            </w:tcBorders>
          </w:tcPr>
          <w:p w:rsidR="00C60A1B" w:rsidRPr="00946B78" w:rsidRDefault="00C60A1B" w:rsidP="00966074">
            <w:pPr>
              <w:pStyle w:val="TableText0"/>
              <w:spacing w:before="80" w:after="80"/>
              <w:jc w:val="center"/>
              <w:rPr>
                <w:sz w:val="18"/>
                <w:szCs w:val="18"/>
                <w:lang w:val="es-ES_tradnl"/>
              </w:rPr>
            </w:pPr>
          </w:p>
        </w:tc>
        <w:tc>
          <w:tcPr>
            <w:tcW w:w="1555" w:type="dxa"/>
            <w:tcBorders>
              <w:top w:val="single" w:sz="4" w:space="0" w:color="auto"/>
              <w:left w:val="single" w:sz="4" w:space="0" w:color="auto"/>
              <w:bottom w:val="single" w:sz="4" w:space="0" w:color="auto"/>
              <w:right w:val="single" w:sz="4" w:space="0" w:color="auto"/>
            </w:tcBorders>
          </w:tcPr>
          <w:p w:rsidR="00C60A1B" w:rsidRPr="00946B78" w:rsidRDefault="00C60A1B" w:rsidP="00966074">
            <w:pPr>
              <w:pStyle w:val="TableText0"/>
              <w:spacing w:before="80" w:after="80"/>
              <w:jc w:val="center"/>
              <w:rPr>
                <w:sz w:val="18"/>
                <w:szCs w:val="18"/>
                <w:lang w:val="fr-CH"/>
              </w:rPr>
            </w:pPr>
            <w:r w:rsidRPr="00946B78">
              <w:rPr>
                <w:sz w:val="18"/>
                <w:szCs w:val="18"/>
                <w:lang w:val="fr-CH"/>
              </w:rPr>
              <w:t>1</w:t>
            </w:r>
          </w:p>
        </w:tc>
      </w:tr>
      <w:tr w:rsidR="00C60A1B" w:rsidRPr="00946B78" w:rsidTr="00974207">
        <w:tc>
          <w:tcPr>
            <w:tcW w:w="9287" w:type="dxa"/>
            <w:gridSpan w:val="6"/>
            <w:tcBorders>
              <w:top w:val="single" w:sz="4" w:space="0" w:color="auto"/>
              <w:left w:val="nil"/>
              <w:bottom w:val="nil"/>
              <w:right w:val="nil"/>
            </w:tcBorders>
            <w:vAlign w:val="center"/>
          </w:tcPr>
          <w:p w:rsidR="00C60A1B" w:rsidRDefault="00C60A1B" w:rsidP="00974207">
            <w:pPr>
              <w:pStyle w:val="Tabletext"/>
              <w:tabs>
                <w:tab w:val="clear" w:pos="284"/>
              </w:tabs>
              <w:spacing w:before="80" w:after="80"/>
              <w:ind w:left="567" w:hanging="567"/>
              <w:rPr>
                <w:rFonts w:eastAsia="SimSun"/>
                <w:sz w:val="18"/>
                <w:szCs w:val="18"/>
                <w:lang w:eastAsia="zh-CN"/>
              </w:rPr>
            </w:pPr>
            <w:r w:rsidRPr="00974207">
              <w:rPr>
                <w:rFonts w:eastAsia="SimSun"/>
                <w:sz w:val="20"/>
                <w:vertAlign w:val="superscript"/>
                <w:lang w:eastAsia="zh-CN"/>
              </w:rPr>
              <w:t>(1)</w:t>
            </w:r>
            <w:r w:rsidRPr="00974207">
              <w:rPr>
                <w:rFonts w:eastAsia="SimSun"/>
                <w:sz w:val="18"/>
                <w:szCs w:val="18"/>
                <w:lang w:eastAsia="zh-CN"/>
              </w:rPr>
              <w:tab/>
              <w:t>Por lo que se refiere a las fechas de aplicación de las Reglas de Procedimiento nuevas o modificadas que figuran en estas páginas de actualización, véase la Carta circular pertinente mencionada en la columna 1.</w:t>
            </w:r>
          </w:p>
        </w:tc>
      </w:tr>
    </w:tbl>
    <w:p w:rsidR="00C60A1B" w:rsidRPr="00974207" w:rsidRDefault="00C60A1B" w:rsidP="00CD6379"/>
    <w:p w:rsidR="00C60A1B" w:rsidRPr="00974207" w:rsidRDefault="00C60A1B" w:rsidP="00CD6379"/>
    <w:p w:rsidR="00C60A1B" w:rsidRPr="00974207" w:rsidRDefault="00C60A1B" w:rsidP="00CD6379"/>
    <w:p w:rsidR="00C60A1B" w:rsidRPr="00974207" w:rsidRDefault="00C60A1B" w:rsidP="00385A83"/>
    <w:p w:rsidR="00C60A1B" w:rsidRPr="00974207" w:rsidRDefault="00C60A1B" w:rsidP="00385A83"/>
    <w:p w:rsidR="00C60A1B" w:rsidRPr="00974207" w:rsidRDefault="00C60A1B" w:rsidP="00385A83"/>
    <w:p w:rsidR="00C60A1B" w:rsidRPr="00385A83" w:rsidRDefault="00C60A1B" w:rsidP="00385A83">
      <w:pPr>
        <w:jc w:val="center"/>
      </w:pPr>
      <w:r w:rsidRPr="00385A83">
        <w:t>_________________</w:t>
      </w:r>
    </w:p>
    <w:p w:rsidR="00C60A1B" w:rsidRPr="00385A83" w:rsidRDefault="00C60A1B" w:rsidP="00385A83"/>
    <w:p w:rsidR="00C60A1B" w:rsidRPr="00385A83" w:rsidRDefault="00C60A1B" w:rsidP="00385A83"/>
    <w:p w:rsidR="00C60A1B" w:rsidRPr="00385A83" w:rsidRDefault="00C60A1B" w:rsidP="00385A83"/>
    <w:p w:rsidR="00C60A1B" w:rsidRDefault="00C60A1B" w:rsidP="00385A83"/>
    <w:p w:rsidR="00C60A1B" w:rsidRDefault="00C60A1B" w:rsidP="00385A83"/>
    <w:p w:rsidR="00C60A1B" w:rsidRPr="00385A83" w:rsidRDefault="00C60A1B" w:rsidP="00385A83"/>
    <w:p w:rsidR="00C60A1B" w:rsidRPr="00385A83" w:rsidRDefault="00C60A1B" w:rsidP="00385A83">
      <w:pPr>
        <w:sectPr w:rsidR="00C60A1B" w:rsidRPr="00385A83" w:rsidSect="00C60A1B">
          <w:pgSz w:w="11907" w:h="16834"/>
          <w:pgMar w:top="1418" w:right="1134" w:bottom="1418" w:left="1134" w:header="720" w:footer="720" w:gutter="0"/>
          <w:paperSrc w:first="258" w:other="258"/>
          <w:cols w:space="720"/>
          <w:docGrid w:linePitch="326"/>
        </w:sectPr>
      </w:pPr>
    </w:p>
    <w:tbl>
      <w:tblPr>
        <w:tblW w:w="0" w:type="auto"/>
        <w:jc w:val="right"/>
        <w:tblLayout w:type="fixed"/>
        <w:tblCellMar>
          <w:left w:w="0" w:type="dxa"/>
          <w:right w:w="0" w:type="dxa"/>
        </w:tblCellMar>
        <w:tblLook w:val="0000" w:firstRow="0" w:lastRow="0" w:firstColumn="0" w:lastColumn="0" w:noHBand="0" w:noVBand="0"/>
      </w:tblPr>
      <w:tblGrid>
        <w:gridCol w:w="1701"/>
        <w:gridCol w:w="2703"/>
        <w:gridCol w:w="1421"/>
        <w:gridCol w:w="1701"/>
      </w:tblGrid>
      <w:tr w:rsidR="007F69C1" w:rsidTr="00CC55D8">
        <w:trPr>
          <w:cantSplit/>
          <w:jc w:val="right"/>
        </w:trPr>
        <w:tc>
          <w:tcPr>
            <w:tcW w:w="1701" w:type="dxa"/>
            <w:tcBorders>
              <w:top w:val="single" w:sz="6" w:space="0" w:color="auto"/>
              <w:left w:val="single" w:sz="6" w:space="0" w:color="auto"/>
              <w:bottom w:val="single" w:sz="6" w:space="0" w:color="auto"/>
              <w:right w:val="single" w:sz="6" w:space="0" w:color="auto"/>
            </w:tcBorders>
          </w:tcPr>
          <w:p w:rsidR="007F69C1" w:rsidRDefault="007F69C1" w:rsidP="00CC55D8">
            <w:pPr>
              <w:pStyle w:val="HeaderRegProc"/>
              <w:rPr>
                <w:lang w:val="en-US"/>
              </w:rPr>
            </w:pPr>
            <w:r>
              <w:rPr>
                <w:lang w:val="en-US"/>
              </w:rPr>
              <w:lastRenderedPageBreak/>
              <w:t>Parte A1</w:t>
            </w:r>
          </w:p>
        </w:tc>
        <w:tc>
          <w:tcPr>
            <w:tcW w:w="2703" w:type="dxa"/>
            <w:tcBorders>
              <w:top w:val="single" w:sz="6" w:space="0" w:color="auto"/>
              <w:left w:val="single" w:sz="6" w:space="0" w:color="auto"/>
              <w:bottom w:val="single" w:sz="6" w:space="0" w:color="auto"/>
              <w:right w:val="single" w:sz="6" w:space="0" w:color="auto"/>
            </w:tcBorders>
          </w:tcPr>
          <w:p w:rsidR="007F69C1" w:rsidRDefault="007F69C1" w:rsidP="00CC55D8">
            <w:pPr>
              <w:pStyle w:val="HeaderRegProc"/>
              <w:rPr>
                <w:lang w:val="en-US"/>
              </w:rPr>
            </w:pPr>
            <w:r>
              <w:fldChar w:fldCharType="begin"/>
            </w:r>
            <w:r>
              <w:rPr>
                <w:lang w:val="en-US"/>
              </w:rPr>
              <w:instrText>styleref href2</w:instrText>
            </w:r>
            <w:r>
              <w:fldChar w:fldCharType="separate"/>
            </w:r>
            <w:r w:rsidR="00BF50B3">
              <w:rPr>
                <w:noProof/>
              </w:rPr>
              <w:t>Administración Notificante</w:t>
            </w:r>
            <w:r>
              <w:fldChar w:fldCharType="end"/>
            </w:r>
          </w:p>
        </w:tc>
        <w:tc>
          <w:tcPr>
            <w:tcW w:w="1421" w:type="dxa"/>
            <w:tcBorders>
              <w:top w:val="single" w:sz="6" w:space="0" w:color="auto"/>
              <w:left w:val="single" w:sz="6" w:space="0" w:color="auto"/>
              <w:bottom w:val="single" w:sz="6" w:space="0" w:color="auto"/>
              <w:right w:val="single" w:sz="6" w:space="0" w:color="auto"/>
            </w:tcBorders>
          </w:tcPr>
          <w:p w:rsidR="007F69C1" w:rsidRDefault="007F69C1" w:rsidP="00CC55D8">
            <w:pPr>
              <w:pStyle w:val="HeaderRegProc"/>
              <w:rPr>
                <w:lang w:val="fr-CH"/>
              </w:rPr>
            </w:pPr>
            <w:r>
              <w:rPr>
                <w:lang w:val="fr-FR"/>
              </w:rPr>
              <w:t xml:space="preserve">página </w:t>
            </w:r>
            <w:r>
              <w:rPr>
                <w:rStyle w:val="Nmerodepgina"/>
              </w:rPr>
              <w:fldChar w:fldCharType="begin"/>
            </w:r>
            <w:r>
              <w:rPr>
                <w:rStyle w:val="Nmerodepgina"/>
              </w:rPr>
              <w:instrText xml:space="preserve"> PAGE </w:instrText>
            </w:r>
            <w:r>
              <w:rPr>
                <w:rStyle w:val="Nmerodepgina"/>
              </w:rPr>
              <w:fldChar w:fldCharType="separate"/>
            </w:r>
            <w:r w:rsidR="00BF50B3">
              <w:rPr>
                <w:rStyle w:val="Nmerodepgina"/>
                <w:noProof/>
              </w:rPr>
              <w:t>3</w:t>
            </w:r>
            <w:r>
              <w:rPr>
                <w:rStyle w:val="Nmerodepgina"/>
              </w:rPr>
              <w:fldChar w:fldCharType="end"/>
            </w:r>
          </w:p>
        </w:tc>
        <w:tc>
          <w:tcPr>
            <w:tcW w:w="1701" w:type="dxa"/>
            <w:tcBorders>
              <w:top w:val="single" w:sz="6" w:space="0" w:color="auto"/>
              <w:left w:val="single" w:sz="6" w:space="0" w:color="auto"/>
              <w:bottom w:val="single" w:sz="6" w:space="0" w:color="auto"/>
              <w:right w:val="single" w:sz="6" w:space="0" w:color="auto"/>
            </w:tcBorders>
          </w:tcPr>
          <w:p w:rsidR="007F69C1" w:rsidRDefault="007F69C1" w:rsidP="00CC55D8">
            <w:pPr>
              <w:pStyle w:val="HeaderRegProc"/>
              <w:rPr>
                <w:lang w:val="fr-CH"/>
              </w:rPr>
            </w:pPr>
            <w:r>
              <w:rPr>
                <w:lang w:val="fr-CH"/>
              </w:rPr>
              <w:t>rev.</w:t>
            </w:r>
            <w:r>
              <w:t>-</w:t>
            </w:r>
          </w:p>
        </w:tc>
      </w:tr>
    </w:tbl>
    <w:p w:rsidR="009E1852" w:rsidRDefault="009E1852" w:rsidP="009E1852">
      <w:bookmarkStart w:id="5" w:name="_GoBack"/>
      <w:bookmarkEnd w:id="5"/>
    </w:p>
    <w:p w:rsidR="00C60A1B" w:rsidRPr="00C049B4" w:rsidRDefault="00C60A1B" w:rsidP="00AE5443">
      <w:pPr>
        <w:rPr>
          <w:sz w:val="16"/>
          <w:szCs w:val="16"/>
        </w:rPr>
      </w:pPr>
      <w:r w:rsidRPr="00C049B4">
        <w:rPr>
          <w:sz w:val="16"/>
          <w:szCs w:val="16"/>
        </w:rPr>
        <w:t>(ADD RRB11/57)</w:t>
      </w:r>
    </w:p>
    <w:p w:rsidR="00C60A1B" w:rsidRPr="00C049B4" w:rsidRDefault="00C60A1B" w:rsidP="00C049B4">
      <w:pPr>
        <w:pStyle w:val="Ttulo1"/>
        <w:spacing w:before="300"/>
        <w:ind w:left="0" w:firstLine="0"/>
        <w:jc w:val="center"/>
      </w:pPr>
      <w:r w:rsidRPr="00C049B4">
        <w:t xml:space="preserve">Reglas relativas a la tramitación de cambio de </w:t>
      </w:r>
      <w:r w:rsidRPr="00C049B4">
        <w:rPr>
          <w:rStyle w:val="href2"/>
        </w:rPr>
        <w:t>Administración Notificante</w:t>
      </w:r>
      <w:r w:rsidRPr="00C049B4">
        <w:t xml:space="preserve"> </w:t>
      </w:r>
      <w:r w:rsidRPr="00C049B4">
        <w:br/>
        <w:t xml:space="preserve">que actúa como administración de una red de satélites en nombre de un </w:t>
      </w:r>
      <w:r w:rsidRPr="00C049B4">
        <w:br/>
        <w:t>grupo de administraciones nominadas</w:t>
      </w:r>
    </w:p>
    <w:p w:rsidR="00C60A1B" w:rsidRPr="00C049B4" w:rsidRDefault="00C60A1B" w:rsidP="00AE5443"/>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13"/>
      </w:tblGrid>
      <w:tr w:rsidR="00C60A1B" w:rsidRPr="00933276" w:rsidTr="00A76907">
        <w:tc>
          <w:tcPr>
            <w:tcW w:w="9713" w:type="dxa"/>
          </w:tcPr>
          <w:p w:rsidR="00C60A1B" w:rsidRPr="00933276" w:rsidRDefault="00C60A1B" w:rsidP="00A76907">
            <w:pPr>
              <w:spacing w:before="0"/>
              <w:rPr>
                <w:b/>
                <w:bCs/>
                <w:szCs w:val="24"/>
                <w:lang w:val="en-US"/>
              </w:rPr>
            </w:pPr>
            <w:r w:rsidRPr="00821597">
              <w:rPr>
                <w:b/>
                <w:bCs/>
                <w:szCs w:val="24"/>
              </w:rPr>
              <w:t>9.1, 9.6.1, 11.15.1, AP30 (4.1.25, 4.1.3, 4.2.6, 5.1.1), AP30A (4.2.6, 4.1.25, 4.1.3, 5.1.2), AP30B (2.6, 6.1)</w:t>
            </w:r>
          </w:p>
        </w:tc>
      </w:tr>
    </w:tbl>
    <w:p w:rsidR="00C60A1B" w:rsidRPr="00F97F74" w:rsidRDefault="00C60A1B" w:rsidP="00C049B4">
      <w:pPr>
        <w:pStyle w:val="Ttulo1"/>
      </w:pPr>
      <w:r w:rsidRPr="00F97F74">
        <w:rPr>
          <w:color w:val="000000"/>
          <w:lang w:val="en-US"/>
        </w:rPr>
        <w:t>1</w:t>
      </w:r>
      <w:r>
        <w:rPr>
          <w:color w:val="000000"/>
          <w:lang w:val="en-US"/>
        </w:rPr>
        <w:tab/>
      </w:r>
      <w:r w:rsidRPr="00C049B4">
        <w:t>Cambio de Administración Notificante</w:t>
      </w:r>
    </w:p>
    <w:p w:rsidR="00C60A1B" w:rsidRPr="00C049B4" w:rsidRDefault="00C60A1B" w:rsidP="00C049B4">
      <w:pPr>
        <w:rPr>
          <w:color w:val="000000"/>
        </w:rPr>
      </w:pPr>
      <w:r w:rsidRPr="00C049B4">
        <w:rPr>
          <w:color w:val="000000"/>
        </w:rPr>
        <w:t xml:space="preserve">Ciertas disposiciones del Reglamento de Radiocomunicaciones (números </w:t>
      </w:r>
      <w:r w:rsidRPr="00C049B4">
        <w:rPr>
          <w:b/>
          <w:bCs/>
          <w:color w:val="000000"/>
        </w:rPr>
        <w:t xml:space="preserve">9.1, 9.6.1, 11.15.1, </w:t>
      </w:r>
      <w:r w:rsidRPr="00DA5EF2">
        <w:rPr>
          <w:color w:val="000000"/>
        </w:rPr>
        <w:t>Apéndice</w:t>
      </w:r>
      <w:r w:rsidRPr="00C049B4">
        <w:rPr>
          <w:b/>
          <w:bCs/>
          <w:color w:val="000000"/>
        </w:rPr>
        <w:t xml:space="preserve"> 30 (</w:t>
      </w:r>
      <w:r>
        <w:rPr>
          <w:color w:val="000000"/>
        </w:rPr>
        <w:t xml:space="preserve">§ </w:t>
      </w:r>
      <w:r w:rsidRPr="00C049B4">
        <w:rPr>
          <w:b/>
          <w:bCs/>
          <w:color w:val="000000"/>
        </w:rPr>
        <w:t>4.1.25, 4.1.3, 4.2.6</w:t>
      </w:r>
      <w:r>
        <w:rPr>
          <w:b/>
          <w:bCs/>
          <w:color w:val="000000"/>
        </w:rPr>
        <w:t xml:space="preserve"> </w:t>
      </w:r>
      <w:r>
        <w:rPr>
          <w:color w:val="000000"/>
        </w:rPr>
        <w:t>y</w:t>
      </w:r>
      <w:r w:rsidRPr="00C049B4">
        <w:rPr>
          <w:b/>
          <w:bCs/>
          <w:color w:val="000000"/>
        </w:rPr>
        <w:t xml:space="preserve"> 5.1.1), </w:t>
      </w:r>
      <w:r w:rsidRPr="00DA5EF2">
        <w:rPr>
          <w:color w:val="000000"/>
        </w:rPr>
        <w:t>Apéndice</w:t>
      </w:r>
      <w:r w:rsidRPr="00C049B4">
        <w:rPr>
          <w:b/>
          <w:bCs/>
          <w:color w:val="000000"/>
        </w:rPr>
        <w:t xml:space="preserve"> 30A (</w:t>
      </w:r>
      <w:r w:rsidRPr="00C049B4">
        <w:rPr>
          <w:color w:val="000000"/>
        </w:rPr>
        <w:t>§</w:t>
      </w:r>
      <w:r>
        <w:rPr>
          <w:b/>
          <w:bCs/>
          <w:color w:val="000000"/>
        </w:rPr>
        <w:t xml:space="preserve"> </w:t>
      </w:r>
      <w:r w:rsidRPr="00C049B4">
        <w:rPr>
          <w:b/>
          <w:bCs/>
          <w:color w:val="000000"/>
        </w:rPr>
        <w:t>4.2.6, 4.1.25, 4.1.3</w:t>
      </w:r>
      <w:r>
        <w:rPr>
          <w:b/>
          <w:bCs/>
          <w:color w:val="000000"/>
        </w:rPr>
        <w:t xml:space="preserve"> </w:t>
      </w:r>
      <w:r>
        <w:rPr>
          <w:color w:val="000000"/>
        </w:rPr>
        <w:t>y</w:t>
      </w:r>
      <w:r w:rsidRPr="00C049B4">
        <w:rPr>
          <w:b/>
          <w:bCs/>
          <w:color w:val="000000"/>
        </w:rPr>
        <w:t xml:space="preserve"> 5.1.2), </w:t>
      </w:r>
      <w:r w:rsidRPr="00DA5EF2">
        <w:rPr>
          <w:color w:val="000000"/>
        </w:rPr>
        <w:t>Apéndice</w:t>
      </w:r>
      <w:r w:rsidRPr="00C049B4">
        <w:rPr>
          <w:b/>
          <w:bCs/>
          <w:color w:val="000000"/>
        </w:rPr>
        <w:t xml:space="preserve"> 30B (</w:t>
      </w:r>
      <w:r w:rsidRPr="00C049B4">
        <w:rPr>
          <w:color w:val="000000"/>
        </w:rPr>
        <w:t>§</w:t>
      </w:r>
      <w:r>
        <w:rPr>
          <w:b/>
          <w:bCs/>
          <w:color w:val="000000"/>
        </w:rPr>
        <w:t xml:space="preserve"> </w:t>
      </w:r>
      <w:r w:rsidRPr="00C049B4">
        <w:rPr>
          <w:b/>
          <w:bCs/>
          <w:color w:val="000000"/>
        </w:rPr>
        <w:t>2.6</w:t>
      </w:r>
      <w:r>
        <w:rPr>
          <w:color w:val="000000"/>
        </w:rPr>
        <w:t xml:space="preserve"> y</w:t>
      </w:r>
      <w:r w:rsidRPr="00C049B4">
        <w:rPr>
          <w:b/>
          <w:bCs/>
          <w:color w:val="000000"/>
        </w:rPr>
        <w:t xml:space="preserve"> 6.1)</w:t>
      </w:r>
      <w:r w:rsidRPr="00C049B4">
        <w:rPr>
          <w:color w:val="000000"/>
        </w:rPr>
        <w:t>) prevén la posibilidad de que una administración actúe en nombre de un grupo de administraciones concretas para notificar a la Oficina de Radiocomunicaciones las asignaciones de frecuencia de redes de satélites. En ese caso, la administración que actúa en nombre del grupo se denomina administración notificante del grupo en el sentido indicado en el Reglamento de Radiocomunicaciones.</w:t>
      </w:r>
    </w:p>
    <w:p w:rsidR="00C60A1B" w:rsidRPr="00C049B4" w:rsidRDefault="00C60A1B" w:rsidP="00C049B4">
      <w:pPr>
        <w:rPr>
          <w:color w:val="000000"/>
        </w:rPr>
      </w:pPr>
      <w:r w:rsidRPr="00C049B4">
        <w:rPr>
          <w:color w:val="000000"/>
        </w:rPr>
        <w:t>En algunos casos, las disposiciones antes señaladas se utilizan en beneficio de una organización intergubernamental (agrupación de Estados constituida sobre la base de un tratado internacional y dotada de órganos comunes propios).</w:t>
      </w:r>
    </w:p>
    <w:p w:rsidR="00C60A1B" w:rsidRPr="00C049B4" w:rsidRDefault="00C60A1B" w:rsidP="00C049B4">
      <w:pPr>
        <w:rPr>
          <w:color w:val="000000"/>
        </w:rPr>
      </w:pPr>
      <w:r w:rsidRPr="00C049B4">
        <w:rPr>
          <w:color w:val="000000"/>
        </w:rPr>
        <w:t>En varias ocasiones, algunas organizaciones intergubernamentales de telecomunicaciones por satélite han pedido a la Oficina que proceda a cambiar su administración notificante. Para aclarar las condiciones en las que la Oficina puede proceder a modificar el nombre de la administración notificante y actualizar las distintas bases de datos así como el Prefacio de la BR IFIC (Servicios espaciales) (Cuadros 2 y 12A/B), la Junta llegó a la siguiente conclusión:</w:t>
      </w:r>
    </w:p>
    <w:p w:rsidR="00C60A1B" w:rsidRPr="00C60A1B" w:rsidRDefault="00C60A1B" w:rsidP="00C049B4">
      <w:pPr>
        <w:pStyle w:val="enumlev1"/>
      </w:pPr>
      <w:r w:rsidRPr="00C049B4">
        <w:t>–</w:t>
      </w:r>
      <w:r w:rsidRPr="00C049B4">
        <w:tab/>
        <w:t>Cuando una organización intergubernamental de telecomunicaciones por satélite desee designar una nueva administración notificante a la UIT para sus redes de satélites, la Oficina procederá a introducir las modificaciones correspondientes desde el instante en que sea debidamente notificada por escrito por parte del representante legal de la organización intergubernamental correspondiente en los términos establecidos en el Acta constituyente de dicha organización. Dicha notificación deberá incluir la prueba del acuerdo de la nueva administración designada para actuar como administración notificante en nombre de la organización intergubernamental.</w:t>
      </w:r>
    </w:p>
    <w:p w:rsidR="00C60A1B" w:rsidRPr="00C049B4" w:rsidRDefault="00C60A1B" w:rsidP="00AE5443"/>
    <w:p w:rsidR="007F69C1" w:rsidRDefault="007F69C1">
      <w:pPr>
        <w:jc w:val="center"/>
      </w:pPr>
      <w:r>
        <w:t>______________</w:t>
      </w:r>
    </w:p>
    <w:sectPr w:rsidR="007F69C1" w:rsidSect="00C60A1B">
      <w:headerReference w:type="even" r:id="rId12"/>
      <w:pgSz w:w="11907" w:h="16834"/>
      <w:pgMar w:top="1418" w:right="1134" w:bottom="1418" w:left="1134" w:header="720" w:footer="720" w:gutter="0"/>
      <w:paperSrc w:first="258" w:other="258"/>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D54" w:rsidRDefault="00315D54">
      <w:r>
        <w:separator/>
      </w:r>
    </w:p>
  </w:endnote>
  <w:endnote w:type="continuationSeparator" w:id="0">
    <w:p w:rsidR="00315D54" w:rsidRDefault="0031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A1B" w:rsidRPr="007F69C1" w:rsidRDefault="00C60A1B">
    <w:pPr>
      <w:pStyle w:val="Piedepgina"/>
    </w:pPr>
    <w:r>
      <w:fldChar w:fldCharType="begin"/>
    </w:r>
    <w:r w:rsidRPr="007F69C1">
      <w:instrText xml:space="preserve"> FILENAME \p  \* MERGEFORMAT </w:instrText>
    </w:r>
    <w:r>
      <w:fldChar w:fldCharType="separate"/>
    </w:r>
    <w:r w:rsidR="00BF50B3">
      <w:t>P:\ESP\ITU-R\BR\DIR\CR\300\326V2S.DOCX</w:t>
    </w:r>
    <w:r>
      <w:fldChar w:fldCharType="end"/>
    </w:r>
    <w:r w:rsidRPr="007F69C1">
      <w:t xml:space="preserve"> (311998)</w:t>
    </w:r>
    <w:r w:rsidRPr="007F69C1">
      <w:tab/>
    </w:r>
    <w:r>
      <w:fldChar w:fldCharType="begin"/>
    </w:r>
    <w:r>
      <w:instrText xml:space="preserve"> SAVEDATE \@ DD.MM.YY </w:instrText>
    </w:r>
    <w:r>
      <w:fldChar w:fldCharType="separate"/>
    </w:r>
    <w:r w:rsidR="00BF50B3">
      <w:t>23.08.11</w:t>
    </w:r>
    <w:r>
      <w:fldChar w:fldCharType="end"/>
    </w:r>
    <w:r w:rsidRPr="007F69C1">
      <w:tab/>
    </w:r>
    <w:r>
      <w:fldChar w:fldCharType="begin"/>
    </w:r>
    <w:r>
      <w:instrText xml:space="preserve"> PRINTDATE \@ DD.MM.YY </w:instrText>
    </w:r>
    <w:r>
      <w:fldChar w:fldCharType="separate"/>
    </w:r>
    <w:r w:rsidR="00BF50B3">
      <w:t>23.08.11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315D54">
      <w:trPr>
        <w:cantSplit/>
      </w:trPr>
      <w:tc>
        <w:tcPr>
          <w:tcW w:w="1062" w:type="pct"/>
          <w:tcBorders>
            <w:top w:val="single" w:sz="6" w:space="0" w:color="auto"/>
          </w:tcBorders>
          <w:tcMar>
            <w:top w:w="57" w:type="dxa"/>
          </w:tcMar>
        </w:tcPr>
        <w:p w:rsidR="00315D54" w:rsidRDefault="00315D54">
          <w:pPr>
            <w:pStyle w:val="itu"/>
            <w:rPr>
              <w:lang w:val="es-ES_tradnl"/>
            </w:rPr>
          </w:pPr>
          <w:r>
            <w:rPr>
              <w:lang w:val="es-ES_tradnl"/>
            </w:rPr>
            <w:t>Place des Nations</w:t>
          </w:r>
        </w:p>
      </w:tc>
      <w:tc>
        <w:tcPr>
          <w:tcW w:w="1584" w:type="pct"/>
          <w:tcBorders>
            <w:top w:val="single" w:sz="6" w:space="0" w:color="auto"/>
          </w:tcBorders>
          <w:tcMar>
            <w:top w:w="57" w:type="dxa"/>
          </w:tcMar>
        </w:tcPr>
        <w:p w:rsidR="00315D54" w:rsidRDefault="00315D54">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315D54" w:rsidRDefault="00315D54">
          <w:pPr>
            <w:pStyle w:val="itu"/>
            <w:rPr>
              <w:lang w:val="es-ES_tradnl"/>
            </w:rPr>
          </w:pPr>
          <w:r>
            <w:rPr>
              <w:lang w:val="es-ES_tradnl"/>
            </w:rPr>
            <w:t>Télex 421 000 uit ch</w:t>
          </w:r>
        </w:p>
      </w:tc>
      <w:tc>
        <w:tcPr>
          <w:tcW w:w="1131" w:type="pct"/>
          <w:tcBorders>
            <w:top w:val="single" w:sz="6" w:space="0" w:color="auto"/>
          </w:tcBorders>
          <w:tcMar>
            <w:top w:w="57" w:type="dxa"/>
          </w:tcMar>
        </w:tcPr>
        <w:p w:rsidR="00315D54" w:rsidRDefault="00315D54">
          <w:pPr>
            <w:pStyle w:val="itu"/>
            <w:rPr>
              <w:lang w:val="es-ES_tradnl"/>
            </w:rPr>
          </w:pPr>
          <w:r>
            <w:rPr>
              <w:lang w:val="es-ES_tradnl"/>
            </w:rPr>
            <w:t>E-mail:</w:t>
          </w:r>
          <w:r>
            <w:rPr>
              <w:lang w:val="es-ES_tradnl"/>
            </w:rPr>
            <w:tab/>
            <w:t>itumail@itu.int</w:t>
          </w:r>
        </w:p>
      </w:tc>
    </w:tr>
    <w:tr w:rsidR="00315D54" w:rsidRPr="00D3452C">
      <w:trPr>
        <w:cantSplit/>
      </w:trPr>
      <w:tc>
        <w:tcPr>
          <w:tcW w:w="1062" w:type="pct"/>
        </w:tcPr>
        <w:p w:rsidR="00315D54" w:rsidRDefault="00315D54">
          <w:pPr>
            <w:pStyle w:val="itu"/>
            <w:rPr>
              <w:lang w:val="es-ES_tradnl"/>
            </w:rPr>
          </w:pPr>
          <w:r>
            <w:rPr>
              <w:lang w:val="es-ES_tradnl"/>
            </w:rPr>
            <w:t>CH-1211 Ginebra 20</w:t>
          </w:r>
        </w:p>
      </w:tc>
      <w:tc>
        <w:tcPr>
          <w:tcW w:w="1584" w:type="pct"/>
        </w:tcPr>
        <w:p w:rsidR="00315D54" w:rsidRDefault="00315D54">
          <w:pPr>
            <w:pStyle w:val="itu"/>
            <w:rPr>
              <w:lang w:val="es-ES_tradnl"/>
            </w:rPr>
          </w:pPr>
          <w:r>
            <w:rPr>
              <w:lang w:val="es-ES_tradnl"/>
            </w:rPr>
            <w:t>Telefax</w:t>
          </w:r>
          <w:r>
            <w:rPr>
              <w:lang w:val="es-ES_tradnl"/>
            </w:rPr>
            <w:tab/>
            <w:t>Gr3:</w:t>
          </w:r>
          <w:r>
            <w:rPr>
              <w:lang w:val="es-ES_tradnl"/>
            </w:rPr>
            <w:tab/>
            <w:t>+41 22 733 72 56</w:t>
          </w:r>
        </w:p>
      </w:tc>
      <w:tc>
        <w:tcPr>
          <w:tcW w:w="1223" w:type="pct"/>
        </w:tcPr>
        <w:p w:rsidR="00315D54" w:rsidRDefault="00315D54">
          <w:pPr>
            <w:pStyle w:val="itu"/>
            <w:rPr>
              <w:lang w:val="es-ES_tradnl"/>
            </w:rPr>
          </w:pPr>
          <w:r>
            <w:rPr>
              <w:lang w:val="es-ES_tradnl"/>
            </w:rPr>
            <w:t>Telegrama ITU GENEVE</w:t>
          </w:r>
        </w:p>
      </w:tc>
      <w:tc>
        <w:tcPr>
          <w:tcW w:w="1131" w:type="pct"/>
        </w:tcPr>
        <w:p w:rsidR="00315D54" w:rsidRPr="00D3452C" w:rsidRDefault="00315D54">
          <w:pPr>
            <w:pStyle w:val="itu"/>
            <w:rPr>
              <w:lang w:val="es-ES_tradnl"/>
            </w:rPr>
          </w:pPr>
          <w:r w:rsidRPr="00D3452C">
            <w:rPr>
              <w:lang w:val="es-ES_tradnl"/>
            </w:rPr>
            <w:tab/>
          </w:r>
          <w:hyperlink r:id="rId1" w:history="1">
            <w:r w:rsidRPr="00D3452C">
              <w:rPr>
                <w:rStyle w:val="Hipervnculo"/>
                <w:color w:val="auto"/>
                <w:lang w:val="es-ES_tradnl"/>
              </w:rPr>
              <w:t>http://www.itu.int/</w:t>
            </w:r>
          </w:hyperlink>
        </w:p>
      </w:tc>
    </w:tr>
    <w:tr w:rsidR="00315D54">
      <w:trPr>
        <w:cantSplit/>
      </w:trPr>
      <w:tc>
        <w:tcPr>
          <w:tcW w:w="1062" w:type="pct"/>
        </w:tcPr>
        <w:p w:rsidR="00315D54" w:rsidRDefault="00315D54">
          <w:pPr>
            <w:pStyle w:val="itu"/>
            <w:rPr>
              <w:lang w:val="es-ES_tradnl"/>
            </w:rPr>
          </w:pPr>
          <w:r>
            <w:rPr>
              <w:lang w:val="es-ES_tradnl"/>
            </w:rPr>
            <w:t>Suiza</w:t>
          </w:r>
        </w:p>
      </w:tc>
      <w:tc>
        <w:tcPr>
          <w:tcW w:w="1584" w:type="pct"/>
        </w:tcPr>
        <w:p w:rsidR="00315D54" w:rsidRDefault="00315D54">
          <w:pPr>
            <w:pStyle w:val="itu"/>
            <w:rPr>
              <w:lang w:val="es-ES_tradnl"/>
            </w:rPr>
          </w:pPr>
          <w:r>
            <w:rPr>
              <w:lang w:val="es-ES_tradnl"/>
            </w:rPr>
            <w:tab/>
            <w:t>Gr4:</w:t>
          </w:r>
          <w:r>
            <w:rPr>
              <w:lang w:val="es-ES_tradnl"/>
            </w:rPr>
            <w:tab/>
            <w:t>+41 22 730 65 00</w:t>
          </w:r>
        </w:p>
      </w:tc>
      <w:tc>
        <w:tcPr>
          <w:tcW w:w="1223" w:type="pct"/>
        </w:tcPr>
        <w:p w:rsidR="00315D54" w:rsidRDefault="00315D54">
          <w:pPr>
            <w:pStyle w:val="itu"/>
            <w:rPr>
              <w:lang w:val="es-ES_tradnl"/>
            </w:rPr>
          </w:pPr>
        </w:p>
      </w:tc>
      <w:tc>
        <w:tcPr>
          <w:tcW w:w="1131" w:type="pct"/>
        </w:tcPr>
        <w:p w:rsidR="00315D54" w:rsidRDefault="00315D54">
          <w:pPr>
            <w:pStyle w:val="itu"/>
            <w:rPr>
              <w:lang w:val="es-ES_tradnl"/>
            </w:rPr>
          </w:pPr>
        </w:p>
      </w:tc>
    </w:tr>
  </w:tbl>
  <w:p w:rsidR="00315D54" w:rsidRDefault="00315D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D54" w:rsidRDefault="00315D54">
      <w:r>
        <w:t>____________________</w:t>
      </w:r>
    </w:p>
  </w:footnote>
  <w:footnote w:type="continuationSeparator" w:id="0">
    <w:p w:rsidR="00315D54" w:rsidRDefault="0031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D54" w:rsidRDefault="00315D54">
    <w:pPr>
      <w:pStyle w:val="Encabezado"/>
      <w:rPr>
        <w:rStyle w:val="Nmerodepgina"/>
      </w:rPr>
    </w:pPr>
    <w:r>
      <w:rPr>
        <w:lang w:val="en-US"/>
      </w:rPr>
      <w:t xml:space="preserve">- </w:t>
    </w:r>
    <w:r>
      <w:rPr>
        <w:rStyle w:val="Nmerodepgina"/>
      </w:rPr>
      <w:fldChar w:fldCharType="begin"/>
    </w:r>
    <w:r>
      <w:rPr>
        <w:rStyle w:val="Nmerodepgina"/>
      </w:rPr>
      <w:instrText xml:space="preserve"> PAGE </w:instrText>
    </w:r>
    <w:r>
      <w:rPr>
        <w:rStyle w:val="Nmerodepgina"/>
      </w:rPr>
      <w:fldChar w:fldCharType="separate"/>
    </w:r>
    <w:r w:rsidR="00BF50B3">
      <w:rPr>
        <w:rStyle w:val="Nmerodepgina"/>
        <w:noProof/>
      </w:rPr>
      <w:t>3</w:t>
    </w:r>
    <w:r>
      <w:rPr>
        <w:rStyle w:val="Nmerodepgina"/>
      </w:rPr>
      <w:fldChar w:fldCharType="end"/>
    </w:r>
    <w:r>
      <w:rPr>
        <w:rStyle w:val="Nmerodepgin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1701"/>
      <w:gridCol w:w="1701"/>
      <w:gridCol w:w="1701"/>
      <w:gridCol w:w="1701"/>
    </w:tblGrid>
    <w:tr w:rsidR="00C60A1B">
      <w:trPr>
        <w:cantSplit/>
      </w:trPr>
      <w:tc>
        <w:tcPr>
          <w:tcW w:w="1701" w:type="dxa"/>
          <w:tcBorders>
            <w:top w:val="single" w:sz="6" w:space="0" w:color="auto"/>
            <w:left w:val="single" w:sz="6" w:space="0" w:color="auto"/>
            <w:bottom w:val="single" w:sz="6" w:space="0" w:color="auto"/>
            <w:right w:val="single" w:sz="6" w:space="0" w:color="auto"/>
          </w:tcBorders>
        </w:tcPr>
        <w:p w:rsidR="00C60A1B" w:rsidRDefault="00C60A1B">
          <w:pPr>
            <w:pStyle w:val="HeaderRegProc"/>
            <w:rPr>
              <w:lang w:val="en-US"/>
            </w:rPr>
          </w:pPr>
          <w:r>
            <w:rPr>
              <w:lang w:val="en-US"/>
            </w:rPr>
            <w:t>Part A1</w:t>
          </w:r>
        </w:p>
      </w:tc>
      <w:tc>
        <w:tcPr>
          <w:tcW w:w="1701" w:type="dxa"/>
          <w:tcBorders>
            <w:top w:val="single" w:sz="6" w:space="0" w:color="auto"/>
            <w:left w:val="single" w:sz="6" w:space="0" w:color="auto"/>
            <w:bottom w:val="single" w:sz="6" w:space="0" w:color="auto"/>
            <w:right w:val="single" w:sz="6" w:space="0" w:color="auto"/>
          </w:tcBorders>
        </w:tcPr>
        <w:p w:rsidR="00C60A1B" w:rsidRDefault="00C60A1B">
          <w:pPr>
            <w:pStyle w:val="HeaderRegProc"/>
            <w:rPr>
              <w:lang w:val="en-US"/>
            </w:rPr>
          </w:pPr>
          <w:r>
            <w:fldChar w:fldCharType="begin"/>
          </w:r>
          <w:r>
            <w:rPr>
              <w:lang w:val="en-US"/>
            </w:rPr>
            <w:instrText>styleref href2</w:instrText>
          </w:r>
          <w:r>
            <w:fldChar w:fldCharType="separate"/>
          </w:r>
          <w:r w:rsidR="00BF50B3">
            <w:rPr>
              <w:noProof/>
            </w:rPr>
            <w:t>Administración Notificante</w:t>
          </w:r>
          <w:r>
            <w:fldChar w:fldCharType="end"/>
          </w:r>
        </w:p>
      </w:tc>
      <w:tc>
        <w:tcPr>
          <w:tcW w:w="1701" w:type="dxa"/>
          <w:tcBorders>
            <w:top w:val="single" w:sz="6" w:space="0" w:color="auto"/>
            <w:left w:val="single" w:sz="6" w:space="0" w:color="auto"/>
            <w:bottom w:val="single" w:sz="6" w:space="0" w:color="auto"/>
            <w:right w:val="single" w:sz="6" w:space="0" w:color="auto"/>
          </w:tcBorders>
        </w:tcPr>
        <w:p w:rsidR="00C60A1B" w:rsidRDefault="00C60A1B">
          <w:pPr>
            <w:pStyle w:val="HeaderRegProc"/>
            <w:rPr>
              <w:lang w:val="fr-CH"/>
            </w:rPr>
          </w:pPr>
          <w:r>
            <w:rPr>
              <w:lang w:val="en-US"/>
            </w:rPr>
            <w:t xml:space="preserve">page </w:t>
          </w:r>
          <w:r>
            <w:rPr>
              <w:rStyle w:val="Nmerodepgina"/>
            </w:rPr>
            <w:fldChar w:fldCharType="begin"/>
          </w:r>
          <w:r>
            <w:rPr>
              <w:rStyle w:val="Nmerodepgina"/>
            </w:rPr>
            <w:instrText xml:space="preserve"> PAGE </w:instrText>
          </w:r>
          <w:r>
            <w:rPr>
              <w:rStyle w:val="Nmerodepgina"/>
            </w:rPr>
            <w:fldChar w:fldCharType="separate"/>
          </w:r>
          <w:r w:rsidR="00BF50B3">
            <w:rPr>
              <w:rStyle w:val="Nmerodepgina"/>
              <w:noProof/>
            </w:rPr>
            <w:t>3</w:t>
          </w:r>
          <w:r>
            <w:rPr>
              <w:rStyle w:val="Nmerodepgina"/>
            </w:rPr>
            <w:fldChar w:fldCharType="end"/>
          </w:r>
        </w:p>
      </w:tc>
      <w:tc>
        <w:tcPr>
          <w:tcW w:w="1701" w:type="dxa"/>
          <w:tcBorders>
            <w:top w:val="single" w:sz="6" w:space="0" w:color="auto"/>
            <w:left w:val="single" w:sz="6" w:space="0" w:color="auto"/>
            <w:bottom w:val="single" w:sz="6" w:space="0" w:color="auto"/>
            <w:right w:val="single" w:sz="6" w:space="0" w:color="auto"/>
          </w:tcBorders>
        </w:tcPr>
        <w:p w:rsidR="00C60A1B" w:rsidRDefault="00C60A1B">
          <w:pPr>
            <w:pStyle w:val="HeaderRegProc"/>
            <w:rPr>
              <w:lang w:val="fr-CH"/>
            </w:rPr>
          </w:pPr>
          <w:r>
            <w:rPr>
              <w:lang w:val="fr-CH"/>
            </w:rPr>
            <w:t>rev.</w:t>
          </w:r>
          <w:r>
            <w:t>-</w:t>
          </w:r>
        </w:p>
      </w:tc>
    </w:tr>
  </w:tbl>
  <w:p w:rsidR="00C60A1B" w:rsidRDefault="00C60A1B">
    <w:pPr>
      <w:rPr>
        <w:lang w:val="fr-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2996C0C-4B97-4FA2-B4AA-CC352B89EC4C}"/>
    <w:docVar w:name="dgnword-eventsink" w:val="183812104"/>
  </w:docVars>
  <w:rsids>
    <w:rsidRoot w:val="005D67E9"/>
    <w:rsid w:val="0000010E"/>
    <w:rsid w:val="00035B7A"/>
    <w:rsid w:val="00037D6F"/>
    <w:rsid w:val="00066394"/>
    <w:rsid w:val="000D7451"/>
    <w:rsid w:val="0012343A"/>
    <w:rsid w:val="00126EEC"/>
    <w:rsid w:val="00131358"/>
    <w:rsid w:val="00227F66"/>
    <w:rsid w:val="002371E4"/>
    <w:rsid w:val="00240010"/>
    <w:rsid w:val="002667AD"/>
    <w:rsid w:val="00287210"/>
    <w:rsid w:val="002D46EF"/>
    <w:rsid w:val="00315D54"/>
    <w:rsid w:val="003274F1"/>
    <w:rsid w:val="00336068"/>
    <w:rsid w:val="00362D28"/>
    <w:rsid w:val="00416F5A"/>
    <w:rsid w:val="00450AC5"/>
    <w:rsid w:val="004A2C44"/>
    <w:rsid w:val="004A7D24"/>
    <w:rsid w:val="004E5A6F"/>
    <w:rsid w:val="0059114F"/>
    <w:rsid w:val="00594FE2"/>
    <w:rsid w:val="005A4BFD"/>
    <w:rsid w:val="005A7AB1"/>
    <w:rsid w:val="005B0F09"/>
    <w:rsid w:val="005D67E9"/>
    <w:rsid w:val="005D7BD6"/>
    <w:rsid w:val="00667138"/>
    <w:rsid w:val="00695600"/>
    <w:rsid w:val="006F3335"/>
    <w:rsid w:val="00777B1D"/>
    <w:rsid w:val="007F69C1"/>
    <w:rsid w:val="00815C99"/>
    <w:rsid w:val="00825B89"/>
    <w:rsid w:val="0084595B"/>
    <w:rsid w:val="00862823"/>
    <w:rsid w:val="0086616C"/>
    <w:rsid w:val="008A5166"/>
    <w:rsid w:val="009952B4"/>
    <w:rsid w:val="009E1852"/>
    <w:rsid w:val="009E744C"/>
    <w:rsid w:val="00A4195E"/>
    <w:rsid w:val="00A46F52"/>
    <w:rsid w:val="00A5082C"/>
    <w:rsid w:val="00A86842"/>
    <w:rsid w:val="00AB78EB"/>
    <w:rsid w:val="00AB79EB"/>
    <w:rsid w:val="00AE07DC"/>
    <w:rsid w:val="00AF1775"/>
    <w:rsid w:val="00AF7D21"/>
    <w:rsid w:val="00B77F13"/>
    <w:rsid w:val="00BF50B3"/>
    <w:rsid w:val="00C472F2"/>
    <w:rsid w:val="00C60A1B"/>
    <w:rsid w:val="00CC06B6"/>
    <w:rsid w:val="00D04A11"/>
    <w:rsid w:val="00D33109"/>
    <w:rsid w:val="00D3452C"/>
    <w:rsid w:val="00D42395"/>
    <w:rsid w:val="00DB0CCA"/>
    <w:rsid w:val="00DE2721"/>
    <w:rsid w:val="00E163B1"/>
    <w:rsid w:val="00E70502"/>
    <w:rsid w:val="00F17E52"/>
    <w:rsid w:val="00F31670"/>
    <w:rsid w:val="00F46839"/>
    <w:rsid w:val="00F62639"/>
    <w:rsid w:val="00F91879"/>
    <w:rsid w:val="00F962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Ttulo1">
    <w:name w:val="heading 1"/>
    <w:basedOn w:val="Normal"/>
    <w:next w:val="Normal"/>
    <w:link w:val="Ttulo1Car"/>
    <w:qFormat/>
    <w:pPr>
      <w:keepNext/>
      <w:keepLines/>
      <w:spacing w:before="360"/>
      <w:ind w:left="794" w:hanging="794"/>
      <w:outlineLvl w:val="0"/>
    </w:pPr>
    <w:rPr>
      <w:b/>
    </w:rPr>
  </w:style>
  <w:style w:type="paragraph" w:styleId="Ttulo2">
    <w:name w:val="heading 2"/>
    <w:basedOn w:val="Ttulo1"/>
    <w:next w:val="Normal"/>
    <w:qFormat/>
    <w:pPr>
      <w:spacing w:before="240"/>
      <w:outlineLvl w:val="1"/>
    </w:pPr>
  </w:style>
  <w:style w:type="paragraph" w:styleId="Ttulo3">
    <w:name w:val="heading 3"/>
    <w:basedOn w:val="Ttulo1"/>
    <w:next w:val="Normal"/>
    <w:qFormat/>
    <w:pPr>
      <w:spacing w:before="160"/>
      <w:outlineLvl w:val="2"/>
    </w:pPr>
  </w:style>
  <w:style w:type="paragraph" w:styleId="Ttulo4">
    <w:name w:val="heading 4"/>
    <w:basedOn w:val="Ttulo3"/>
    <w:next w:val="Normal"/>
    <w:qFormat/>
    <w:pPr>
      <w:tabs>
        <w:tab w:val="clear" w:pos="794"/>
        <w:tab w:val="left" w:pos="1021"/>
      </w:tabs>
      <w:ind w:left="1021" w:hanging="1021"/>
      <w:outlineLvl w:val="3"/>
    </w:pPr>
  </w:style>
  <w:style w:type="paragraph" w:styleId="Ttulo5">
    <w:name w:val="heading 5"/>
    <w:basedOn w:val="Ttulo4"/>
    <w:next w:val="Normal"/>
    <w:qFormat/>
    <w:pPr>
      <w:outlineLvl w:val="4"/>
    </w:pPr>
  </w:style>
  <w:style w:type="paragraph" w:styleId="Ttulo6">
    <w:name w:val="heading 6"/>
    <w:basedOn w:val="Ttulo4"/>
    <w:next w:val="Normal"/>
    <w:qFormat/>
    <w:pPr>
      <w:tabs>
        <w:tab w:val="clear" w:pos="1021"/>
        <w:tab w:val="clear" w:pos="1191"/>
      </w:tabs>
      <w:ind w:left="1588" w:hanging="1588"/>
      <w:outlineLvl w:val="5"/>
    </w:pPr>
  </w:style>
  <w:style w:type="paragraph" w:styleId="Ttulo7">
    <w:name w:val="heading 7"/>
    <w:basedOn w:val="Ttulo6"/>
    <w:next w:val="Normal"/>
    <w:qFormat/>
    <w:pPr>
      <w:outlineLvl w:val="6"/>
    </w:pPr>
  </w:style>
  <w:style w:type="paragraph" w:styleId="Ttulo8">
    <w:name w:val="heading 8"/>
    <w:basedOn w:val="Ttulo6"/>
    <w:next w:val="Normal"/>
    <w:qFormat/>
    <w:pPr>
      <w:outlineLvl w:val="7"/>
    </w:pPr>
  </w:style>
  <w:style w:type="paragraph" w:styleId="Ttulo9">
    <w:name w:val="heading 9"/>
    <w:basedOn w:val="Ttulo6"/>
    <w:next w:val="Normal"/>
    <w:qFormat/>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8">
    <w:name w:val="toc 8"/>
    <w:basedOn w:val="TDC4"/>
    <w:semiHidden/>
  </w:style>
  <w:style w:type="paragraph" w:styleId="TDC4">
    <w:name w:val="toc 4"/>
    <w:basedOn w:val="TDC3"/>
    <w:semiHidden/>
  </w:style>
  <w:style w:type="paragraph" w:styleId="TDC3">
    <w:name w:val="toc 3"/>
    <w:basedOn w:val="TDC2"/>
    <w:semiHidden/>
  </w:style>
  <w:style w:type="paragraph" w:styleId="TDC2">
    <w:name w:val="toc 2"/>
    <w:basedOn w:val="TDC1"/>
    <w:semiHidden/>
    <w:pPr>
      <w:spacing w:before="80"/>
      <w:ind w:left="1531" w:hanging="851"/>
    </w:pPr>
  </w:style>
  <w:style w:type="paragraph" w:styleId="TD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DC7">
    <w:name w:val="toc 7"/>
    <w:basedOn w:val="TDC4"/>
    <w:semiHidden/>
  </w:style>
  <w:style w:type="paragraph" w:styleId="TDC6">
    <w:name w:val="toc 6"/>
    <w:basedOn w:val="TDC4"/>
    <w:semiHidden/>
  </w:style>
  <w:style w:type="paragraph" w:styleId="TDC5">
    <w:name w:val="toc 5"/>
    <w:basedOn w:val="TD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ndice3">
    <w:name w:val="index 3"/>
    <w:basedOn w:val="Normal"/>
    <w:next w:val="Normal"/>
    <w:semiHidden/>
    <w:pPr>
      <w:ind w:left="566"/>
    </w:pPr>
  </w:style>
  <w:style w:type="paragraph" w:styleId="ndice2">
    <w:name w:val="index 2"/>
    <w:basedOn w:val="Normal"/>
    <w:next w:val="Normal"/>
    <w:semiHidden/>
    <w:pPr>
      <w:ind w:left="283"/>
    </w:pPr>
  </w:style>
  <w:style w:type="paragraph" w:styleId="ndice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Piedepgina">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Encabezado">
    <w:name w:val="header"/>
    <w:aliases w:val="encabezado"/>
    <w:basedOn w:val="Normal"/>
    <w:pPr>
      <w:tabs>
        <w:tab w:val="clear" w:pos="794"/>
        <w:tab w:val="clear" w:pos="1191"/>
        <w:tab w:val="clear" w:pos="1588"/>
        <w:tab w:val="clear" w:pos="1985"/>
      </w:tabs>
      <w:spacing w:before="0"/>
      <w:jc w:val="center"/>
    </w:pPr>
    <w:rPr>
      <w:sz w:val="18"/>
    </w:rPr>
  </w:style>
  <w:style w:type="character" w:styleId="Refdenotaalpie">
    <w:name w:val="footnote reference"/>
    <w:basedOn w:val="Fuentedeprrafopredeter"/>
    <w:semiHidden/>
    <w:rPr>
      <w:position w:val="6"/>
      <w:sz w:val="18"/>
    </w:rPr>
  </w:style>
  <w:style w:type="paragraph" w:styleId="Textonotapie">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DC1"/>
    <w:pPr>
      <w:tabs>
        <w:tab w:val="clear" w:pos="794"/>
        <w:tab w:val="clear" w:pos="1191"/>
        <w:tab w:val="clear" w:pos="1588"/>
        <w:tab w:val="clear" w:pos="1985"/>
        <w:tab w:val="right" w:pos="9639"/>
      </w:tabs>
    </w:pPr>
    <w:rPr>
      <w:b/>
    </w:rPr>
  </w:style>
  <w:style w:type="paragraph" w:styleId="Lista">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Piedepgina"/>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DC9">
    <w:name w:val="toc 9"/>
    <w:basedOn w:val="TDC3"/>
    <w:semiHidden/>
  </w:style>
  <w:style w:type="character" w:styleId="Hipervnculo">
    <w:name w:val="Hyperlink"/>
    <w:basedOn w:val="Fuentedeprrafopredeter"/>
    <w:rPr>
      <w:color w:val="0000FF"/>
      <w:u w:val="single"/>
    </w:rPr>
  </w:style>
  <w:style w:type="paragraph" w:customStyle="1" w:styleId="Formal">
    <w:name w:val="Formal"/>
    <w:basedOn w:val="ASN1"/>
    <w:rPr>
      <w:b w:val="0"/>
    </w:rPr>
  </w:style>
  <w:style w:type="character" w:styleId="Nmerodepgina">
    <w:name w:val="page number"/>
    <w:basedOn w:val="Fuentedeprrafopredete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Fuentedeprrafopredeter"/>
    <w:rPr>
      <w:rFonts w:ascii="Times New Roman" w:hAnsi="Times New Roman"/>
      <w:b/>
    </w:rPr>
  </w:style>
  <w:style w:type="character" w:customStyle="1" w:styleId="Appref">
    <w:name w:val="App_ref"/>
    <w:basedOn w:val="Fuentedeprrafopredete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Fuentedeprrafopredeter"/>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Fuentedeprrafopredete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Refdenotaalfinal">
    <w:name w:val="endnote reference"/>
    <w:basedOn w:val="Fuentedeprrafopredeter"/>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Fuentedeprrafopredeter"/>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Fuentedeprrafopredeter"/>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Piedepgin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Fuentedeprrafopredeter"/>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Ttulo1"/>
    <w:rPr>
      <w:b/>
    </w:rPr>
  </w:style>
  <w:style w:type="paragraph" w:customStyle="1" w:styleId="FigureNoBR">
    <w:name w:val="Figure_No_BR"/>
    <w:basedOn w:val="Normal"/>
    <w:next w:val="FiguretitleBR"/>
    <w:pPr>
      <w:keepNext/>
      <w:keepLines/>
      <w:spacing w:before="480" w:after="120"/>
      <w:jc w:val="center"/>
    </w:pPr>
    <w:rPr>
      <w:caps/>
    </w:rPr>
  </w:style>
  <w:style w:type="table" w:styleId="Tablaconcuadrcula">
    <w:name w:val="Table Grid"/>
    <w:basedOn w:val="Tabla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styleId="Hipervnculovisitado">
    <w:name w:val="FollowedHyperlink"/>
    <w:basedOn w:val="Fuentedeprrafopredeter"/>
    <w:rsid w:val="00AF1775"/>
    <w:rPr>
      <w:color w:val="800080"/>
      <w:u w:val="single"/>
    </w:rPr>
  </w:style>
  <w:style w:type="paragraph" w:styleId="Textodeglobo">
    <w:name w:val="Balloon Text"/>
    <w:basedOn w:val="Normal"/>
    <w:link w:val="TextodegloboCar"/>
    <w:rsid w:val="000D7451"/>
    <w:pPr>
      <w:spacing w:before="0"/>
    </w:pPr>
    <w:rPr>
      <w:rFonts w:ascii="Tahoma" w:hAnsi="Tahoma" w:cs="Tahoma"/>
      <w:sz w:val="16"/>
      <w:szCs w:val="16"/>
    </w:rPr>
  </w:style>
  <w:style w:type="character" w:customStyle="1" w:styleId="TextodegloboCar">
    <w:name w:val="Texto de globo Car"/>
    <w:basedOn w:val="Fuentedeprrafopredeter"/>
    <w:link w:val="Textodeglobo"/>
    <w:rsid w:val="000D7451"/>
    <w:rPr>
      <w:rFonts w:ascii="Tahoma" w:hAnsi="Tahoma" w:cs="Tahoma"/>
      <w:sz w:val="16"/>
      <w:szCs w:val="16"/>
      <w:lang w:val="es-ES_tradnl" w:eastAsia="en-US"/>
    </w:rPr>
  </w:style>
  <w:style w:type="paragraph" w:customStyle="1" w:styleId="TableText0">
    <w:name w:val="Table_Text"/>
    <w:basedOn w:val="Normal"/>
    <w:rsid w:val="00C60A1B"/>
    <w:pPr>
      <w:tabs>
        <w:tab w:val="clear" w:pos="794"/>
        <w:tab w:val="clear" w:pos="1191"/>
        <w:tab w:val="clear" w:pos="1588"/>
        <w:tab w:val="clear" w:pos="1985"/>
      </w:tabs>
      <w:spacing w:before="40" w:after="40"/>
      <w:jc w:val="both"/>
    </w:pPr>
    <w:rPr>
      <w:sz w:val="20"/>
      <w:lang w:val="fr-FR"/>
    </w:rPr>
  </w:style>
  <w:style w:type="character" w:customStyle="1" w:styleId="TabletextChar">
    <w:name w:val="Table_text Char"/>
    <w:basedOn w:val="Fuentedeprrafopredeter"/>
    <w:link w:val="Tabletext"/>
    <w:locked/>
    <w:rsid w:val="00C60A1B"/>
    <w:rPr>
      <w:rFonts w:ascii="Times New Roman" w:hAnsi="Times New Roman"/>
      <w:sz w:val="22"/>
      <w:lang w:val="es-ES_tradnl" w:eastAsia="en-US"/>
    </w:rPr>
  </w:style>
  <w:style w:type="paragraph" w:customStyle="1" w:styleId="HeaderRegProc">
    <w:name w:val="Header_RegProc"/>
    <w:basedOn w:val="Normal"/>
    <w:rsid w:val="00C60A1B"/>
    <w:pPr>
      <w:tabs>
        <w:tab w:val="clear" w:pos="794"/>
        <w:tab w:val="clear" w:pos="1191"/>
        <w:tab w:val="clear" w:pos="1588"/>
        <w:tab w:val="clear" w:pos="1985"/>
        <w:tab w:val="center" w:pos="4678"/>
        <w:tab w:val="right" w:pos="9356"/>
      </w:tabs>
      <w:spacing w:before="4"/>
      <w:ind w:left="142"/>
      <w:jc w:val="both"/>
    </w:pPr>
    <w:rPr>
      <w:rFonts w:ascii="Arial" w:hAnsi="Arial" w:cs="Arial"/>
      <w:bCs/>
      <w:sz w:val="20"/>
      <w:lang w:val="es-ES"/>
    </w:rPr>
  </w:style>
  <w:style w:type="character" w:customStyle="1" w:styleId="href2">
    <w:name w:val="href2"/>
    <w:basedOn w:val="Fuentedeprrafopredeter"/>
    <w:rsid w:val="00C60A1B"/>
  </w:style>
  <w:style w:type="character" w:customStyle="1" w:styleId="Ttulo1Car">
    <w:name w:val="Título 1 Car"/>
    <w:link w:val="Ttulo1"/>
    <w:rsid w:val="00C60A1B"/>
    <w:rPr>
      <w:rFonts w:ascii="Times New Roman" w:hAnsi="Times New Roman"/>
      <w:b/>
      <w:sz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Ttulo1">
    <w:name w:val="heading 1"/>
    <w:basedOn w:val="Normal"/>
    <w:next w:val="Normal"/>
    <w:link w:val="Ttulo1Car"/>
    <w:qFormat/>
    <w:pPr>
      <w:keepNext/>
      <w:keepLines/>
      <w:spacing w:before="360"/>
      <w:ind w:left="794" w:hanging="794"/>
      <w:outlineLvl w:val="0"/>
    </w:pPr>
    <w:rPr>
      <w:b/>
    </w:rPr>
  </w:style>
  <w:style w:type="paragraph" w:styleId="Ttulo2">
    <w:name w:val="heading 2"/>
    <w:basedOn w:val="Ttulo1"/>
    <w:next w:val="Normal"/>
    <w:qFormat/>
    <w:pPr>
      <w:spacing w:before="240"/>
      <w:outlineLvl w:val="1"/>
    </w:pPr>
  </w:style>
  <w:style w:type="paragraph" w:styleId="Ttulo3">
    <w:name w:val="heading 3"/>
    <w:basedOn w:val="Ttulo1"/>
    <w:next w:val="Normal"/>
    <w:qFormat/>
    <w:pPr>
      <w:spacing w:before="160"/>
      <w:outlineLvl w:val="2"/>
    </w:pPr>
  </w:style>
  <w:style w:type="paragraph" w:styleId="Ttulo4">
    <w:name w:val="heading 4"/>
    <w:basedOn w:val="Ttulo3"/>
    <w:next w:val="Normal"/>
    <w:qFormat/>
    <w:pPr>
      <w:tabs>
        <w:tab w:val="clear" w:pos="794"/>
        <w:tab w:val="left" w:pos="1021"/>
      </w:tabs>
      <w:ind w:left="1021" w:hanging="1021"/>
      <w:outlineLvl w:val="3"/>
    </w:pPr>
  </w:style>
  <w:style w:type="paragraph" w:styleId="Ttulo5">
    <w:name w:val="heading 5"/>
    <w:basedOn w:val="Ttulo4"/>
    <w:next w:val="Normal"/>
    <w:qFormat/>
    <w:pPr>
      <w:outlineLvl w:val="4"/>
    </w:pPr>
  </w:style>
  <w:style w:type="paragraph" w:styleId="Ttulo6">
    <w:name w:val="heading 6"/>
    <w:basedOn w:val="Ttulo4"/>
    <w:next w:val="Normal"/>
    <w:qFormat/>
    <w:pPr>
      <w:tabs>
        <w:tab w:val="clear" w:pos="1021"/>
        <w:tab w:val="clear" w:pos="1191"/>
      </w:tabs>
      <w:ind w:left="1588" w:hanging="1588"/>
      <w:outlineLvl w:val="5"/>
    </w:pPr>
  </w:style>
  <w:style w:type="paragraph" w:styleId="Ttulo7">
    <w:name w:val="heading 7"/>
    <w:basedOn w:val="Ttulo6"/>
    <w:next w:val="Normal"/>
    <w:qFormat/>
    <w:pPr>
      <w:outlineLvl w:val="6"/>
    </w:pPr>
  </w:style>
  <w:style w:type="paragraph" w:styleId="Ttulo8">
    <w:name w:val="heading 8"/>
    <w:basedOn w:val="Ttulo6"/>
    <w:next w:val="Normal"/>
    <w:qFormat/>
    <w:pPr>
      <w:outlineLvl w:val="7"/>
    </w:pPr>
  </w:style>
  <w:style w:type="paragraph" w:styleId="Ttulo9">
    <w:name w:val="heading 9"/>
    <w:basedOn w:val="Ttulo6"/>
    <w:next w:val="Normal"/>
    <w:qFormat/>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8">
    <w:name w:val="toc 8"/>
    <w:basedOn w:val="TDC4"/>
    <w:semiHidden/>
  </w:style>
  <w:style w:type="paragraph" w:styleId="TDC4">
    <w:name w:val="toc 4"/>
    <w:basedOn w:val="TDC3"/>
    <w:semiHidden/>
  </w:style>
  <w:style w:type="paragraph" w:styleId="TDC3">
    <w:name w:val="toc 3"/>
    <w:basedOn w:val="TDC2"/>
    <w:semiHidden/>
  </w:style>
  <w:style w:type="paragraph" w:styleId="TDC2">
    <w:name w:val="toc 2"/>
    <w:basedOn w:val="TDC1"/>
    <w:semiHidden/>
    <w:pPr>
      <w:spacing w:before="80"/>
      <w:ind w:left="1531" w:hanging="851"/>
    </w:pPr>
  </w:style>
  <w:style w:type="paragraph" w:styleId="TD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DC7">
    <w:name w:val="toc 7"/>
    <w:basedOn w:val="TDC4"/>
    <w:semiHidden/>
  </w:style>
  <w:style w:type="paragraph" w:styleId="TDC6">
    <w:name w:val="toc 6"/>
    <w:basedOn w:val="TDC4"/>
    <w:semiHidden/>
  </w:style>
  <w:style w:type="paragraph" w:styleId="TDC5">
    <w:name w:val="toc 5"/>
    <w:basedOn w:val="TD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ndice3">
    <w:name w:val="index 3"/>
    <w:basedOn w:val="Normal"/>
    <w:next w:val="Normal"/>
    <w:semiHidden/>
    <w:pPr>
      <w:ind w:left="566"/>
    </w:pPr>
  </w:style>
  <w:style w:type="paragraph" w:styleId="ndice2">
    <w:name w:val="index 2"/>
    <w:basedOn w:val="Normal"/>
    <w:next w:val="Normal"/>
    <w:semiHidden/>
    <w:pPr>
      <w:ind w:left="283"/>
    </w:pPr>
  </w:style>
  <w:style w:type="paragraph" w:styleId="ndice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Piedepgina">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Encabezado">
    <w:name w:val="header"/>
    <w:aliases w:val="encabezado"/>
    <w:basedOn w:val="Normal"/>
    <w:pPr>
      <w:tabs>
        <w:tab w:val="clear" w:pos="794"/>
        <w:tab w:val="clear" w:pos="1191"/>
        <w:tab w:val="clear" w:pos="1588"/>
        <w:tab w:val="clear" w:pos="1985"/>
      </w:tabs>
      <w:spacing w:before="0"/>
      <w:jc w:val="center"/>
    </w:pPr>
    <w:rPr>
      <w:sz w:val="18"/>
    </w:rPr>
  </w:style>
  <w:style w:type="character" w:styleId="Refdenotaalpie">
    <w:name w:val="footnote reference"/>
    <w:basedOn w:val="Fuentedeprrafopredeter"/>
    <w:semiHidden/>
    <w:rPr>
      <w:position w:val="6"/>
      <w:sz w:val="18"/>
    </w:rPr>
  </w:style>
  <w:style w:type="paragraph" w:styleId="Textonotapie">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DC1"/>
    <w:pPr>
      <w:tabs>
        <w:tab w:val="clear" w:pos="794"/>
        <w:tab w:val="clear" w:pos="1191"/>
        <w:tab w:val="clear" w:pos="1588"/>
        <w:tab w:val="clear" w:pos="1985"/>
        <w:tab w:val="right" w:pos="9639"/>
      </w:tabs>
    </w:pPr>
    <w:rPr>
      <w:b/>
    </w:rPr>
  </w:style>
  <w:style w:type="paragraph" w:styleId="Lista">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Piedepgina"/>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DC9">
    <w:name w:val="toc 9"/>
    <w:basedOn w:val="TDC3"/>
    <w:semiHidden/>
  </w:style>
  <w:style w:type="character" w:styleId="Hipervnculo">
    <w:name w:val="Hyperlink"/>
    <w:basedOn w:val="Fuentedeprrafopredeter"/>
    <w:rPr>
      <w:color w:val="0000FF"/>
      <w:u w:val="single"/>
    </w:rPr>
  </w:style>
  <w:style w:type="paragraph" w:customStyle="1" w:styleId="Formal">
    <w:name w:val="Formal"/>
    <w:basedOn w:val="ASN1"/>
    <w:rPr>
      <w:b w:val="0"/>
    </w:rPr>
  </w:style>
  <w:style w:type="character" w:styleId="Nmerodepgina">
    <w:name w:val="page number"/>
    <w:basedOn w:val="Fuentedeprrafopredete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Fuentedeprrafopredeter"/>
    <w:rPr>
      <w:rFonts w:ascii="Times New Roman" w:hAnsi="Times New Roman"/>
      <w:b/>
    </w:rPr>
  </w:style>
  <w:style w:type="character" w:customStyle="1" w:styleId="Appref">
    <w:name w:val="App_ref"/>
    <w:basedOn w:val="Fuentedeprrafopredete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Fuentedeprrafopredeter"/>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Fuentedeprrafopredete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Refdenotaalfinal">
    <w:name w:val="endnote reference"/>
    <w:basedOn w:val="Fuentedeprrafopredeter"/>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Fuentedeprrafopredeter"/>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Fuentedeprrafopredeter"/>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Piedepgin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Fuentedeprrafopredeter"/>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Ttulo1"/>
    <w:rPr>
      <w:b/>
    </w:rPr>
  </w:style>
  <w:style w:type="paragraph" w:customStyle="1" w:styleId="FigureNoBR">
    <w:name w:val="Figure_No_BR"/>
    <w:basedOn w:val="Normal"/>
    <w:next w:val="FiguretitleBR"/>
    <w:pPr>
      <w:keepNext/>
      <w:keepLines/>
      <w:spacing w:before="480" w:after="120"/>
      <w:jc w:val="center"/>
    </w:pPr>
    <w:rPr>
      <w:caps/>
    </w:rPr>
  </w:style>
  <w:style w:type="table" w:styleId="Tablaconcuadrcula">
    <w:name w:val="Table Grid"/>
    <w:basedOn w:val="Tabla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styleId="Hipervnculovisitado">
    <w:name w:val="FollowedHyperlink"/>
    <w:basedOn w:val="Fuentedeprrafopredeter"/>
    <w:rsid w:val="00AF1775"/>
    <w:rPr>
      <w:color w:val="800080"/>
      <w:u w:val="single"/>
    </w:rPr>
  </w:style>
  <w:style w:type="paragraph" w:styleId="Textodeglobo">
    <w:name w:val="Balloon Text"/>
    <w:basedOn w:val="Normal"/>
    <w:link w:val="TextodegloboCar"/>
    <w:rsid w:val="000D7451"/>
    <w:pPr>
      <w:spacing w:before="0"/>
    </w:pPr>
    <w:rPr>
      <w:rFonts w:ascii="Tahoma" w:hAnsi="Tahoma" w:cs="Tahoma"/>
      <w:sz w:val="16"/>
      <w:szCs w:val="16"/>
    </w:rPr>
  </w:style>
  <w:style w:type="character" w:customStyle="1" w:styleId="TextodegloboCar">
    <w:name w:val="Texto de globo Car"/>
    <w:basedOn w:val="Fuentedeprrafopredeter"/>
    <w:link w:val="Textodeglobo"/>
    <w:rsid w:val="000D7451"/>
    <w:rPr>
      <w:rFonts w:ascii="Tahoma" w:hAnsi="Tahoma" w:cs="Tahoma"/>
      <w:sz w:val="16"/>
      <w:szCs w:val="16"/>
      <w:lang w:val="es-ES_tradnl" w:eastAsia="en-US"/>
    </w:rPr>
  </w:style>
  <w:style w:type="paragraph" w:customStyle="1" w:styleId="TableText0">
    <w:name w:val="Table_Text"/>
    <w:basedOn w:val="Normal"/>
    <w:rsid w:val="00C60A1B"/>
    <w:pPr>
      <w:tabs>
        <w:tab w:val="clear" w:pos="794"/>
        <w:tab w:val="clear" w:pos="1191"/>
        <w:tab w:val="clear" w:pos="1588"/>
        <w:tab w:val="clear" w:pos="1985"/>
      </w:tabs>
      <w:spacing w:before="40" w:after="40"/>
      <w:jc w:val="both"/>
    </w:pPr>
    <w:rPr>
      <w:sz w:val="20"/>
      <w:lang w:val="fr-FR"/>
    </w:rPr>
  </w:style>
  <w:style w:type="character" w:customStyle="1" w:styleId="TabletextChar">
    <w:name w:val="Table_text Char"/>
    <w:basedOn w:val="Fuentedeprrafopredeter"/>
    <w:link w:val="Tabletext"/>
    <w:locked/>
    <w:rsid w:val="00C60A1B"/>
    <w:rPr>
      <w:rFonts w:ascii="Times New Roman" w:hAnsi="Times New Roman"/>
      <w:sz w:val="22"/>
      <w:lang w:val="es-ES_tradnl" w:eastAsia="en-US"/>
    </w:rPr>
  </w:style>
  <w:style w:type="paragraph" w:customStyle="1" w:styleId="HeaderRegProc">
    <w:name w:val="Header_RegProc"/>
    <w:basedOn w:val="Normal"/>
    <w:rsid w:val="00C60A1B"/>
    <w:pPr>
      <w:tabs>
        <w:tab w:val="clear" w:pos="794"/>
        <w:tab w:val="clear" w:pos="1191"/>
        <w:tab w:val="clear" w:pos="1588"/>
        <w:tab w:val="clear" w:pos="1985"/>
        <w:tab w:val="center" w:pos="4678"/>
        <w:tab w:val="right" w:pos="9356"/>
      </w:tabs>
      <w:spacing w:before="4"/>
      <w:ind w:left="142"/>
      <w:jc w:val="both"/>
    </w:pPr>
    <w:rPr>
      <w:rFonts w:ascii="Arial" w:hAnsi="Arial" w:cs="Arial"/>
      <w:bCs/>
      <w:sz w:val="20"/>
      <w:lang w:val="es-ES"/>
    </w:rPr>
  </w:style>
  <w:style w:type="character" w:customStyle="1" w:styleId="href2">
    <w:name w:val="href2"/>
    <w:basedOn w:val="Fuentedeprrafopredeter"/>
    <w:rsid w:val="00C60A1B"/>
  </w:style>
  <w:style w:type="character" w:customStyle="1" w:styleId="Ttulo1Car">
    <w:name w:val="Título 1 Car"/>
    <w:link w:val="Ttulo1"/>
    <w:rsid w:val="00C60A1B"/>
    <w:rPr>
      <w:rFonts w:ascii="Times New Roman" w:hAnsi="Times New Roman"/>
      <w:b/>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itu.int/pub/R-REG-ROP-2009/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S\PS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PS_BRcirc.DOT</Template>
  <TotalTime>5</TotalTime>
  <Pages>3</Pages>
  <Words>643</Words>
  <Characters>3824</Characters>
  <Application>Microsoft Office Word</Application>
  <DocSecurity>0</DocSecurity>
  <Lines>31</Lines>
  <Paragraphs>8</Paragraphs>
  <ScaleCrop>false</ScaleCrop>
  <HeadingPairs>
    <vt:vector size="6" baseType="variant">
      <vt:variant>
        <vt:lpstr>Título</vt:lpstr>
      </vt:variant>
      <vt:variant>
        <vt:i4>1</vt:i4>
      </vt:variant>
      <vt:variant>
        <vt:lpstr>Títulos</vt:lpstr>
      </vt:variant>
      <vt:variant>
        <vt:i4>5</vt:i4>
      </vt:variant>
      <vt:variant>
        <vt:lpstr>Title</vt:lpstr>
      </vt:variant>
      <vt:variant>
        <vt:i4>1</vt:i4>
      </vt:variant>
    </vt:vector>
  </HeadingPairs>
  <TitlesOfParts>
    <vt:vector size="7" baseType="lpstr">
      <vt:lpstr>UNIÓN INTERNACIONAL DE TELECOMUNICACIONES</vt:lpstr>
      <vt:lpstr>ACTUALIZACIÓN de las</vt:lpstr>
      <vt:lpstr>    Reglas de Procedimiento</vt:lpstr>
      <vt:lpstr>    aprobadas por la Junta del Reglamento de Radiocomunicaciones</vt:lpstr>
      <vt:lpstr>Reglas relativas a la tramitación de cambio de Administración Notificante  que a</vt:lpstr>
      <vt:lpstr>1	Cambio de Administración Notificante</vt:lpstr>
      <vt:lpstr>UNIÓN INTERNACIONAL DE TELECOMUNICACIONES</vt:lpstr>
    </vt:vector>
  </TitlesOfParts>
  <Company>ITU</Company>
  <LinksUpToDate>false</LinksUpToDate>
  <CharactersWithSpaces>4459</CharactersWithSpaces>
  <SharedDoc>false</SharedDoc>
  <HLinks>
    <vt:vector size="6" baseType="variant">
      <vt:variant>
        <vt:i4>2752612</vt:i4>
      </vt:variant>
      <vt:variant>
        <vt:i4>15</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DE LEON</cp:lastModifiedBy>
  <cp:revision>5</cp:revision>
  <cp:lastPrinted>2011-08-23T09:49:00Z</cp:lastPrinted>
  <dcterms:created xsi:type="dcterms:W3CDTF">2011-08-23T09:46:00Z</dcterms:created>
  <dcterms:modified xsi:type="dcterms:W3CDTF">2011-08-23T09:52:00Z</dcterms:modified>
</cp:coreProperties>
</file>