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55"/>
        <w:gridCol w:w="1559"/>
      </w:tblGrid>
      <w:tr w:rsidR="00FA7B4D" w:rsidRPr="00C166D2" w:rsidTr="005F3856">
        <w:tc>
          <w:tcPr>
            <w:tcW w:w="8755" w:type="dxa"/>
            <w:shd w:val="clear" w:color="auto" w:fill="auto"/>
            <w:vAlign w:val="center"/>
          </w:tcPr>
          <w:p w:rsidR="00FA7B4D" w:rsidRPr="00C166D2" w:rsidRDefault="00FA7B4D" w:rsidP="005F3856">
            <w:pPr>
              <w:spacing w:before="0"/>
            </w:pPr>
            <w:r w:rsidRPr="005F3856">
              <w:rPr>
                <w:rFonts w:ascii="Futura Lt BT" w:hAnsi="Futura Lt BT"/>
                <w:sz w:val="42"/>
                <w:szCs w:val="42"/>
              </w:rPr>
              <w:t>U</w:t>
            </w:r>
            <w:r w:rsidRPr="005F3856">
              <w:rPr>
                <w:rFonts w:ascii="Futura Lt BT" w:hAnsi="Futura Lt BT"/>
                <w:sz w:val="34"/>
                <w:szCs w:val="34"/>
              </w:rPr>
              <w:t xml:space="preserve">NION </w:t>
            </w:r>
            <w:r w:rsidRPr="005F3856">
              <w:rPr>
                <w:rFonts w:ascii="Futura Lt BT" w:hAnsi="Futura Lt BT"/>
                <w:caps/>
                <w:sz w:val="42"/>
                <w:szCs w:val="42"/>
              </w:rPr>
              <w:t>I</w:t>
            </w:r>
            <w:r w:rsidRPr="005F3856">
              <w:rPr>
                <w:rFonts w:ascii="Futura Lt BT" w:hAnsi="Futura Lt BT"/>
                <w:sz w:val="34"/>
                <w:szCs w:val="34"/>
              </w:rPr>
              <w:t xml:space="preserve">NTERNATIONALE DES </w:t>
            </w:r>
            <w:r w:rsidRPr="005F3856">
              <w:rPr>
                <w:rFonts w:ascii="Futura Lt BT" w:hAnsi="Futura Lt BT"/>
                <w:sz w:val="42"/>
                <w:szCs w:val="42"/>
              </w:rPr>
              <w:t>T</w:t>
            </w:r>
            <w:r w:rsidRPr="005F3856">
              <w:rPr>
                <w:rFonts w:ascii="Futura Lt BT" w:hAnsi="Futura Lt BT"/>
                <w:sz w:val="34"/>
                <w:szCs w:val="34"/>
              </w:rPr>
              <w:t>ÉLÉCOMMUNICATIONS</w:t>
            </w:r>
          </w:p>
        </w:tc>
        <w:tc>
          <w:tcPr>
            <w:tcW w:w="1559" w:type="dxa"/>
            <w:shd w:val="clear" w:color="auto" w:fill="auto"/>
          </w:tcPr>
          <w:p w:rsidR="00FA7B4D" w:rsidRPr="00C166D2" w:rsidRDefault="00D8112C" w:rsidP="005F3856">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5F3856" w:rsidRPr="005F3856" w:rsidRDefault="005F3856" w:rsidP="005F3856">
      <w:pPr>
        <w:spacing w:before="0"/>
        <w:rPr>
          <w:vanish/>
        </w:rPr>
      </w:pPr>
    </w:p>
    <w:tbl>
      <w:tblPr>
        <w:tblW w:w="0" w:type="auto"/>
        <w:tblLayout w:type="fixed"/>
        <w:tblLook w:val="0000" w:firstRow="0" w:lastRow="0" w:firstColumn="0" w:lastColumn="0" w:noHBand="0" w:noVBand="0"/>
      </w:tblPr>
      <w:tblGrid>
        <w:gridCol w:w="5075"/>
      </w:tblGrid>
      <w:tr w:rsidR="00FA7B4D" w:rsidRPr="00C166D2">
        <w:trPr>
          <w:cantSplit/>
        </w:trPr>
        <w:tc>
          <w:tcPr>
            <w:tcW w:w="5075" w:type="dxa"/>
          </w:tcPr>
          <w:p w:rsidR="003203D8" w:rsidRPr="00C166D2" w:rsidRDefault="003203D8" w:rsidP="002430F8">
            <w:pPr>
              <w:rPr>
                <w:b/>
                <w:smallCaps/>
                <w:sz w:val="20"/>
              </w:rPr>
            </w:pPr>
            <w:r w:rsidRPr="00C166D2">
              <w:rPr>
                <w:i/>
                <w:sz w:val="28"/>
              </w:rPr>
              <w:t>Bureau des radiocommunications</w:t>
            </w:r>
          </w:p>
          <w:p w:rsidR="00FA7B4D" w:rsidRPr="00C166D2" w:rsidRDefault="003203D8" w:rsidP="002430F8">
            <w:pPr>
              <w:tabs>
                <w:tab w:val="clear" w:pos="794"/>
                <w:tab w:val="clear" w:pos="1191"/>
                <w:tab w:val="clear" w:pos="1588"/>
                <w:tab w:val="clear" w:pos="1985"/>
                <w:tab w:val="center" w:pos="1701"/>
              </w:tabs>
              <w:spacing w:before="0"/>
              <w:rPr>
                <w:b/>
                <w:smallCaps/>
                <w:sz w:val="20"/>
              </w:rPr>
            </w:pPr>
            <w:r w:rsidRPr="00C166D2">
              <w:rPr>
                <w:b/>
                <w:sz w:val="18"/>
              </w:rPr>
              <w:tab/>
            </w:r>
            <w:r w:rsidRPr="00C166D2">
              <w:rPr>
                <w:i/>
                <w:sz w:val="18"/>
              </w:rPr>
              <w:t>(N° de Fax direct +41 22 730 57 85)</w:t>
            </w:r>
          </w:p>
        </w:tc>
      </w:tr>
    </w:tbl>
    <w:p w:rsidR="00FA7B4D" w:rsidRPr="00C166D2" w:rsidRDefault="00FA7B4D" w:rsidP="002430F8">
      <w:pPr>
        <w:tabs>
          <w:tab w:val="left" w:pos="7513"/>
        </w:tabs>
      </w:pPr>
    </w:p>
    <w:p w:rsidR="00FA7B4D" w:rsidRPr="00C166D2" w:rsidRDefault="00FA7B4D" w:rsidP="002430F8">
      <w:pPr>
        <w:tabs>
          <w:tab w:val="left" w:pos="7513"/>
        </w:tabs>
      </w:pPr>
    </w:p>
    <w:tbl>
      <w:tblPr>
        <w:tblW w:w="10020" w:type="dxa"/>
        <w:tblLayout w:type="fixed"/>
        <w:tblLook w:val="0000" w:firstRow="0" w:lastRow="0" w:firstColumn="0" w:lastColumn="0" w:noHBand="0" w:noVBand="0"/>
      </w:tblPr>
      <w:tblGrid>
        <w:gridCol w:w="1951"/>
        <w:gridCol w:w="8069"/>
      </w:tblGrid>
      <w:tr w:rsidR="00FA7B4D" w:rsidRPr="00C166D2">
        <w:trPr>
          <w:cantSplit/>
        </w:trPr>
        <w:tc>
          <w:tcPr>
            <w:tcW w:w="1951" w:type="dxa"/>
          </w:tcPr>
          <w:p w:rsidR="00FA7B4D" w:rsidRPr="00C166D2" w:rsidRDefault="00C876CE" w:rsidP="002430F8">
            <w:pPr>
              <w:tabs>
                <w:tab w:val="left" w:pos="7513"/>
              </w:tabs>
              <w:jc w:val="center"/>
              <w:rPr>
                <w:b/>
              </w:rPr>
            </w:pPr>
            <w:bookmarkStart w:id="0" w:name="dletter"/>
            <w:bookmarkEnd w:id="0"/>
            <w:r w:rsidRPr="00C166D2">
              <w:t>Lettre circulaire</w:t>
            </w:r>
            <w:r w:rsidRPr="00C166D2">
              <w:br/>
            </w:r>
            <w:r w:rsidRPr="00C166D2">
              <w:rPr>
                <w:b/>
                <w:bCs/>
              </w:rPr>
              <w:t>CCRR/</w:t>
            </w:r>
            <w:r w:rsidR="00D40B0E" w:rsidRPr="00C166D2">
              <w:rPr>
                <w:b/>
                <w:bCs/>
              </w:rPr>
              <w:t>4</w:t>
            </w:r>
            <w:r w:rsidR="00AF4528">
              <w:rPr>
                <w:b/>
                <w:bCs/>
              </w:rPr>
              <w:t>2</w:t>
            </w:r>
          </w:p>
          <w:p w:rsidR="00FA7B4D" w:rsidRPr="00C166D2" w:rsidRDefault="00FA7B4D" w:rsidP="002430F8">
            <w:pPr>
              <w:tabs>
                <w:tab w:val="clear" w:pos="794"/>
                <w:tab w:val="clear" w:pos="1191"/>
              </w:tabs>
              <w:spacing w:before="0"/>
              <w:jc w:val="center"/>
              <w:rPr>
                <w:b/>
                <w:bCs/>
              </w:rPr>
            </w:pPr>
            <w:bookmarkStart w:id="1" w:name="dnum"/>
            <w:bookmarkEnd w:id="1"/>
          </w:p>
        </w:tc>
        <w:tc>
          <w:tcPr>
            <w:tcW w:w="8069" w:type="dxa"/>
          </w:tcPr>
          <w:p w:rsidR="00FA7B4D" w:rsidRPr="00C166D2" w:rsidRDefault="000458EC" w:rsidP="00D8112C">
            <w:pPr>
              <w:tabs>
                <w:tab w:val="left" w:pos="7513"/>
              </w:tabs>
              <w:jc w:val="right"/>
              <w:rPr>
                <w:b/>
                <w:bCs/>
              </w:rPr>
            </w:pPr>
            <w:bookmarkStart w:id="2" w:name="ddate"/>
            <w:bookmarkEnd w:id="2"/>
            <w:r>
              <w:rPr>
                <w:bCs/>
              </w:rPr>
              <w:t xml:space="preserve">Le </w:t>
            </w:r>
            <w:r w:rsidR="00D8112C">
              <w:rPr>
                <w:bCs/>
              </w:rPr>
              <w:t>4</w:t>
            </w:r>
            <w:r w:rsidR="007F3928">
              <w:rPr>
                <w:bCs/>
              </w:rPr>
              <w:t xml:space="preserve"> </w:t>
            </w:r>
            <w:r w:rsidR="00AF4528">
              <w:rPr>
                <w:bCs/>
              </w:rPr>
              <w:t>avril</w:t>
            </w:r>
            <w:r w:rsidR="00D40B0E" w:rsidRPr="00C166D2">
              <w:rPr>
                <w:bCs/>
              </w:rPr>
              <w:t xml:space="preserve"> </w:t>
            </w:r>
            <w:r w:rsidR="00AF4528">
              <w:rPr>
                <w:bCs/>
              </w:rPr>
              <w:t>2011</w:t>
            </w:r>
          </w:p>
        </w:tc>
      </w:tr>
    </w:tbl>
    <w:p w:rsidR="00FA7B4D" w:rsidRPr="00C166D2" w:rsidRDefault="00FE1623" w:rsidP="002430F8">
      <w:pPr>
        <w:tabs>
          <w:tab w:val="left" w:pos="7513"/>
        </w:tabs>
        <w:spacing w:before="480"/>
        <w:jc w:val="center"/>
        <w:rPr>
          <w:b/>
          <w:bCs/>
        </w:rPr>
      </w:pPr>
      <w:r w:rsidRPr="00C166D2">
        <w:rPr>
          <w:b/>
        </w:rPr>
        <w:t>Aux Administrations des Etats Membres de l'UIT</w:t>
      </w:r>
    </w:p>
    <w:p w:rsidR="003203D8" w:rsidRPr="00C166D2" w:rsidRDefault="00FE1623" w:rsidP="002430F8">
      <w:pPr>
        <w:tabs>
          <w:tab w:val="clear" w:pos="794"/>
          <w:tab w:val="clear" w:pos="1191"/>
          <w:tab w:val="clear" w:pos="1588"/>
          <w:tab w:val="clear" w:pos="1985"/>
          <w:tab w:val="left" w:pos="709"/>
        </w:tabs>
        <w:spacing w:before="500"/>
        <w:ind w:left="709" w:hanging="709"/>
      </w:pPr>
      <w:r w:rsidRPr="00C166D2">
        <w:rPr>
          <w:b/>
        </w:rPr>
        <w:t>Objet</w:t>
      </w:r>
      <w:r w:rsidRPr="00C166D2">
        <w:t>:</w:t>
      </w:r>
      <w:r w:rsidRPr="00C166D2">
        <w:tab/>
      </w:r>
      <w:r w:rsidRPr="00C166D2">
        <w:tab/>
      </w:r>
      <w:r w:rsidR="003203D8" w:rsidRPr="00C166D2">
        <w:tab/>
      </w:r>
      <w:bookmarkStart w:id="3" w:name="dtitle1"/>
      <w:bookmarkEnd w:id="3"/>
      <w:r w:rsidR="00811E98">
        <w:t>Projet</w:t>
      </w:r>
      <w:r w:rsidR="00C876CE" w:rsidRPr="00C166D2">
        <w:t xml:space="preserve"> de Règles de procédure </w:t>
      </w:r>
    </w:p>
    <w:p w:rsidR="003203D8" w:rsidRPr="00C166D2" w:rsidRDefault="00FE1623" w:rsidP="002430F8">
      <w:pPr>
        <w:tabs>
          <w:tab w:val="clear" w:pos="794"/>
          <w:tab w:val="clear" w:pos="1191"/>
          <w:tab w:val="clear" w:pos="1588"/>
          <w:tab w:val="clear" w:pos="1985"/>
          <w:tab w:val="left" w:pos="709"/>
        </w:tabs>
        <w:spacing w:before="300"/>
        <w:ind w:left="709" w:hanging="709"/>
      </w:pPr>
      <w:r w:rsidRPr="00C166D2">
        <w:rPr>
          <w:b/>
          <w:bCs/>
        </w:rPr>
        <w:t>A l'attention du Directeur général</w:t>
      </w:r>
    </w:p>
    <w:p w:rsidR="00C876CE" w:rsidRPr="00C166D2" w:rsidRDefault="00C876CE" w:rsidP="002430F8">
      <w:pPr>
        <w:tabs>
          <w:tab w:val="clear" w:pos="794"/>
          <w:tab w:val="clear" w:pos="1191"/>
          <w:tab w:val="clear" w:pos="1588"/>
          <w:tab w:val="clear" w:pos="1985"/>
          <w:tab w:val="left" w:pos="709"/>
        </w:tabs>
        <w:spacing w:before="360"/>
        <w:ind w:left="709" w:hanging="709"/>
      </w:pPr>
      <w:r w:rsidRPr="00C166D2">
        <w:t>Madame, Monsieur,</w:t>
      </w:r>
    </w:p>
    <w:p w:rsidR="0005612B" w:rsidRPr="0005612B" w:rsidRDefault="00763CC4" w:rsidP="00763CC4">
      <w:pPr>
        <w:tabs>
          <w:tab w:val="clear" w:pos="794"/>
          <w:tab w:val="clear" w:pos="1191"/>
          <w:tab w:val="clear" w:pos="1588"/>
          <w:tab w:val="clear" w:pos="1985"/>
        </w:tabs>
        <w:overflowPunct/>
        <w:textAlignment w:val="auto"/>
        <w:rPr>
          <w:rFonts w:eastAsia="SimSun"/>
          <w:szCs w:val="24"/>
          <w:lang w:val="fr-CH" w:eastAsia="zh-CN"/>
        </w:rPr>
      </w:pPr>
      <w:r>
        <w:rPr>
          <w:rFonts w:eastAsia="SimSun"/>
          <w:szCs w:val="24"/>
          <w:lang w:val="fr-CH" w:eastAsia="zh-CN"/>
        </w:rPr>
        <w:t>Veuillez trouver ci-joint une</w:t>
      </w:r>
      <w:r w:rsidR="0005612B" w:rsidRPr="0005612B">
        <w:rPr>
          <w:rFonts w:eastAsia="SimSun"/>
          <w:szCs w:val="24"/>
          <w:lang w:val="fr-CH" w:eastAsia="zh-CN"/>
        </w:rPr>
        <w:t xml:space="preserve"> proposition d'adjonction de Règle</w:t>
      </w:r>
      <w:r w:rsidR="00FC2193">
        <w:rPr>
          <w:rFonts w:eastAsia="SimSun"/>
          <w:szCs w:val="24"/>
          <w:lang w:val="fr-CH" w:eastAsia="zh-CN"/>
        </w:rPr>
        <w:t>s de procédure (édition de 2009</w:t>
      </w:r>
      <w:r w:rsidR="0005612B" w:rsidRPr="0005612B">
        <w:rPr>
          <w:rFonts w:eastAsia="SimSun"/>
          <w:szCs w:val="24"/>
          <w:lang w:val="fr-CH" w:eastAsia="zh-CN"/>
        </w:rPr>
        <w:t>) relatives au traitement de</w:t>
      </w:r>
      <w:r w:rsidR="00AF4528">
        <w:rPr>
          <w:rFonts w:eastAsia="SimSun"/>
          <w:szCs w:val="24"/>
          <w:lang w:val="fr-CH" w:eastAsia="zh-CN"/>
        </w:rPr>
        <w:t>s cas où il y a changement de l'administration notificatrice agissant en qualité d'adminis</w:t>
      </w:r>
      <w:r w:rsidR="00EF0489">
        <w:rPr>
          <w:rFonts w:eastAsia="SimSun"/>
          <w:szCs w:val="24"/>
          <w:lang w:val="fr-CH" w:eastAsia="zh-CN"/>
        </w:rPr>
        <w:t>t</w:t>
      </w:r>
      <w:r w:rsidR="00AF4528">
        <w:rPr>
          <w:rFonts w:eastAsia="SimSun"/>
          <w:szCs w:val="24"/>
          <w:lang w:val="fr-CH" w:eastAsia="zh-CN"/>
        </w:rPr>
        <w:t xml:space="preserve">ration notificatrice d'un réseau à satellite au nom d'un groupe d'administrations nommément désignées, conformément aux numéros </w:t>
      </w:r>
      <w:r w:rsidR="00AF4528" w:rsidRPr="00AF4528">
        <w:rPr>
          <w:rFonts w:eastAsia="SimSun"/>
          <w:b/>
          <w:bCs/>
          <w:szCs w:val="24"/>
          <w:lang w:val="fr-CH" w:eastAsia="zh-CN"/>
        </w:rPr>
        <w:t>9.1</w:t>
      </w:r>
      <w:r w:rsidR="00AF4528">
        <w:rPr>
          <w:rFonts w:eastAsia="SimSun"/>
          <w:szCs w:val="24"/>
          <w:lang w:val="fr-CH" w:eastAsia="zh-CN"/>
        </w:rPr>
        <w:t xml:space="preserve">, </w:t>
      </w:r>
      <w:r w:rsidR="00AF4528" w:rsidRPr="00AF4528">
        <w:rPr>
          <w:rFonts w:eastAsia="SimSun"/>
          <w:b/>
          <w:bCs/>
          <w:szCs w:val="24"/>
          <w:lang w:val="fr-CH" w:eastAsia="zh-CN"/>
        </w:rPr>
        <w:t>9.6.1</w:t>
      </w:r>
      <w:r w:rsidR="00AF4528">
        <w:rPr>
          <w:rFonts w:eastAsia="SimSun"/>
          <w:szCs w:val="24"/>
          <w:lang w:val="fr-CH" w:eastAsia="zh-CN"/>
        </w:rPr>
        <w:t xml:space="preserve"> et </w:t>
      </w:r>
      <w:r w:rsidR="00AF4528" w:rsidRPr="00AF4528">
        <w:rPr>
          <w:rFonts w:eastAsia="SimSun"/>
          <w:b/>
          <w:bCs/>
          <w:szCs w:val="24"/>
          <w:lang w:val="fr-CH" w:eastAsia="zh-CN"/>
        </w:rPr>
        <w:t>11.15.1</w:t>
      </w:r>
      <w:r w:rsidR="00AF4528">
        <w:rPr>
          <w:rFonts w:eastAsia="SimSun"/>
          <w:szCs w:val="24"/>
          <w:lang w:val="fr-CH" w:eastAsia="zh-CN"/>
        </w:rPr>
        <w:t xml:space="preserve"> ainsi qu'aux dispositions des Appendices </w:t>
      </w:r>
      <w:r w:rsidR="00AF4528" w:rsidRPr="00AF4528">
        <w:rPr>
          <w:rFonts w:eastAsia="SimSun"/>
          <w:b/>
          <w:bCs/>
          <w:szCs w:val="24"/>
          <w:lang w:val="fr-CH" w:eastAsia="zh-CN"/>
        </w:rPr>
        <w:t>30/30A</w:t>
      </w:r>
      <w:r w:rsidR="00AF4528">
        <w:rPr>
          <w:rFonts w:eastAsia="SimSun"/>
          <w:szCs w:val="24"/>
          <w:lang w:val="fr-CH" w:eastAsia="zh-CN"/>
        </w:rPr>
        <w:t>.</w:t>
      </w:r>
    </w:p>
    <w:p w:rsidR="00C876CE" w:rsidRPr="00C166D2" w:rsidRDefault="00C876CE" w:rsidP="00101825">
      <w:r w:rsidRPr="00C166D2">
        <w:t xml:space="preserve">Conformément au numéro </w:t>
      </w:r>
      <w:r w:rsidRPr="00C166D2">
        <w:rPr>
          <w:b/>
          <w:bCs/>
        </w:rPr>
        <w:t>13.17</w:t>
      </w:r>
      <w:r w:rsidRPr="00C166D2">
        <w:t xml:space="preserve"> du Règlement des radiocommunications, ce</w:t>
      </w:r>
      <w:r w:rsidR="00101825">
        <w:t>tte</w:t>
      </w:r>
      <w:r w:rsidRPr="00C166D2">
        <w:t xml:space="preserve"> </w:t>
      </w:r>
      <w:r w:rsidR="00D40B0E" w:rsidRPr="00C166D2">
        <w:t xml:space="preserve">proposition </w:t>
      </w:r>
      <w:r w:rsidR="00101825">
        <w:t>est soumise</w:t>
      </w:r>
      <w:r w:rsidR="00D40B0E" w:rsidRPr="00C166D2">
        <w:t xml:space="preserve"> </w:t>
      </w:r>
      <w:r w:rsidRPr="00C166D2">
        <w:t>aux administrations pour observations, avant d'être communiqué</w:t>
      </w:r>
      <w:r w:rsidR="00D40B0E" w:rsidRPr="00C166D2">
        <w:t>e</w:t>
      </w:r>
      <w:bookmarkStart w:id="4" w:name="_GoBack"/>
      <w:bookmarkEnd w:id="4"/>
      <w:r w:rsidRPr="00C166D2">
        <w:t xml:space="preserve"> au RRB au titre du numéro </w:t>
      </w:r>
      <w:r w:rsidRPr="00C166D2">
        <w:rPr>
          <w:b/>
          <w:bCs/>
        </w:rPr>
        <w:t>13.14</w:t>
      </w:r>
      <w:r w:rsidRPr="00C166D2">
        <w:t xml:space="preserve">. Comme indiqué au point </w:t>
      </w:r>
      <w:r w:rsidRPr="00C166D2">
        <w:rPr>
          <w:i/>
        </w:rPr>
        <w:t>d)</w:t>
      </w:r>
      <w:r w:rsidRPr="00C166D2">
        <w:t xml:space="preserve"> du numéro </w:t>
      </w:r>
      <w:r w:rsidRPr="00C166D2">
        <w:rPr>
          <w:b/>
          <w:bCs/>
        </w:rPr>
        <w:t xml:space="preserve">13.12A </w:t>
      </w:r>
      <w:r w:rsidRPr="00C166D2">
        <w:t xml:space="preserve">du Règlement des radiocommunications, les observations éventuelles que vous souhaiteriez formuler doivent parvenir au Bureau </w:t>
      </w:r>
      <w:r w:rsidRPr="00EF0489">
        <w:t xml:space="preserve">au plus tard le </w:t>
      </w:r>
      <w:r w:rsidR="00EF0489" w:rsidRPr="00EF0489">
        <w:t>lundi 16 mai 2011 à 16 heures UTC</w:t>
      </w:r>
      <w:r w:rsidRPr="00C166D2">
        <w:t>, afin que le RRB puisse les examiner à sa </w:t>
      </w:r>
      <w:r w:rsidR="00AF4528">
        <w:t>57</w:t>
      </w:r>
      <w:r w:rsidR="00D40B0E" w:rsidRPr="00C166D2">
        <w:t>ème </w:t>
      </w:r>
      <w:r w:rsidRPr="00C166D2">
        <w:t xml:space="preserve">réunion, qui doit se tenir du </w:t>
      </w:r>
      <w:r w:rsidR="00AF4528">
        <w:t>13 au 21 juin 2011</w:t>
      </w:r>
      <w:r w:rsidRPr="00C166D2">
        <w:t xml:space="preserve">. Toutes les observations soumises par courrier électronique doivent être envoyées à l'adresse: </w:t>
      </w:r>
      <w:hyperlink r:id="rId9" w:history="1">
        <w:r w:rsidRPr="00C166D2">
          <w:rPr>
            <w:rStyle w:val="Hyperlink"/>
          </w:rPr>
          <w:t>brmail@itu.int</w:t>
        </w:r>
      </w:hyperlink>
      <w:r w:rsidRPr="00C166D2">
        <w:t>.</w:t>
      </w:r>
    </w:p>
    <w:p w:rsidR="00C876CE" w:rsidRPr="00C166D2" w:rsidRDefault="00C876CE" w:rsidP="002430F8">
      <w:r w:rsidRPr="00C166D2">
        <w:t>Veuillez agréer, Madame, Monsieur, l'assurance de ma considération distinguée.</w:t>
      </w:r>
    </w:p>
    <w:p w:rsidR="00C876CE" w:rsidRPr="00C166D2" w:rsidRDefault="00C876CE" w:rsidP="00AF4528">
      <w:pPr>
        <w:tabs>
          <w:tab w:val="center" w:pos="7088"/>
        </w:tabs>
        <w:spacing w:before="840"/>
      </w:pPr>
      <w:r w:rsidRPr="00C166D2">
        <w:tab/>
      </w:r>
      <w:r w:rsidRPr="00C166D2">
        <w:tab/>
      </w:r>
      <w:r w:rsidRPr="00C166D2">
        <w:tab/>
      </w:r>
      <w:r w:rsidRPr="00C166D2">
        <w:tab/>
      </w:r>
      <w:r w:rsidRPr="00C166D2">
        <w:tab/>
      </w:r>
      <w:r w:rsidR="00AF4528">
        <w:t>François</w:t>
      </w:r>
      <w:r w:rsidRPr="00C166D2">
        <w:t xml:space="preserve"> </w:t>
      </w:r>
      <w:r w:rsidR="00AF4528">
        <w:t>Rancy</w:t>
      </w:r>
      <w:r w:rsidRPr="00C166D2">
        <w:br/>
      </w:r>
      <w:r w:rsidRPr="00C166D2">
        <w:tab/>
      </w:r>
      <w:r w:rsidRPr="00C166D2">
        <w:tab/>
      </w:r>
      <w:r w:rsidRPr="00C166D2">
        <w:tab/>
      </w:r>
      <w:r w:rsidRPr="00C166D2">
        <w:tab/>
      </w:r>
      <w:r w:rsidRPr="00C166D2">
        <w:tab/>
        <w:t>Directeur du Bureau des radiocommunications</w:t>
      </w:r>
    </w:p>
    <w:p w:rsidR="00C876CE" w:rsidRPr="00C166D2" w:rsidRDefault="00C876CE" w:rsidP="00EF5804">
      <w:pPr>
        <w:spacing w:before="480"/>
      </w:pPr>
      <w:r w:rsidRPr="00C166D2">
        <w:rPr>
          <w:b/>
          <w:bCs/>
        </w:rPr>
        <w:t>Annexe</w:t>
      </w:r>
      <w:r w:rsidR="00D40B0E" w:rsidRPr="00C166D2">
        <w:t xml:space="preserve">: </w:t>
      </w:r>
      <w:r w:rsidR="007F3928">
        <w:t>1</w:t>
      </w:r>
    </w:p>
    <w:p w:rsidR="00C876CE" w:rsidRPr="00C166D2" w:rsidRDefault="00C876CE" w:rsidP="00FC2193">
      <w:pPr>
        <w:tabs>
          <w:tab w:val="left" w:pos="284"/>
          <w:tab w:val="left" w:pos="568"/>
        </w:tabs>
        <w:spacing w:before="600" w:after="120"/>
        <w:rPr>
          <w:b/>
          <w:bCs/>
          <w:sz w:val="18"/>
          <w:szCs w:val="18"/>
        </w:rPr>
      </w:pPr>
      <w:r w:rsidRPr="00C166D2">
        <w:rPr>
          <w:b/>
          <w:bCs/>
          <w:sz w:val="18"/>
          <w:szCs w:val="18"/>
        </w:rPr>
        <w:t>Distribution:</w:t>
      </w:r>
    </w:p>
    <w:p w:rsidR="00C876CE" w:rsidRPr="00C166D2" w:rsidRDefault="00C876CE" w:rsidP="002430F8">
      <w:pPr>
        <w:tabs>
          <w:tab w:val="left" w:pos="284"/>
          <w:tab w:val="left" w:pos="568"/>
        </w:tabs>
        <w:spacing w:before="0" w:after="80"/>
        <w:ind w:right="-284"/>
        <w:rPr>
          <w:sz w:val="18"/>
          <w:szCs w:val="18"/>
        </w:rPr>
      </w:pPr>
      <w:r w:rsidRPr="00C166D2">
        <w:rPr>
          <w:sz w:val="18"/>
          <w:szCs w:val="18"/>
        </w:rPr>
        <w:t>–</w:t>
      </w:r>
      <w:r w:rsidRPr="00C166D2">
        <w:rPr>
          <w:sz w:val="18"/>
          <w:szCs w:val="18"/>
        </w:rPr>
        <w:tab/>
        <w:t>Administrations des Etats Membres de l'UIT</w:t>
      </w:r>
      <w:r w:rsidRPr="00C166D2">
        <w:rPr>
          <w:b/>
          <w:bCs/>
          <w:sz w:val="18"/>
          <w:szCs w:val="18"/>
        </w:rPr>
        <w:br/>
      </w:r>
      <w:r w:rsidRPr="00C166D2">
        <w:rPr>
          <w:sz w:val="18"/>
          <w:szCs w:val="18"/>
        </w:rPr>
        <w:t>–</w:t>
      </w:r>
      <w:r w:rsidRPr="00C166D2">
        <w:rPr>
          <w:sz w:val="18"/>
          <w:szCs w:val="18"/>
        </w:rPr>
        <w:tab/>
        <w:t>Membres du Comité du Règlement des radiocommunications</w:t>
      </w:r>
      <w:r w:rsidRPr="00C166D2">
        <w:rPr>
          <w:sz w:val="18"/>
          <w:szCs w:val="18"/>
        </w:rPr>
        <w:br/>
        <w:t>–</w:t>
      </w:r>
      <w:r w:rsidRPr="00C166D2">
        <w:rPr>
          <w:sz w:val="18"/>
          <w:szCs w:val="18"/>
        </w:rPr>
        <w:tab/>
        <w:t>Directeur et Chefs de Département du Bureau des radiocommunications</w:t>
      </w:r>
    </w:p>
    <w:p w:rsidR="00C876CE" w:rsidRPr="00C166D2" w:rsidRDefault="00C876CE" w:rsidP="002430F8">
      <w:pPr>
        <w:spacing w:before="0"/>
        <w:rPr>
          <w:sz w:val="2"/>
          <w:szCs w:val="2"/>
        </w:rPr>
      </w:pPr>
    </w:p>
    <w:p w:rsidR="007F3928" w:rsidRDefault="00C876CE" w:rsidP="007F3928">
      <w:pPr>
        <w:pStyle w:val="ArtNo"/>
      </w:pPr>
      <w:r w:rsidRPr="00C166D2">
        <w:br w:type="page"/>
      </w:r>
      <w:r w:rsidR="007F3928">
        <w:lastRenderedPageBreak/>
        <w:t>ANNEXE 1</w:t>
      </w:r>
    </w:p>
    <w:p w:rsidR="007F3928" w:rsidRDefault="007F3928" w:rsidP="00AF4528">
      <w:pPr>
        <w:pStyle w:val="Arttitle"/>
      </w:pPr>
      <w:r>
        <w:t xml:space="preserve">Règles relatives </w:t>
      </w:r>
      <w:r w:rsidR="00AF4528">
        <w:t xml:space="preserve">au traitement des cas </w:t>
      </w:r>
      <w:r w:rsidR="00AF4528">
        <w:rPr>
          <w:rFonts w:eastAsia="SimSun"/>
          <w:szCs w:val="24"/>
          <w:lang w:val="fr-CH" w:eastAsia="zh-CN"/>
        </w:rPr>
        <w:t>où il y a changement de l'administration notificatrice agissant en qualité d'adminis</w:t>
      </w:r>
      <w:r w:rsidR="00EF0489">
        <w:rPr>
          <w:rFonts w:eastAsia="SimSun"/>
          <w:szCs w:val="24"/>
          <w:lang w:val="fr-CH" w:eastAsia="zh-CN"/>
        </w:rPr>
        <w:t>t</w:t>
      </w:r>
      <w:r w:rsidR="00AF4528">
        <w:rPr>
          <w:rFonts w:eastAsia="SimSun"/>
          <w:szCs w:val="24"/>
          <w:lang w:val="fr-CH" w:eastAsia="zh-CN"/>
        </w:rPr>
        <w:t>ration notificatrice d'un réseau à satellite au nom d'un groupe d'administrations nommément désignées</w:t>
      </w:r>
    </w:p>
    <w:p w:rsidR="001E2AA0" w:rsidRPr="00FC2193" w:rsidRDefault="001E2AA0" w:rsidP="00FC2193">
      <w:pPr>
        <w:spacing w:before="360" w:after="240"/>
        <w:rPr>
          <w:b/>
          <w:bCs/>
          <w:szCs w:val="24"/>
        </w:rPr>
      </w:pPr>
      <w:r w:rsidRPr="00FC2193">
        <w:rPr>
          <w:b/>
          <w:bCs/>
          <w:szCs w:val="24"/>
        </w:rPr>
        <w:t>ADD</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3"/>
      </w:tblGrid>
      <w:tr w:rsidR="001E2AA0" w:rsidRPr="00821597" w:rsidTr="001E2AA0">
        <w:tc>
          <w:tcPr>
            <w:tcW w:w="9713" w:type="dxa"/>
          </w:tcPr>
          <w:p w:rsidR="001E2AA0" w:rsidRPr="00821597" w:rsidRDefault="001E2AA0" w:rsidP="001E2AA0">
            <w:pPr>
              <w:spacing w:before="0"/>
              <w:rPr>
                <w:b/>
                <w:bCs/>
                <w:szCs w:val="24"/>
              </w:rPr>
            </w:pPr>
            <w:r w:rsidRPr="00821597">
              <w:rPr>
                <w:b/>
                <w:bCs/>
                <w:szCs w:val="24"/>
              </w:rPr>
              <w:t>9.1, 9.6.1, 11.15.1, AP30 (4.1.25, 4.1.3, 4.2.6, 5.1.1), AP30A (4.2.6, 4.1.25, 4.1.3, 5.1.2), AP30B (2.6, 6.1)</w:t>
            </w:r>
          </w:p>
        </w:tc>
      </w:tr>
    </w:tbl>
    <w:p w:rsidR="001E2AA0" w:rsidRDefault="001E2AA0" w:rsidP="00FC2193">
      <w:pPr>
        <w:spacing w:before="240"/>
        <w:rPr>
          <w:color w:val="000000"/>
        </w:rPr>
      </w:pPr>
      <w:r>
        <w:rPr>
          <w:color w:val="000000"/>
        </w:rPr>
        <w:t>Certaines dispositions du Règlem</w:t>
      </w:r>
      <w:r w:rsidR="00FC2193">
        <w:rPr>
          <w:color w:val="000000"/>
        </w:rPr>
        <w:t>ent des Radiocommunications (Numéros</w:t>
      </w:r>
      <w:r>
        <w:rPr>
          <w:color w:val="000000"/>
        </w:rPr>
        <w:t xml:space="preserve"> </w:t>
      </w:r>
      <w:r w:rsidRPr="00FA51FA">
        <w:rPr>
          <w:b/>
          <w:bCs/>
          <w:szCs w:val="24"/>
          <w:lang w:val="fr-CH"/>
        </w:rPr>
        <w:t>9.1, 9.6.1, 11.15.1, AP30 (4.1.25, 4.1.3, 4.2.6, 5.1.1), AP30A (4.2.6, 4.1.25, 4.1.3, 5.1.2), AP30B (2.6, 6.1)</w:t>
      </w:r>
      <w:r>
        <w:rPr>
          <w:color w:val="000000"/>
        </w:rPr>
        <w:t xml:space="preserve">) prévoient la possibilité pour </w:t>
      </w:r>
      <w:r w:rsidRPr="00D654F8">
        <w:rPr>
          <w:color w:val="000000"/>
        </w:rPr>
        <w:t xml:space="preserve">une administration </w:t>
      </w:r>
      <w:r>
        <w:rPr>
          <w:color w:val="000000"/>
        </w:rPr>
        <w:t>d</w:t>
      </w:r>
      <w:r w:rsidR="000323CC">
        <w:rPr>
          <w:color w:val="000000"/>
        </w:rPr>
        <w:t>'</w:t>
      </w:r>
      <w:r w:rsidRPr="00D654F8">
        <w:rPr>
          <w:color w:val="000000"/>
        </w:rPr>
        <w:t>agir au nom d'un groupe d'administrations nommément désignées</w:t>
      </w:r>
      <w:r>
        <w:rPr>
          <w:color w:val="000000"/>
        </w:rPr>
        <w:t xml:space="preserve"> pour notifier au Bureau des radiocommunications des assignations de fréquences à des réseaux à satellites</w:t>
      </w:r>
      <w:r w:rsidRPr="00D654F8">
        <w:rPr>
          <w:color w:val="000000"/>
        </w:rPr>
        <w:t>.</w:t>
      </w:r>
      <w:r>
        <w:rPr>
          <w:color w:val="000000"/>
        </w:rPr>
        <w:t xml:space="preserve"> Dans ce cas, l</w:t>
      </w:r>
      <w:r w:rsidR="000323CC">
        <w:rPr>
          <w:color w:val="000000"/>
        </w:rPr>
        <w:t>'</w:t>
      </w:r>
      <w:r>
        <w:rPr>
          <w:color w:val="000000"/>
        </w:rPr>
        <w:t>administration agissant au nom du groupe est désignée comme étant l</w:t>
      </w:r>
      <w:r w:rsidR="000323CC">
        <w:rPr>
          <w:color w:val="000000"/>
        </w:rPr>
        <w:t>'</w:t>
      </w:r>
      <w:r>
        <w:rPr>
          <w:color w:val="000000"/>
        </w:rPr>
        <w:t>administration notificatrice du groupe au sens du Règlement des Radiocommunications.</w:t>
      </w:r>
    </w:p>
    <w:p w:rsidR="001E2AA0" w:rsidRDefault="001E2AA0" w:rsidP="001E2AA0">
      <w:pPr>
        <w:rPr>
          <w:color w:val="000000"/>
        </w:rPr>
      </w:pPr>
      <w:r>
        <w:rPr>
          <w:color w:val="000000"/>
        </w:rPr>
        <w:t>Dans certains cas, les dispositions énumérées ci-dessus sont utilisées au bénéfice d</w:t>
      </w:r>
      <w:r w:rsidR="000323CC">
        <w:rPr>
          <w:color w:val="000000"/>
        </w:rPr>
        <w:t>'</w:t>
      </w:r>
      <w:r>
        <w:rPr>
          <w:color w:val="000000"/>
        </w:rPr>
        <w:t>une organisation intergouvernementale (groupement d</w:t>
      </w:r>
      <w:r w:rsidR="000323CC">
        <w:rPr>
          <w:color w:val="000000"/>
        </w:rPr>
        <w:t>'</w:t>
      </w:r>
      <w:r>
        <w:rPr>
          <w:color w:val="000000"/>
        </w:rPr>
        <w:t>Etats constitué sur la base d</w:t>
      </w:r>
      <w:r w:rsidR="000323CC">
        <w:rPr>
          <w:color w:val="000000"/>
        </w:rPr>
        <w:t>'</w:t>
      </w:r>
      <w:r>
        <w:rPr>
          <w:color w:val="000000"/>
        </w:rPr>
        <w:t>un traité international et doté d</w:t>
      </w:r>
      <w:r w:rsidR="000323CC">
        <w:rPr>
          <w:color w:val="000000"/>
        </w:rPr>
        <w:t>'</w:t>
      </w:r>
      <w:r>
        <w:rPr>
          <w:color w:val="000000"/>
        </w:rPr>
        <w:t>organes communs propres).</w:t>
      </w:r>
    </w:p>
    <w:p w:rsidR="001E2AA0" w:rsidRDefault="001E2AA0" w:rsidP="001E2AA0">
      <w:pPr>
        <w:rPr>
          <w:color w:val="000000"/>
        </w:rPr>
      </w:pPr>
      <w:r>
        <w:rPr>
          <w:color w:val="000000"/>
        </w:rPr>
        <w:t>A plusieurs occasions, des organisations intergouvernementales de télécommunication par satellite ont demandé au Bureau de procéder au changement de leur administration notificatrice. Afin de clarifier les conditions dans lesquelles le Bureau peut procéder au changement du nom de l</w:t>
      </w:r>
      <w:r w:rsidR="000323CC">
        <w:rPr>
          <w:color w:val="000000"/>
        </w:rPr>
        <w:t>'</w:t>
      </w:r>
      <w:r>
        <w:rPr>
          <w:color w:val="000000"/>
        </w:rPr>
        <w:t>administration notificatrice et mettre à jour ses différentes bases de données ainsi que la Préface de la BR IFIC (Services</w:t>
      </w:r>
      <w:r w:rsidR="007153FF">
        <w:rPr>
          <w:color w:val="000000"/>
        </w:rPr>
        <w:t xml:space="preserve"> spatiaux) (Tableau</w:t>
      </w:r>
      <w:r w:rsidR="000323CC">
        <w:rPr>
          <w:color w:val="000000"/>
        </w:rPr>
        <w:t>x</w:t>
      </w:r>
      <w:r w:rsidR="007153FF">
        <w:rPr>
          <w:color w:val="000000"/>
        </w:rPr>
        <w:t xml:space="preserve"> 2 et 12A/B)</w:t>
      </w:r>
      <w:r>
        <w:rPr>
          <w:color w:val="000000"/>
        </w:rPr>
        <w:t>, le Comité a conclu ce qui suit</w:t>
      </w:r>
      <w:r w:rsidR="007C4098">
        <w:rPr>
          <w:color w:val="000000"/>
        </w:rPr>
        <w:t>:</w:t>
      </w:r>
    </w:p>
    <w:p w:rsidR="007C4098" w:rsidRPr="00FA51FA" w:rsidRDefault="007C4098" w:rsidP="00EF0489">
      <w:pPr>
        <w:pStyle w:val="enumlev1"/>
        <w:rPr>
          <w:b/>
          <w:bCs/>
          <w:szCs w:val="24"/>
          <w:lang w:val="fr-CH"/>
        </w:rPr>
      </w:pPr>
      <w:r w:rsidRPr="007C4098">
        <w:t>•</w:t>
      </w:r>
      <w:r w:rsidR="007153FF">
        <w:tab/>
      </w:r>
      <w:r>
        <w:t>Lorsqu</w:t>
      </w:r>
      <w:r w:rsidR="000323CC">
        <w:t>'</w:t>
      </w:r>
      <w:r>
        <w:t>une organisation intergouvernementale de télécommunication par satellite souhaite désigner une nouvelle administration notificatrice auprès de l</w:t>
      </w:r>
      <w:r w:rsidR="000323CC">
        <w:t>'</w:t>
      </w:r>
      <w:r>
        <w:t>UIT pour ses réseaux à satellites, le Bureau procède aux modifications correspondantes dès qu</w:t>
      </w:r>
      <w:r w:rsidR="000323CC">
        <w:t>'</w:t>
      </w:r>
      <w:r>
        <w:t>il</w:t>
      </w:r>
      <w:r w:rsidR="000323CC">
        <w:t xml:space="preserve"> </w:t>
      </w:r>
      <w:r>
        <w:t>en est dûment notifié par écrit par le représentant légal de</w:t>
      </w:r>
      <w:r w:rsidR="000323CC">
        <w:t xml:space="preserve"> </w:t>
      </w:r>
      <w:r>
        <w:t>l</w:t>
      </w:r>
      <w:r w:rsidR="000323CC">
        <w:t>'</w:t>
      </w:r>
      <w:r>
        <w:t>organisation intergouvernementale concernée aux termes de l</w:t>
      </w:r>
      <w:r w:rsidR="000323CC">
        <w:t>'</w:t>
      </w:r>
      <w:r>
        <w:t>Acte constitutif de cette dernière.</w:t>
      </w:r>
      <w:r w:rsidR="000323CC">
        <w:t xml:space="preserve"> </w:t>
      </w:r>
      <w:r w:rsidR="00EF0489">
        <w:t>Cette notification doit apporter la preuve que la nouvelle administration désignée a donné son accord pour agir en tant qu'administration notificatrice au nom de l'organisation intergouvernementale.</w:t>
      </w:r>
    </w:p>
    <w:p w:rsidR="001E2AA0" w:rsidRPr="007C4098" w:rsidRDefault="007C4098" w:rsidP="00EF0489">
      <w:pPr>
        <w:pStyle w:val="Normalaftertitle"/>
        <w:spacing w:before="120"/>
        <w:rPr>
          <w:rFonts w:ascii="Arial" w:hAnsi="Arial" w:cs="Arial"/>
          <w:i/>
          <w:iCs/>
          <w:sz w:val="20"/>
          <w:lang w:val="fr-CH" w:eastAsia="zh-CN"/>
        </w:rPr>
      </w:pPr>
      <w:r w:rsidRPr="007C4098">
        <w:rPr>
          <w:b/>
          <w:bCs/>
          <w:i/>
          <w:iCs/>
          <w:color w:val="000000"/>
          <w:szCs w:val="24"/>
          <w:lang w:val="fr-CH"/>
        </w:rPr>
        <w:t>Motifs</w:t>
      </w:r>
      <w:r w:rsidR="001E2AA0" w:rsidRPr="007C4098">
        <w:rPr>
          <w:i/>
          <w:iCs/>
          <w:color w:val="000000"/>
          <w:szCs w:val="24"/>
          <w:lang w:val="fr-CH"/>
        </w:rPr>
        <w:t>:</w:t>
      </w:r>
      <w:r w:rsidRPr="007C4098">
        <w:rPr>
          <w:i/>
          <w:iCs/>
          <w:color w:val="000000"/>
          <w:szCs w:val="24"/>
          <w:lang w:val="fr-CH"/>
        </w:rPr>
        <w:t xml:space="preserve"> </w:t>
      </w:r>
      <w:r w:rsidRPr="007C4098">
        <w:rPr>
          <w:i/>
          <w:iCs/>
          <w:color w:val="000000"/>
          <w:szCs w:val="24"/>
          <w:lang w:val="fr-CH"/>
        </w:rPr>
        <w:tab/>
        <w:t xml:space="preserve">Demande du Comité du Règlement des radiocommunications à sa </w:t>
      </w:r>
      <w:r>
        <w:rPr>
          <w:i/>
          <w:iCs/>
          <w:color w:val="000000"/>
          <w:szCs w:val="24"/>
          <w:lang w:val="fr-CH"/>
        </w:rPr>
        <w:t xml:space="preserve">56ème </w:t>
      </w:r>
      <w:r w:rsidR="00EF0489">
        <w:rPr>
          <w:i/>
          <w:iCs/>
          <w:color w:val="000000"/>
          <w:szCs w:val="24"/>
          <w:lang w:val="fr-CH"/>
        </w:rPr>
        <w:t>(</w:t>
      </w:r>
      <w:r w:rsidRPr="00EF0489">
        <w:rPr>
          <w:i/>
          <w:iCs/>
          <w:color w:val="000000"/>
          <w:szCs w:val="24"/>
          <w:lang w:val="fr-CH"/>
        </w:rPr>
        <w:t>Résumé des décisions</w:t>
      </w:r>
      <w:r w:rsidR="00EF0489">
        <w:rPr>
          <w:i/>
          <w:iCs/>
          <w:color w:val="000000"/>
          <w:szCs w:val="24"/>
          <w:lang w:val="fr-CH"/>
        </w:rPr>
        <w:t>, point 8 de l'ordre du jour, point 3)</w:t>
      </w:r>
      <w:r w:rsidRPr="00EF0489">
        <w:rPr>
          <w:i/>
          <w:iCs/>
          <w:color w:val="000000"/>
          <w:szCs w:val="24"/>
          <w:lang w:val="fr-CH"/>
        </w:rPr>
        <w:t>.</w:t>
      </w:r>
    </w:p>
    <w:p w:rsidR="007F3928" w:rsidRPr="007C4098" w:rsidRDefault="007C4098" w:rsidP="00FC2193">
      <w:pPr>
        <w:pStyle w:val="Normalaftertitle"/>
        <w:spacing w:before="120" w:after="120"/>
        <w:rPr>
          <w:lang w:val="fr-CH"/>
        </w:rPr>
      </w:pPr>
      <w:r w:rsidRPr="007C4098">
        <w:rPr>
          <w:i/>
          <w:iCs/>
          <w:color w:val="000000"/>
          <w:szCs w:val="24"/>
          <w:lang w:val="fr-CH"/>
        </w:rPr>
        <w:t>Date effective d'application de la Règle modifiée: immédiatement après l'approbation de la R</w:t>
      </w:r>
      <w:r w:rsidR="00FC2193">
        <w:rPr>
          <w:i/>
          <w:iCs/>
          <w:color w:val="000000"/>
          <w:szCs w:val="24"/>
          <w:lang w:val="fr-CH"/>
        </w:rPr>
        <w:t>è</w:t>
      </w:r>
      <w:r w:rsidRPr="007C4098">
        <w:rPr>
          <w:i/>
          <w:iCs/>
          <w:color w:val="000000"/>
          <w:szCs w:val="24"/>
          <w:lang w:val="fr-CH"/>
        </w:rPr>
        <w:t>gle.</w:t>
      </w:r>
    </w:p>
    <w:p w:rsidR="00AF4528" w:rsidRDefault="00AF4528" w:rsidP="00AF4528">
      <w:pPr>
        <w:rPr>
          <w:lang w:val="fr-CH"/>
        </w:rPr>
      </w:pPr>
    </w:p>
    <w:p w:rsidR="000323CC" w:rsidRDefault="000323CC">
      <w:pPr>
        <w:jc w:val="center"/>
      </w:pPr>
      <w:r>
        <w:t>______________</w:t>
      </w:r>
    </w:p>
    <w:p w:rsidR="000323CC" w:rsidRPr="007C4098" w:rsidRDefault="000323CC" w:rsidP="00AF4528">
      <w:pPr>
        <w:rPr>
          <w:lang w:val="fr-CH"/>
        </w:rPr>
      </w:pPr>
    </w:p>
    <w:sectPr w:rsidR="000323CC" w:rsidRPr="007C4098" w:rsidSect="00D30A21">
      <w:headerReference w:type="default" r:id="rId10"/>
      <w:footerReference w:type="even" r:id="rId11"/>
      <w:footerReference w:type="default" r:id="rId12"/>
      <w:footerReference w:type="first" r:id="rId13"/>
      <w:pgSz w:w="11907" w:h="16834"/>
      <w:pgMar w:top="1134" w:right="1134" w:bottom="992"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93" w:rsidRDefault="00FC2193">
      <w:r>
        <w:separator/>
      </w:r>
    </w:p>
  </w:endnote>
  <w:endnote w:type="continuationSeparator" w:id="0">
    <w:p w:rsidR="00FC2193" w:rsidRDefault="00FC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3" w:rsidRPr="007B0940" w:rsidRDefault="00FC2193">
    <w:pPr>
      <w:rPr>
        <w:lang w:val="pt-BR"/>
      </w:rPr>
    </w:pPr>
    <w:r>
      <w:fldChar w:fldCharType="begin"/>
    </w:r>
    <w:r w:rsidRPr="007B0940">
      <w:rPr>
        <w:lang w:val="pt-BR"/>
      </w:rPr>
      <w:instrText xml:space="preserve"> FILENAME \p \* MERGEFORMAT </w:instrText>
    </w:r>
    <w:r>
      <w:fldChar w:fldCharType="separate"/>
    </w:r>
    <w:r w:rsidR="00101825">
      <w:rPr>
        <w:noProof/>
        <w:lang w:val="pt-BR"/>
      </w:rPr>
      <w:t>Y:\APP\BR\CIRCS_DMS\CCRR\42\042V2F.DOCX</w:t>
    </w:r>
    <w:r>
      <w:fldChar w:fldCharType="end"/>
    </w:r>
    <w:r w:rsidRPr="007B0940">
      <w:rPr>
        <w:lang w:val="pt-BR"/>
      </w:rPr>
      <w:tab/>
    </w:r>
    <w:r>
      <w:fldChar w:fldCharType="begin"/>
    </w:r>
    <w:r>
      <w:instrText xml:space="preserve"> savedate \@ dd.MM.yy </w:instrText>
    </w:r>
    <w:r>
      <w:fldChar w:fldCharType="separate"/>
    </w:r>
    <w:r w:rsidR="00101825">
      <w:rPr>
        <w:noProof/>
      </w:rPr>
      <w:t>04.04.11</w:t>
    </w:r>
    <w:r>
      <w:fldChar w:fldCharType="end"/>
    </w:r>
    <w:r w:rsidRPr="007B0940">
      <w:rPr>
        <w:lang w:val="pt-BR"/>
      </w:rPr>
      <w:tab/>
    </w:r>
    <w:r>
      <w:fldChar w:fldCharType="begin"/>
    </w:r>
    <w:r>
      <w:instrText xml:space="preserve"> printdate \@ dd.MM.yy </w:instrText>
    </w:r>
    <w:r>
      <w:fldChar w:fldCharType="separate"/>
    </w:r>
    <w:r w:rsidR="00101825">
      <w:rPr>
        <w:noProof/>
      </w:rPr>
      <w:t>04.04.11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3" w:rsidRPr="00FC2193" w:rsidRDefault="00FC2193">
    <w:pPr>
      <w:pStyle w:val="Footer"/>
      <w:rPr>
        <w:szCs w:val="16"/>
        <w:lang w:val="es-ES_tradnl"/>
      </w:rPr>
    </w:pPr>
    <w:r w:rsidRPr="00FC2193">
      <w:rPr>
        <w:noProof w:val="0"/>
        <w:szCs w:val="16"/>
      </w:rPr>
      <w:fldChar w:fldCharType="begin"/>
    </w:r>
    <w:r w:rsidRPr="00FC2193">
      <w:rPr>
        <w:szCs w:val="16"/>
        <w:lang w:val="es-ES_tradnl"/>
      </w:rPr>
      <w:instrText xml:space="preserve"> FILENAME \p  \* MERGEFORMAT </w:instrText>
    </w:r>
    <w:r w:rsidRPr="00FC2193">
      <w:rPr>
        <w:noProof w:val="0"/>
        <w:szCs w:val="16"/>
      </w:rPr>
      <w:fldChar w:fldCharType="separate"/>
    </w:r>
    <w:r w:rsidR="00101825">
      <w:rPr>
        <w:szCs w:val="16"/>
        <w:lang w:val="es-ES_tradnl"/>
      </w:rPr>
      <w:t>Y:\APP\BR\CIRCS_DMS\CCRR\42\042V2F.DOCX</w:t>
    </w:r>
    <w:r w:rsidRPr="00FC2193">
      <w:rPr>
        <w:szCs w:val="16"/>
      </w:rPr>
      <w:fldChar w:fldCharType="end"/>
    </w:r>
    <w:r w:rsidRPr="00FC2193">
      <w:rPr>
        <w:szCs w:val="16"/>
        <w:lang w:val="es-ES_tradnl"/>
      </w:rPr>
      <w:t xml:space="preserve"> (305092)</w:t>
    </w:r>
    <w:r w:rsidRPr="00FC2193">
      <w:rPr>
        <w:szCs w:val="16"/>
        <w:lang w:val="es-ES_tradnl"/>
      </w:rPr>
      <w:tab/>
    </w:r>
    <w:r w:rsidRPr="00FC2193">
      <w:rPr>
        <w:szCs w:val="16"/>
      </w:rPr>
      <w:fldChar w:fldCharType="begin"/>
    </w:r>
    <w:r w:rsidRPr="00FC2193">
      <w:rPr>
        <w:szCs w:val="16"/>
      </w:rPr>
      <w:instrText xml:space="preserve"> SAVEDATE \@ DD.MM.YY </w:instrText>
    </w:r>
    <w:r w:rsidRPr="00FC2193">
      <w:rPr>
        <w:szCs w:val="16"/>
      </w:rPr>
      <w:fldChar w:fldCharType="separate"/>
    </w:r>
    <w:r w:rsidR="00101825">
      <w:rPr>
        <w:szCs w:val="16"/>
      </w:rPr>
      <w:t>04.04.11</w:t>
    </w:r>
    <w:r w:rsidRPr="00FC2193">
      <w:rPr>
        <w:szCs w:val="16"/>
      </w:rPr>
      <w:fldChar w:fldCharType="end"/>
    </w:r>
    <w:r w:rsidRPr="00FC2193">
      <w:rPr>
        <w:szCs w:val="16"/>
        <w:lang w:val="es-ES_tradnl"/>
      </w:rPr>
      <w:tab/>
    </w:r>
    <w:r w:rsidRPr="00FC2193">
      <w:rPr>
        <w:szCs w:val="16"/>
      </w:rPr>
      <w:fldChar w:fldCharType="begin"/>
    </w:r>
    <w:r w:rsidRPr="00FC2193">
      <w:rPr>
        <w:szCs w:val="16"/>
      </w:rPr>
      <w:instrText xml:space="preserve"> PRINTDATE \@ DD.MM.YY </w:instrText>
    </w:r>
    <w:r w:rsidRPr="00FC2193">
      <w:rPr>
        <w:szCs w:val="16"/>
      </w:rPr>
      <w:fldChar w:fldCharType="separate"/>
    </w:r>
    <w:r w:rsidR="00101825">
      <w:rPr>
        <w:szCs w:val="16"/>
      </w:rPr>
      <w:t>04.04.11</w:t>
    </w:r>
    <w:r w:rsidRPr="00FC2193">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FC2193">
      <w:trPr>
        <w:cantSplit/>
      </w:trPr>
      <w:tc>
        <w:tcPr>
          <w:tcW w:w="1062" w:type="pct"/>
          <w:tcBorders>
            <w:top w:val="single" w:sz="6" w:space="0" w:color="auto"/>
          </w:tcBorders>
          <w:tcMar>
            <w:top w:w="57" w:type="dxa"/>
          </w:tcMar>
        </w:tcPr>
        <w:p w:rsidR="00FC2193" w:rsidRDefault="00FC2193">
          <w:pPr>
            <w:pStyle w:val="itu"/>
            <w:rPr>
              <w:lang w:val="fr-FR"/>
            </w:rPr>
          </w:pPr>
          <w:r>
            <w:rPr>
              <w:lang w:val="fr-FR"/>
            </w:rPr>
            <w:t>Place des Nations</w:t>
          </w:r>
        </w:p>
      </w:tc>
      <w:tc>
        <w:tcPr>
          <w:tcW w:w="1584" w:type="pct"/>
          <w:tcBorders>
            <w:top w:val="single" w:sz="6" w:space="0" w:color="auto"/>
          </w:tcBorders>
          <w:tcMar>
            <w:top w:w="57" w:type="dxa"/>
          </w:tcMar>
        </w:tcPr>
        <w:p w:rsidR="00FC2193" w:rsidRDefault="00FC2193">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FC2193" w:rsidRDefault="00FC2193">
          <w:pPr>
            <w:pStyle w:val="itu"/>
            <w:rPr>
              <w:lang w:val="fr-FR"/>
            </w:rPr>
          </w:pPr>
          <w:r>
            <w:rPr>
              <w:lang w:val="fr-FR"/>
            </w:rPr>
            <w:t>Télex 421 000 uit ch</w:t>
          </w:r>
        </w:p>
      </w:tc>
      <w:tc>
        <w:tcPr>
          <w:tcW w:w="1131" w:type="pct"/>
          <w:tcBorders>
            <w:top w:val="single" w:sz="6" w:space="0" w:color="auto"/>
          </w:tcBorders>
          <w:tcMar>
            <w:top w:w="57" w:type="dxa"/>
          </w:tcMar>
        </w:tcPr>
        <w:p w:rsidR="00FC2193" w:rsidRDefault="00FC2193">
          <w:pPr>
            <w:pStyle w:val="itu"/>
            <w:rPr>
              <w:lang w:val="fr-FR"/>
            </w:rPr>
          </w:pPr>
          <w:r>
            <w:rPr>
              <w:lang w:val="fr-FR"/>
            </w:rPr>
            <w:t>E-mail:</w:t>
          </w:r>
          <w:r>
            <w:rPr>
              <w:lang w:val="fr-FR"/>
            </w:rPr>
            <w:tab/>
            <w:t>itumail@itu.int</w:t>
          </w:r>
        </w:p>
      </w:tc>
    </w:tr>
    <w:tr w:rsidR="00FC2193">
      <w:trPr>
        <w:cantSplit/>
      </w:trPr>
      <w:tc>
        <w:tcPr>
          <w:tcW w:w="1062" w:type="pct"/>
        </w:tcPr>
        <w:p w:rsidR="00FC2193" w:rsidRDefault="00FC2193">
          <w:pPr>
            <w:pStyle w:val="itu"/>
            <w:rPr>
              <w:lang w:val="fr-FR"/>
            </w:rPr>
          </w:pPr>
          <w:r>
            <w:rPr>
              <w:lang w:val="fr-FR"/>
            </w:rPr>
            <w:t>CH-1211 Genève 20</w:t>
          </w:r>
        </w:p>
      </w:tc>
      <w:tc>
        <w:tcPr>
          <w:tcW w:w="1584" w:type="pct"/>
        </w:tcPr>
        <w:p w:rsidR="00FC2193" w:rsidRDefault="00FC2193">
          <w:pPr>
            <w:pStyle w:val="itu"/>
            <w:rPr>
              <w:lang w:val="fr-FR"/>
            </w:rPr>
          </w:pPr>
          <w:r>
            <w:rPr>
              <w:lang w:val="fr-FR"/>
            </w:rPr>
            <w:t>Téléfax</w:t>
          </w:r>
          <w:r>
            <w:rPr>
              <w:lang w:val="fr-FR"/>
            </w:rPr>
            <w:tab/>
            <w:t>Gr3:</w:t>
          </w:r>
          <w:r>
            <w:rPr>
              <w:lang w:val="fr-FR"/>
            </w:rPr>
            <w:tab/>
            <w:t>+41 22 733 72 56</w:t>
          </w:r>
        </w:p>
      </w:tc>
      <w:tc>
        <w:tcPr>
          <w:tcW w:w="1223" w:type="pct"/>
        </w:tcPr>
        <w:p w:rsidR="00FC2193" w:rsidRDefault="00FC2193">
          <w:pPr>
            <w:pStyle w:val="itu"/>
            <w:rPr>
              <w:lang w:val="fr-FR"/>
            </w:rPr>
          </w:pPr>
          <w:r>
            <w:rPr>
              <w:lang w:val="fr-FR"/>
            </w:rPr>
            <w:t>Télégramme ITU GENEVE</w:t>
          </w:r>
        </w:p>
      </w:tc>
      <w:tc>
        <w:tcPr>
          <w:tcW w:w="1131" w:type="pct"/>
        </w:tcPr>
        <w:p w:rsidR="00FC2193" w:rsidRDefault="00FC2193">
          <w:pPr>
            <w:pStyle w:val="itu"/>
            <w:rPr>
              <w:lang w:val="fr-FR"/>
            </w:rPr>
          </w:pPr>
          <w:r>
            <w:rPr>
              <w:lang w:val="fr-FR"/>
            </w:rPr>
            <w:tab/>
          </w:r>
          <w:hyperlink r:id="rId1" w:history="1">
            <w:r>
              <w:rPr>
                <w:lang w:val="fr-FR"/>
              </w:rPr>
              <w:t>http://www.itu.int/</w:t>
            </w:r>
          </w:hyperlink>
        </w:p>
      </w:tc>
    </w:tr>
    <w:tr w:rsidR="00FC2193">
      <w:trPr>
        <w:cantSplit/>
      </w:trPr>
      <w:tc>
        <w:tcPr>
          <w:tcW w:w="1062" w:type="pct"/>
        </w:tcPr>
        <w:p w:rsidR="00FC2193" w:rsidRDefault="00FC2193">
          <w:pPr>
            <w:pStyle w:val="itu"/>
            <w:rPr>
              <w:lang w:val="fr-FR"/>
            </w:rPr>
          </w:pPr>
          <w:r>
            <w:rPr>
              <w:lang w:val="fr-FR"/>
            </w:rPr>
            <w:t>Suisse</w:t>
          </w:r>
        </w:p>
      </w:tc>
      <w:tc>
        <w:tcPr>
          <w:tcW w:w="1584" w:type="pct"/>
        </w:tcPr>
        <w:p w:rsidR="00FC2193" w:rsidRDefault="00FC2193">
          <w:pPr>
            <w:pStyle w:val="itu"/>
            <w:rPr>
              <w:lang w:val="fr-FR"/>
            </w:rPr>
          </w:pPr>
          <w:r>
            <w:rPr>
              <w:lang w:val="fr-FR"/>
            </w:rPr>
            <w:tab/>
            <w:t>Gr4:</w:t>
          </w:r>
          <w:r>
            <w:rPr>
              <w:lang w:val="fr-FR"/>
            </w:rPr>
            <w:tab/>
            <w:t>+41 22 730 65 00</w:t>
          </w:r>
        </w:p>
      </w:tc>
      <w:tc>
        <w:tcPr>
          <w:tcW w:w="1223" w:type="pct"/>
        </w:tcPr>
        <w:p w:rsidR="00FC2193" w:rsidRDefault="00FC2193">
          <w:pPr>
            <w:pStyle w:val="itu"/>
            <w:rPr>
              <w:lang w:val="fr-FR"/>
            </w:rPr>
          </w:pPr>
        </w:p>
      </w:tc>
      <w:tc>
        <w:tcPr>
          <w:tcW w:w="1131" w:type="pct"/>
        </w:tcPr>
        <w:p w:rsidR="00FC2193" w:rsidRDefault="00FC2193">
          <w:pPr>
            <w:pStyle w:val="itu"/>
            <w:rPr>
              <w:lang w:val="fr-FR"/>
            </w:rPr>
          </w:pPr>
        </w:p>
      </w:tc>
    </w:tr>
  </w:tbl>
  <w:p w:rsidR="00FC2193" w:rsidRPr="000323CC" w:rsidRDefault="00FC2193" w:rsidP="00FC2193">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93" w:rsidRDefault="00FC2193">
      <w:r>
        <w:t>____________________</w:t>
      </w:r>
    </w:p>
  </w:footnote>
  <w:footnote w:type="continuationSeparator" w:id="0">
    <w:p w:rsidR="00FC2193" w:rsidRDefault="00FC2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3" w:rsidRDefault="00FC2193">
    <w:pPr>
      <w:pStyle w:val="Header"/>
    </w:pPr>
    <w:r>
      <w:fldChar w:fldCharType="begin"/>
    </w:r>
    <w:r>
      <w:instrText xml:space="preserve"> PAGE   \* MERGEFORMAT </w:instrText>
    </w:r>
    <w:r>
      <w:fldChar w:fldCharType="separate"/>
    </w:r>
    <w:r w:rsidR="00101825">
      <w:rPr>
        <w:noProof/>
      </w:rPr>
      <w:t>2</w:t>
    </w:r>
    <w:r>
      <w:rPr>
        <w:noProof/>
      </w:rPr>
      <w:fldChar w:fldCharType="end"/>
    </w:r>
  </w:p>
  <w:p w:rsidR="00FC2193" w:rsidRDefault="00FC2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A0E5BD3"/>
    <w:multiLevelType w:val="hybridMultilevel"/>
    <w:tmpl w:val="CBCCDF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40"/>
    <w:rsid w:val="000277E7"/>
    <w:rsid w:val="000323CC"/>
    <w:rsid w:val="000458EC"/>
    <w:rsid w:val="0005612B"/>
    <w:rsid w:val="000729D4"/>
    <w:rsid w:val="00077F7D"/>
    <w:rsid w:val="00086D11"/>
    <w:rsid w:val="00091978"/>
    <w:rsid w:val="000923A0"/>
    <w:rsid w:val="000E469A"/>
    <w:rsid w:val="000F43D5"/>
    <w:rsid w:val="00101825"/>
    <w:rsid w:val="0019203C"/>
    <w:rsid w:val="001A1C25"/>
    <w:rsid w:val="001B2CE5"/>
    <w:rsid w:val="001C0E60"/>
    <w:rsid w:val="001E2AA0"/>
    <w:rsid w:val="00234C28"/>
    <w:rsid w:val="002430F8"/>
    <w:rsid w:val="002666B0"/>
    <w:rsid w:val="002911F9"/>
    <w:rsid w:val="003203D8"/>
    <w:rsid w:val="00361B1D"/>
    <w:rsid w:val="003720DD"/>
    <w:rsid w:val="00424F6F"/>
    <w:rsid w:val="004B1D43"/>
    <w:rsid w:val="004B511F"/>
    <w:rsid w:val="004D21A1"/>
    <w:rsid w:val="004E30D9"/>
    <w:rsid w:val="0052597A"/>
    <w:rsid w:val="00532513"/>
    <w:rsid w:val="005529EB"/>
    <w:rsid w:val="005749A0"/>
    <w:rsid w:val="00582569"/>
    <w:rsid w:val="005832B6"/>
    <w:rsid w:val="005F3856"/>
    <w:rsid w:val="00615D6F"/>
    <w:rsid w:val="00616540"/>
    <w:rsid w:val="0065419D"/>
    <w:rsid w:val="00670146"/>
    <w:rsid w:val="007077D3"/>
    <w:rsid w:val="007153FF"/>
    <w:rsid w:val="00757437"/>
    <w:rsid w:val="00763CC4"/>
    <w:rsid w:val="0076413A"/>
    <w:rsid w:val="007918ED"/>
    <w:rsid w:val="007970EE"/>
    <w:rsid w:val="007A5EE0"/>
    <w:rsid w:val="007B0940"/>
    <w:rsid w:val="007C4098"/>
    <w:rsid w:val="007F3928"/>
    <w:rsid w:val="00811E98"/>
    <w:rsid w:val="00840290"/>
    <w:rsid w:val="00867945"/>
    <w:rsid w:val="00870CF1"/>
    <w:rsid w:val="008826EE"/>
    <w:rsid w:val="00883535"/>
    <w:rsid w:val="008B04A9"/>
    <w:rsid w:val="008C5D1D"/>
    <w:rsid w:val="008D58FA"/>
    <w:rsid w:val="009F70CC"/>
    <w:rsid w:val="00A118EB"/>
    <w:rsid w:val="00A2257B"/>
    <w:rsid w:val="00AF4528"/>
    <w:rsid w:val="00B257A5"/>
    <w:rsid w:val="00B464ED"/>
    <w:rsid w:val="00BD66AF"/>
    <w:rsid w:val="00BF3EC6"/>
    <w:rsid w:val="00C166D2"/>
    <w:rsid w:val="00C42F07"/>
    <w:rsid w:val="00C77E2B"/>
    <w:rsid w:val="00C826CB"/>
    <w:rsid w:val="00C876CE"/>
    <w:rsid w:val="00C87872"/>
    <w:rsid w:val="00C87B44"/>
    <w:rsid w:val="00CB743B"/>
    <w:rsid w:val="00D04DB1"/>
    <w:rsid w:val="00D30A21"/>
    <w:rsid w:val="00D40B0E"/>
    <w:rsid w:val="00D8112C"/>
    <w:rsid w:val="00DB3544"/>
    <w:rsid w:val="00E25073"/>
    <w:rsid w:val="00E73E50"/>
    <w:rsid w:val="00EB0459"/>
    <w:rsid w:val="00EE586A"/>
    <w:rsid w:val="00EF0489"/>
    <w:rsid w:val="00EF5804"/>
    <w:rsid w:val="00FA7B4D"/>
    <w:rsid w:val="00FB5AC7"/>
    <w:rsid w:val="00FC2193"/>
    <w:rsid w:val="00FC6CE9"/>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LineNumber">
    <w:name w:val="line number"/>
    <w:basedOn w:val="DefaultParagraphFont"/>
  </w:style>
  <w:style w:type="paragraph" w:customStyle="1" w:styleId="Normalaftertitle">
    <w:name w:val="Normal_after_title"/>
    <w:basedOn w:val="Normal"/>
    <w:next w:val="Normal"/>
    <w:pPr>
      <w:spacing w:before="36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Note">
    <w:name w:val="Note"/>
    <w:basedOn w:val="Normal"/>
    <w:pPr>
      <w:spacing w:before="80"/>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meeting">
    <w:name w:val="meeting"/>
    <w:basedOn w:val="Normal"/>
    <w:next w:val="Normal"/>
    <w:pPr>
      <w:tabs>
        <w:tab w:val="left" w:pos="7371"/>
      </w:tabs>
      <w:spacing w:after="5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76CE"/>
    <w:rPr>
      <w:color w:val="0000FF"/>
      <w:u w:val="single"/>
    </w:rPr>
  </w:style>
  <w:style w:type="character" w:customStyle="1" w:styleId="href">
    <w:name w:val="href"/>
    <w:basedOn w:val="DefaultParagraphFont"/>
    <w:rsid w:val="00C876CE"/>
  </w:style>
  <w:style w:type="paragraph" w:customStyle="1" w:styleId="Char">
    <w:name w:val="Char"/>
    <w:basedOn w:val="Normal"/>
    <w:rsid w:val="00D40B0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Annextitle">
    <w:name w:val="Annex_title"/>
    <w:basedOn w:val="Normal"/>
    <w:next w:val="Normal"/>
    <w:rsid w:val="00D40B0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Proposal">
    <w:name w:val="Proposal"/>
    <w:basedOn w:val="Normal"/>
    <w:next w:val="Normal"/>
    <w:rsid w:val="00D40B0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eading1Char">
    <w:name w:val="Heading 1 Char"/>
    <w:link w:val="Heading1"/>
    <w:rsid w:val="00532513"/>
    <w:rPr>
      <w:b/>
      <w:sz w:val="24"/>
      <w:lang w:val="fr-FR" w:eastAsia="en-US" w:bidi="ar-SA"/>
    </w:rPr>
  </w:style>
  <w:style w:type="paragraph" w:styleId="BalloonText">
    <w:name w:val="Balloon Text"/>
    <w:basedOn w:val="Normal"/>
    <w:semiHidden/>
    <w:rsid w:val="00670146"/>
    <w:rPr>
      <w:rFonts w:ascii="Tahoma" w:hAnsi="Tahoma" w:cs="Tahoma"/>
      <w:sz w:val="16"/>
      <w:szCs w:val="16"/>
    </w:rPr>
  </w:style>
  <w:style w:type="character" w:customStyle="1" w:styleId="enumlev1Char">
    <w:name w:val="enumlev1 Char"/>
    <w:link w:val="enumlev1"/>
    <w:rsid w:val="007F3928"/>
    <w:rPr>
      <w:sz w:val="24"/>
      <w:lang w:val="fr-FR" w:eastAsia="en-US" w:bidi="ar-SA"/>
    </w:rPr>
  </w:style>
  <w:style w:type="character" w:customStyle="1" w:styleId="HeaderChar">
    <w:name w:val="Header Char"/>
    <w:link w:val="Header"/>
    <w:uiPriority w:val="99"/>
    <w:rsid w:val="005F3856"/>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LineNumber">
    <w:name w:val="line number"/>
    <w:basedOn w:val="DefaultParagraphFont"/>
  </w:style>
  <w:style w:type="paragraph" w:customStyle="1" w:styleId="Normalaftertitle">
    <w:name w:val="Normal_after_title"/>
    <w:basedOn w:val="Normal"/>
    <w:next w:val="Normal"/>
    <w:pPr>
      <w:spacing w:before="36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Note">
    <w:name w:val="Note"/>
    <w:basedOn w:val="Normal"/>
    <w:pPr>
      <w:spacing w:before="80"/>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meeting">
    <w:name w:val="meeting"/>
    <w:basedOn w:val="Normal"/>
    <w:next w:val="Normal"/>
    <w:pPr>
      <w:tabs>
        <w:tab w:val="left" w:pos="7371"/>
      </w:tabs>
      <w:spacing w:after="5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76CE"/>
    <w:rPr>
      <w:color w:val="0000FF"/>
      <w:u w:val="single"/>
    </w:rPr>
  </w:style>
  <w:style w:type="character" w:customStyle="1" w:styleId="href">
    <w:name w:val="href"/>
    <w:basedOn w:val="DefaultParagraphFont"/>
    <w:rsid w:val="00C876CE"/>
  </w:style>
  <w:style w:type="paragraph" w:customStyle="1" w:styleId="Char">
    <w:name w:val="Char"/>
    <w:basedOn w:val="Normal"/>
    <w:rsid w:val="00D40B0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Annextitle">
    <w:name w:val="Annex_title"/>
    <w:basedOn w:val="Normal"/>
    <w:next w:val="Normal"/>
    <w:rsid w:val="00D40B0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Proposal">
    <w:name w:val="Proposal"/>
    <w:basedOn w:val="Normal"/>
    <w:next w:val="Normal"/>
    <w:rsid w:val="00D40B0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eading1Char">
    <w:name w:val="Heading 1 Char"/>
    <w:link w:val="Heading1"/>
    <w:rsid w:val="00532513"/>
    <w:rPr>
      <w:b/>
      <w:sz w:val="24"/>
      <w:lang w:val="fr-FR" w:eastAsia="en-US" w:bidi="ar-SA"/>
    </w:rPr>
  </w:style>
  <w:style w:type="paragraph" w:styleId="BalloonText">
    <w:name w:val="Balloon Text"/>
    <w:basedOn w:val="Normal"/>
    <w:semiHidden/>
    <w:rsid w:val="00670146"/>
    <w:rPr>
      <w:rFonts w:ascii="Tahoma" w:hAnsi="Tahoma" w:cs="Tahoma"/>
      <w:sz w:val="16"/>
      <w:szCs w:val="16"/>
    </w:rPr>
  </w:style>
  <w:style w:type="character" w:customStyle="1" w:styleId="enumlev1Char">
    <w:name w:val="enumlev1 Char"/>
    <w:link w:val="enumlev1"/>
    <w:rsid w:val="007F3928"/>
    <w:rPr>
      <w:sz w:val="24"/>
      <w:lang w:val="fr-FR" w:eastAsia="en-US" w:bidi="ar-SA"/>
    </w:rPr>
  </w:style>
  <w:style w:type="character" w:customStyle="1" w:styleId="HeaderChar">
    <w:name w:val="Header Char"/>
    <w:link w:val="Header"/>
    <w:uiPriority w:val="99"/>
    <w:rsid w:val="005F3856"/>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pool\FRA\ITU-R\BR\DIR\CCRR\000\brmail@itu.int"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ny\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Template>
  <TotalTime>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4244</CharactersWithSpaces>
  <SharedDoc>false</SharedDoc>
  <HLinks>
    <vt:vector size="12" baseType="variant">
      <vt:variant>
        <vt:i4>8126525</vt:i4>
      </vt:variant>
      <vt:variant>
        <vt:i4>0</vt:i4>
      </vt:variant>
      <vt:variant>
        <vt:i4>0</vt:i4>
      </vt:variant>
      <vt:variant>
        <vt:i4>5</vt:i4>
      </vt:variant>
      <vt:variant>
        <vt:lpwstr>http://web/dms_pub/TRAD/F/ITU-R/BR/DIR/CCRR/brmail@itu.int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gozal</cp:lastModifiedBy>
  <cp:revision>4</cp:revision>
  <cp:lastPrinted>2011-04-04T08:28:00Z</cp:lastPrinted>
  <dcterms:created xsi:type="dcterms:W3CDTF">2011-04-04T07:28:00Z</dcterms:created>
  <dcterms:modified xsi:type="dcterms:W3CDTF">2011-04-04T08:28:00Z</dcterms:modified>
</cp:coreProperties>
</file>