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A96063">
        <w:tc>
          <w:tcPr>
            <w:tcW w:w="8188" w:type="dxa"/>
            <w:vAlign w:val="center"/>
          </w:tcPr>
          <w:p w:rsidR="00D35752" w:rsidRPr="00054872" w:rsidRDefault="00054872" w:rsidP="00A96063">
            <w:pPr>
              <w:spacing w:before="0"/>
              <w:rPr>
                <w:lang w:bidi="ar-EG"/>
              </w:rPr>
            </w:pPr>
            <w:r w:rsidRPr="00A96063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265096" w:rsidP="00A96063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 xml:space="preserve">مكتب الاتصالات </w:t>
            </w:r>
            <w:proofErr w:type="spellStart"/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الراديوية</w:t>
            </w:r>
            <w:proofErr w:type="spellEnd"/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817" w:type="dxa"/>
        <w:tblLayout w:type="fixed"/>
        <w:tblLook w:val="0000"/>
      </w:tblPr>
      <w:tblGrid>
        <w:gridCol w:w="2518"/>
        <w:gridCol w:w="729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01342F" w:rsidRDefault="0001342F" w:rsidP="00F76D09">
            <w:pPr>
              <w:jc w:val="center"/>
              <w:rPr>
                <w:rtl/>
                <w:lang w:bidi="ar-EG"/>
              </w:rPr>
            </w:pPr>
            <w:bookmarkStart w:id="0" w:name="dletter"/>
            <w:bookmarkEnd w:id="0"/>
            <w:r w:rsidRPr="0001342F">
              <w:rPr>
                <w:rtl/>
                <w:lang w:val="en-US" w:bidi="ar-EG"/>
              </w:rPr>
              <w:t>النشرة الإدارية</w:t>
            </w:r>
            <w:r w:rsidRPr="0001342F">
              <w:rPr>
                <w:rtl/>
                <w:lang w:val="en-US" w:bidi="ar-EG"/>
              </w:rPr>
              <w:br/>
            </w:r>
            <w:r w:rsidRPr="00897E61">
              <w:rPr>
                <w:b/>
                <w:bCs/>
                <w:lang w:val="en-US" w:bidi="ar-EG"/>
              </w:rPr>
              <w:t>CAR/</w:t>
            </w:r>
            <w:r w:rsidR="00F76D09">
              <w:rPr>
                <w:b/>
                <w:bCs/>
                <w:lang w:val="en-US" w:bidi="ar-EG"/>
              </w:rPr>
              <w:t>302</w:t>
            </w:r>
          </w:p>
        </w:tc>
        <w:tc>
          <w:tcPr>
            <w:tcW w:w="7299" w:type="dxa"/>
          </w:tcPr>
          <w:p w:rsidR="00B87E04" w:rsidRPr="00206E2B" w:rsidRDefault="00C14B7D" w:rsidP="00C14B7D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1</w:t>
            </w:r>
            <w:r w:rsidR="00BB586E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tl/>
                <w:lang w:val="en-US" w:bidi="ar-EG"/>
              </w:rPr>
              <w:t>نوفمبر</w:t>
            </w:r>
            <w:r>
              <w:rPr>
                <w:lang w:val="en-US" w:bidi="ar-EG"/>
              </w:rPr>
              <w:t xml:space="preserve"> </w:t>
            </w:r>
            <w:r w:rsidR="00FF7DDC">
              <w:rPr>
                <w:lang w:val="en-US" w:bidi="ar-EG"/>
              </w:rPr>
              <w:t>2010</w:t>
            </w:r>
          </w:p>
        </w:tc>
      </w:tr>
    </w:tbl>
    <w:p w:rsidR="00054872" w:rsidRPr="00054872" w:rsidRDefault="00054872" w:rsidP="00054872">
      <w:pPr>
        <w:jc w:val="center"/>
        <w:rPr>
          <w:b/>
          <w:bCs/>
          <w:szCs w:val="24"/>
          <w:lang w:bidi="ar-EG"/>
        </w:rPr>
      </w:pPr>
    </w:p>
    <w:p w:rsidR="0001342F" w:rsidRPr="0001342F" w:rsidRDefault="0001342F" w:rsidP="002B7615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600" w:after="120"/>
        <w:rPr>
          <w:b w:val="0"/>
          <w:bCs/>
          <w:sz w:val="26"/>
          <w:szCs w:val="36"/>
          <w:rtl/>
          <w:lang w:bidi="ar-EG"/>
        </w:rPr>
      </w:pPr>
      <w:r w:rsidRPr="0001342F">
        <w:rPr>
          <w:b w:val="0"/>
          <w:bCs/>
          <w:sz w:val="26"/>
          <w:szCs w:val="36"/>
          <w:rtl/>
          <w:lang w:bidi="ar-EG"/>
        </w:rPr>
        <w:t>إلى إدارات الدول الأعضاء في الاتحاد</w:t>
      </w:r>
    </w:p>
    <w:p w:rsidR="0001342F" w:rsidRDefault="0001342F" w:rsidP="0001342F">
      <w:pPr>
        <w:rPr>
          <w:rtl/>
          <w:lang w:val="en-US" w:bidi="ar-EG"/>
        </w:rPr>
      </w:pPr>
    </w:p>
    <w:tbl>
      <w:tblPr>
        <w:bidiVisual/>
        <w:tblW w:w="0" w:type="auto"/>
        <w:tblLook w:val="01E0"/>
      </w:tblPr>
      <w:tblGrid>
        <w:gridCol w:w="1100"/>
        <w:gridCol w:w="8647"/>
      </w:tblGrid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A96063">
              <w:rPr>
                <w:b/>
                <w:bCs/>
                <w:rtl/>
                <w:lang w:bidi="ar-EG"/>
              </w:rPr>
              <w:t>الموضوع:</w:t>
            </w:r>
          </w:p>
        </w:tc>
        <w:tc>
          <w:tcPr>
            <w:tcW w:w="8647" w:type="dxa"/>
          </w:tcPr>
          <w:p w:rsidR="00BB1786" w:rsidRPr="00A96063" w:rsidRDefault="00BB1786" w:rsidP="003B48BC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A96063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3B48BC">
              <w:rPr>
                <w:b/>
                <w:bCs/>
                <w:lang w:val="en-US" w:bidi="ar-EG"/>
              </w:rPr>
              <w:t>1</w:t>
            </w:r>
            <w:r w:rsidRPr="00A96063">
              <w:rPr>
                <w:b/>
                <w:bCs/>
                <w:rtl/>
                <w:lang w:val="en-US" w:bidi="ar-EG"/>
              </w:rPr>
              <w:t xml:space="preserve"> للاتصالات </w:t>
            </w:r>
            <w:proofErr w:type="spellStart"/>
            <w:r w:rsidRPr="00A96063">
              <w:rPr>
                <w:b/>
                <w:bCs/>
                <w:rtl/>
                <w:lang w:val="en-US" w:bidi="ar-EG"/>
              </w:rPr>
              <w:t>الراديوية</w:t>
            </w:r>
            <w:proofErr w:type="spellEnd"/>
          </w:p>
        </w:tc>
      </w:tr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8647" w:type="dxa"/>
          </w:tcPr>
          <w:p w:rsidR="00BB1786" w:rsidRPr="00A96063" w:rsidRDefault="00BB1786" w:rsidP="000F412C">
            <w:pPr>
              <w:numPr>
                <w:ilvl w:val="0"/>
                <w:numId w:val="2"/>
              </w:numPr>
              <w:rPr>
                <w:rFonts w:ascii="Times New Roman Bold" w:hAnsi="Times New Roman Bold"/>
                <w:b/>
                <w:bCs/>
                <w:spacing w:val="4"/>
                <w:rtl/>
                <w:lang w:bidi="ar-EG"/>
              </w:rPr>
            </w:pP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اقتراح لاعتماد </w:t>
            </w:r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مشروع</w:t>
            </w:r>
            <w:r w:rsidR="00F90A06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توصية</w:t>
            </w:r>
            <w:r w:rsidR="00BB586E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جديدة و</w:t>
            </w:r>
            <w:r w:rsidR="00CC7E0F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مش</w:t>
            </w:r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روعي</w:t>
            </w:r>
            <w:r w:rsidR="00CC7E0F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مراجعة </w:t>
            </w:r>
            <w:proofErr w:type="spellStart"/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توصيتين</w:t>
            </w:r>
            <w:proofErr w:type="spellEnd"/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0D0F39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والموافقة عليها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في نفس الوقت عن طريق المراسلة وفقاً للفقرة 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3.10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من القرار 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ITU-R 1-</w:t>
            </w:r>
            <w:r w:rsidR="005B14A6"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5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(إجراء الاعتماد والموافقة في</w:t>
            </w:r>
            <w:r w:rsidR="000F412C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 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>نفس الوقت بالمراسلة)</w:t>
            </w:r>
          </w:p>
          <w:p w:rsidR="00597B46" w:rsidRPr="00A96063" w:rsidRDefault="00597B46" w:rsidP="003B48BC">
            <w:pPr>
              <w:tabs>
                <w:tab w:val="left" w:pos="364"/>
              </w:tabs>
              <w:rPr>
                <w:b/>
                <w:bCs/>
                <w:rtl/>
                <w:lang w:val="en-US" w:bidi="ar-EG"/>
              </w:rPr>
            </w:pPr>
            <w:r w:rsidRPr="00A96063">
              <w:rPr>
                <w:rFonts w:hint="cs"/>
                <w:b/>
                <w:bCs/>
                <w:rtl/>
                <w:lang w:bidi="ar-EG"/>
              </w:rPr>
              <w:t>-</w:t>
            </w:r>
            <w:r w:rsidRPr="00A96063">
              <w:rPr>
                <w:b/>
                <w:bCs/>
                <w:rtl/>
                <w:lang w:bidi="ar-EG"/>
              </w:rPr>
              <w:tab/>
            </w:r>
            <w:r w:rsidRPr="00A96063">
              <w:rPr>
                <w:rFonts w:hint="cs"/>
                <w:b/>
                <w:bCs/>
                <w:rtl/>
                <w:lang w:bidi="ar-EG"/>
              </w:rPr>
              <w:t xml:space="preserve">اقتراح إلغاء </w:t>
            </w:r>
            <w:r w:rsidR="003B48BC">
              <w:rPr>
                <w:b/>
                <w:bCs/>
                <w:lang w:val="en-US" w:bidi="ar-EG"/>
              </w:rPr>
              <w:t>3</w:t>
            </w:r>
            <w:r w:rsidR="00BB586E" w:rsidRPr="00A96063">
              <w:rPr>
                <w:rFonts w:hint="cs"/>
                <w:b/>
                <w:bCs/>
                <w:rtl/>
                <w:lang w:val="en-US" w:bidi="ar-EG"/>
              </w:rPr>
              <w:t xml:space="preserve"> </w:t>
            </w:r>
            <w:r w:rsidR="0056566E" w:rsidRPr="00A96063">
              <w:rPr>
                <w:rFonts w:hint="cs"/>
                <w:b/>
                <w:bCs/>
                <w:rtl/>
                <w:lang w:val="en-US" w:bidi="ar-EG"/>
              </w:rPr>
              <w:t>توصيات</w:t>
            </w:r>
          </w:p>
        </w:tc>
      </w:tr>
    </w:tbl>
    <w:p w:rsidR="00BB1786" w:rsidRPr="00DA30AE" w:rsidRDefault="00BB1786" w:rsidP="00FF5771">
      <w:pPr>
        <w:pStyle w:val="Normalaftertitle"/>
        <w:rPr>
          <w:rtl/>
          <w:lang w:val="en-US" w:bidi="ar-EG"/>
        </w:rPr>
      </w:pPr>
      <w:r w:rsidRPr="00DA30AE">
        <w:rPr>
          <w:rtl/>
          <w:lang w:bidi="ar-EG"/>
        </w:rPr>
        <w:t xml:space="preserve">قررت لجنة الدراسات </w:t>
      </w:r>
      <w:r w:rsidR="003B48BC">
        <w:rPr>
          <w:lang w:bidi="ar-EG"/>
        </w:rPr>
        <w:t>1</w:t>
      </w:r>
      <w:r w:rsidRPr="00DA30AE">
        <w:rPr>
          <w:rtl/>
          <w:lang w:bidi="ar-EG"/>
        </w:rPr>
        <w:t xml:space="preserve"> للاتصالات</w:t>
      </w:r>
      <w:r w:rsidRPr="00DA30AE">
        <w:rPr>
          <w:rtl/>
          <w:lang w:val="en-US" w:bidi="ar-EG"/>
        </w:rPr>
        <w:t xml:space="preserve"> </w:t>
      </w:r>
      <w:proofErr w:type="spellStart"/>
      <w:r w:rsidRPr="00DA30AE">
        <w:rPr>
          <w:rtl/>
          <w:lang w:val="en-US" w:bidi="ar-EG"/>
        </w:rPr>
        <w:t>الراديوية</w:t>
      </w:r>
      <w:proofErr w:type="spellEnd"/>
      <w:r w:rsidRPr="00DA30AE">
        <w:rPr>
          <w:rtl/>
          <w:lang w:val="en-US" w:bidi="ar-EG"/>
        </w:rPr>
        <w:t xml:space="preserve"> في اجتماعها المنعقد </w:t>
      </w:r>
      <w:r w:rsidR="007349C5">
        <w:rPr>
          <w:rFonts w:hint="cs"/>
          <w:rtl/>
          <w:lang w:val="en-US" w:bidi="ar-EG"/>
        </w:rPr>
        <w:t>في</w:t>
      </w:r>
      <w:r w:rsidR="00597B46" w:rsidRPr="00DA30AE">
        <w:rPr>
          <w:rFonts w:hint="cs"/>
          <w:rtl/>
          <w:lang w:val="en-US" w:bidi="ar-EG"/>
        </w:rPr>
        <w:t xml:space="preserve"> </w:t>
      </w:r>
      <w:r w:rsidR="003B48BC">
        <w:rPr>
          <w:lang w:val="en-US" w:bidi="ar-EG"/>
        </w:rPr>
        <w:t>27</w:t>
      </w:r>
      <w:r w:rsidR="00FF5771">
        <w:rPr>
          <w:rFonts w:hint="eastAsia"/>
          <w:rtl/>
          <w:lang w:val="en-US" w:bidi="ar-EG"/>
        </w:rPr>
        <w:t> </w:t>
      </w:r>
      <w:r w:rsidR="003B48BC">
        <w:rPr>
          <w:rFonts w:hint="cs"/>
          <w:rtl/>
          <w:lang w:val="en-US" w:bidi="ar-EG"/>
        </w:rPr>
        <w:t>سبتمبر</w:t>
      </w:r>
      <w:r w:rsidR="00FF5771">
        <w:rPr>
          <w:rFonts w:hint="eastAsia"/>
          <w:rtl/>
          <w:lang w:val="en-US" w:bidi="ar-EG"/>
        </w:rPr>
        <w:t> </w:t>
      </w:r>
      <w:r w:rsidR="003A6C8B">
        <w:rPr>
          <w:lang w:val="en-US" w:bidi="ar-EG"/>
        </w:rPr>
        <w:t>2010</w:t>
      </w:r>
      <w:r w:rsidRPr="00DA30AE">
        <w:rPr>
          <w:rtl/>
          <w:lang w:val="en-US" w:bidi="ar-EG"/>
        </w:rPr>
        <w:t xml:space="preserve"> أن تلتمس اعتماد </w:t>
      </w:r>
      <w:r w:rsidR="003A6C8B" w:rsidRPr="003A6C8B">
        <w:rPr>
          <w:rFonts w:ascii="Times New Roman Bold" w:hAnsi="Times New Roman Bold" w:hint="cs"/>
          <w:spacing w:val="4"/>
          <w:rtl/>
          <w:lang w:val="en-US" w:bidi="ar-EG"/>
        </w:rPr>
        <w:t xml:space="preserve">مشروع توصية جديدة ومشروعي مراجعة </w:t>
      </w:r>
      <w:proofErr w:type="spellStart"/>
      <w:r w:rsidR="003A6C8B" w:rsidRPr="003A6C8B">
        <w:rPr>
          <w:rFonts w:ascii="Times New Roman Bold" w:hAnsi="Times New Roman Bold" w:hint="cs"/>
          <w:spacing w:val="4"/>
          <w:rtl/>
          <w:lang w:val="en-US" w:bidi="ar-EG"/>
        </w:rPr>
        <w:t>توصيتين</w:t>
      </w:r>
      <w:proofErr w:type="spellEnd"/>
      <w:r w:rsidR="003A6C8B" w:rsidRPr="00801854">
        <w:rPr>
          <w:rFonts w:ascii="Times New Roman Bold" w:hAnsi="Times New Roman Bold"/>
          <w:b/>
          <w:bCs/>
          <w:spacing w:val="4"/>
          <w:rtl/>
          <w:lang w:val="en-US" w:bidi="ar-EG"/>
        </w:rPr>
        <w:t xml:space="preserve"> </w:t>
      </w:r>
      <w:r w:rsidRPr="00DA30AE">
        <w:rPr>
          <w:rtl/>
          <w:lang w:val="en-US" w:bidi="ar-EG"/>
        </w:rPr>
        <w:t xml:space="preserve">عن طريق المراسلة (الفقرة </w:t>
      </w:r>
      <w:r w:rsidRPr="00DA30AE">
        <w:rPr>
          <w:lang w:val="en-US" w:bidi="ar-EG"/>
        </w:rPr>
        <w:t>3.2.10</w:t>
      </w:r>
      <w:r w:rsidRPr="00DA30AE">
        <w:rPr>
          <w:rtl/>
          <w:lang w:val="en-US" w:bidi="ar-EG"/>
        </w:rPr>
        <w:t xml:space="preserve"> من القرار </w:t>
      </w:r>
      <w:r w:rsidRPr="00DA30AE">
        <w:rPr>
          <w:lang w:val="en-US" w:bidi="ar-EG"/>
        </w:rPr>
        <w:t>(ITU-R</w:t>
      </w:r>
      <w:r w:rsidR="00FF5771">
        <w:rPr>
          <w:lang w:val="en-US" w:bidi="ar-EG"/>
        </w:rPr>
        <w:t> </w:t>
      </w:r>
      <w:r w:rsidRPr="00DA30AE">
        <w:rPr>
          <w:lang w:val="en-US" w:bidi="ar-EG"/>
        </w:rPr>
        <w:t>1-</w:t>
      </w:r>
      <w:r w:rsidR="00CD4FDE" w:rsidRPr="00DA30AE">
        <w:rPr>
          <w:lang w:val="en-US" w:bidi="ar-EG"/>
        </w:rPr>
        <w:t>5</w:t>
      </w:r>
      <w:r w:rsidRPr="00DA30AE">
        <w:rPr>
          <w:rtl/>
          <w:lang w:val="en-US" w:bidi="ar-EG"/>
        </w:rPr>
        <w:t xml:space="preserve">. </w:t>
      </w:r>
      <w:r w:rsidRPr="00DA30AE">
        <w:rPr>
          <w:rtl/>
          <w:lang w:bidi="ar-EG"/>
        </w:rPr>
        <w:t>كما قررت تطبيق إجراء الاعتماد والموافقة في نفس الوقت عن طريق المراسلة</w:t>
      </w:r>
      <w:r w:rsidR="00DB2966" w:rsidRPr="00DA30AE">
        <w:rPr>
          <w:rFonts w:hint="cs"/>
          <w:rtl/>
          <w:lang w:bidi="ar-EG"/>
        </w:rPr>
        <w:t xml:space="preserve"> </w:t>
      </w:r>
      <w:r w:rsidR="00DB2966" w:rsidRPr="00DA30AE">
        <w:rPr>
          <w:lang w:val="en-US" w:bidi="ar-EG"/>
        </w:rPr>
        <w:t>(PSAA)</w:t>
      </w:r>
      <w:r w:rsidRPr="00DA30AE">
        <w:rPr>
          <w:rtl/>
          <w:lang w:bidi="ar-EG"/>
        </w:rPr>
        <w:t xml:space="preserve"> (الفقرة </w:t>
      </w:r>
      <w:r w:rsidRPr="00DA30AE">
        <w:rPr>
          <w:lang w:val="en-US" w:bidi="ar-EG"/>
        </w:rPr>
        <w:t>3.10</w:t>
      </w:r>
      <w:r w:rsidRPr="00DA30AE">
        <w:rPr>
          <w:rtl/>
          <w:lang w:val="en-US" w:bidi="ar-EG"/>
        </w:rPr>
        <w:t xml:space="preserve"> من القرار </w:t>
      </w:r>
      <w:r w:rsidRPr="00DA30AE">
        <w:rPr>
          <w:lang w:val="en-US" w:bidi="ar-EG"/>
        </w:rPr>
        <w:t>ITU-R</w:t>
      </w:r>
      <w:r w:rsidR="00FF5771">
        <w:rPr>
          <w:lang w:val="en-US" w:bidi="ar-EG"/>
        </w:rPr>
        <w:t> </w:t>
      </w:r>
      <w:r w:rsidRPr="00DA30AE">
        <w:rPr>
          <w:lang w:val="en-US" w:bidi="ar-EG"/>
        </w:rPr>
        <w:t>1-</w:t>
      </w:r>
      <w:r w:rsidR="005B14A6" w:rsidRPr="00DA30AE">
        <w:rPr>
          <w:lang w:val="en-US" w:bidi="ar-EG"/>
        </w:rPr>
        <w:t>5</w:t>
      </w:r>
      <w:r w:rsidRPr="00DA30AE">
        <w:rPr>
          <w:rtl/>
          <w:lang w:val="en-US" w:bidi="ar-EG"/>
        </w:rPr>
        <w:t xml:space="preserve">). </w:t>
      </w:r>
      <w:r w:rsidR="005B14A6" w:rsidRPr="00DA30AE">
        <w:rPr>
          <w:rtl/>
          <w:lang w:val="en-US" w:bidi="ar-EG"/>
        </w:rPr>
        <w:t>ويرد في الملحق</w:t>
      </w:r>
      <w:r w:rsidR="00FF5771">
        <w:rPr>
          <w:rFonts w:hint="cs"/>
          <w:rtl/>
          <w:lang w:val="en-US" w:bidi="ar-EG"/>
        </w:rPr>
        <w:t> </w:t>
      </w:r>
      <w:r w:rsidR="005B14A6" w:rsidRPr="00DA30AE">
        <w:rPr>
          <w:lang w:val="en-US" w:bidi="ar-EG"/>
        </w:rPr>
        <w:t>1</w:t>
      </w:r>
      <w:r w:rsidR="005B14A6" w:rsidRPr="00DA30AE">
        <w:rPr>
          <w:rtl/>
          <w:lang w:val="en-US" w:bidi="ar-EG"/>
        </w:rPr>
        <w:t xml:space="preserve"> </w:t>
      </w:r>
      <w:r w:rsidR="007349C5">
        <w:rPr>
          <w:rFonts w:hint="cs"/>
          <w:rtl/>
          <w:lang w:val="en-US" w:bidi="ar-EG"/>
        </w:rPr>
        <w:t>عناوين</w:t>
      </w:r>
      <w:r w:rsidR="005B14A6" w:rsidRPr="00DA30AE">
        <w:rPr>
          <w:rtl/>
          <w:lang w:val="en-US" w:bidi="ar-EG"/>
        </w:rPr>
        <w:t xml:space="preserve"> </w:t>
      </w:r>
      <w:r w:rsidR="00897E61" w:rsidRPr="00DA30AE">
        <w:rPr>
          <w:rtl/>
          <w:lang w:val="en-US" w:bidi="ar-EG"/>
        </w:rPr>
        <w:t>وملخص</w:t>
      </w:r>
      <w:r w:rsidR="007349C5">
        <w:rPr>
          <w:rFonts w:hint="cs"/>
          <w:rtl/>
          <w:lang w:val="en-US" w:bidi="ar-EG"/>
        </w:rPr>
        <w:t>ات</w:t>
      </w:r>
      <w:r w:rsidR="00897E61" w:rsidRPr="00DA30AE">
        <w:rPr>
          <w:rtl/>
          <w:lang w:val="en-US" w:bidi="ar-EG"/>
        </w:rPr>
        <w:t xml:space="preserve"> </w:t>
      </w:r>
      <w:r w:rsidR="00D01BD2" w:rsidRPr="00DA30AE">
        <w:rPr>
          <w:rFonts w:hint="cs"/>
          <w:rtl/>
          <w:lang w:val="en-US" w:bidi="ar-EG"/>
        </w:rPr>
        <w:t>مشاريع التوصيات</w:t>
      </w:r>
      <w:r w:rsidR="005B14A6" w:rsidRPr="00DA30AE">
        <w:rPr>
          <w:rtl/>
          <w:lang w:val="en-US" w:bidi="ar-EG"/>
        </w:rPr>
        <w:t>.</w:t>
      </w:r>
      <w:r w:rsidR="00597B46" w:rsidRPr="00DA30AE">
        <w:rPr>
          <w:rFonts w:hint="cs"/>
          <w:rtl/>
          <w:lang w:val="en-US" w:bidi="ar-EG"/>
        </w:rPr>
        <w:t xml:space="preserve"> وعلاوة على ذلك تقترح لجنة الدراسات </w:t>
      </w:r>
      <w:r w:rsidR="00450ACA" w:rsidRPr="00DA30AE">
        <w:rPr>
          <w:rFonts w:hint="cs"/>
          <w:rtl/>
          <w:lang w:val="en-US" w:bidi="ar-EG"/>
        </w:rPr>
        <w:t xml:space="preserve">إلغاء </w:t>
      </w:r>
      <w:r w:rsidR="003B48BC">
        <w:rPr>
          <w:lang w:val="en-US" w:bidi="ar-EG"/>
        </w:rPr>
        <w:t>3</w:t>
      </w:r>
      <w:r w:rsidR="00450ACA" w:rsidRPr="00DA30AE">
        <w:rPr>
          <w:rFonts w:hint="cs"/>
          <w:rtl/>
          <w:lang w:val="en-US" w:bidi="ar-EG"/>
        </w:rPr>
        <w:t xml:space="preserve"> </w:t>
      </w:r>
      <w:r w:rsidR="00316B34">
        <w:rPr>
          <w:rFonts w:hint="cs"/>
          <w:rtl/>
          <w:lang w:val="en-US" w:bidi="ar-EG"/>
        </w:rPr>
        <w:t>توصيات</w:t>
      </w:r>
      <w:r w:rsidR="00952D53">
        <w:rPr>
          <w:rFonts w:hint="cs"/>
          <w:rtl/>
          <w:lang w:val="en-US" w:bidi="ar-EG"/>
        </w:rPr>
        <w:t xml:space="preserve"> مبينة </w:t>
      </w:r>
      <w:r w:rsidR="00450ACA" w:rsidRPr="00DA30AE">
        <w:rPr>
          <w:rFonts w:hint="cs"/>
          <w:rtl/>
          <w:lang w:val="en-US" w:bidi="ar-EG"/>
        </w:rPr>
        <w:t>في الملحق</w:t>
      </w:r>
      <w:r w:rsidR="00FF5771">
        <w:rPr>
          <w:rFonts w:hint="eastAsia"/>
          <w:rtl/>
          <w:lang w:val="en-US" w:bidi="ar-EG"/>
        </w:rPr>
        <w:t> </w:t>
      </w:r>
      <w:r w:rsidR="00450ACA" w:rsidRPr="00DA30AE">
        <w:rPr>
          <w:lang w:val="en-US" w:bidi="ar-EG"/>
        </w:rPr>
        <w:t>2</w:t>
      </w:r>
      <w:r w:rsidR="00681CC0">
        <w:rPr>
          <w:rFonts w:hint="cs"/>
          <w:rtl/>
          <w:lang w:val="en-US" w:bidi="ar-EG"/>
        </w:rPr>
        <w:t xml:space="preserve">، </w:t>
      </w:r>
      <w:r w:rsidR="00FF5771">
        <w:rPr>
          <w:rFonts w:hint="cs"/>
          <w:rtl/>
          <w:lang w:val="en-US" w:bidi="ar-EG"/>
        </w:rPr>
        <w:t>رهناً</w:t>
      </w:r>
      <w:r w:rsidR="00681CC0">
        <w:rPr>
          <w:rFonts w:hint="cs"/>
          <w:rtl/>
          <w:lang w:val="en-US" w:bidi="ar-EG"/>
        </w:rPr>
        <w:t xml:space="preserve"> </w:t>
      </w:r>
      <w:r w:rsidR="00FF5771">
        <w:rPr>
          <w:rFonts w:hint="cs"/>
          <w:rtl/>
          <w:lang w:val="en-US" w:bidi="ar-EG"/>
        </w:rPr>
        <w:t>ب</w:t>
      </w:r>
      <w:r w:rsidR="00681CC0">
        <w:rPr>
          <w:rFonts w:hint="cs"/>
          <w:rtl/>
          <w:lang w:val="en-US" w:bidi="ar-EG"/>
        </w:rPr>
        <w:t>الموافقة المحتملة على مشروع التوصية الجديدة</w:t>
      </w:r>
      <w:r w:rsidR="00450ACA" w:rsidRPr="00DA30AE">
        <w:rPr>
          <w:rFonts w:hint="cs"/>
          <w:rtl/>
          <w:lang w:val="en-US" w:bidi="ar-EG"/>
        </w:rPr>
        <w:t>.</w:t>
      </w:r>
    </w:p>
    <w:p w:rsidR="00BB1786" w:rsidRPr="00CE1192" w:rsidRDefault="00BB1786" w:rsidP="00C14B7D">
      <w:pPr>
        <w:rPr>
          <w:spacing w:val="-2"/>
          <w:rtl/>
          <w:lang w:val="en-US" w:bidi="ar-EG"/>
        </w:rPr>
      </w:pPr>
      <w:r w:rsidRPr="00CE1192">
        <w:rPr>
          <w:spacing w:val="-2"/>
          <w:rtl/>
          <w:lang w:val="en-US" w:bidi="ar-EG"/>
        </w:rPr>
        <w:t xml:space="preserve">وتمتد فترة النظر ثلاثة أشهر تنتهي </w:t>
      </w:r>
      <w:r w:rsidRPr="00CD4FDE">
        <w:rPr>
          <w:spacing w:val="-2"/>
          <w:rtl/>
          <w:lang w:val="en-US" w:bidi="ar-EG"/>
        </w:rPr>
        <w:t>في</w:t>
      </w:r>
      <w:r w:rsidR="00BB586E" w:rsidRPr="00801854">
        <w:rPr>
          <w:rFonts w:hint="cs"/>
          <w:spacing w:val="-2"/>
          <w:rtl/>
          <w:lang w:val="en-US" w:bidi="ar-EG"/>
        </w:rPr>
        <w:t xml:space="preserve"> </w:t>
      </w:r>
      <w:r w:rsidR="00C14B7D">
        <w:rPr>
          <w:spacing w:val="-2"/>
          <w:u w:val="single"/>
          <w:lang w:val="en-US" w:bidi="ar-EG"/>
        </w:rPr>
        <w:t>1</w:t>
      </w:r>
      <w:r w:rsidR="00BB586E" w:rsidRPr="004B16FC">
        <w:rPr>
          <w:rFonts w:hint="cs"/>
          <w:spacing w:val="-2"/>
          <w:u w:val="single"/>
          <w:rtl/>
          <w:lang w:val="en-US" w:bidi="ar-EG"/>
        </w:rPr>
        <w:t xml:space="preserve"> </w:t>
      </w:r>
      <w:r w:rsidR="00C14B7D">
        <w:rPr>
          <w:u w:val="single"/>
          <w:rtl/>
          <w:lang w:val="en-US" w:bidi="ar-EG"/>
        </w:rPr>
        <w:t>فبراير</w:t>
      </w:r>
      <w:r w:rsidR="00C14B7D" w:rsidRPr="004B16FC">
        <w:rPr>
          <w:spacing w:val="-2"/>
          <w:u w:val="single"/>
          <w:lang w:val="en-US" w:bidi="ar-EG"/>
        </w:rPr>
        <w:t xml:space="preserve"> </w:t>
      </w:r>
      <w:r w:rsidR="00BB586E" w:rsidRPr="004B16FC">
        <w:rPr>
          <w:spacing w:val="-2"/>
          <w:u w:val="single"/>
          <w:lang w:val="en-US" w:bidi="ar-EG"/>
        </w:rPr>
        <w:t>201</w:t>
      </w:r>
      <w:r w:rsidR="003B48BC">
        <w:rPr>
          <w:spacing w:val="-2"/>
          <w:u w:val="single"/>
          <w:lang w:val="en-US" w:bidi="ar-EG"/>
        </w:rPr>
        <w:t>1</w:t>
      </w:r>
      <w:r w:rsidRPr="00871DDB">
        <w:rPr>
          <w:spacing w:val="-2"/>
          <w:rtl/>
          <w:lang w:val="en-US" w:bidi="ar-EG"/>
        </w:rPr>
        <w:t>.</w:t>
      </w:r>
      <w:r w:rsidRPr="00CE1192">
        <w:rPr>
          <w:spacing w:val="-2"/>
          <w:rtl/>
          <w:lang w:val="en-US" w:bidi="ar-EG"/>
        </w:rPr>
        <w:t xml:space="preserve"> وإذا لم ترد أي اعتراضات من الدول الأعضاء خلال هذه الفترة فإن </w:t>
      </w:r>
      <w:r w:rsidR="00DA30AE">
        <w:rPr>
          <w:rFonts w:hint="cs"/>
          <w:spacing w:val="-2"/>
          <w:rtl/>
          <w:lang w:val="en-US" w:bidi="ar-EG"/>
        </w:rPr>
        <w:t>مشاريع التوصيات تعتبر معتمدة</w:t>
      </w:r>
      <w:r w:rsidRPr="00CE1192">
        <w:rPr>
          <w:spacing w:val="-2"/>
          <w:rtl/>
          <w:lang w:val="en-US" w:bidi="ar-EG"/>
        </w:rPr>
        <w:t xml:space="preserve"> من جانب لجنة الدراسات</w:t>
      </w:r>
      <w:r w:rsidR="00CC7E0F">
        <w:rPr>
          <w:rFonts w:hint="cs"/>
          <w:spacing w:val="-2"/>
          <w:rtl/>
          <w:lang w:val="en-US" w:bidi="ar-EG"/>
        </w:rPr>
        <w:t xml:space="preserve"> </w:t>
      </w:r>
      <w:r w:rsidR="002E6F78">
        <w:rPr>
          <w:spacing w:val="-2"/>
          <w:lang w:val="en-US" w:bidi="ar-EG"/>
        </w:rPr>
        <w:t>1</w:t>
      </w:r>
      <w:r w:rsidRPr="00CE1192">
        <w:rPr>
          <w:spacing w:val="-2"/>
          <w:rtl/>
          <w:lang w:val="en-US" w:bidi="ar-EG"/>
        </w:rPr>
        <w:t>. وفضلاً عن ذلك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ولما كان قد تم </w:t>
      </w:r>
      <w:proofErr w:type="spellStart"/>
      <w:r w:rsidRPr="00CE1192">
        <w:rPr>
          <w:spacing w:val="-2"/>
          <w:rtl/>
          <w:lang w:val="en-US" w:bidi="ar-EG"/>
        </w:rPr>
        <w:t>اتباع</w:t>
      </w:r>
      <w:proofErr w:type="spellEnd"/>
      <w:r w:rsidRPr="00CE1192">
        <w:rPr>
          <w:spacing w:val="-2"/>
          <w:rtl/>
          <w:lang w:val="en-US" w:bidi="ar-EG"/>
        </w:rPr>
        <w:t xml:space="preserve"> إجراء الاعتماد والموافقة في نفس الوقت عن طريق المراسلة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فإن </w:t>
      </w:r>
      <w:r w:rsidR="00151441">
        <w:rPr>
          <w:rFonts w:hint="cs"/>
          <w:spacing w:val="-2"/>
          <w:rtl/>
          <w:lang w:val="en-US" w:bidi="ar-EG"/>
        </w:rPr>
        <w:t>مشاريع التوصيات ستعتبر</w:t>
      </w:r>
      <w:r w:rsidRPr="00CE1192">
        <w:rPr>
          <w:spacing w:val="-2"/>
          <w:rtl/>
          <w:lang w:val="en-US" w:bidi="ar-EG"/>
        </w:rPr>
        <w:t xml:space="preserve"> أيضاً بحكم الموافق عليه</w:t>
      </w:r>
      <w:r w:rsidR="00151441">
        <w:rPr>
          <w:rFonts w:hint="cs"/>
          <w:spacing w:val="-2"/>
          <w:rtl/>
          <w:lang w:val="en-US" w:bidi="ar-EG"/>
        </w:rPr>
        <w:t>ا</w:t>
      </w:r>
      <w:r w:rsidRPr="00CE1192">
        <w:rPr>
          <w:spacing w:val="-2"/>
          <w:rtl/>
          <w:lang w:val="en-US" w:bidi="ar-EG"/>
        </w:rPr>
        <w:t>. أما إذا تم استلام أي اعتراض من دولة عضو خلال فترة النظر هذه</w:t>
      </w:r>
      <w:r w:rsidR="00DB2966">
        <w:rPr>
          <w:rFonts w:hint="cs"/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</w:t>
      </w:r>
      <w:r>
        <w:rPr>
          <w:spacing w:val="-2"/>
          <w:rtl/>
          <w:lang w:val="en-US" w:bidi="ar-EG"/>
        </w:rPr>
        <w:t>فسيتم تطبيق</w:t>
      </w:r>
      <w:r w:rsidRPr="00CE1192">
        <w:rPr>
          <w:spacing w:val="-2"/>
          <w:rtl/>
          <w:lang w:val="en-US" w:bidi="ar-EG"/>
        </w:rPr>
        <w:t xml:space="preserve"> الإجراءات التي تنص عليها الفقرة </w:t>
      </w:r>
      <w:r w:rsidRPr="00CE1192">
        <w:rPr>
          <w:spacing w:val="-2"/>
          <w:lang w:val="en-US" w:bidi="ar-EG"/>
        </w:rPr>
        <w:t>2.1.2.10</w:t>
      </w:r>
      <w:r w:rsidRPr="00CE1192">
        <w:rPr>
          <w:spacing w:val="-2"/>
          <w:rtl/>
          <w:lang w:val="en-US" w:bidi="ar-EG"/>
        </w:rPr>
        <w:t xml:space="preserve"> من القرار </w:t>
      </w:r>
      <w:r w:rsidRPr="00CE1192">
        <w:rPr>
          <w:spacing w:val="-2"/>
          <w:lang w:val="en-US" w:bidi="ar-EG"/>
        </w:rPr>
        <w:t>ITU-R 1-</w:t>
      </w:r>
      <w:r w:rsidR="005B14A6">
        <w:rPr>
          <w:spacing w:val="-2"/>
          <w:lang w:val="en-US" w:bidi="ar-EG"/>
        </w:rPr>
        <w:t>5</w:t>
      </w:r>
      <w:r w:rsidRPr="00CE1192">
        <w:rPr>
          <w:spacing w:val="-2"/>
          <w:rtl/>
          <w:lang w:val="en-US" w:bidi="ar-EG"/>
        </w:rPr>
        <w:t>.</w:t>
      </w:r>
    </w:p>
    <w:p w:rsidR="00BB1786" w:rsidRDefault="00BB1786" w:rsidP="00300872">
      <w:pPr>
        <w:rPr>
          <w:rtl/>
          <w:lang w:val="en-US" w:bidi="ar-EG"/>
        </w:rPr>
      </w:pPr>
      <w:r>
        <w:rPr>
          <w:rtl/>
          <w:lang w:val="en-US" w:bidi="ar-EG"/>
        </w:rPr>
        <w:t>وبعد المهلة المحددة أعلاه</w:t>
      </w:r>
      <w:r w:rsidR="00DB2966">
        <w:rPr>
          <w:rFonts w:hint="cs"/>
          <w:rtl/>
          <w:lang w:val="en-US" w:bidi="ar-EG"/>
        </w:rPr>
        <w:t>،</w:t>
      </w:r>
      <w:r>
        <w:rPr>
          <w:rtl/>
          <w:lang w:val="en-US" w:bidi="ar-EG"/>
        </w:rPr>
        <w:t xml:space="preserve"> ستعلن نتائج هذا الإجراء في نشرة إدارية </w:t>
      </w:r>
      <w:r>
        <w:rPr>
          <w:lang w:val="en-US" w:bidi="ar-EG"/>
        </w:rPr>
        <w:t>(CACE)</w:t>
      </w:r>
      <w:r>
        <w:rPr>
          <w:rtl/>
          <w:lang w:val="en-US" w:bidi="ar-EG"/>
        </w:rPr>
        <w:t xml:space="preserve"> وستنشر التوص</w:t>
      </w:r>
      <w:r w:rsidR="00450ACA">
        <w:rPr>
          <w:rFonts w:hint="cs"/>
          <w:rtl/>
          <w:lang w:val="en-US" w:bidi="ar-EG"/>
        </w:rPr>
        <w:t>يات</w:t>
      </w:r>
      <w:r>
        <w:rPr>
          <w:rtl/>
          <w:lang w:val="en-US" w:bidi="ar-EG"/>
        </w:rPr>
        <w:t xml:space="preserve"> التي تمت الموافقة عليها في</w:t>
      </w:r>
      <w:r w:rsidR="00300872"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أقرب وقت ممكن.</w:t>
      </w:r>
    </w:p>
    <w:p w:rsidR="00BB1786" w:rsidRDefault="00747B26" w:rsidP="00597B46">
      <w:pPr>
        <w:rPr>
          <w:rtl/>
          <w:lang w:val="en-US" w:bidi="ar-EG"/>
        </w:rPr>
      </w:pPr>
      <w:r>
        <w:rPr>
          <w:rtl/>
          <w:lang w:val="en-US" w:bidi="ar-EG"/>
        </w:rPr>
        <w:br w:type="page"/>
      </w:r>
      <w:r w:rsidR="00BB1786">
        <w:rPr>
          <w:rtl/>
          <w:lang w:val="en-US" w:bidi="ar-EG"/>
        </w:rPr>
        <w:lastRenderedPageBreak/>
        <w:t xml:space="preserve">ويرجى من أي منظمة عضو في الاتحاد تعلم بوجود براءة اختراع لديها أو لدى غيرها تغطي كلياً أو جزئياً </w:t>
      </w:r>
      <w:r w:rsidR="004359E9">
        <w:rPr>
          <w:rtl/>
          <w:lang w:val="en-US" w:bidi="ar-EG"/>
        </w:rPr>
        <w:br/>
      </w:r>
      <w:r w:rsidR="00BB1786">
        <w:rPr>
          <w:rtl/>
          <w:lang w:val="en-US" w:bidi="ar-EG"/>
        </w:rPr>
        <w:t>بعض عناصر مشاريع التوصيات المذكورة في هذه الرسالة أو أحدها أن تبلغ الأمانة</w:t>
      </w:r>
      <w:r w:rsidR="00BB1786" w:rsidRPr="002E0E95">
        <w:rPr>
          <w:rtl/>
          <w:lang w:val="en-US" w:bidi="ar-EG"/>
        </w:rPr>
        <w:t xml:space="preserve"> </w:t>
      </w:r>
      <w:r w:rsidR="00BB1786">
        <w:rPr>
          <w:rtl/>
          <w:lang w:val="en-US" w:bidi="ar-EG"/>
        </w:rPr>
        <w:t xml:space="preserve">بهذه المعلومات بأسرع ما يمكن. </w:t>
      </w:r>
      <w:r w:rsidR="004359E9">
        <w:rPr>
          <w:rtl/>
          <w:lang w:val="en-US" w:bidi="ar-EG"/>
        </w:rPr>
        <w:br/>
        <w:t xml:space="preserve">ويمكن </w:t>
      </w:r>
      <w:proofErr w:type="spellStart"/>
      <w:r w:rsidR="004359E9">
        <w:rPr>
          <w:rtl/>
          <w:lang w:val="en-US" w:bidi="ar-EG"/>
        </w:rPr>
        <w:t>الاطلاع</w:t>
      </w:r>
      <w:proofErr w:type="spellEnd"/>
      <w:r w:rsidR="004359E9">
        <w:rPr>
          <w:rtl/>
          <w:lang w:val="en-US" w:bidi="ar-EG"/>
        </w:rPr>
        <w:t xml:space="preserve"> على</w:t>
      </w:r>
      <w:r w:rsidR="00BB1786">
        <w:rPr>
          <w:rtl/>
          <w:lang w:val="en-US" w:bidi="ar-EG"/>
        </w:rPr>
        <w:t xml:space="preserve"> السياسة المشتركة </w:t>
      </w:r>
      <w:proofErr w:type="spellStart"/>
      <w:r w:rsidR="00897E61">
        <w:rPr>
          <w:rtl/>
          <w:lang w:val="en-US" w:bidi="ar-EG"/>
        </w:rPr>
        <w:t>ل</w:t>
      </w:r>
      <w:r w:rsidR="00BB1786">
        <w:rPr>
          <w:rtl/>
          <w:lang w:val="en-US" w:bidi="ar-EG"/>
        </w:rPr>
        <w:t>لبراءات</w:t>
      </w:r>
      <w:proofErr w:type="spellEnd"/>
      <w:r w:rsidR="00BB1786">
        <w:rPr>
          <w:rtl/>
          <w:lang w:val="en-US" w:bidi="ar-EG"/>
        </w:rPr>
        <w:t xml:space="preserve"> </w:t>
      </w:r>
      <w:r w:rsidR="004359E9">
        <w:rPr>
          <w:lang w:val="en-US" w:bidi="ar-EG"/>
        </w:rPr>
        <w:t>"</w:t>
      </w:r>
      <w:r w:rsidR="00BB1786">
        <w:rPr>
          <w:lang w:val="en-US" w:bidi="ar-EG"/>
        </w:rPr>
        <w:t>ITU-T/ITU-R/ISO/IEC</w:t>
      </w:r>
      <w:r w:rsidR="004359E9">
        <w:rPr>
          <w:lang w:val="en-US" w:bidi="ar-EG"/>
        </w:rPr>
        <w:t>"</w:t>
      </w:r>
      <w:r w:rsidR="004359E9">
        <w:rPr>
          <w:rtl/>
          <w:lang w:val="en-US" w:bidi="ar-EG"/>
        </w:rPr>
        <w:t xml:space="preserve"> في الموقع الإلكتروني </w:t>
      </w:r>
      <w:hyperlink r:id="rId9" w:history="1">
        <w:r w:rsidR="004359E9" w:rsidRPr="004359E9">
          <w:rPr>
            <w:rStyle w:val="Hyperlink"/>
            <w:lang w:val="en-US" w:bidi="ar-EG"/>
          </w:rPr>
          <w:t>http://www.itu.int/ITU-T/dbase/patent/patent-policy.html</w:t>
        </w:r>
      </w:hyperlink>
      <w:r w:rsidR="00BB1786">
        <w:rPr>
          <w:rtl/>
          <w:lang w:val="en-US" w:bidi="ar-EG"/>
        </w:rPr>
        <w:t>.</w:t>
      </w:r>
    </w:p>
    <w:p w:rsidR="0001342F" w:rsidRDefault="009F3A35" w:rsidP="00FF5771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481"/>
        <w:jc w:val="center"/>
        <w:rPr>
          <w:u w:val="single"/>
          <w:rtl/>
          <w:lang w:val="en-US" w:bidi="ar-EG"/>
        </w:rPr>
      </w:pPr>
      <w:proofErr w:type="spellStart"/>
      <w:r>
        <w:rPr>
          <w:rtl/>
          <w:lang w:val="en-US" w:bidi="ar-EG"/>
        </w:rPr>
        <w:t>فاليري</w:t>
      </w:r>
      <w:proofErr w:type="spellEnd"/>
      <w:r>
        <w:rPr>
          <w:rtl/>
          <w:lang w:val="en-US" w:bidi="ar-EG"/>
        </w:rPr>
        <w:t xml:space="preserve"> </w:t>
      </w:r>
      <w:proofErr w:type="spellStart"/>
      <w:r>
        <w:rPr>
          <w:rtl/>
          <w:lang w:val="en-US" w:bidi="ar-EG"/>
        </w:rPr>
        <w:t>تيموفيف</w:t>
      </w:r>
      <w:proofErr w:type="spellEnd"/>
      <w:r>
        <w:rPr>
          <w:rtl/>
          <w:lang w:val="en-US" w:bidi="ar-EG"/>
        </w:rPr>
        <w:br/>
        <w:t xml:space="preserve">مدير مكتب الاتصالات </w:t>
      </w:r>
      <w:proofErr w:type="spellStart"/>
      <w:r>
        <w:rPr>
          <w:rtl/>
          <w:lang w:val="en-US" w:bidi="ar-EG"/>
        </w:rPr>
        <w:t>الراديوية</w:t>
      </w:r>
      <w:proofErr w:type="spellEnd"/>
    </w:p>
    <w:p w:rsidR="005B14A6" w:rsidRDefault="005B14A6" w:rsidP="00FF5771">
      <w:pPr>
        <w:spacing w:before="1320"/>
        <w:ind w:left="1134" w:hanging="1134"/>
        <w:rPr>
          <w:rtl/>
          <w:lang w:bidi="ar-EG"/>
        </w:rPr>
      </w:pPr>
      <w:r>
        <w:rPr>
          <w:b/>
          <w:bCs/>
          <w:rtl/>
          <w:lang w:bidi="ar-EG"/>
        </w:rPr>
        <w:t>الملحق</w:t>
      </w:r>
      <w:r w:rsidR="00450ACA">
        <w:rPr>
          <w:rFonts w:hint="cs"/>
          <w:rtl/>
          <w:lang w:bidi="ar-EG"/>
        </w:rPr>
        <w:t xml:space="preserve"> </w:t>
      </w:r>
      <w:r w:rsidR="00450ACA" w:rsidRPr="00450ACA">
        <w:rPr>
          <w:b/>
          <w:bCs/>
          <w:lang w:val="en-US" w:bidi="ar-EG"/>
        </w:rPr>
        <w:t>1</w:t>
      </w:r>
      <w:r w:rsidR="00BB1786">
        <w:rPr>
          <w:rtl/>
          <w:lang w:bidi="ar-EG"/>
        </w:rPr>
        <w:t>:</w:t>
      </w:r>
      <w:r>
        <w:rPr>
          <w:rtl/>
          <w:lang w:bidi="ar-EG"/>
        </w:rPr>
        <w:t xml:space="preserve"> </w:t>
      </w:r>
      <w:r w:rsidR="00DE7F98">
        <w:rPr>
          <w:rFonts w:hint="cs"/>
          <w:rtl/>
          <w:lang w:bidi="ar-EG"/>
        </w:rPr>
        <w:t>عناوين</w:t>
      </w:r>
      <w:r>
        <w:rPr>
          <w:rtl/>
          <w:lang w:bidi="ar-EG"/>
        </w:rPr>
        <w:t xml:space="preserve"> </w:t>
      </w:r>
      <w:r w:rsidR="00897E61">
        <w:rPr>
          <w:rtl/>
          <w:lang w:bidi="ar-EG"/>
        </w:rPr>
        <w:t>وملخص</w:t>
      </w:r>
      <w:r w:rsidR="00DE7F98">
        <w:rPr>
          <w:rFonts w:hint="cs"/>
          <w:rtl/>
          <w:lang w:bidi="ar-EG"/>
        </w:rPr>
        <w:t>ات</w:t>
      </w:r>
      <w:r w:rsidR="00450ACA">
        <w:rPr>
          <w:rFonts w:hint="cs"/>
          <w:rtl/>
          <w:lang w:bidi="ar-EG"/>
        </w:rPr>
        <w:t xml:space="preserve"> </w:t>
      </w:r>
      <w:r w:rsidR="004E2679">
        <w:rPr>
          <w:rFonts w:hint="cs"/>
          <w:rtl/>
          <w:lang w:bidi="ar-EG"/>
        </w:rPr>
        <w:t>مشاريع التوصيات</w:t>
      </w:r>
    </w:p>
    <w:p w:rsidR="00450ACA" w:rsidRDefault="00450ACA" w:rsidP="002B2480">
      <w:pPr>
        <w:spacing w:before="60"/>
        <w:ind w:left="1134" w:hanging="1134"/>
        <w:rPr>
          <w:rtl/>
          <w:lang w:val="en-US" w:bidi="ar-EG"/>
        </w:rPr>
      </w:pPr>
      <w:r>
        <w:rPr>
          <w:rFonts w:hint="cs"/>
          <w:b/>
          <w:bCs/>
          <w:rtl/>
          <w:lang w:bidi="ar-EG"/>
        </w:rPr>
        <w:t xml:space="preserve">الملحق </w:t>
      </w:r>
      <w:r>
        <w:rPr>
          <w:b/>
          <w:bCs/>
          <w:lang w:val="en-US" w:bidi="ar-EG"/>
        </w:rPr>
        <w:t>2</w:t>
      </w:r>
      <w:r w:rsidR="004B6A39">
        <w:rPr>
          <w:rFonts w:hint="cs"/>
          <w:rtl/>
          <w:lang w:val="en-US" w:bidi="ar-EG"/>
        </w:rPr>
        <w:t xml:space="preserve">: </w:t>
      </w:r>
      <w:r>
        <w:rPr>
          <w:rFonts w:hint="cs"/>
          <w:rtl/>
          <w:lang w:val="en-US" w:bidi="ar-EG"/>
        </w:rPr>
        <w:t>التوصي</w:t>
      </w:r>
      <w:r w:rsidR="002B2480">
        <w:rPr>
          <w:rFonts w:hint="cs"/>
          <w:rtl/>
          <w:lang w:val="en-US" w:bidi="ar-EG"/>
        </w:rPr>
        <w:t>ات</w:t>
      </w:r>
      <w:r>
        <w:rPr>
          <w:rFonts w:hint="cs"/>
          <w:rtl/>
          <w:lang w:val="en-US" w:bidi="ar-EG"/>
        </w:rPr>
        <w:t xml:space="preserve"> المقترح إلغاؤها</w:t>
      </w:r>
    </w:p>
    <w:p w:rsidR="00BB1786" w:rsidRPr="00952D53" w:rsidRDefault="00450ACA" w:rsidP="00FF5771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spacing w:before="600"/>
        <w:ind w:left="1418" w:hanging="1418"/>
        <w:rPr>
          <w:spacing w:val="-4"/>
          <w:rtl/>
          <w:lang w:bidi="ar-EG"/>
        </w:rPr>
      </w:pPr>
      <w:r>
        <w:rPr>
          <w:rFonts w:hint="cs"/>
          <w:b/>
          <w:bCs/>
          <w:rtl/>
          <w:lang w:bidi="ar-EG"/>
        </w:rPr>
        <w:t>الوثائق</w:t>
      </w:r>
      <w:r w:rsidR="005B14A6" w:rsidRPr="004359E9">
        <w:rPr>
          <w:b/>
          <w:bCs/>
          <w:rtl/>
          <w:lang w:bidi="ar-EG"/>
        </w:rPr>
        <w:t xml:space="preserve"> المرفقة:</w:t>
      </w:r>
      <w:r w:rsidR="001C3F4A">
        <w:rPr>
          <w:rFonts w:hint="cs"/>
          <w:rtl/>
          <w:lang w:bidi="ar-EG"/>
        </w:rPr>
        <w:tab/>
      </w:r>
      <w:r w:rsidR="00224719" w:rsidRPr="00952D53">
        <w:rPr>
          <w:rFonts w:hint="cs"/>
          <w:spacing w:val="-4"/>
          <w:rtl/>
          <w:lang w:bidi="ar-EG"/>
        </w:rPr>
        <w:t xml:space="preserve">الوثائق </w:t>
      </w:r>
      <w:r w:rsidR="005F2FE1">
        <w:rPr>
          <w:spacing w:val="-4"/>
          <w:lang w:val="en-US"/>
        </w:rPr>
        <w:t>1</w:t>
      </w:r>
      <w:r w:rsidR="00655DA7">
        <w:rPr>
          <w:spacing w:val="-4"/>
          <w:lang w:val="en-US"/>
        </w:rPr>
        <w:t>/</w:t>
      </w:r>
      <w:r w:rsidR="002B2480">
        <w:rPr>
          <w:spacing w:val="-4"/>
          <w:lang w:val="en-US"/>
        </w:rPr>
        <w:t>13</w:t>
      </w:r>
      <w:r w:rsidR="005F2FE1">
        <w:rPr>
          <w:spacing w:val="-4"/>
          <w:lang w:val="en-US"/>
        </w:rPr>
        <w:t>2</w:t>
      </w:r>
      <w:r w:rsidR="00DE7F98" w:rsidRPr="00952D53">
        <w:rPr>
          <w:spacing w:val="-4"/>
          <w:lang w:val="en-US" w:bidi="ar-EG"/>
        </w:rPr>
        <w:t>(</w:t>
      </w:r>
      <w:r w:rsidR="00224719" w:rsidRPr="00952D53">
        <w:rPr>
          <w:spacing w:val="-4"/>
          <w:lang w:val="en-US" w:bidi="ar-EG"/>
        </w:rPr>
        <w:t>Rev.1)</w:t>
      </w:r>
      <w:r w:rsidR="00224719" w:rsidRPr="00952D53">
        <w:rPr>
          <w:rFonts w:hint="cs"/>
          <w:spacing w:val="-4"/>
          <w:rtl/>
          <w:lang w:val="en-US" w:bidi="ar-EG"/>
        </w:rPr>
        <w:t xml:space="preserve"> </w:t>
      </w:r>
      <w:r w:rsidR="00DE7F98" w:rsidRPr="00952D53">
        <w:rPr>
          <w:rFonts w:hint="cs"/>
          <w:spacing w:val="-4"/>
          <w:rtl/>
          <w:lang w:val="en-US" w:bidi="ar-EG"/>
        </w:rPr>
        <w:t>و</w:t>
      </w:r>
      <w:r w:rsidR="00DE7F98" w:rsidRPr="00952D53">
        <w:rPr>
          <w:spacing w:val="-4"/>
          <w:lang w:val="en-US"/>
        </w:rPr>
        <w:t xml:space="preserve"> </w:t>
      </w:r>
      <w:r w:rsidR="005F2FE1">
        <w:rPr>
          <w:spacing w:val="-4"/>
          <w:lang w:val="en-US"/>
        </w:rPr>
        <w:t>1</w:t>
      </w:r>
      <w:r w:rsidR="00655DA7">
        <w:rPr>
          <w:spacing w:val="-4"/>
          <w:lang w:val="en-US"/>
        </w:rPr>
        <w:t>/</w:t>
      </w:r>
      <w:r w:rsidR="002B2480">
        <w:rPr>
          <w:spacing w:val="-4"/>
          <w:lang w:val="en-US"/>
        </w:rPr>
        <w:t>1</w:t>
      </w:r>
      <w:r w:rsidR="005F2FE1">
        <w:rPr>
          <w:spacing w:val="-4"/>
          <w:lang w:val="en-US"/>
        </w:rPr>
        <w:t>27</w:t>
      </w:r>
      <w:r w:rsidR="00224719" w:rsidRPr="00952D53">
        <w:rPr>
          <w:spacing w:val="-4"/>
          <w:lang w:val="en-US" w:bidi="ar-EG"/>
        </w:rPr>
        <w:t>(Rev.1)</w:t>
      </w:r>
      <w:r w:rsidR="00DE7F98" w:rsidRPr="00952D53">
        <w:rPr>
          <w:rFonts w:hint="cs"/>
          <w:spacing w:val="-4"/>
          <w:rtl/>
          <w:lang w:val="en-US" w:bidi="ar-EG"/>
        </w:rPr>
        <w:t>و</w:t>
      </w:r>
      <w:r w:rsidR="005F2FE1">
        <w:rPr>
          <w:spacing w:val="-4"/>
          <w:lang w:val="en-US" w:bidi="ar-EG"/>
        </w:rPr>
        <w:t>1</w:t>
      </w:r>
      <w:r w:rsidR="00655DA7">
        <w:rPr>
          <w:spacing w:val="-4"/>
          <w:lang w:val="en-US" w:bidi="ar-EG"/>
        </w:rPr>
        <w:t>/</w:t>
      </w:r>
      <w:r w:rsidR="005F2FE1">
        <w:rPr>
          <w:spacing w:val="-4"/>
          <w:lang w:val="en-US" w:bidi="ar-EG"/>
        </w:rPr>
        <w:t>129</w:t>
      </w:r>
      <w:r w:rsidR="00655DA7">
        <w:rPr>
          <w:spacing w:val="-4"/>
          <w:lang w:val="en-US" w:bidi="ar-EG"/>
        </w:rPr>
        <w:t>(Rev.</w:t>
      </w:r>
      <w:r w:rsidR="002B2480">
        <w:rPr>
          <w:spacing w:val="-4"/>
          <w:lang w:val="en-US" w:bidi="ar-EG"/>
        </w:rPr>
        <w:t>1</w:t>
      </w:r>
      <w:r w:rsidR="00655DA7">
        <w:rPr>
          <w:spacing w:val="-4"/>
          <w:lang w:val="en-US" w:bidi="ar-EG"/>
        </w:rPr>
        <w:t>)</w:t>
      </w:r>
      <w:r w:rsidRPr="00952D53">
        <w:rPr>
          <w:rFonts w:hint="cs"/>
          <w:spacing w:val="-4"/>
          <w:rtl/>
          <w:lang w:bidi="ar-EG"/>
        </w:rPr>
        <w:t xml:space="preserve"> </w:t>
      </w:r>
      <w:r w:rsidR="00BB1786" w:rsidRPr="00952D53">
        <w:rPr>
          <w:spacing w:val="-4"/>
          <w:rtl/>
          <w:lang w:bidi="ar-EG"/>
        </w:rPr>
        <w:t xml:space="preserve">على قرص </w:t>
      </w:r>
      <w:r w:rsidR="00BB1786" w:rsidRPr="00952D53">
        <w:rPr>
          <w:spacing w:val="-4"/>
          <w:lang w:bidi="ar-EG"/>
        </w:rPr>
        <w:t>CD-ROM</w:t>
      </w:r>
    </w:p>
    <w:p w:rsidR="005B14A6" w:rsidRPr="004A6C8D" w:rsidRDefault="005B14A6" w:rsidP="00FF5771">
      <w:pPr>
        <w:tabs>
          <w:tab w:val="left" w:pos="425"/>
        </w:tabs>
        <w:spacing w:before="108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u w:val="single"/>
          <w:rtl/>
          <w:lang w:val="en-US" w:bidi="ar-EG"/>
        </w:rPr>
        <w:t>التوزيع</w:t>
      </w:r>
      <w:r w:rsidRPr="004A6C8D">
        <w:rPr>
          <w:sz w:val="16"/>
          <w:szCs w:val="22"/>
          <w:rtl/>
          <w:lang w:val="en-US" w:bidi="ar-EG"/>
        </w:rPr>
        <w:t>:</w:t>
      </w:r>
    </w:p>
    <w:p w:rsidR="005B14A6" w:rsidRPr="004A6C8D" w:rsidRDefault="005B14A6" w:rsidP="00425233">
      <w:pPr>
        <w:tabs>
          <w:tab w:val="left" w:pos="425"/>
        </w:tabs>
        <w:spacing w:before="6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5B14A6" w:rsidRPr="004A6C8D" w:rsidRDefault="005B14A6" w:rsidP="00274565">
      <w:pPr>
        <w:tabs>
          <w:tab w:val="left" w:pos="425"/>
        </w:tabs>
        <w:spacing w:before="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أعضاء قطاع الاتصالات </w:t>
      </w:r>
      <w:proofErr w:type="spellStart"/>
      <w:r w:rsidRPr="004A6C8D">
        <w:rPr>
          <w:sz w:val="16"/>
          <w:szCs w:val="22"/>
          <w:rtl/>
          <w:lang w:val="en-US" w:bidi="ar-EG"/>
        </w:rPr>
        <w:t>الراديوية</w:t>
      </w:r>
      <w:proofErr w:type="spellEnd"/>
      <w:r w:rsidRPr="004A6C8D">
        <w:rPr>
          <w:sz w:val="16"/>
          <w:szCs w:val="22"/>
          <w:rtl/>
          <w:lang w:val="en-US" w:bidi="ar-EG"/>
        </w:rPr>
        <w:t xml:space="preserve"> المشاركون في أعمال لجنة الدراسات </w:t>
      </w:r>
      <w:r w:rsidR="00274565">
        <w:rPr>
          <w:sz w:val="16"/>
          <w:szCs w:val="22"/>
          <w:lang w:val="en-US" w:bidi="ar-EG"/>
        </w:rPr>
        <w:t>1</w:t>
      </w:r>
      <w:r w:rsidRPr="004A6C8D">
        <w:rPr>
          <w:sz w:val="16"/>
          <w:szCs w:val="22"/>
          <w:rtl/>
          <w:lang w:val="en-US" w:bidi="ar-EG"/>
        </w:rPr>
        <w:t xml:space="preserve"> للاتصالات </w:t>
      </w:r>
      <w:proofErr w:type="spellStart"/>
      <w:r w:rsidRPr="004A6C8D">
        <w:rPr>
          <w:sz w:val="16"/>
          <w:szCs w:val="22"/>
          <w:rtl/>
          <w:lang w:val="en-US" w:bidi="ar-EG"/>
        </w:rPr>
        <w:t>الراديوية</w:t>
      </w:r>
      <w:proofErr w:type="spellEnd"/>
    </w:p>
    <w:p w:rsidR="005B14A6" w:rsidRPr="005B14A6" w:rsidRDefault="005B14A6" w:rsidP="00274565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المنتسبون إلى قطاع الاتصالات </w:t>
      </w:r>
      <w:proofErr w:type="spellStart"/>
      <w:r w:rsidRPr="004A6C8D">
        <w:rPr>
          <w:sz w:val="16"/>
          <w:szCs w:val="22"/>
          <w:rtl/>
          <w:lang w:val="en-US" w:bidi="ar-EG"/>
        </w:rPr>
        <w:t>الراديوية</w:t>
      </w:r>
      <w:proofErr w:type="spellEnd"/>
      <w:r w:rsidRPr="004A6C8D">
        <w:rPr>
          <w:sz w:val="16"/>
          <w:szCs w:val="22"/>
          <w:rtl/>
          <w:lang w:val="en-US" w:bidi="ar-EG"/>
        </w:rPr>
        <w:t xml:space="preserve"> المشاركون في أعمال لجنة الدراسات </w:t>
      </w:r>
      <w:r w:rsidR="00274565">
        <w:rPr>
          <w:sz w:val="16"/>
          <w:szCs w:val="22"/>
          <w:lang w:val="en-US" w:bidi="ar-EG"/>
        </w:rPr>
        <w:t>1</w:t>
      </w:r>
      <w:r w:rsidRPr="004A6C8D">
        <w:rPr>
          <w:sz w:val="16"/>
          <w:szCs w:val="22"/>
          <w:rtl/>
          <w:lang w:val="en-US" w:bidi="ar-EG"/>
        </w:rPr>
        <w:t xml:space="preserve"> للاتصالات </w:t>
      </w:r>
      <w:proofErr w:type="spellStart"/>
      <w:r w:rsidRPr="004A6C8D">
        <w:rPr>
          <w:sz w:val="16"/>
          <w:szCs w:val="22"/>
          <w:rtl/>
          <w:lang w:val="en-US" w:bidi="ar-EG"/>
        </w:rPr>
        <w:t>الراديوية</w:t>
      </w:r>
      <w:proofErr w:type="spellEnd"/>
    </w:p>
    <w:p w:rsidR="00F0251D" w:rsidRPr="002E6F78" w:rsidRDefault="005B14A6" w:rsidP="002E6F78">
      <w:pPr>
        <w:pStyle w:val="AnnexNoBR"/>
        <w:rPr>
          <w:rtl/>
        </w:rPr>
      </w:pPr>
      <w:r w:rsidRPr="002E6F78">
        <w:rPr>
          <w:rtl/>
        </w:rPr>
        <w:br w:type="page"/>
      </w:r>
      <w:r w:rsidRPr="002E6F78">
        <w:rPr>
          <w:rtl/>
        </w:rPr>
        <w:lastRenderedPageBreak/>
        <w:t>الملح</w:t>
      </w:r>
      <w:r w:rsidR="004359E9" w:rsidRPr="002E6F78">
        <w:rPr>
          <w:rtl/>
        </w:rPr>
        <w:t>ـ</w:t>
      </w:r>
      <w:r w:rsidRPr="002E6F78">
        <w:rPr>
          <w:rtl/>
        </w:rPr>
        <w:t xml:space="preserve">ق </w:t>
      </w:r>
      <w:r w:rsidRPr="002E6F78">
        <w:t>1</w:t>
      </w:r>
    </w:p>
    <w:p w:rsidR="005B14A6" w:rsidRPr="00B96C30" w:rsidRDefault="00820061" w:rsidP="006B308C">
      <w:pPr>
        <w:pStyle w:val="Annextitle"/>
        <w:rPr>
          <w:rtl/>
        </w:rPr>
      </w:pPr>
      <w:r w:rsidRPr="00B96C30">
        <w:rPr>
          <w:rFonts w:hint="cs"/>
          <w:rtl/>
        </w:rPr>
        <w:t>عناوين وملخصات</w:t>
      </w:r>
      <w:r w:rsidR="00450ACA" w:rsidRPr="00B96C30">
        <w:rPr>
          <w:rFonts w:hint="cs"/>
          <w:rtl/>
        </w:rPr>
        <w:t xml:space="preserve"> </w:t>
      </w:r>
      <w:r w:rsidR="00D80575" w:rsidRPr="00B96C30">
        <w:rPr>
          <w:rFonts w:hint="cs"/>
          <w:rtl/>
        </w:rPr>
        <w:t>مشاريع التوصيات</w:t>
      </w:r>
    </w:p>
    <w:p w:rsidR="00D421DE" w:rsidRDefault="00D421DE" w:rsidP="0019763E">
      <w:pPr>
        <w:spacing w:before="0"/>
        <w:rPr>
          <w:rtl/>
          <w:lang w:val="en-US" w:bidi="ar-EG"/>
        </w:rPr>
      </w:pPr>
    </w:p>
    <w:p w:rsidR="00DB2966" w:rsidRPr="00416965" w:rsidRDefault="00E12223" w:rsidP="00274565">
      <w:pPr>
        <w:keepNext/>
        <w:keepLines/>
        <w:tabs>
          <w:tab w:val="right" w:pos="9497"/>
        </w:tabs>
        <w:rPr>
          <w:lang w:val="en-US" w:bidi="ar-EG"/>
        </w:rPr>
      </w:pPr>
      <w:r w:rsidRPr="00D15763">
        <w:rPr>
          <w:rFonts w:hint="cs"/>
          <w:u w:val="single"/>
          <w:rtl/>
          <w:lang w:val="en-US" w:bidi="ar-EG"/>
        </w:rPr>
        <w:t>مشروع التوصيـة</w:t>
      </w:r>
      <w:r w:rsidR="009B6AEF" w:rsidRPr="00D15763">
        <w:rPr>
          <w:rFonts w:hint="cs"/>
          <w:u w:val="single"/>
          <w:rtl/>
          <w:lang w:val="en-US" w:bidi="ar-EG"/>
        </w:rPr>
        <w:t xml:space="preserve"> الجديدة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13079D" w:rsidRPr="00D15763">
        <w:rPr>
          <w:bCs/>
          <w:u w:val="single"/>
        </w:rPr>
        <w:t>ITU-R</w:t>
      </w:r>
      <w:r w:rsidR="00D15763" w:rsidRPr="00D15763">
        <w:rPr>
          <w:bCs/>
          <w:u w:val="single"/>
        </w:rPr>
        <w:t> </w:t>
      </w:r>
      <w:r w:rsidR="0013079D" w:rsidRPr="00D15763">
        <w:rPr>
          <w:bCs/>
          <w:u w:val="single"/>
        </w:rPr>
        <w:t>S</w:t>
      </w:r>
      <w:r w:rsidR="00274565">
        <w:rPr>
          <w:bCs/>
          <w:u w:val="single"/>
        </w:rPr>
        <w:t>M</w:t>
      </w:r>
      <w:r w:rsidR="0013079D" w:rsidRPr="00D15763">
        <w:rPr>
          <w:bCs/>
          <w:u w:val="single"/>
        </w:rPr>
        <w:t>.[</w:t>
      </w:r>
      <w:r w:rsidR="00274565">
        <w:rPr>
          <w:bCs/>
          <w:u w:val="single"/>
        </w:rPr>
        <w:t>SPEC</w:t>
      </w:r>
      <w:r w:rsidR="0013079D" w:rsidRPr="00D15763">
        <w:rPr>
          <w:bCs/>
          <w:u w:val="single"/>
        </w:rPr>
        <w:t>-</w:t>
      </w:r>
      <w:r w:rsidR="00274565">
        <w:rPr>
          <w:bCs/>
          <w:u w:val="single"/>
        </w:rPr>
        <w:t>OCC-MEASUREMENT</w:t>
      </w:r>
      <w:r w:rsidR="0013079D" w:rsidRPr="00D15763">
        <w:rPr>
          <w:bCs/>
          <w:u w:val="single"/>
        </w:rPr>
        <w:t>]</w:t>
      </w:r>
      <w:r w:rsidR="002E29E9">
        <w:rPr>
          <w:rFonts w:hint="cs"/>
          <w:rtl/>
          <w:lang w:val="en-US" w:bidi="ar-EG"/>
        </w:rPr>
        <w:tab/>
        <w:t>الوثي</w:t>
      </w:r>
      <w:r w:rsidR="00DB2966" w:rsidRPr="00416965">
        <w:rPr>
          <w:rFonts w:hint="cs"/>
          <w:rtl/>
          <w:lang w:val="en-US" w:bidi="ar-EG"/>
        </w:rPr>
        <w:t>ق</w:t>
      </w:r>
      <w:r w:rsidR="002E29E9">
        <w:rPr>
          <w:rFonts w:hint="cs"/>
          <w:rtl/>
          <w:lang w:val="en-US" w:bidi="ar-EG"/>
        </w:rPr>
        <w:t>ـ</w:t>
      </w:r>
      <w:r w:rsidR="00DB2966" w:rsidRPr="00416965">
        <w:rPr>
          <w:rFonts w:hint="cs"/>
          <w:rtl/>
          <w:lang w:val="en-US" w:bidi="ar-EG"/>
        </w:rPr>
        <w:t xml:space="preserve">ة </w:t>
      </w:r>
      <w:r w:rsidR="009B6AEF">
        <w:rPr>
          <w:lang w:val="en-US" w:bidi="ar-EG"/>
        </w:rPr>
        <w:t>4/</w:t>
      </w:r>
      <w:r w:rsidR="0013079D">
        <w:rPr>
          <w:lang w:val="en-US" w:bidi="ar-EG"/>
        </w:rPr>
        <w:t>1</w:t>
      </w:r>
      <w:r w:rsidR="00274565">
        <w:rPr>
          <w:lang w:val="en-US" w:bidi="ar-EG"/>
        </w:rPr>
        <w:t>32</w:t>
      </w:r>
      <w:r w:rsidR="00DB2966" w:rsidRPr="00416965">
        <w:rPr>
          <w:lang w:val="en-US" w:bidi="ar-EG"/>
        </w:rPr>
        <w:t>(Rev.1)</w:t>
      </w:r>
    </w:p>
    <w:p w:rsidR="00721CD0" w:rsidRPr="009B6AEF" w:rsidRDefault="009A389A" w:rsidP="00B570F2">
      <w:pPr>
        <w:pStyle w:val="Rectitle"/>
        <w:tabs>
          <w:tab w:val="center" w:pos="4819"/>
        </w:tabs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 w:rsidRPr="009C216E">
        <w:rPr>
          <w:rFonts w:ascii="Times New Roman Bold" w:hAnsi="Times New Roman Bold" w:hint="cs"/>
          <w:bCs/>
          <w:szCs w:val="40"/>
          <w:rtl/>
          <w:lang w:bidi="ar-EG"/>
        </w:rPr>
        <w:t>قياسات انشغال الطيف</w:t>
      </w:r>
    </w:p>
    <w:p w:rsidR="008A6806" w:rsidRDefault="009A389A" w:rsidP="000B7C63">
      <w:pPr>
        <w:tabs>
          <w:tab w:val="clear" w:pos="1191"/>
          <w:tab w:val="clear" w:pos="1588"/>
          <w:tab w:val="clear" w:pos="1985"/>
        </w:tabs>
        <w:spacing w:before="360"/>
        <w:rPr>
          <w:rtl/>
          <w:lang w:val="en-US"/>
        </w:rPr>
      </w:pPr>
      <w:r>
        <w:rPr>
          <w:rFonts w:hint="cs"/>
          <w:rtl/>
        </w:rPr>
        <w:t xml:space="preserve">على الرغم من أن القياس </w:t>
      </w:r>
      <w:proofErr w:type="spellStart"/>
      <w:r>
        <w:rPr>
          <w:rFonts w:hint="cs"/>
          <w:rtl/>
        </w:rPr>
        <w:t>الأوتوماتي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val="en-US"/>
        </w:rPr>
        <w:t xml:space="preserve">لانشغال الطيف لن يحل تماماً محل الرصد اليدوي، فإنه ما زال يعد الأنسب في معظم الحالات. </w:t>
      </w:r>
      <w:r w:rsidR="00737F4D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 xml:space="preserve">ينبغي أن يكون </w:t>
      </w:r>
      <w:r w:rsidR="00FF5771">
        <w:rPr>
          <w:rFonts w:hint="cs"/>
          <w:rtl/>
          <w:lang w:val="en-US"/>
        </w:rPr>
        <w:t xml:space="preserve">قياس </w:t>
      </w:r>
      <w:r>
        <w:rPr>
          <w:rFonts w:hint="cs"/>
          <w:rtl/>
          <w:lang w:val="en-US"/>
        </w:rPr>
        <w:t xml:space="preserve">انشغال قناة التردد </w:t>
      </w:r>
      <w:r w:rsidR="00633DAD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>انشغال نطاق</w:t>
      </w:r>
      <w:r w:rsidR="00C74075">
        <w:rPr>
          <w:rFonts w:hint="cs"/>
          <w:rtl/>
          <w:lang w:val="en-US"/>
        </w:rPr>
        <w:t xml:space="preserve"> التردد على مستوى معين من الدقة</w:t>
      </w:r>
      <w:r w:rsidR="007B37F8">
        <w:rPr>
          <w:rFonts w:hint="cs"/>
          <w:rtl/>
          <w:lang w:val="en-US"/>
        </w:rPr>
        <w:t xml:space="preserve"> وذلك</w:t>
      </w:r>
      <w:r w:rsidR="00C74075">
        <w:rPr>
          <w:rFonts w:hint="cs"/>
          <w:rtl/>
          <w:lang w:val="en-US"/>
        </w:rPr>
        <w:t xml:space="preserve"> لأغراض المقارنة أو الدمج عند اللزوم.</w:t>
      </w:r>
      <w:r w:rsidR="00FB6315">
        <w:rPr>
          <w:rFonts w:hint="cs"/>
          <w:rtl/>
          <w:lang w:val="en-US"/>
        </w:rPr>
        <w:t xml:space="preserve"> وبا</w:t>
      </w:r>
      <w:r w:rsidR="00320B0B">
        <w:rPr>
          <w:rFonts w:hint="cs"/>
          <w:rtl/>
          <w:lang w:val="en-US"/>
        </w:rPr>
        <w:t xml:space="preserve">ستعمال </w:t>
      </w:r>
      <w:r w:rsidR="00F45982">
        <w:rPr>
          <w:rFonts w:hint="cs"/>
          <w:rtl/>
          <w:lang w:val="en-US"/>
        </w:rPr>
        <w:t>التقنية والأسلوب الصحيح</w:t>
      </w:r>
      <w:r w:rsidR="00320B0B">
        <w:rPr>
          <w:rFonts w:hint="cs"/>
          <w:rtl/>
          <w:lang w:val="en-US"/>
        </w:rPr>
        <w:t xml:space="preserve"> يمكن استعمال </w:t>
      </w:r>
      <w:r w:rsidR="000D0118">
        <w:rPr>
          <w:rFonts w:hint="cs"/>
          <w:rtl/>
          <w:lang w:val="en-US"/>
        </w:rPr>
        <w:t>ا</w:t>
      </w:r>
      <w:r w:rsidR="00320B0B">
        <w:rPr>
          <w:rFonts w:hint="cs"/>
          <w:rtl/>
          <w:lang w:val="en-US"/>
        </w:rPr>
        <w:t>لأجهزة الحالية</w:t>
      </w:r>
      <w:r w:rsidR="000D0118">
        <w:rPr>
          <w:rFonts w:hint="cs"/>
          <w:rtl/>
          <w:lang w:val="en-US"/>
        </w:rPr>
        <w:t xml:space="preserve"> على نحو أكثر كفاءة</w:t>
      </w:r>
      <w:r w:rsidR="00320B0B">
        <w:rPr>
          <w:rFonts w:hint="cs"/>
          <w:rtl/>
          <w:lang w:val="en-US"/>
        </w:rPr>
        <w:t>.</w:t>
      </w:r>
    </w:p>
    <w:p w:rsidR="00713A2F" w:rsidRPr="009B0224" w:rsidRDefault="00713A2F" w:rsidP="001016DB">
      <w:pPr>
        <w:tabs>
          <w:tab w:val="clear" w:pos="1191"/>
          <w:tab w:val="clear" w:pos="1588"/>
          <w:tab w:val="clear" w:pos="1985"/>
        </w:tabs>
        <w:spacing w:before="240"/>
        <w:rPr>
          <w:spacing w:val="-4"/>
          <w:rtl/>
          <w:lang w:val="en-US" w:bidi="ar-EG"/>
        </w:rPr>
      </w:pPr>
      <w:r w:rsidRPr="009B0224">
        <w:rPr>
          <w:rFonts w:hint="cs"/>
          <w:spacing w:val="-4"/>
          <w:rtl/>
          <w:lang w:val="en-US"/>
        </w:rPr>
        <w:t>و</w:t>
      </w:r>
      <w:r w:rsidR="00F203C5" w:rsidRPr="009B0224">
        <w:rPr>
          <w:rFonts w:hint="cs"/>
          <w:spacing w:val="-4"/>
          <w:rtl/>
          <w:lang w:val="en-US"/>
        </w:rPr>
        <w:t xml:space="preserve">نظراً لأن </w:t>
      </w:r>
      <w:r w:rsidRPr="009B0224">
        <w:rPr>
          <w:rFonts w:hint="cs"/>
          <w:spacing w:val="-4"/>
          <w:rtl/>
          <w:lang w:val="en-US"/>
        </w:rPr>
        <w:t xml:space="preserve">مشروع التوصية </w:t>
      </w:r>
      <w:r w:rsidR="009B0224" w:rsidRPr="009B0224">
        <w:rPr>
          <w:rFonts w:hint="cs"/>
          <w:spacing w:val="-4"/>
          <w:rtl/>
          <w:lang w:val="en-US"/>
        </w:rPr>
        <w:t>الجديدة هذا عبارة عن دمج للتوصيات</w:t>
      </w:r>
      <w:r w:rsidRPr="009B0224">
        <w:rPr>
          <w:rFonts w:hint="cs"/>
          <w:spacing w:val="-4"/>
          <w:rtl/>
          <w:lang w:val="en-US"/>
        </w:rPr>
        <w:t xml:space="preserve"> </w:t>
      </w:r>
      <w:r w:rsidRPr="009B0224">
        <w:rPr>
          <w:spacing w:val="-4"/>
          <w:lang w:val="en-US"/>
        </w:rPr>
        <w:t>ITU-R</w:t>
      </w:r>
      <w:r w:rsidR="001016DB">
        <w:rPr>
          <w:spacing w:val="-4"/>
          <w:lang w:val="en-US"/>
        </w:rPr>
        <w:t> </w:t>
      </w:r>
      <w:r w:rsidRPr="009B0224">
        <w:rPr>
          <w:spacing w:val="-4"/>
          <w:lang w:val="en-US"/>
        </w:rPr>
        <w:t>SM.182</w:t>
      </w:r>
      <w:r w:rsidRPr="009B0224">
        <w:rPr>
          <w:rFonts w:hint="cs"/>
          <w:spacing w:val="-4"/>
          <w:rtl/>
          <w:lang w:val="en-US" w:bidi="ar-EG"/>
        </w:rPr>
        <w:t xml:space="preserve"> و</w:t>
      </w:r>
      <w:r w:rsidRPr="009B0224">
        <w:rPr>
          <w:spacing w:val="-4"/>
          <w:lang w:val="en-US" w:bidi="ar-EG"/>
        </w:rPr>
        <w:t>ITU-R</w:t>
      </w:r>
      <w:r w:rsidR="001016DB">
        <w:rPr>
          <w:spacing w:val="-4"/>
          <w:lang w:val="en-US" w:bidi="ar-EG"/>
        </w:rPr>
        <w:t> </w:t>
      </w:r>
      <w:r w:rsidRPr="009B0224">
        <w:rPr>
          <w:spacing w:val="-4"/>
          <w:lang w:val="en-US" w:bidi="ar-EG"/>
        </w:rPr>
        <w:t>SM.1536</w:t>
      </w:r>
      <w:r w:rsidRPr="009B0224">
        <w:rPr>
          <w:rFonts w:hint="cs"/>
          <w:spacing w:val="-4"/>
          <w:rtl/>
          <w:lang w:val="en-US" w:bidi="ar-EG"/>
        </w:rPr>
        <w:t xml:space="preserve"> و</w:t>
      </w:r>
      <w:r w:rsidRPr="009B0224">
        <w:rPr>
          <w:spacing w:val="-4"/>
          <w:lang w:val="en-US" w:bidi="ar-EG"/>
        </w:rPr>
        <w:t>ITU-R</w:t>
      </w:r>
      <w:r w:rsidR="001016DB">
        <w:rPr>
          <w:spacing w:val="-4"/>
          <w:lang w:val="en-US" w:bidi="ar-EG"/>
        </w:rPr>
        <w:t> </w:t>
      </w:r>
      <w:r w:rsidRPr="009B0224">
        <w:rPr>
          <w:spacing w:val="-4"/>
          <w:lang w:val="en-US" w:bidi="ar-EG"/>
        </w:rPr>
        <w:t>SM.1793</w:t>
      </w:r>
      <w:r w:rsidRPr="009B0224">
        <w:rPr>
          <w:rFonts w:hint="cs"/>
          <w:spacing w:val="-4"/>
          <w:rtl/>
          <w:lang w:val="en-US" w:bidi="ar-EG"/>
        </w:rPr>
        <w:t>، يقترح إلغاء هذه التوصيات.</w:t>
      </w:r>
    </w:p>
    <w:p w:rsidR="004B4E46" w:rsidRPr="00416965" w:rsidRDefault="007D6641" w:rsidP="00C057E4">
      <w:pPr>
        <w:keepNext/>
        <w:keepLines/>
        <w:tabs>
          <w:tab w:val="right" w:pos="9497"/>
        </w:tabs>
        <w:spacing w:before="36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>روع</w:t>
      </w:r>
      <w:r w:rsidR="00ED724A">
        <w:rPr>
          <w:rFonts w:hint="cs"/>
          <w:u w:val="single"/>
          <w:rtl/>
          <w:lang w:val="en-US" w:bidi="ar-EG"/>
        </w:rPr>
        <w:t xml:space="preserve"> مراجعة</w:t>
      </w:r>
      <w:r w:rsidRPr="00416965">
        <w:rPr>
          <w:rFonts w:hint="cs"/>
          <w:u w:val="single"/>
          <w:rtl/>
          <w:lang w:val="en-US" w:bidi="ar-EG"/>
        </w:rPr>
        <w:t xml:space="preserve"> 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D15763">
        <w:rPr>
          <w:u w:val="single"/>
        </w:rPr>
        <w:t> </w:t>
      </w:r>
      <w:r w:rsidR="005039AD">
        <w:rPr>
          <w:u w:val="single"/>
        </w:rPr>
        <w:t>SM</w:t>
      </w:r>
      <w:r w:rsidR="00ED724A">
        <w:rPr>
          <w:u w:val="single"/>
        </w:rPr>
        <w:t>.</w:t>
      </w:r>
      <w:r w:rsidR="005039AD">
        <w:rPr>
          <w:u w:val="single"/>
        </w:rPr>
        <w:t>1392</w:t>
      </w:r>
      <w:r w:rsidR="00ED724A">
        <w:rPr>
          <w:u w:val="single"/>
        </w:rPr>
        <w:t>-</w:t>
      </w:r>
      <w:r w:rsidR="005039AD">
        <w:rPr>
          <w:u w:val="single"/>
        </w:rPr>
        <w:t>1</w:t>
      </w:r>
      <w:r w:rsidR="00F21E76" w:rsidRPr="00416965">
        <w:rPr>
          <w:rFonts w:hint="cs"/>
          <w:rtl/>
          <w:lang w:val="en-US" w:bidi="ar-EG"/>
        </w:rPr>
        <w:tab/>
        <w:t>الوثيق</w:t>
      </w:r>
      <w:r w:rsidR="002E29E9">
        <w:rPr>
          <w:rFonts w:hint="cs"/>
          <w:rtl/>
          <w:lang w:val="en-US" w:bidi="ar-EG"/>
        </w:rPr>
        <w:t>ـ</w:t>
      </w:r>
      <w:r w:rsidR="00F21E76" w:rsidRPr="00416965">
        <w:rPr>
          <w:rFonts w:hint="cs"/>
          <w:rtl/>
          <w:lang w:val="en-US" w:bidi="ar-EG"/>
        </w:rPr>
        <w:t xml:space="preserve">ة </w:t>
      </w:r>
      <w:r w:rsidR="00775CF4">
        <w:rPr>
          <w:lang w:val="en-US" w:bidi="ar-EG"/>
        </w:rPr>
        <w:t>1</w:t>
      </w:r>
      <w:r>
        <w:rPr>
          <w:lang w:val="en-US" w:bidi="ar-EG"/>
        </w:rPr>
        <w:t>/</w:t>
      </w:r>
      <w:r w:rsidR="00C50A1B">
        <w:rPr>
          <w:lang w:val="en-US" w:bidi="ar-EG"/>
        </w:rPr>
        <w:t>1</w:t>
      </w:r>
      <w:r w:rsidR="00775CF4">
        <w:rPr>
          <w:lang w:val="en-US" w:bidi="ar-EG"/>
        </w:rPr>
        <w:t>27</w:t>
      </w:r>
      <w:r w:rsidR="00F21E76" w:rsidRPr="00416965">
        <w:rPr>
          <w:lang w:val="en-US" w:bidi="ar-EG"/>
        </w:rPr>
        <w:t>(Rev.1)</w:t>
      </w:r>
    </w:p>
    <w:p w:rsidR="00A963A1" w:rsidRPr="008914F3" w:rsidRDefault="00775CF4" w:rsidP="00B570F2">
      <w:pPr>
        <w:pStyle w:val="Rectitle"/>
        <w:rPr>
          <w:rFonts w:ascii="Times New Roman Bold" w:hAnsi="Times New Roman Bold"/>
          <w:bCs/>
          <w:sz w:val="26"/>
          <w:szCs w:val="36"/>
          <w:rtl/>
          <w:lang w:bidi="ar-EG"/>
        </w:rPr>
      </w:pPr>
      <w:r>
        <w:rPr>
          <w:rFonts w:ascii="Times New Roman Bold" w:hAnsi="Times New Roman Bold" w:hint="cs"/>
          <w:bCs/>
          <w:sz w:val="26"/>
          <w:szCs w:val="36"/>
          <w:rtl/>
          <w:lang w:bidi="ar-EG"/>
        </w:rPr>
        <w:t>المتطلبات الأساسية لنظام مراقبة الطيف فيما يتعلق بالبلدان النامية</w:t>
      </w:r>
    </w:p>
    <w:p w:rsidR="00375EA1" w:rsidRDefault="004F5CD1" w:rsidP="000B7C63">
      <w:pPr>
        <w:spacing w:before="36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تغيرت متطلبات محطات المراقبة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منذ المراجعة الأخيرة لهذه التوصية نظراً للتقدم التكنولوجي الذي شهدته خدمات الاتصالات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</w:t>
      </w:r>
      <w:r w:rsidR="005349F2">
        <w:rPr>
          <w:rFonts w:hint="cs"/>
          <w:rtl/>
          <w:lang w:val="en-US" w:bidi="ar-EG"/>
        </w:rPr>
        <w:t>و</w:t>
      </w:r>
      <w:r>
        <w:rPr>
          <w:rFonts w:hint="cs"/>
          <w:rtl/>
          <w:lang w:val="en-US" w:bidi="ar-EG"/>
        </w:rPr>
        <w:t>أجهزة المراقبة</w:t>
      </w:r>
      <w:r w:rsidR="00FF5771">
        <w:rPr>
          <w:rFonts w:hint="cs"/>
          <w:rtl/>
          <w:lang w:val="en-US" w:bidi="ar-EG"/>
        </w:rPr>
        <w:t xml:space="preserve"> على السواء</w:t>
      </w:r>
      <w:r>
        <w:rPr>
          <w:rFonts w:hint="cs"/>
          <w:rtl/>
          <w:lang w:val="en-US" w:bidi="ar-EG"/>
        </w:rPr>
        <w:t>.</w:t>
      </w:r>
      <w:r w:rsidR="009E48F5">
        <w:rPr>
          <w:rFonts w:hint="cs"/>
          <w:rtl/>
          <w:lang w:val="en-US" w:bidi="ar-EG"/>
        </w:rPr>
        <w:t xml:space="preserve"> وأخذ علماً بذلك فريق المقرر المعني بالمسائل المتصلة بكتيب مراقبة الطيف. ويُقترح مراجعة التوصية </w:t>
      </w:r>
      <w:r w:rsidR="009E48F5" w:rsidRPr="009E48F5">
        <w:t>ITU-R SM.1392</w:t>
      </w:r>
      <w:r w:rsidR="009E1D78">
        <w:rPr>
          <w:rFonts w:hint="cs"/>
          <w:rtl/>
          <w:lang w:val="en-US" w:bidi="ar-EG"/>
        </w:rPr>
        <w:t xml:space="preserve"> من أجل تحديث</w:t>
      </w:r>
      <w:r w:rsidR="000A1654">
        <w:rPr>
          <w:rFonts w:hint="cs"/>
          <w:rtl/>
          <w:lang w:val="en-US" w:bidi="ar-EG"/>
        </w:rPr>
        <w:t>ها</w:t>
      </w:r>
      <w:r w:rsidR="009E1D78">
        <w:rPr>
          <w:rFonts w:hint="cs"/>
          <w:rtl/>
          <w:lang w:val="en-US" w:bidi="ar-EG"/>
        </w:rPr>
        <w:t xml:space="preserve"> وفقاً لذلك. </w:t>
      </w:r>
      <w:r w:rsidR="00FD7342">
        <w:rPr>
          <w:rFonts w:hint="cs"/>
          <w:rtl/>
          <w:lang w:val="en-US" w:bidi="ar-EG"/>
        </w:rPr>
        <w:t>وإضافة إلى</w:t>
      </w:r>
      <w:r w:rsidR="009E1D78">
        <w:rPr>
          <w:rFonts w:hint="cs"/>
          <w:rtl/>
          <w:lang w:val="en-US" w:bidi="ar-EG"/>
        </w:rPr>
        <w:t xml:space="preserve"> ذلك، </w:t>
      </w:r>
      <w:r w:rsidR="00FD7342">
        <w:rPr>
          <w:rFonts w:hint="cs"/>
          <w:rtl/>
          <w:lang w:val="en-US" w:bidi="ar-EG"/>
        </w:rPr>
        <w:t xml:space="preserve">تتخلى المراجعة المقترحة لهذه التوصية عن النهج </w:t>
      </w:r>
      <w:proofErr w:type="spellStart"/>
      <w:r w:rsidR="00E5529D">
        <w:rPr>
          <w:rFonts w:hint="cs"/>
          <w:rtl/>
          <w:lang w:val="en-US" w:bidi="ar-EG"/>
        </w:rPr>
        <w:t>المتمحور</w:t>
      </w:r>
      <w:proofErr w:type="spellEnd"/>
      <w:r w:rsidR="00FD7342">
        <w:rPr>
          <w:rFonts w:hint="cs"/>
          <w:rtl/>
          <w:lang w:val="en-US" w:bidi="ar-EG"/>
        </w:rPr>
        <w:t xml:space="preserve"> حول الأجهزة وتركز على جوانب التخطيط المتصلة بنظام مراقبة الطيف.</w:t>
      </w:r>
    </w:p>
    <w:p w:rsidR="00905178" w:rsidRPr="00416965" w:rsidRDefault="00905178" w:rsidP="00C057E4">
      <w:pPr>
        <w:keepNext/>
        <w:keepLines/>
        <w:tabs>
          <w:tab w:val="right" w:pos="9497"/>
        </w:tabs>
        <w:spacing w:before="36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 w:rsidR="00DD0838">
        <w:rPr>
          <w:rFonts w:hint="cs"/>
          <w:u w:val="single"/>
          <w:rtl/>
          <w:lang w:val="en-US" w:bidi="ar-EG"/>
        </w:rPr>
        <w:t xml:space="preserve">مراجعة </w:t>
      </w:r>
      <w:r w:rsidRPr="00416965">
        <w:rPr>
          <w:rFonts w:hint="cs"/>
          <w:u w:val="single"/>
          <w:rtl/>
          <w:lang w:val="en-US" w:bidi="ar-EG"/>
        </w:rPr>
        <w:t>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D15763">
        <w:rPr>
          <w:u w:val="single"/>
        </w:rPr>
        <w:t> </w:t>
      </w:r>
      <w:r w:rsidR="00E5529D">
        <w:rPr>
          <w:u w:val="single"/>
          <w:lang w:val="en-US"/>
        </w:rPr>
        <w:t>S</w:t>
      </w:r>
      <w:r w:rsidR="00DD0838">
        <w:rPr>
          <w:u w:val="single"/>
        </w:rPr>
        <w:t>M.1</w:t>
      </w:r>
      <w:r w:rsidR="00E5529D">
        <w:rPr>
          <w:u w:val="single"/>
        </w:rPr>
        <w:t>268-1</w:t>
      </w:r>
      <w:r w:rsidRPr="00416965">
        <w:rPr>
          <w:rFonts w:hint="cs"/>
          <w:rtl/>
          <w:lang w:val="en-US" w:bidi="ar-EG"/>
        </w:rPr>
        <w:tab/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 w:rsidR="00E5529D">
        <w:rPr>
          <w:lang w:val="en-US" w:bidi="ar-EG"/>
        </w:rPr>
        <w:t>1</w:t>
      </w:r>
      <w:r>
        <w:rPr>
          <w:lang w:val="en-US" w:bidi="ar-EG"/>
        </w:rPr>
        <w:t>/</w:t>
      </w:r>
      <w:r w:rsidR="00E5529D">
        <w:rPr>
          <w:lang w:val="en-US" w:bidi="ar-EG"/>
        </w:rPr>
        <w:t>129</w:t>
      </w:r>
      <w:r w:rsidRPr="00416965">
        <w:rPr>
          <w:lang w:val="en-US" w:bidi="ar-EG"/>
        </w:rPr>
        <w:t>(Rev.</w:t>
      </w:r>
      <w:r w:rsidR="00DD0838"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905178" w:rsidRDefault="001D0A7E" w:rsidP="00B570F2">
      <w:pPr>
        <w:pStyle w:val="Rectitle"/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ascii="Times New Roman Bold" w:hAnsi="Times New Roman Bold" w:hint="cs"/>
          <w:bCs/>
          <w:sz w:val="26"/>
          <w:szCs w:val="36"/>
          <w:rtl/>
        </w:rPr>
        <w:t>ال</w:t>
      </w:r>
      <w:r w:rsidR="00B77639">
        <w:rPr>
          <w:rFonts w:ascii="Times New Roman Bold" w:hAnsi="Times New Roman Bold" w:hint="cs"/>
          <w:bCs/>
          <w:sz w:val="26"/>
          <w:szCs w:val="36"/>
          <w:rtl/>
        </w:rPr>
        <w:t xml:space="preserve">أسلوب </w:t>
      </w:r>
      <w:r>
        <w:rPr>
          <w:rFonts w:ascii="Times New Roman Bold" w:hAnsi="Times New Roman Bold" w:hint="cs"/>
          <w:bCs/>
          <w:sz w:val="26"/>
          <w:szCs w:val="36"/>
          <w:rtl/>
        </w:rPr>
        <w:t xml:space="preserve">الذي ينبغي أن تستعمله </w:t>
      </w:r>
      <w:r w:rsidR="00B77639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محطات المراقبة</w:t>
      </w:r>
      <w:r>
        <w:rPr>
          <w:rFonts w:ascii="Times New Roman Bold" w:hAnsi="Times New Roman Bold"/>
          <w:bCs/>
          <w:sz w:val="26"/>
          <w:szCs w:val="36"/>
          <w:rtl/>
        </w:rPr>
        <w:br/>
      </w:r>
      <w:r w:rsidR="00FF5771">
        <w:rPr>
          <w:rFonts w:ascii="Times New Roman Bold" w:hAnsi="Times New Roman Bold" w:hint="cs"/>
          <w:bCs/>
          <w:sz w:val="26"/>
          <w:szCs w:val="36"/>
          <w:rtl/>
        </w:rPr>
        <w:t xml:space="preserve">لقياس الانحراف </w:t>
      </w:r>
      <w:r>
        <w:rPr>
          <w:rFonts w:ascii="Times New Roman Bold" w:hAnsi="Times New Roman Bold" w:hint="cs"/>
          <w:bCs/>
          <w:sz w:val="26"/>
          <w:szCs w:val="36"/>
          <w:rtl/>
        </w:rPr>
        <w:t xml:space="preserve">الأقصى </w:t>
      </w:r>
      <w:r w:rsidR="00FF5771">
        <w:rPr>
          <w:rFonts w:ascii="Times New Roman Bold" w:hAnsi="Times New Roman Bold" w:hint="cs"/>
          <w:bCs/>
          <w:sz w:val="26"/>
          <w:szCs w:val="36"/>
          <w:rtl/>
        </w:rPr>
        <w:t>للتردد في ا</w:t>
      </w:r>
      <w:r w:rsidR="003141AD">
        <w:rPr>
          <w:rFonts w:ascii="Times New Roman Bold" w:hAnsi="Times New Roman Bold" w:hint="cs"/>
          <w:bCs/>
          <w:sz w:val="26"/>
          <w:szCs w:val="36"/>
          <w:rtl/>
        </w:rPr>
        <w:t>لبث الإذاعي</w:t>
      </w:r>
      <w:r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>
        <w:rPr>
          <w:rFonts w:ascii="Times New Roman Bold" w:hAnsi="Times New Roman Bold"/>
          <w:bCs/>
          <w:sz w:val="26"/>
          <w:szCs w:val="36"/>
          <w:lang w:val="en-US"/>
        </w:rPr>
        <w:t>FM</w:t>
      </w:r>
    </w:p>
    <w:p w:rsidR="00B77639" w:rsidRDefault="003141AD" w:rsidP="000B7C63">
      <w:pPr>
        <w:pStyle w:val="Normalaftertitle"/>
        <w:rPr>
          <w:rtl/>
          <w:lang w:val="en-US" w:bidi="ar-EG"/>
        </w:rPr>
      </w:pPr>
      <w:r>
        <w:rPr>
          <w:rFonts w:hint="cs"/>
          <w:rtl/>
          <w:lang w:bidi="ar-EG"/>
        </w:rPr>
        <w:t xml:space="preserve">بالنسبة إلى </w:t>
      </w:r>
      <w:r w:rsidR="00FF5771">
        <w:rPr>
          <w:rFonts w:hint="cs"/>
          <w:rtl/>
          <w:lang w:bidi="ar-EG"/>
        </w:rPr>
        <w:t>قياس الانحراف</w:t>
      </w:r>
      <w:r>
        <w:rPr>
          <w:rFonts w:hint="cs"/>
          <w:rtl/>
          <w:lang w:bidi="ar-EG"/>
        </w:rPr>
        <w:t xml:space="preserve"> وقدرة تعدد الإرسال للبث الإذاعي </w:t>
      </w:r>
      <w:r>
        <w:rPr>
          <w:lang w:val="en-US" w:bidi="ar-EG"/>
        </w:rPr>
        <w:t>FM</w:t>
      </w:r>
      <w:r>
        <w:rPr>
          <w:rFonts w:hint="cs"/>
          <w:rtl/>
          <w:lang w:val="en-US" w:bidi="ar-EG"/>
        </w:rPr>
        <w:t xml:space="preserve">، </w:t>
      </w:r>
      <w:r w:rsidR="00B071FA">
        <w:rPr>
          <w:rFonts w:hint="cs"/>
          <w:rtl/>
          <w:lang w:val="en-US" w:bidi="ar-EG"/>
        </w:rPr>
        <w:t xml:space="preserve">تحدد التوصية </w:t>
      </w:r>
      <w:r w:rsidR="00B071FA" w:rsidRPr="00B071FA">
        <w:t>ITU-R </w:t>
      </w:r>
      <w:r w:rsidR="00B071FA" w:rsidRPr="00B071FA">
        <w:rPr>
          <w:lang w:val="en-US"/>
        </w:rPr>
        <w:t>S</w:t>
      </w:r>
      <w:r w:rsidR="00B071FA" w:rsidRPr="00B071FA">
        <w:t>M.1268-1</w:t>
      </w:r>
      <w:r w:rsidR="00B071FA">
        <w:rPr>
          <w:rFonts w:hint="cs"/>
          <w:rtl/>
          <w:lang w:bidi="ar-EG"/>
        </w:rPr>
        <w:t xml:space="preserve"> درجة قصوى للانعكاس تبلغ </w:t>
      </w:r>
      <w:r w:rsidR="00B071FA">
        <w:rPr>
          <w:lang w:val="en-US" w:bidi="ar-EG"/>
        </w:rPr>
        <w:t>kHz %2</w:t>
      </w:r>
      <w:r w:rsidR="00B071FA">
        <w:rPr>
          <w:rFonts w:hint="cs"/>
          <w:rtl/>
          <w:lang w:val="en-US" w:bidi="ar-EG"/>
        </w:rPr>
        <w:t xml:space="preserve"> من أجل الحصول على دقة القياس المطلوبة.</w:t>
      </w:r>
      <w:r w:rsidR="00C4118A">
        <w:rPr>
          <w:rFonts w:hint="cs"/>
          <w:rtl/>
          <w:lang w:val="en-US" w:bidi="ar-EG"/>
        </w:rPr>
        <w:t xml:space="preserve"> ولقد أثبتت التجربة أن هذه القيمة مرتفعة للغاية ويمكن أن تؤدي إلى خطأ كبير في القياس. وبالتالي، يقترح تغيير هذه القيمة إلى </w:t>
      </w:r>
      <w:r w:rsidR="00C4118A">
        <w:rPr>
          <w:lang w:val="en-US" w:bidi="ar-EG"/>
        </w:rPr>
        <w:t>kHz %0,4</w:t>
      </w:r>
      <w:r w:rsidR="00C4118A">
        <w:rPr>
          <w:rFonts w:hint="cs"/>
          <w:rtl/>
          <w:lang w:val="en-US" w:bidi="ar-EG"/>
        </w:rPr>
        <w:t xml:space="preserve">. </w:t>
      </w:r>
      <w:r w:rsidR="004B75AB">
        <w:rPr>
          <w:rFonts w:hint="cs"/>
          <w:rtl/>
          <w:lang w:val="en-US" w:bidi="ar-EG"/>
        </w:rPr>
        <w:t xml:space="preserve">وتستند </w:t>
      </w:r>
      <w:r w:rsidR="004504B7">
        <w:rPr>
          <w:rFonts w:hint="cs"/>
          <w:rtl/>
          <w:lang w:val="en-US" w:bidi="ar-EG"/>
        </w:rPr>
        <w:t>القيمة المقترحة إلى ال</w:t>
      </w:r>
      <w:r w:rsidR="004B75AB">
        <w:rPr>
          <w:rFonts w:hint="cs"/>
          <w:rtl/>
          <w:lang w:val="en-US" w:bidi="ar-EG"/>
        </w:rPr>
        <w:t xml:space="preserve">قياسات والحسابات والمحاكاة </w:t>
      </w:r>
      <w:r w:rsidR="004504B7">
        <w:rPr>
          <w:rFonts w:hint="cs"/>
          <w:rtl/>
          <w:lang w:val="en-US" w:bidi="ar-EG"/>
        </w:rPr>
        <w:t>باستعمال الحاسوب</w:t>
      </w:r>
      <w:r w:rsidR="004B75AB">
        <w:rPr>
          <w:rFonts w:hint="cs"/>
          <w:rtl/>
          <w:lang w:val="en-US" w:bidi="ar-EG"/>
        </w:rPr>
        <w:t>، مع افتراض مستوى للثقة المطلوب</w:t>
      </w:r>
      <w:r w:rsidR="00630A2E">
        <w:rPr>
          <w:rFonts w:hint="cs"/>
          <w:rtl/>
          <w:lang w:val="en-US" w:bidi="ar-EG"/>
        </w:rPr>
        <w:t>ة</w:t>
      </w:r>
      <w:r w:rsidR="004B75AB">
        <w:rPr>
          <w:rFonts w:hint="cs"/>
          <w:rtl/>
          <w:lang w:val="en-US" w:bidi="ar-EG"/>
        </w:rPr>
        <w:t xml:space="preserve"> بنسبة </w:t>
      </w:r>
      <w:r w:rsidR="004B75AB">
        <w:rPr>
          <w:lang w:val="en-US" w:bidi="ar-EG"/>
        </w:rPr>
        <w:t>%95</w:t>
      </w:r>
      <w:r w:rsidR="004B75AB">
        <w:rPr>
          <w:rFonts w:hint="cs"/>
          <w:rtl/>
          <w:lang w:val="en-US" w:bidi="ar-EG"/>
        </w:rPr>
        <w:t xml:space="preserve">. </w:t>
      </w:r>
      <w:r w:rsidR="00630A2E">
        <w:rPr>
          <w:rFonts w:hint="cs"/>
          <w:rtl/>
          <w:lang w:val="en-US" w:bidi="ar-EG"/>
        </w:rPr>
        <w:t>و</w:t>
      </w:r>
      <w:r w:rsidR="004B75AB">
        <w:rPr>
          <w:rFonts w:hint="cs"/>
          <w:rtl/>
          <w:lang w:val="en-US" w:bidi="ar-EG"/>
        </w:rPr>
        <w:t>يُقترح</w:t>
      </w:r>
      <w:r w:rsidR="00630A2E">
        <w:rPr>
          <w:rFonts w:hint="cs"/>
          <w:rtl/>
          <w:lang w:val="en-US" w:bidi="ar-EG"/>
        </w:rPr>
        <w:t xml:space="preserve"> أيضاً</w:t>
      </w:r>
      <w:r w:rsidR="004B75AB">
        <w:rPr>
          <w:rFonts w:hint="cs"/>
          <w:rtl/>
          <w:lang w:val="en-US" w:bidi="ar-EG"/>
        </w:rPr>
        <w:t xml:space="preserve"> إضافة فقرة تتعلق بمسألة قياس درجة التشوه علماً أن ذلك يؤثر على النتيجة</w:t>
      </w:r>
      <w:r w:rsidR="00C0311A">
        <w:rPr>
          <w:rFonts w:hint="cs"/>
          <w:rtl/>
          <w:lang w:val="en-US" w:bidi="ar-EG"/>
        </w:rPr>
        <w:t xml:space="preserve"> بشكل كبير</w:t>
      </w:r>
      <w:r w:rsidR="004B75AB">
        <w:rPr>
          <w:rFonts w:hint="cs"/>
          <w:rtl/>
          <w:lang w:val="en-US" w:bidi="ar-EG"/>
        </w:rPr>
        <w:t>.</w:t>
      </w:r>
    </w:p>
    <w:p w:rsidR="00547EE0" w:rsidRDefault="00564FEA" w:rsidP="00FF5771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وأثبتت القياسات كذلك أن نسب الحماية الحالية للبث </w:t>
      </w:r>
      <w:r w:rsidR="00B0552E">
        <w:rPr>
          <w:rFonts w:hint="cs"/>
          <w:rtl/>
          <w:lang w:val="en-US" w:bidi="ar-EG"/>
        </w:rPr>
        <w:t>في</w:t>
      </w:r>
      <w:r>
        <w:rPr>
          <w:rFonts w:hint="cs"/>
          <w:rtl/>
          <w:lang w:val="en-US" w:bidi="ar-EG"/>
        </w:rPr>
        <w:t xml:space="preserve"> القنوات المجاورة صارمة جداً </w:t>
      </w:r>
      <w:r w:rsidR="00B0552E">
        <w:rPr>
          <w:rFonts w:hint="cs"/>
          <w:rtl/>
          <w:lang w:val="en-US" w:bidi="ar-EG"/>
        </w:rPr>
        <w:t>نوعاً ما</w:t>
      </w:r>
      <w:r w:rsidR="00277440">
        <w:rPr>
          <w:rFonts w:hint="cs"/>
          <w:rtl/>
          <w:lang w:val="en-US" w:bidi="ar-EG"/>
        </w:rPr>
        <w:t xml:space="preserve"> وغير كافية جزئياً</w:t>
      </w:r>
      <w:r w:rsidR="00B0552E">
        <w:rPr>
          <w:rFonts w:hint="cs"/>
          <w:rtl/>
          <w:lang w:val="en-US" w:bidi="ar-EG"/>
        </w:rPr>
        <w:t xml:space="preserve">. </w:t>
      </w:r>
      <w:r w:rsidR="00FF5771">
        <w:rPr>
          <w:rFonts w:hint="cs"/>
          <w:rtl/>
          <w:lang w:val="en-US" w:bidi="ar-EG"/>
        </w:rPr>
        <w:t xml:space="preserve">ولذلك </w:t>
      </w:r>
      <w:r w:rsidR="00B0552E">
        <w:rPr>
          <w:rFonts w:hint="cs"/>
          <w:rtl/>
          <w:lang w:val="en-US" w:bidi="ar-EG"/>
        </w:rPr>
        <w:t>يُقترح أيضاً تعديل التوصية لتغطية هذه المسألة.</w:t>
      </w:r>
    </w:p>
    <w:p w:rsidR="00564FEA" w:rsidRPr="00564FEA" w:rsidRDefault="00547EE0" w:rsidP="00FF5771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وأخيراً، يقترح إدراج فقرة تتناول </w:t>
      </w:r>
      <w:r w:rsidR="00FF5771">
        <w:rPr>
          <w:rFonts w:hint="cs"/>
          <w:rtl/>
          <w:lang w:val="en-US" w:bidi="ar-EG"/>
        </w:rPr>
        <w:t>عدم الامتثال</w:t>
      </w:r>
      <w:r>
        <w:rPr>
          <w:rFonts w:hint="cs"/>
          <w:rtl/>
          <w:lang w:val="en-US" w:bidi="ar-EG"/>
        </w:rPr>
        <w:t xml:space="preserve"> من الناحية التقنية.</w:t>
      </w:r>
    </w:p>
    <w:p w:rsidR="001A0325" w:rsidRPr="00FC4356" w:rsidRDefault="005F0D47" w:rsidP="002E6F78">
      <w:pPr>
        <w:pStyle w:val="AnnexNoBR"/>
        <w:rPr>
          <w:rtl/>
          <w:lang w:eastAsia="zh-CN" w:bidi="ar-EG"/>
        </w:rPr>
      </w:pPr>
      <w:r w:rsidRPr="00FC4356">
        <w:rPr>
          <w:rtl/>
        </w:rPr>
        <w:br w:type="page"/>
      </w:r>
      <w:r w:rsidR="001A0325" w:rsidRPr="00FC4356">
        <w:rPr>
          <w:rFonts w:hint="cs"/>
          <w:rtl/>
        </w:rPr>
        <w:t>الملح</w:t>
      </w:r>
      <w:r w:rsidR="001A0325" w:rsidRPr="00FC4356">
        <w:rPr>
          <w:rFonts w:hint="cs"/>
          <w:rtl/>
          <w:lang w:bidi="ar-EG"/>
        </w:rPr>
        <w:t>ـ</w:t>
      </w:r>
      <w:r w:rsidR="001A0325" w:rsidRPr="00FC4356">
        <w:rPr>
          <w:rFonts w:hint="cs"/>
          <w:rtl/>
        </w:rPr>
        <w:t xml:space="preserve">ق </w:t>
      </w:r>
      <w:r w:rsidR="001A0325" w:rsidRPr="00FC4356">
        <w:rPr>
          <w:lang w:eastAsia="zh-CN"/>
        </w:rPr>
        <w:t>2</w:t>
      </w:r>
    </w:p>
    <w:p w:rsidR="004E5232" w:rsidRPr="004E5232" w:rsidRDefault="004E5232" w:rsidP="007F28CF">
      <w:pPr>
        <w:pStyle w:val="Normalaftertitle"/>
        <w:spacing w:before="120"/>
        <w:jc w:val="center"/>
        <w:rPr>
          <w:rtl/>
          <w:lang w:val="en-US" w:eastAsia="zh-CN" w:bidi="ar-EG"/>
        </w:rPr>
      </w:pPr>
      <w:r>
        <w:rPr>
          <w:rFonts w:hint="cs"/>
          <w:rtl/>
          <w:lang w:val="en-US" w:eastAsia="zh-CN"/>
        </w:rPr>
        <w:t xml:space="preserve">(المصدر: </w:t>
      </w:r>
      <w:r w:rsidR="00CD311D">
        <w:rPr>
          <w:rFonts w:hint="cs"/>
          <w:rtl/>
          <w:lang w:val="en-US" w:eastAsia="zh-CN"/>
        </w:rPr>
        <w:t>الوثيقة</w:t>
      </w:r>
      <w:r>
        <w:rPr>
          <w:rFonts w:hint="cs"/>
          <w:rtl/>
          <w:lang w:val="en-US" w:eastAsia="zh-CN"/>
        </w:rPr>
        <w:t xml:space="preserve"> </w:t>
      </w:r>
      <w:r w:rsidR="00CD311D">
        <w:rPr>
          <w:lang w:val="en-US" w:eastAsia="zh-CN"/>
        </w:rPr>
        <w:t>1</w:t>
      </w:r>
      <w:r>
        <w:rPr>
          <w:lang w:val="en-US" w:eastAsia="zh-CN"/>
        </w:rPr>
        <w:t>/1</w:t>
      </w:r>
      <w:r w:rsidR="00CD311D">
        <w:rPr>
          <w:lang w:val="en-US" w:eastAsia="zh-CN"/>
        </w:rPr>
        <w:t>32(Rev.1)</w:t>
      </w:r>
      <w:r w:rsidR="00CD311D">
        <w:rPr>
          <w:rFonts w:hint="cs"/>
          <w:rtl/>
          <w:lang w:val="en-US" w:eastAsia="zh-CN" w:bidi="ar-EG"/>
        </w:rPr>
        <w:t>)</w:t>
      </w:r>
    </w:p>
    <w:p w:rsidR="00016208" w:rsidRDefault="00016208" w:rsidP="00A22075">
      <w:pPr>
        <w:pStyle w:val="Annextitle"/>
        <w:spacing w:before="360"/>
        <w:rPr>
          <w:rtl/>
          <w:lang w:eastAsia="zh-CN"/>
        </w:rPr>
      </w:pPr>
      <w:r w:rsidRPr="00B96C30">
        <w:rPr>
          <w:rFonts w:hint="cs"/>
          <w:rtl/>
        </w:rPr>
        <w:t>التوصيـ</w:t>
      </w:r>
      <w:r w:rsidR="005F0D47">
        <w:rPr>
          <w:rFonts w:hint="cs"/>
          <w:rtl/>
        </w:rPr>
        <w:t>ات</w:t>
      </w:r>
      <w:r w:rsidRPr="00B96C30">
        <w:rPr>
          <w:rFonts w:hint="cs"/>
          <w:rtl/>
          <w:lang w:eastAsia="zh-CN"/>
        </w:rPr>
        <w:t xml:space="preserve"> </w:t>
      </w:r>
      <w:r w:rsidR="00326F0A" w:rsidRPr="00B96C30">
        <w:rPr>
          <w:rFonts w:hint="cs"/>
          <w:rtl/>
          <w:lang w:eastAsia="zh-CN"/>
        </w:rPr>
        <w:t>المقترح إلغاؤه</w:t>
      </w:r>
      <w:r w:rsidR="007F28CF">
        <w:rPr>
          <w:rFonts w:hint="cs"/>
          <w:rtl/>
          <w:lang w:eastAsia="zh-CN"/>
        </w:rPr>
        <w:t>ـ</w:t>
      </w:r>
      <w:r w:rsidR="00326F0A" w:rsidRPr="00B96C30">
        <w:rPr>
          <w:rFonts w:hint="cs"/>
          <w:rtl/>
          <w:lang w:eastAsia="zh-CN"/>
        </w:rPr>
        <w:t>ا</w:t>
      </w:r>
    </w:p>
    <w:p w:rsidR="00BB4B77" w:rsidRDefault="00BB4B77" w:rsidP="00A22075">
      <w:pPr>
        <w:pStyle w:val="Normalaftertitle"/>
        <w:spacing w:before="240" w:after="240"/>
        <w:jc w:val="center"/>
        <w:rPr>
          <w:rtl/>
          <w:lang w:eastAsia="zh-CN" w:bidi="ar-EG"/>
        </w:rPr>
      </w:pPr>
      <w:r>
        <w:rPr>
          <w:rFonts w:hint="cs"/>
          <w:rtl/>
          <w:lang w:val="en-US" w:eastAsia="zh-CN" w:bidi="ar-EG"/>
        </w:rPr>
        <w:t>(</w:t>
      </w:r>
      <w:r w:rsidR="00FF5771">
        <w:rPr>
          <w:rFonts w:hint="cs"/>
          <w:rtl/>
          <w:lang w:val="en-US" w:eastAsia="zh-CN" w:bidi="ar-EG"/>
        </w:rPr>
        <w:t>رهناً</w:t>
      </w:r>
      <w:r>
        <w:rPr>
          <w:rFonts w:hint="cs"/>
          <w:rtl/>
          <w:lang w:val="en-US" w:eastAsia="zh-CN" w:bidi="ar-EG"/>
        </w:rPr>
        <w:t xml:space="preserve"> </w:t>
      </w:r>
      <w:r w:rsidR="00FF5771">
        <w:rPr>
          <w:rFonts w:hint="cs"/>
          <w:rtl/>
          <w:lang w:val="en-US" w:eastAsia="zh-CN" w:bidi="ar-EG"/>
        </w:rPr>
        <w:t>ب</w:t>
      </w:r>
      <w:r>
        <w:rPr>
          <w:rFonts w:hint="cs"/>
          <w:rtl/>
          <w:lang w:val="en-US" w:eastAsia="zh-CN" w:bidi="ar-EG"/>
        </w:rPr>
        <w:t xml:space="preserve">الموافقة على التوصية </w:t>
      </w:r>
      <w:r w:rsidRPr="00BB4B77">
        <w:rPr>
          <w:bCs/>
        </w:rPr>
        <w:t>ITU-R SM.[SPEC-OCC-MEASUREMENT</w:t>
      </w:r>
      <w:r w:rsidR="00174F00">
        <w:rPr>
          <w:rFonts w:hint="cs"/>
          <w:rtl/>
          <w:lang w:eastAsia="zh-CN" w:bidi="ar-EG"/>
        </w:rPr>
        <w:t>)</w:t>
      </w:r>
    </w:p>
    <w:tbl>
      <w:tblPr>
        <w:bidiVisual/>
        <w:tblW w:w="98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6"/>
        <w:gridCol w:w="8091"/>
      </w:tblGrid>
      <w:tr w:rsidR="00AE1E03" w:rsidRPr="009A28D0">
        <w:trPr>
          <w:cantSplit/>
          <w:tblHeader/>
        </w:trPr>
        <w:tc>
          <w:tcPr>
            <w:tcW w:w="1736" w:type="dxa"/>
          </w:tcPr>
          <w:p w:rsidR="00AE1E03" w:rsidRPr="006A2BFE" w:rsidRDefault="00AE1E03" w:rsidP="00854A26">
            <w:pPr>
              <w:pStyle w:val="Tablehead"/>
              <w:spacing w:before="60" w:after="60" w:line="300" w:lineRule="exact"/>
              <w:rPr>
                <w:rFonts w:ascii="Times New Roman Bold" w:hAnsi="Times New Roman Bold"/>
                <w:bCs/>
                <w:rtl/>
                <w:lang w:eastAsia="zh-CN" w:bidi="ar-EG"/>
              </w:rPr>
            </w:pPr>
            <w:r w:rsidRPr="006A2BFE">
              <w:rPr>
                <w:rFonts w:ascii="Times New Roman Bold" w:hAnsi="Times New Roman Bold" w:hint="cs"/>
                <w:bCs/>
                <w:rtl/>
              </w:rPr>
              <w:t>توصيات</w:t>
            </w:r>
            <w:r w:rsidRPr="006A2BFE">
              <w:rPr>
                <w:rFonts w:ascii="Times New Roman Bold" w:hAnsi="Times New Roman Bold"/>
                <w:bCs/>
                <w:rtl/>
              </w:rPr>
              <w:br/>
            </w:r>
            <w:r w:rsidRPr="006A2BFE">
              <w:rPr>
                <w:rFonts w:ascii="Times New Roman Bold" w:hAnsi="Times New Roman Bold"/>
                <w:bCs/>
                <w:lang w:eastAsia="zh-CN"/>
              </w:rPr>
              <w:t>ITU-R</w:t>
            </w:r>
          </w:p>
        </w:tc>
        <w:tc>
          <w:tcPr>
            <w:tcW w:w="8091" w:type="dxa"/>
            <w:vAlign w:val="center"/>
          </w:tcPr>
          <w:p w:rsidR="00AE1E03" w:rsidRPr="006A2BFE" w:rsidRDefault="00AE1E03" w:rsidP="00854A26">
            <w:pPr>
              <w:pStyle w:val="Tablehead"/>
              <w:spacing w:before="60" w:after="60" w:line="300" w:lineRule="exact"/>
              <w:rPr>
                <w:rFonts w:ascii="Times New Roman Bold" w:hAnsi="Times New Roman Bold"/>
                <w:bCs/>
                <w:rtl/>
              </w:rPr>
            </w:pPr>
            <w:r w:rsidRPr="006A2BFE">
              <w:rPr>
                <w:rFonts w:ascii="Times New Roman Bold" w:hAnsi="Times New Roman Bold" w:hint="cs"/>
                <w:bCs/>
                <w:rtl/>
              </w:rPr>
              <w:t>العن</w:t>
            </w:r>
            <w:r w:rsidR="009A28D0" w:rsidRPr="006A2BFE">
              <w:rPr>
                <w:rFonts w:ascii="Times New Roman Bold" w:hAnsi="Times New Roman Bold" w:hint="cs"/>
                <w:bCs/>
                <w:rtl/>
              </w:rPr>
              <w:t>ـ</w:t>
            </w:r>
            <w:r w:rsidRPr="006A2BFE">
              <w:rPr>
                <w:rFonts w:ascii="Times New Roman Bold" w:hAnsi="Times New Roman Bold" w:hint="cs"/>
                <w:bCs/>
                <w:rtl/>
              </w:rPr>
              <w:t>وان</w:t>
            </w:r>
          </w:p>
        </w:tc>
      </w:tr>
      <w:tr w:rsidR="00211987" w:rsidRPr="00F931BB" w:rsidTr="00056430">
        <w:trPr>
          <w:cantSplit/>
        </w:trPr>
        <w:tc>
          <w:tcPr>
            <w:tcW w:w="1736" w:type="dxa"/>
          </w:tcPr>
          <w:p w:rsidR="00211987" w:rsidRPr="006A2BFE" w:rsidRDefault="00211987" w:rsidP="00854A26">
            <w:pPr>
              <w:pStyle w:val="Tabletext"/>
              <w:spacing w:before="60" w:after="60" w:line="300" w:lineRule="exact"/>
              <w:jc w:val="center"/>
              <w:rPr>
                <w:color w:val="000000"/>
                <w:lang w:val="es-ES"/>
              </w:rPr>
            </w:pPr>
            <w:r w:rsidRPr="006A2BFE">
              <w:rPr>
                <w:color w:val="000000"/>
                <w:lang w:val="es-ES"/>
              </w:rPr>
              <w:t>SM.182-5</w:t>
            </w:r>
          </w:p>
        </w:tc>
        <w:tc>
          <w:tcPr>
            <w:tcW w:w="8091" w:type="dxa"/>
            <w:vAlign w:val="center"/>
          </w:tcPr>
          <w:p w:rsidR="00211987" w:rsidRPr="006A2BFE" w:rsidRDefault="006F27BC" w:rsidP="00854A26">
            <w:pPr>
              <w:pStyle w:val="Tabletext"/>
              <w:spacing w:before="60" w:after="60" w:line="300" w:lineRule="exact"/>
              <w:rPr>
                <w:rFonts w:eastAsia="Arial Unicode MS"/>
                <w:rtl/>
                <w:lang w:bidi="ar-EG"/>
              </w:rPr>
            </w:pPr>
            <w:r w:rsidRPr="006A2BFE">
              <w:rPr>
                <w:rFonts w:hint="cs"/>
                <w:rtl/>
              </w:rPr>
              <w:t>المراقبة</w:t>
            </w:r>
            <w:r w:rsidR="000533E5" w:rsidRPr="006A2BFE">
              <w:rPr>
                <w:rFonts w:hint="cs"/>
                <w:rtl/>
              </w:rPr>
              <w:t xml:space="preserve"> </w:t>
            </w:r>
            <w:proofErr w:type="spellStart"/>
            <w:r w:rsidR="000533E5" w:rsidRPr="006A2BFE">
              <w:rPr>
                <w:rFonts w:hint="cs"/>
                <w:rtl/>
              </w:rPr>
              <w:t>الأوتوماتي</w:t>
            </w:r>
            <w:r w:rsidRPr="006A2BFE">
              <w:rPr>
                <w:rFonts w:hint="cs"/>
                <w:rtl/>
              </w:rPr>
              <w:t>ة</w:t>
            </w:r>
            <w:proofErr w:type="spellEnd"/>
            <w:r w:rsidR="000533E5" w:rsidRPr="006A2BFE">
              <w:rPr>
                <w:rFonts w:hint="cs"/>
                <w:rtl/>
              </w:rPr>
              <w:t xml:space="preserve"> </w:t>
            </w:r>
            <w:r w:rsidR="000533E5" w:rsidRPr="006A2BFE">
              <w:rPr>
                <w:rFonts w:hint="cs"/>
                <w:rtl/>
                <w:lang w:val="en-US"/>
              </w:rPr>
              <w:t xml:space="preserve">لانشغال طيف التردد </w:t>
            </w:r>
            <w:proofErr w:type="spellStart"/>
            <w:r w:rsidR="000533E5" w:rsidRPr="006A2BFE">
              <w:rPr>
                <w:rFonts w:hint="cs"/>
                <w:rtl/>
                <w:lang w:val="en-US"/>
              </w:rPr>
              <w:t>الراديوي</w:t>
            </w:r>
            <w:proofErr w:type="spellEnd"/>
          </w:p>
        </w:tc>
      </w:tr>
      <w:tr w:rsidR="00211987" w:rsidRPr="00F931BB" w:rsidTr="00056430">
        <w:trPr>
          <w:cantSplit/>
        </w:trPr>
        <w:tc>
          <w:tcPr>
            <w:tcW w:w="1736" w:type="dxa"/>
          </w:tcPr>
          <w:p w:rsidR="00211987" w:rsidRPr="006A2BFE" w:rsidRDefault="00211987" w:rsidP="00854A26">
            <w:pPr>
              <w:pStyle w:val="Tabletext"/>
              <w:spacing w:before="60" w:after="60" w:line="300" w:lineRule="exact"/>
              <w:jc w:val="center"/>
              <w:rPr>
                <w:color w:val="000000"/>
                <w:lang w:val="es-ES"/>
              </w:rPr>
            </w:pPr>
            <w:r w:rsidRPr="006A2BFE">
              <w:rPr>
                <w:color w:val="000000"/>
                <w:lang w:val="es-ES"/>
              </w:rPr>
              <w:t>SM.1536</w:t>
            </w:r>
          </w:p>
        </w:tc>
        <w:tc>
          <w:tcPr>
            <w:tcW w:w="8091" w:type="dxa"/>
          </w:tcPr>
          <w:p w:rsidR="00211987" w:rsidRPr="006A2BFE" w:rsidRDefault="00CF3763" w:rsidP="00854A26">
            <w:pPr>
              <w:pStyle w:val="Tabletext"/>
              <w:spacing w:before="60" w:after="60" w:line="300" w:lineRule="exact"/>
              <w:rPr>
                <w:lang w:bidi="ar-EG"/>
              </w:rPr>
            </w:pPr>
            <w:r w:rsidRPr="006A2BFE">
              <w:rPr>
                <w:rFonts w:hint="cs"/>
                <w:rtl/>
                <w:lang w:bidi="ar-EG"/>
              </w:rPr>
              <w:t>قياس</w:t>
            </w:r>
            <w:r w:rsidR="00A00A90" w:rsidRPr="006A2BFE">
              <w:rPr>
                <w:rFonts w:hint="cs"/>
                <w:rtl/>
                <w:lang w:bidi="ar-EG"/>
              </w:rPr>
              <w:t xml:space="preserve"> درجة</w:t>
            </w:r>
            <w:r w:rsidRPr="006A2BFE">
              <w:rPr>
                <w:rFonts w:hint="cs"/>
                <w:rtl/>
                <w:lang w:bidi="ar-EG"/>
              </w:rPr>
              <w:t xml:space="preserve"> انشغال قناة التردد</w:t>
            </w:r>
          </w:p>
        </w:tc>
      </w:tr>
      <w:tr w:rsidR="00211987" w:rsidRPr="00F931BB" w:rsidTr="00056430">
        <w:trPr>
          <w:cantSplit/>
        </w:trPr>
        <w:tc>
          <w:tcPr>
            <w:tcW w:w="1736" w:type="dxa"/>
          </w:tcPr>
          <w:p w:rsidR="00211987" w:rsidRPr="006A2BFE" w:rsidRDefault="00211987" w:rsidP="00854A26">
            <w:pPr>
              <w:pStyle w:val="Tabletext"/>
              <w:spacing w:before="60" w:after="60" w:line="300" w:lineRule="exact"/>
              <w:jc w:val="center"/>
              <w:rPr>
                <w:color w:val="000000"/>
                <w:lang w:val="es-ES"/>
              </w:rPr>
            </w:pPr>
            <w:r w:rsidRPr="006A2BFE">
              <w:rPr>
                <w:color w:val="000000"/>
                <w:lang w:val="es-ES"/>
              </w:rPr>
              <w:t>SM.1793</w:t>
            </w:r>
          </w:p>
        </w:tc>
        <w:tc>
          <w:tcPr>
            <w:tcW w:w="8091" w:type="dxa"/>
          </w:tcPr>
          <w:p w:rsidR="00211987" w:rsidRPr="006A2BFE" w:rsidRDefault="00CF3763" w:rsidP="00854A26">
            <w:pPr>
              <w:pStyle w:val="Tabletext"/>
              <w:spacing w:before="60" w:after="60" w:line="300" w:lineRule="exact"/>
            </w:pPr>
            <w:r w:rsidRPr="006A2BFE">
              <w:rPr>
                <w:rFonts w:hint="cs"/>
                <w:rtl/>
              </w:rPr>
              <w:t>قياس درجة انشغال قنوات التردد باستعمال أسلوب قياس نطاق التردد</w:t>
            </w:r>
          </w:p>
        </w:tc>
      </w:tr>
    </w:tbl>
    <w:p w:rsidR="00A22075" w:rsidRDefault="00A22075" w:rsidP="00A22075">
      <w:pPr>
        <w:rPr>
          <w:lang w:eastAsia="zh-CN" w:bidi="ar-EG"/>
        </w:rPr>
      </w:pPr>
    </w:p>
    <w:p w:rsidR="00A22075" w:rsidRDefault="00A22075" w:rsidP="00A22075">
      <w:pPr>
        <w:rPr>
          <w:lang w:eastAsia="zh-CN" w:bidi="ar-EG"/>
        </w:rPr>
      </w:pPr>
    </w:p>
    <w:p w:rsidR="00A22075" w:rsidRDefault="00A22075" w:rsidP="00A22075">
      <w:pPr>
        <w:rPr>
          <w:lang w:eastAsia="zh-CN" w:bidi="ar-EG"/>
        </w:rPr>
      </w:pPr>
    </w:p>
    <w:p w:rsidR="00B66691" w:rsidRPr="00326F0A" w:rsidRDefault="00B66691" w:rsidP="0065581B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ــــــــــ</w:t>
      </w:r>
    </w:p>
    <w:sectPr w:rsidR="00B66691" w:rsidRPr="00326F0A" w:rsidSect="00F10815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D7" w:rsidRDefault="001F41D7">
      <w:r>
        <w:separator/>
      </w:r>
    </w:p>
  </w:endnote>
  <w:endnote w:type="continuationSeparator" w:id="0">
    <w:p w:rsidR="001F41D7" w:rsidRDefault="001F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16" w:rsidRPr="00A22075" w:rsidRDefault="007E172A" w:rsidP="00A22075">
    <w:pPr>
      <w:pStyle w:val="Footer"/>
      <w:rPr>
        <w:szCs w:val="24"/>
        <w:lang w:val="fr-CH"/>
      </w:rPr>
    </w:pPr>
    <w:fldSimple w:instr=" FILENAME  \p  \* MERGEFORMAT ">
      <w:r w:rsidR="00C14B7D" w:rsidRPr="00C14B7D">
        <w:rPr>
          <w:szCs w:val="24"/>
          <w:lang w:val="fr-CH"/>
        </w:rPr>
        <w:t>Y:\APP\BR\CIRCS_DMS\CAR\300\302\302a.docx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5E341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5E3418">
      <w:trPr>
        <w:cantSplit/>
      </w:trPr>
      <w:tc>
        <w:tcPr>
          <w:tcW w:w="1062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E3418">
      <w:trPr>
        <w:cantSplit/>
      </w:trPr>
      <w:tc>
        <w:tcPr>
          <w:tcW w:w="1062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</w:p>
      </w:tc>
    </w:tr>
  </w:tbl>
  <w:p w:rsidR="005E3418" w:rsidRPr="009E1957" w:rsidRDefault="005E3418" w:rsidP="00C2428A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D7" w:rsidRDefault="001F41D7">
      <w:r>
        <w:t>____________________</w:t>
      </w:r>
    </w:p>
  </w:footnote>
  <w:footnote w:type="continuationSeparator" w:id="0">
    <w:p w:rsidR="001F41D7" w:rsidRDefault="001F4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8" w:rsidRPr="008914F3" w:rsidRDefault="005E3418" w:rsidP="00B66691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8914F3">
      <w:rPr>
        <w:sz w:val="20"/>
        <w:szCs w:val="20"/>
        <w:lang w:val="en-US"/>
      </w:rPr>
      <w:t xml:space="preserve">- </w:t>
    </w:r>
    <w:r w:rsidR="007E172A" w:rsidRPr="008914F3">
      <w:rPr>
        <w:rStyle w:val="PageNumber"/>
        <w:sz w:val="20"/>
        <w:szCs w:val="20"/>
      </w:rPr>
      <w:fldChar w:fldCharType="begin"/>
    </w:r>
    <w:r w:rsidRPr="008914F3">
      <w:rPr>
        <w:rStyle w:val="PageNumber"/>
        <w:sz w:val="20"/>
        <w:szCs w:val="20"/>
      </w:rPr>
      <w:instrText xml:space="preserve"> PAGE </w:instrText>
    </w:r>
    <w:r w:rsidR="007E172A" w:rsidRPr="008914F3">
      <w:rPr>
        <w:rStyle w:val="PageNumber"/>
        <w:sz w:val="20"/>
        <w:szCs w:val="20"/>
      </w:rPr>
      <w:fldChar w:fldCharType="separate"/>
    </w:r>
    <w:r w:rsidR="00C14B7D">
      <w:rPr>
        <w:rStyle w:val="PageNumber"/>
        <w:noProof/>
        <w:sz w:val="20"/>
        <w:szCs w:val="20"/>
      </w:rPr>
      <w:t>4</w:t>
    </w:r>
    <w:r w:rsidR="007E172A" w:rsidRPr="008914F3">
      <w:rPr>
        <w:rStyle w:val="PageNumber"/>
        <w:sz w:val="20"/>
        <w:szCs w:val="20"/>
      </w:rPr>
      <w:fldChar w:fldCharType="end"/>
    </w:r>
    <w:r w:rsidRPr="008914F3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1AE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E00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4CC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0C6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C85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66A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CC1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40F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741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B8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01A0F"/>
    <w:multiLevelType w:val="hybridMultilevel"/>
    <w:tmpl w:val="267CEC0E"/>
    <w:lvl w:ilvl="0" w:tplc="84A2AFF6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ar-SA" w:vendorID="4" w:dllVersion="512" w:checkStyle="0"/>
  <w:activeWritingStyle w:appName="MSWord" w:lang="ar-EG" w:vendorID="4" w:dllVersion="512" w:checkStyle="1"/>
  <w:proofState w:spelling="clean"/>
  <w:attachedTemplate r:id="rId1"/>
  <w:stylePaneFormatFilter w:val="3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342F"/>
    <w:rsid w:val="0001342F"/>
    <w:rsid w:val="00016208"/>
    <w:rsid w:val="00016557"/>
    <w:rsid w:val="000215C0"/>
    <w:rsid w:val="00036B9A"/>
    <w:rsid w:val="00037D47"/>
    <w:rsid w:val="00043A06"/>
    <w:rsid w:val="000533E5"/>
    <w:rsid w:val="00054872"/>
    <w:rsid w:val="000557DC"/>
    <w:rsid w:val="00055FF8"/>
    <w:rsid w:val="00056430"/>
    <w:rsid w:val="000626C4"/>
    <w:rsid w:val="00062CE6"/>
    <w:rsid w:val="00065172"/>
    <w:rsid w:val="0007026B"/>
    <w:rsid w:val="00073A43"/>
    <w:rsid w:val="0008096B"/>
    <w:rsid w:val="00085899"/>
    <w:rsid w:val="00087AB8"/>
    <w:rsid w:val="000927E6"/>
    <w:rsid w:val="000A1654"/>
    <w:rsid w:val="000B16F9"/>
    <w:rsid w:val="000B7C63"/>
    <w:rsid w:val="000C0CC6"/>
    <w:rsid w:val="000C0F90"/>
    <w:rsid w:val="000C725A"/>
    <w:rsid w:val="000D0118"/>
    <w:rsid w:val="000D0F39"/>
    <w:rsid w:val="000E15C1"/>
    <w:rsid w:val="000E2020"/>
    <w:rsid w:val="000E3EAA"/>
    <w:rsid w:val="000E595C"/>
    <w:rsid w:val="000E64DA"/>
    <w:rsid w:val="000F412C"/>
    <w:rsid w:val="000F527D"/>
    <w:rsid w:val="001004B1"/>
    <w:rsid w:val="001016DB"/>
    <w:rsid w:val="00103C85"/>
    <w:rsid w:val="001050D6"/>
    <w:rsid w:val="00111A19"/>
    <w:rsid w:val="001130EA"/>
    <w:rsid w:val="001214B1"/>
    <w:rsid w:val="001263CD"/>
    <w:rsid w:val="00127416"/>
    <w:rsid w:val="0013079D"/>
    <w:rsid w:val="00137F34"/>
    <w:rsid w:val="0014144D"/>
    <w:rsid w:val="00143DC6"/>
    <w:rsid w:val="0014616D"/>
    <w:rsid w:val="00151441"/>
    <w:rsid w:val="00154C64"/>
    <w:rsid w:val="001638A3"/>
    <w:rsid w:val="001712C3"/>
    <w:rsid w:val="00174DC2"/>
    <w:rsid w:val="00174F00"/>
    <w:rsid w:val="0019763E"/>
    <w:rsid w:val="001A0325"/>
    <w:rsid w:val="001A5C99"/>
    <w:rsid w:val="001A7CEC"/>
    <w:rsid w:val="001B1214"/>
    <w:rsid w:val="001B1AB6"/>
    <w:rsid w:val="001B394D"/>
    <w:rsid w:val="001C08DF"/>
    <w:rsid w:val="001C27AE"/>
    <w:rsid w:val="001C3F4A"/>
    <w:rsid w:val="001C50A6"/>
    <w:rsid w:val="001D0A7E"/>
    <w:rsid w:val="001D64F6"/>
    <w:rsid w:val="001E0340"/>
    <w:rsid w:val="001E15AA"/>
    <w:rsid w:val="001E6CF3"/>
    <w:rsid w:val="001F084D"/>
    <w:rsid w:val="001F21B7"/>
    <w:rsid w:val="001F41D7"/>
    <w:rsid w:val="001F4348"/>
    <w:rsid w:val="00201C61"/>
    <w:rsid w:val="00206034"/>
    <w:rsid w:val="00206E2B"/>
    <w:rsid w:val="00210950"/>
    <w:rsid w:val="00210B45"/>
    <w:rsid w:val="00210E74"/>
    <w:rsid w:val="00211987"/>
    <w:rsid w:val="00224719"/>
    <w:rsid w:val="002255ED"/>
    <w:rsid w:val="00227F65"/>
    <w:rsid w:val="002328F9"/>
    <w:rsid w:val="00234BFC"/>
    <w:rsid w:val="0024394E"/>
    <w:rsid w:val="00253457"/>
    <w:rsid w:val="00255E14"/>
    <w:rsid w:val="00265096"/>
    <w:rsid w:val="00270BBA"/>
    <w:rsid w:val="00272CE2"/>
    <w:rsid w:val="00274565"/>
    <w:rsid w:val="00276953"/>
    <w:rsid w:val="00277440"/>
    <w:rsid w:val="00281DE4"/>
    <w:rsid w:val="00283F18"/>
    <w:rsid w:val="002865B2"/>
    <w:rsid w:val="0028743A"/>
    <w:rsid w:val="00292532"/>
    <w:rsid w:val="002A220D"/>
    <w:rsid w:val="002B2480"/>
    <w:rsid w:val="002B7615"/>
    <w:rsid w:val="002E29E9"/>
    <w:rsid w:val="002E60D4"/>
    <w:rsid w:val="002E6F78"/>
    <w:rsid w:val="002F791F"/>
    <w:rsid w:val="00300872"/>
    <w:rsid w:val="003060FE"/>
    <w:rsid w:val="0030765D"/>
    <w:rsid w:val="003141AD"/>
    <w:rsid w:val="00314D3B"/>
    <w:rsid w:val="00316B34"/>
    <w:rsid w:val="00320B0B"/>
    <w:rsid w:val="00326F0A"/>
    <w:rsid w:val="00326FD6"/>
    <w:rsid w:val="003320A2"/>
    <w:rsid w:val="00332BDC"/>
    <w:rsid w:val="00343581"/>
    <w:rsid w:val="00351A70"/>
    <w:rsid w:val="00365EF6"/>
    <w:rsid w:val="00367777"/>
    <w:rsid w:val="00375EA1"/>
    <w:rsid w:val="00380680"/>
    <w:rsid w:val="0038337E"/>
    <w:rsid w:val="003914E1"/>
    <w:rsid w:val="00397406"/>
    <w:rsid w:val="003A33BD"/>
    <w:rsid w:val="003A6C8B"/>
    <w:rsid w:val="003B48BC"/>
    <w:rsid w:val="003C4282"/>
    <w:rsid w:val="003D1C7C"/>
    <w:rsid w:val="003D3993"/>
    <w:rsid w:val="003E0E28"/>
    <w:rsid w:val="003E2C78"/>
    <w:rsid w:val="003E5F8E"/>
    <w:rsid w:val="003E7ACD"/>
    <w:rsid w:val="003F18DA"/>
    <w:rsid w:val="00400EB8"/>
    <w:rsid w:val="00405A24"/>
    <w:rsid w:val="00407ABC"/>
    <w:rsid w:val="00416965"/>
    <w:rsid w:val="00425026"/>
    <w:rsid w:val="00425233"/>
    <w:rsid w:val="004324D7"/>
    <w:rsid w:val="00434A20"/>
    <w:rsid w:val="00434D9A"/>
    <w:rsid w:val="004359E9"/>
    <w:rsid w:val="004406E3"/>
    <w:rsid w:val="00441805"/>
    <w:rsid w:val="00442B68"/>
    <w:rsid w:val="0044634B"/>
    <w:rsid w:val="004504B7"/>
    <w:rsid w:val="00450ACA"/>
    <w:rsid w:val="00463130"/>
    <w:rsid w:val="0048001F"/>
    <w:rsid w:val="0048054F"/>
    <w:rsid w:val="00486F32"/>
    <w:rsid w:val="004915A4"/>
    <w:rsid w:val="004975C1"/>
    <w:rsid w:val="004A114D"/>
    <w:rsid w:val="004A2668"/>
    <w:rsid w:val="004A3D36"/>
    <w:rsid w:val="004A5AB1"/>
    <w:rsid w:val="004A6C8D"/>
    <w:rsid w:val="004B0517"/>
    <w:rsid w:val="004B16FC"/>
    <w:rsid w:val="004B1C4B"/>
    <w:rsid w:val="004B4E46"/>
    <w:rsid w:val="004B6A39"/>
    <w:rsid w:val="004B75AB"/>
    <w:rsid w:val="004B79A5"/>
    <w:rsid w:val="004C1881"/>
    <w:rsid w:val="004C20CB"/>
    <w:rsid w:val="004C4E3C"/>
    <w:rsid w:val="004D1968"/>
    <w:rsid w:val="004D3162"/>
    <w:rsid w:val="004D5776"/>
    <w:rsid w:val="004D58AC"/>
    <w:rsid w:val="004D6337"/>
    <w:rsid w:val="004E2679"/>
    <w:rsid w:val="004E5232"/>
    <w:rsid w:val="004E530C"/>
    <w:rsid w:val="004E68FD"/>
    <w:rsid w:val="004F25BE"/>
    <w:rsid w:val="004F26AE"/>
    <w:rsid w:val="004F5CD1"/>
    <w:rsid w:val="005039AD"/>
    <w:rsid w:val="00510844"/>
    <w:rsid w:val="00513B38"/>
    <w:rsid w:val="00515091"/>
    <w:rsid w:val="005154E2"/>
    <w:rsid w:val="005349F2"/>
    <w:rsid w:val="00547EE0"/>
    <w:rsid w:val="00552166"/>
    <w:rsid w:val="005537F1"/>
    <w:rsid w:val="005566A8"/>
    <w:rsid w:val="005620C1"/>
    <w:rsid w:val="00564FEA"/>
    <w:rsid w:val="0056566E"/>
    <w:rsid w:val="0058148A"/>
    <w:rsid w:val="00593524"/>
    <w:rsid w:val="00595800"/>
    <w:rsid w:val="005978B8"/>
    <w:rsid w:val="00597B46"/>
    <w:rsid w:val="005A095B"/>
    <w:rsid w:val="005B09FD"/>
    <w:rsid w:val="005B14A6"/>
    <w:rsid w:val="005B7058"/>
    <w:rsid w:val="005C0C43"/>
    <w:rsid w:val="005C1F10"/>
    <w:rsid w:val="005C2F59"/>
    <w:rsid w:val="005C6EAE"/>
    <w:rsid w:val="005E3418"/>
    <w:rsid w:val="005E7A05"/>
    <w:rsid w:val="005F0D47"/>
    <w:rsid w:val="005F130D"/>
    <w:rsid w:val="005F2FE1"/>
    <w:rsid w:val="005F3D14"/>
    <w:rsid w:val="005F7F4C"/>
    <w:rsid w:val="0060116A"/>
    <w:rsid w:val="006020B4"/>
    <w:rsid w:val="0060519F"/>
    <w:rsid w:val="006114B7"/>
    <w:rsid w:val="006136BC"/>
    <w:rsid w:val="0062326E"/>
    <w:rsid w:val="00624358"/>
    <w:rsid w:val="00630A2E"/>
    <w:rsid w:val="00633DAD"/>
    <w:rsid w:val="00637C9D"/>
    <w:rsid w:val="00637ED8"/>
    <w:rsid w:val="0064149B"/>
    <w:rsid w:val="00650426"/>
    <w:rsid w:val="0065581B"/>
    <w:rsid w:val="00655DA7"/>
    <w:rsid w:val="006638C7"/>
    <w:rsid w:val="006645BC"/>
    <w:rsid w:val="00671176"/>
    <w:rsid w:val="006754DB"/>
    <w:rsid w:val="00681CC0"/>
    <w:rsid w:val="00682225"/>
    <w:rsid w:val="00684808"/>
    <w:rsid w:val="006858EC"/>
    <w:rsid w:val="0069110B"/>
    <w:rsid w:val="00692C5A"/>
    <w:rsid w:val="006A0176"/>
    <w:rsid w:val="006A1BF7"/>
    <w:rsid w:val="006A2BFE"/>
    <w:rsid w:val="006A7F3F"/>
    <w:rsid w:val="006B308C"/>
    <w:rsid w:val="006B3F95"/>
    <w:rsid w:val="006B4A5D"/>
    <w:rsid w:val="006B6626"/>
    <w:rsid w:val="006C286A"/>
    <w:rsid w:val="006C45A9"/>
    <w:rsid w:val="006C7C61"/>
    <w:rsid w:val="006D1B32"/>
    <w:rsid w:val="006F27BC"/>
    <w:rsid w:val="007052E5"/>
    <w:rsid w:val="0071106C"/>
    <w:rsid w:val="007123E0"/>
    <w:rsid w:val="00713A2F"/>
    <w:rsid w:val="00716B43"/>
    <w:rsid w:val="00721CD0"/>
    <w:rsid w:val="00731468"/>
    <w:rsid w:val="007327C5"/>
    <w:rsid w:val="00732817"/>
    <w:rsid w:val="00732926"/>
    <w:rsid w:val="007349C5"/>
    <w:rsid w:val="00737F4D"/>
    <w:rsid w:val="007455C0"/>
    <w:rsid w:val="00746900"/>
    <w:rsid w:val="00747B26"/>
    <w:rsid w:val="00750BB3"/>
    <w:rsid w:val="00750CDC"/>
    <w:rsid w:val="00751BD8"/>
    <w:rsid w:val="00766797"/>
    <w:rsid w:val="007677DF"/>
    <w:rsid w:val="00775CF4"/>
    <w:rsid w:val="00781116"/>
    <w:rsid w:val="0078365A"/>
    <w:rsid w:val="007904A9"/>
    <w:rsid w:val="00791F00"/>
    <w:rsid w:val="00793047"/>
    <w:rsid w:val="007A013F"/>
    <w:rsid w:val="007B020E"/>
    <w:rsid w:val="007B1124"/>
    <w:rsid w:val="007B37F8"/>
    <w:rsid w:val="007B7415"/>
    <w:rsid w:val="007C1819"/>
    <w:rsid w:val="007C424E"/>
    <w:rsid w:val="007C67C4"/>
    <w:rsid w:val="007D6641"/>
    <w:rsid w:val="007E06AA"/>
    <w:rsid w:val="007E172A"/>
    <w:rsid w:val="007F196F"/>
    <w:rsid w:val="007F2341"/>
    <w:rsid w:val="007F28CF"/>
    <w:rsid w:val="00801854"/>
    <w:rsid w:val="00801DE6"/>
    <w:rsid w:val="0080360D"/>
    <w:rsid w:val="00811467"/>
    <w:rsid w:val="00820061"/>
    <w:rsid w:val="00824438"/>
    <w:rsid w:val="008370AD"/>
    <w:rsid w:val="00841DB8"/>
    <w:rsid w:val="00854A26"/>
    <w:rsid w:val="00857DFB"/>
    <w:rsid w:val="008633AA"/>
    <w:rsid w:val="0087351C"/>
    <w:rsid w:val="00881348"/>
    <w:rsid w:val="00881D43"/>
    <w:rsid w:val="008821EB"/>
    <w:rsid w:val="00883EC3"/>
    <w:rsid w:val="00886FF1"/>
    <w:rsid w:val="00890499"/>
    <w:rsid w:val="008914F3"/>
    <w:rsid w:val="00895DB2"/>
    <w:rsid w:val="00897E61"/>
    <w:rsid w:val="008A0A6D"/>
    <w:rsid w:val="008A274B"/>
    <w:rsid w:val="008A6806"/>
    <w:rsid w:val="008B05FF"/>
    <w:rsid w:val="008B2002"/>
    <w:rsid w:val="008D41E3"/>
    <w:rsid w:val="008D4874"/>
    <w:rsid w:val="008E3603"/>
    <w:rsid w:val="008F0ADB"/>
    <w:rsid w:val="008F263D"/>
    <w:rsid w:val="008F38CB"/>
    <w:rsid w:val="00903D47"/>
    <w:rsid w:val="00905178"/>
    <w:rsid w:val="0091177F"/>
    <w:rsid w:val="00914957"/>
    <w:rsid w:val="00927CC9"/>
    <w:rsid w:val="00931A0B"/>
    <w:rsid w:val="00934FB4"/>
    <w:rsid w:val="00935431"/>
    <w:rsid w:val="009358EF"/>
    <w:rsid w:val="009362E5"/>
    <w:rsid w:val="00936CBE"/>
    <w:rsid w:val="0093776F"/>
    <w:rsid w:val="00952D53"/>
    <w:rsid w:val="0095667E"/>
    <w:rsid w:val="00963FF3"/>
    <w:rsid w:val="00965AC7"/>
    <w:rsid w:val="009676DC"/>
    <w:rsid w:val="009746CA"/>
    <w:rsid w:val="00980D6F"/>
    <w:rsid w:val="009846D5"/>
    <w:rsid w:val="0098546C"/>
    <w:rsid w:val="009911EB"/>
    <w:rsid w:val="009A28D0"/>
    <w:rsid w:val="009A389A"/>
    <w:rsid w:val="009A7026"/>
    <w:rsid w:val="009B0224"/>
    <w:rsid w:val="009B0BFF"/>
    <w:rsid w:val="009B2659"/>
    <w:rsid w:val="009B6AEF"/>
    <w:rsid w:val="009B7E21"/>
    <w:rsid w:val="009D2163"/>
    <w:rsid w:val="009D607D"/>
    <w:rsid w:val="009E14F3"/>
    <w:rsid w:val="009E1957"/>
    <w:rsid w:val="009E1D78"/>
    <w:rsid w:val="009E200A"/>
    <w:rsid w:val="009E2E8C"/>
    <w:rsid w:val="009E3FDD"/>
    <w:rsid w:val="009E48F5"/>
    <w:rsid w:val="009F1314"/>
    <w:rsid w:val="009F19C8"/>
    <w:rsid w:val="009F3A35"/>
    <w:rsid w:val="009F4045"/>
    <w:rsid w:val="00A00A90"/>
    <w:rsid w:val="00A06093"/>
    <w:rsid w:val="00A06666"/>
    <w:rsid w:val="00A11139"/>
    <w:rsid w:val="00A22075"/>
    <w:rsid w:val="00A26736"/>
    <w:rsid w:val="00A36648"/>
    <w:rsid w:val="00A4624E"/>
    <w:rsid w:val="00A463BC"/>
    <w:rsid w:val="00A47929"/>
    <w:rsid w:val="00A5342D"/>
    <w:rsid w:val="00A5398F"/>
    <w:rsid w:val="00A57843"/>
    <w:rsid w:val="00A706A2"/>
    <w:rsid w:val="00A80A67"/>
    <w:rsid w:val="00A82A15"/>
    <w:rsid w:val="00A8404C"/>
    <w:rsid w:val="00A943A6"/>
    <w:rsid w:val="00A96063"/>
    <w:rsid w:val="00A963A1"/>
    <w:rsid w:val="00AA3F85"/>
    <w:rsid w:val="00AB07C5"/>
    <w:rsid w:val="00AB3FFC"/>
    <w:rsid w:val="00AB5B36"/>
    <w:rsid w:val="00AB76CA"/>
    <w:rsid w:val="00AC61A2"/>
    <w:rsid w:val="00AD0294"/>
    <w:rsid w:val="00AD39AE"/>
    <w:rsid w:val="00AE0F63"/>
    <w:rsid w:val="00AE1E03"/>
    <w:rsid w:val="00AF0262"/>
    <w:rsid w:val="00AF0925"/>
    <w:rsid w:val="00AF20FC"/>
    <w:rsid w:val="00AF3E8D"/>
    <w:rsid w:val="00AF6C72"/>
    <w:rsid w:val="00B0552E"/>
    <w:rsid w:val="00B071FA"/>
    <w:rsid w:val="00B10F12"/>
    <w:rsid w:val="00B162AB"/>
    <w:rsid w:val="00B177FA"/>
    <w:rsid w:val="00B321AE"/>
    <w:rsid w:val="00B344AE"/>
    <w:rsid w:val="00B44038"/>
    <w:rsid w:val="00B46E57"/>
    <w:rsid w:val="00B536D3"/>
    <w:rsid w:val="00B56B3E"/>
    <w:rsid w:val="00B570F2"/>
    <w:rsid w:val="00B57344"/>
    <w:rsid w:val="00B6526F"/>
    <w:rsid w:val="00B65C11"/>
    <w:rsid w:val="00B66691"/>
    <w:rsid w:val="00B66FEE"/>
    <w:rsid w:val="00B735FF"/>
    <w:rsid w:val="00B77639"/>
    <w:rsid w:val="00B808C3"/>
    <w:rsid w:val="00B8610B"/>
    <w:rsid w:val="00B86837"/>
    <w:rsid w:val="00B87E04"/>
    <w:rsid w:val="00B96494"/>
    <w:rsid w:val="00B96C30"/>
    <w:rsid w:val="00B970E9"/>
    <w:rsid w:val="00B973B0"/>
    <w:rsid w:val="00BB1786"/>
    <w:rsid w:val="00BB4B77"/>
    <w:rsid w:val="00BB586E"/>
    <w:rsid w:val="00BB7877"/>
    <w:rsid w:val="00BC0965"/>
    <w:rsid w:val="00BC1DC4"/>
    <w:rsid w:val="00BF539D"/>
    <w:rsid w:val="00BF727E"/>
    <w:rsid w:val="00C0311A"/>
    <w:rsid w:val="00C057E4"/>
    <w:rsid w:val="00C05CF7"/>
    <w:rsid w:val="00C1184B"/>
    <w:rsid w:val="00C135E4"/>
    <w:rsid w:val="00C14B7D"/>
    <w:rsid w:val="00C16958"/>
    <w:rsid w:val="00C2428A"/>
    <w:rsid w:val="00C25ADE"/>
    <w:rsid w:val="00C406CA"/>
    <w:rsid w:val="00C4118A"/>
    <w:rsid w:val="00C4276C"/>
    <w:rsid w:val="00C50A1B"/>
    <w:rsid w:val="00C53DD3"/>
    <w:rsid w:val="00C5765A"/>
    <w:rsid w:val="00C61488"/>
    <w:rsid w:val="00C671B0"/>
    <w:rsid w:val="00C67B5C"/>
    <w:rsid w:val="00C74075"/>
    <w:rsid w:val="00C90BC5"/>
    <w:rsid w:val="00C929BD"/>
    <w:rsid w:val="00C92C2D"/>
    <w:rsid w:val="00C94B8C"/>
    <w:rsid w:val="00C95931"/>
    <w:rsid w:val="00CB00C3"/>
    <w:rsid w:val="00CB0780"/>
    <w:rsid w:val="00CB4CC7"/>
    <w:rsid w:val="00CC0FA4"/>
    <w:rsid w:val="00CC151D"/>
    <w:rsid w:val="00CC1F59"/>
    <w:rsid w:val="00CC4BD0"/>
    <w:rsid w:val="00CC6220"/>
    <w:rsid w:val="00CC7E0F"/>
    <w:rsid w:val="00CD311D"/>
    <w:rsid w:val="00CD49EE"/>
    <w:rsid w:val="00CD4FDE"/>
    <w:rsid w:val="00CE0EBB"/>
    <w:rsid w:val="00CF3763"/>
    <w:rsid w:val="00D01BD2"/>
    <w:rsid w:val="00D0666B"/>
    <w:rsid w:val="00D07F46"/>
    <w:rsid w:val="00D15763"/>
    <w:rsid w:val="00D231C7"/>
    <w:rsid w:val="00D346CD"/>
    <w:rsid w:val="00D348DD"/>
    <w:rsid w:val="00D35752"/>
    <w:rsid w:val="00D417B3"/>
    <w:rsid w:val="00D421DE"/>
    <w:rsid w:val="00D463D0"/>
    <w:rsid w:val="00D61395"/>
    <w:rsid w:val="00D744B4"/>
    <w:rsid w:val="00D80575"/>
    <w:rsid w:val="00D908DE"/>
    <w:rsid w:val="00DA1079"/>
    <w:rsid w:val="00DA30AE"/>
    <w:rsid w:val="00DA7D26"/>
    <w:rsid w:val="00DB0897"/>
    <w:rsid w:val="00DB0960"/>
    <w:rsid w:val="00DB2966"/>
    <w:rsid w:val="00DB7C25"/>
    <w:rsid w:val="00DC2204"/>
    <w:rsid w:val="00DD0838"/>
    <w:rsid w:val="00DD3AFA"/>
    <w:rsid w:val="00DD53BE"/>
    <w:rsid w:val="00DD5C7E"/>
    <w:rsid w:val="00DE695D"/>
    <w:rsid w:val="00DE7F98"/>
    <w:rsid w:val="00DF66E0"/>
    <w:rsid w:val="00DF70FB"/>
    <w:rsid w:val="00DF7D8C"/>
    <w:rsid w:val="00E05CA8"/>
    <w:rsid w:val="00E06838"/>
    <w:rsid w:val="00E06C18"/>
    <w:rsid w:val="00E105BE"/>
    <w:rsid w:val="00E12223"/>
    <w:rsid w:val="00E126CD"/>
    <w:rsid w:val="00E15233"/>
    <w:rsid w:val="00E2329C"/>
    <w:rsid w:val="00E27514"/>
    <w:rsid w:val="00E36148"/>
    <w:rsid w:val="00E463DA"/>
    <w:rsid w:val="00E5529D"/>
    <w:rsid w:val="00E5715D"/>
    <w:rsid w:val="00E65D74"/>
    <w:rsid w:val="00E66A01"/>
    <w:rsid w:val="00E811C7"/>
    <w:rsid w:val="00E828CB"/>
    <w:rsid w:val="00E92828"/>
    <w:rsid w:val="00E92DC6"/>
    <w:rsid w:val="00EA4EA9"/>
    <w:rsid w:val="00EA5B8D"/>
    <w:rsid w:val="00EC1051"/>
    <w:rsid w:val="00EC710F"/>
    <w:rsid w:val="00ED720F"/>
    <w:rsid w:val="00ED724A"/>
    <w:rsid w:val="00EE099C"/>
    <w:rsid w:val="00EF4784"/>
    <w:rsid w:val="00F00CAB"/>
    <w:rsid w:val="00F0251D"/>
    <w:rsid w:val="00F038CD"/>
    <w:rsid w:val="00F10815"/>
    <w:rsid w:val="00F1717E"/>
    <w:rsid w:val="00F203C5"/>
    <w:rsid w:val="00F21E76"/>
    <w:rsid w:val="00F2260B"/>
    <w:rsid w:val="00F24CA2"/>
    <w:rsid w:val="00F30B93"/>
    <w:rsid w:val="00F30F6E"/>
    <w:rsid w:val="00F31028"/>
    <w:rsid w:val="00F331DF"/>
    <w:rsid w:val="00F34AF3"/>
    <w:rsid w:val="00F429A7"/>
    <w:rsid w:val="00F429BF"/>
    <w:rsid w:val="00F432F1"/>
    <w:rsid w:val="00F44657"/>
    <w:rsid w:val="00F45982"/>
    <w:rsid w:val="00F64D09"/>
    <w:rsid w:val="00F670C8"/>
    <w:rsid w:val="00F755E8"/>
    <w:rsid w:val="00F76D09"/>
    <w:rsid w:val="00F77598"/>
    <w:rsid w:val="00F84AF5"/>
    <w:rsid w:val="00F8756F"/>
    <w:rsid w:val="00F87A23"/>
    <w:rsid w:val="00F90A06"/>
    <w:rsid w:val="00FA2D62"/>
    <w:rsid w:val="00FB6315"/>
    <w:rsid w:val="00FC4356"/>
    <w:rsid w:val="00FC4720"/>
    <w:rsid w:val="00FC6453"/>
    <w:rsid w:val="00FC688A"/>
    <w:rsid w:val="00FC764D"/>
    <w:rsid w:val="00FD726C"/>
    <w:rsid w:val="00FD7342"/>
    <w:rsid w:val="00FD7362"/>
    <w:rsid w:val="00FE3CFB"/>
    <w:rsid w:val="00FF0DDD"/>
    <w:rsid w:val="00FF3829"/>
    <w:rsid w:val="00FF5771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D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B14A6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65EF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365EF6"/>
    <w:pPr>
      <w:spacing w:before="80"/>
      <w:ind w:left="794" w:hanging="794"/>
    </w:p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NoBR">
    <w:name w:val="Annex_No_BR"/>
    <w:basedOn w:val="AnnexNotitle"/>
    <w:rsid w:val="002E6F78"/>
    <w:pPr>
      <w:spacing w:before="0"/>
    </w:pPr>
    <w:rPr>
      <w:rFonts w:ascii="Times New Roman" w:hAnsi="Times New Roman"/>
      <w:b w:val="0"/>
      <w:bCs w:val="0"/>
      <w:sz w:val="26"/>
    </w:rPr>
  </w:style>
  <w:style w:type="paragraph" w:customStyle="1" w:styleId="Annextitle">
    <w:name w:val="Annex_ title"/>
    <w:basedOn w:val="AnnexNotitle"/>
    <w:rsid w:val="006B308C"/>
    <w:pPr>
      <w:spacing w:before="240"/>
    </w:pPr>
    <w:rPr>
      <w:sz w:val="26"/>
      <w:szCs w:val="36"/>
      <w:lang w:val="en-US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80D1-13A5-432E-A8D0-C313D3EE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4</TotalTime>
  <Pages>4</Pages>
  <Words>713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4710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capdessu</cp:lastModifiedBy>
  <cp:revision>5</cp:revision>
  <cp:lastPrinted>2010-10-29T13:54:00Z</cp:lastPrinted>
  <dcterms:created xsi:type="dcterms:W3CDTF">2010-10-29T09:08:00Z</dcterms:created>
  <dcterms:modified xsi:type="dcterms:W3CDTF">2010-10-29T13:54:00Z</dcterms:modified>
</cp:coreProperties>
</file>