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50730A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7042C1" w:rsidP="00083A9A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</w:t>
            </w:r>
            <w:r w:rsidRPr="007042C1">
              <w:rPr>
                <w:b/>
                <w:bCs/>
                <w:lang w:val="en-GB" w:bidi="ar-SY"/>
              </w:rPr>
              <w:t>E</w:t>
            </w:r>
            <w:r w:rsidR="00F36590" w:rsidRPr="007042C1">
              <w:rPr>
                <w:b/>
                <w:bCs/>
                <w:lang w:val="en-GB" w:bidi="ar-SY"/>
              </w:rPr>
              <w:t>/</w:t>
            </w:r>
            <w:r w:rsidRPr="007042C1">
              <w:rPr>
                <w:b/>
                <w:bCs/>
                <w:lang w:bidi="ar-SY"/>
              </w:rPr>
              <w:t>786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7042C1" w:rsidP="007042C1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7042C1">
              <w:rPr>
                <w:lang w:val="fr-FR" w:bidi="ar-SY"/>
              </w:rPr>
              <w:t>19</w:t>
            </w:r>
            <w:r w:rsidR="00F36590" w:rsidRPr="007042C1">
              <w:rPr>
                <w:rFonts w:hint="cs"/>
                <w:rtl/>
                <w:lang w:bidi="ar-SY"/>
              </w:rPr>
              <w:t xml:space="preserve"> </w:t>
            </w:r>
            <w:r w:rsidRPr="007042C1">
              <w:rPr>
                <w:rFonts w:hint="cs"/>
                <w:rtl/>
                <w:lang w:bidi="ar-SY"/>
              </w:rPr>
              <w:t>أكتوبر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4848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4848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9A0EFE" w:rsidP="003B65BD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50730A">
              <w:rPr>
                <w:b/>
                <w:bCs/>
                <w:w w:val="115"/>
                <w:rtl/>
              </w:rPr>
              <w:t xml:space="preserve">إلى إدارات الدول الأعضاء في </w:t>
            </w:r>
            <w:r w:rsidRPr="0050730A">
              <w:rPr>
                <w:rFonts w:hint="cs"/>
                <w:b/>
                <w:bCs/>
                <w:w w:val="115"/>
                <w:rtl/>
              </w:rPr>
              <w:t>الاتحاد</w:t>
            </w:r>
            <w:r w:rsidRPr="0050730A">
              <w:rPr>
                <w:b/>
                <w:bCs/>
                <w:w w:val="115"/>
                <w:rtl/>
              </w:rPr>
              <w:t xml:space="preserve"> وأعضاء قطاع الاتصالات الراديوية</w:t>
            </w:r>
            <w:r w:rsidRPr="0050730A">
              <w:rPr>
                <w:rFonts w:hint="cs"/>
                <w:b/>
                <w:bCs/>
                <w:w w:val="115"/>
                <w:rtl/>
              </w:rPr>
              <w:t xml:space="preserve"> والمنتسبين</w:t>
            </w:r>
            <w:r w:rsidRPr="0050730A">
              <w:rPr>
                <w:b/>
                <w:bCs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en-GB" w:bidi="ar-SY"/>
              </w:rPr>
              <w:t>4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4848F2" w:rsidRPr="00241274" w:rsidTr="00F23460">
        <w:tc>
          <w:tcPr>
            <w:tcW w:w="5000" w:type="pct"/>
            <w:gridSpan w:val="3"/>
            <w:shd w:val="clear" w:color="auto" w:fill="auto"/>
          </w:tcPr>
          <w:p w:rsidR="004848F2" w:rsidRPr="00241274" w:rsidRDefault="004848F2" w:rsidP="004848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4848F2" w:rsidRPr="00241274" w:rsidTr="00F23460">
        <w:tc>
          <w:tcPr>
            <w:tcW w:w="5000" w:type="pct"/>
            <w:gridSpan w:val="3"/>
            <w:shd w:val="clear" w:color="auto" w:fill="auto"/>
          </w:tcPr>
          <w:p w:rsidR="004848F2" w:rsidRPr="00241274" w:rsidRDefault="004848F2" w:rsidP="004848F2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9A0EFE" w:rsidRPr="008D3F8E" w:rsidRDefault="009A0EFE" w:rsidP="009A0EFE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4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(الخدمات الساتلية)</w:t>
            </w:r>
          </w:p>
          <w:p w:rsidR="003403A3" w:rsidRPr="00741503" w:rsidRDefault="009A0EFE" w:rsidP="009A0EFE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highlight w:val="yellow"/>
                <w:lang w:bidi="ar-SY"/>
              </w:rPr>
            </w:pPr>
            <w:r w:rsidRPr="00741503">
              <w:rPr>
                <w:rFonts w:hint="cs"/>
                <w:b/>
                <w:bCs/>
                <w:rtl/>
                <w:lang w:bidi="ar-EG"/>
              </w:rPr>
              <w:t>-</w:t>
            </w:r>
            <w:r w:rsidRPr="00741503">
              <w:rPr>
                <w:b/>
                <w:bCs/>
                <w:rtl/>
                <w:lang w:bidi="ar-EG"/>
              </w:rPr>
              <w:tab/>
            </w:r>
            <w:r w:rsidRPr="00741503">
              <w:rPr>
                <w:rFonts w:hint="cs"/>
                <w:b/>
                <w:bCs/>
                <w:rtl/>
                <w:lang w:bidi="ar-EG"/>
              </w:rPr>
              <w:t>اقتراح للموافقة على مشروع توصية جديدة ومشروع مراجعة توصية لقطاع الاتصالات الراديوية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9A0EFE" w:rsidRPr="00FC18B0" w:rsidRDefault="009A0EFE" w:rsidP="00210992">
      <w:pPr>
        <w:spacing w:before="720"/>
        <w:rPr>
          <w:rtl/>
          <w:lang w:bidi="ar-EG"/>
        </w:rPr>
      </w:pPr>
      <w:r w:rsidRPr="00FC18B0">
        <w:rPr>
          <w:rFonts w:hint="cs"/>
          <w:rtl/>
          <w:lang w:bidi="ar-EG"/>
        </w:rPr>
        <w:t>اعتمدت ل</w:t>
      </w:r>
      <w:r w:rsidR="00210992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 xml:space="preserve">جنة الدراسات </w:t>
      </w:r>
      <w:r w:rsidRPr="00FC18B0">
        <w:t>4</w:t>
      </w:r>
      <w:r w:rsidRPr="00FC18B0">
        <w:rPr>
          <w:rFonts w:hint="cs"/>
          <w:rtl/>
          <w:lang w:bidi="ar-EG"/>
        </w:rPr>
        <w:t xml:space="preserve"> للاتصالات الراديوية في اجتماعها ال</w:t>
      </w:r>
      <w:r w:rsidR="00546BF7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 xml:space="preserve">منعقد في </w:t>
      </w:r>
      <w:r w:rsidRPr="00FC18B0">
        <w:t>7</w:t>
      </w:r>
      <w:r w:rsidRPr="00FC18B0">
        <w:rPr>
          <w:rFonts w:hint="cs"/>
          <w:b/>
          <w:bCs/>
          <w:rtl/>
          <w:lang w:bidi="ar-EG"/>
        </w:rPr>
        <w:t xml:space="preserve"> </w:t>
      </w:r>
      <w:r w:rsidRPr="00FC18B0">
        <w:rPr>
          <w:rFonts w:hint="cs"/>
          <w:rtl/>
          <w:lang w:bidi="ar-EG"/>
        </w:rPr>
        <w:t xml:space="preserve">أكتوبر </w:t>
      </w:r>
      <w:r w:rsidRPr="00FC18B0">
        <w:t>2016</w:t>
      </w:r>
      <w:r w:rsidRPr="00FC18B0">
        <w:rPr>
          <w:rFonts w:hint="cs"/>
          <w:rtl/>
          <w:lang w:bidi="ar-EG"/>
        </w:rPr>
        <w:t>، نص كل من مشروع توصية جديدة ومشروع مراجعة توصية لقطاع الاتصالات الراديوية واتفقت على تطبيق إجراء القرار</w:t>
      </w:r>
      <w:r w:rsidRPr="00FC18B0">
        <w:rPr>
          <w:rFonts w:hint="eastAsia"/>
          <w:rtl/>
          <w:lang w:bidi="ar-EG"/>
        </w:rPr>
        <w:t> </w:t>
      </w:r>
      <w:r w:rsidRPr="00FC18B0">
        <w:rPr>
          <w:lang w:val="en-GB"/>
        </w:rPr>
        <w:t>ITU</w:t>
      </w:r>
      <w:r w:rsidRPr="00FC18B0">
        <w:rPr>
          <w:lang w:val="en-GB"/>
        </w:rPr>
        <w:noBreakHyphen/>
        <w:t>R 1</w:t>
      </w:r>
      <w:r w:rsidRPr="00FC18B0">
        <w:rPr>
          <w:lang w:val="en-GB"/>
        </w:rPr>
        <w:noBreakHyphen/>
        <w:t>7</w:t>
      </w:r>
      <w:r w:rsidRPr="00FC18B0">
        <w:rPr>
          <w:rFonts w:hint="cs"/>
          <w:rtl/>
          <w:lang w:bidi="ar-EG"/>
        </w:rPr>
        <w:t xml:space="preserve"> (انظر</w:t>
      </w:r>
      <w:r w:rsidRPr="00FC18B0">
        <w:rPr>
          <w:rFonts w:hint="eastAsia"/>
          <w:rtl/>
          <w:lang w:bidi="ar-EG"/>
        </w:rPr>
        <w:t> </w:t>
      </w:r>
      <w:r w:rsidRPr="00FC18B0">
        <w:rPr>
          <w:rFonts w:hint="cs"/>
          <w:rtl/>
          <w:lang w:bidi="ar-EG"/>
        </w:rPr>
        <w:t>الفقرة </w:t>
      </w:r>
      <w:r w:rsidRPr="00FC18B0">
        <w:t>3.2.6.A2</w:t>
      </w:r>
      <w:r w:rsidRPr="00FC18B0">
        <w:rPr>
          <w:rFonts w:hint="cs"/>
          <w:rtl/>
          <w:lang w:bidi="ar-EG"/>
        </w:rPr>
        <w:t>) ال</w:t>
      </w:r>
      <w:r w:rsidR="00B17A48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متعلق بال</w:t>
      </w:r>
      <w:r w:rsidR="00B17A48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موافقة على التوصيتين بالتشاور. ويرد في ال</w:t>
      </w:r>
      <w:r w:rsidR="00546BF7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ملحق بهذه الرسالة عنوان مشروع كل من التوصيتين وملخصهما. ويرجى من أي دولة عضو تعترض على ال</w:t>
      </w:r>
      <w:r w:rsidR="00546BF7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موافقة على مشروع توصية أن ت</w:t>
      </w:r>
      <w:r w:rsidR="00546BF7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خبر ال</w:t>
      </w:r>
      <w:r w:rsidR="00546BF7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مدير ورئيس ل</w:t>
      </w:r>
      <w:r w:rsidR="00546BF7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جنة الدراسات بأسباب</w:t>
      </w:r>
      <w:r w:rsidRPr="00FC18B0">
        <w:rPr>
          <w:rFonts w:hint="eastAsia"/>
          <w:rtl/>
          <w:lang w:bidi="ar-EG"/>
        </w:rPr>
        <w:t> </w:t>
      </w:r>
      <w:r w:rsidRPr="00FC18B0">
        <w:rPr>
          <w:rFonts w:hint="cs"/>
          <w:rtl/>
          <w:lang w:bidi="ar-EG"/>
        </w:rPr>
        <w:t>اعتراضها.</w:t>
      </w:r>
    </w:p>
    <w:p w:rsidR="009A0EFE" w:rsidRPr="00FC18B0" w:rsidRDefault="009A0EFE" w:rsidP="001435DB">
      <w:pPr>
        <w:rPr>
          <w:rtl/>
          <w:lang w:bidi="ar-EG"/>
        </w:rPr>
      </w:pPr>
      <w:r w:rsidRPr="00FC18B0">
        <w:rPr>
          <w:rFonts w:hint="cs"/>
          <w:rtl/>
          <w:lang w:bidi="ar-EG"/>
        </w:rPr>
        <w:t>وبالنظر إلى أحكام الفقرة </w:t>
      </w:r>
      <w:r w:rsidRPr="00FC18B0">
        <w:t>3.2.6.A2</w:t>
      </w:r>
      <w:r w:rsidRPr="00FC18B0">
        <w:rPr>
          <w:rFonts w:hint="cs"/>
          <w:rtl/>
          <w:lang w:bidi="ar-EG"/>
        </w:rPr>
        <w:t xml:space="preserve"> من القرار </w:t>
      </w:r>
      <w:r w:rsidRPr="00FC18B0">
        <w:rPr>
          <w:lang w:val="en-GB"/>
        </w:rPr>
        <w:t>ITU</w:t>
      </w:r>
      <w:r w:rsidRPr="00FC18B0">
        <w:rPr>
          <w:lang w:val="en-GB"/>
        </w:rPr>
        <w:noBreakHyphen/>
        <w:t>R 1</w:t>
      </w:r>
      <w:r w:rsidRPr="00FC18B0">
        <w:rPr>
          <w:lang w:val="en-GB"/>
        </w:rPr>
        <w:noBreakHyphen/>
        <w:t>7</w:t>
      </w:r>
      <w:r w:rsidRPr="00FC18B0">
        <w:rPr>
          <w:rFonts w:hint="cs"/>
          <w:rtl/>
          <w:lang w:bidi="ar-EG"/>
        </w:rPr>
        <w:t>، يرجى من الدول الأعضاء إبلاغ الأمانة </w:t>
      </w:r>
      <w:r w:rsidRPr="00FC18B0">
        <w:t>(</w:t>
      </w:r>
      <w:hyperlink r:id="rId8" w:history="1">
        <w:r w:rsidRPr="00FC18B0">
          <w:rPr>
            <w:rStyle w:val="Hyperlink"/>
            <w:lang w:val="en-GB"/>
          </w:rPr>
          <w:t>brsgd@itu.int</w:t>
        </w:r>
      </w:hyperlink>
      <w:r w:rsidRPr="00FC18B0">
        <w:t>)</w:t>
      </w:r>
      <w:r w:rsidRPr="00FC18B0">
        <w:rPr>
          <w:rFonts w:hint="cs"/>
          <w:rtl/>
          <w:lang w:bidi="ar-EG"/>
        </w:rPr>
        <w:t xml:space="preserve"> قبل </w:t>
      </w:r>
      <w:r w:rsidRPr="00FC18B0">
        <w:rPr>
          <w:u w:val="single"/>
        </w:rPr>
        <w:t>19</w:t>
      </w:r>
      <w:r w:rsidR="001435DB" w:rsidRPr="00FC18B0">
        <w:rPr>
          <w:rFonts w:hint="eastAsia"/>
          <w:b/>
          <w:bCs/>
          <w:u w:val="single"/>
          <w:rtl/>
          <w:lang w:bidi="ar-EG"/>
        </w:rPr>
        <w:t> </w:t>
      </w:r>
      <w:r w:rsidRPr="00FC18B0">
        <w:rPr>
          <w:rFonts w:hint="cs"/>
          <w:u w:val="single"/>
          <w:rtl/>
          <w:lang w:bidi="ar-EG"/>
        </w:rPr>
        <w:t xml:space="preserve">ديسمبر </w:t>
      </w:r>
      <w:r w:rsidRPr="00FC18B0">
        <w:rPr>
          <w:u w:val="single"/>
        </w:rPr>
        <w:t>2016</w:t>
      </w:r>
      <w:r w:rsidRPr="00FC18B0">
        <w:rPr>
          <w:rFonts w:hint="cs"/>
          <w:rtl/>
          <w:lang w:bidi="ar-EG"/>
        </w:rPr>
        <w:t xml:space="preserve"> </w:t>
      </w:r>
      <w:r w:rsidR="00A44B54">
        <w:rPr>
          <w:rFonts w:hint="cs"/>
          <w:rtl/>
          <w:lang w:bidi="ar-EG"/>
        </w:rPr>
        <w:t>ما إذا كانت توافق أو لا</w:t>
      </w:r>
      <w:r w:rsidR="00A44B54">
        <w:rPr>
          <w:rFonts w:hint="eastAsia"/>
          <w:rtl/>
          <w:lang w:bidi="ar-EG"/>
        </w:rPr>
        <w:t> </w:t>
      </w:r>
      <w:r w:rsidRPr="00FC18B0">
        <w:rPr>
          <w:rFonts w:hint="cs"/>
          <w:rtl/>
          <w:lang w:bidi="ar-EG"/>
        </w:rPr>
        <w:t xml:space="preserve">توافق على </w:t>
      </w:r>
      <w:proofErr w:type="spellStart"/>
      <w:r w:rsidRPr="00FC18B0">
        <w:rPr>
          <w:rFonts w:hint="cs"/>
          <w:rtl/>
          <w:lang w:bidi="ar-EG"/>
        </w:rPr>
        <w:t>ال</w:t>
      </w:r>
      <w:r w:rsidR="001E4B9F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مقترحين</w:t>
      </w:r>
      <w:proofErr w:type="spellEnd"/>
      <w:r w:rsidRPr="00FC18B0">
        <w:rPr>
          <w:rFonts w:hint="cs"/>
          <w:rtl/>
          <w:lang w:bidi="ar-EG"/>
        </w:rPr>
        <w:t xml:space="preserve"> أعلاه.</w:t>
      </w:r>
    </w:p>
    <w:p w:rsidR="009A0EFE" w:rsidRPr="00FC18B0" w:rsidRDefault="009A0EFE" w:rsidP="009A0EFE">
      <w:pPr>
        <w:rPr>
          <w:rtl/>
          <w:lang w:bidi="ar-EG"/>
        </w:rPr>
      </w:pPr>
      <w:r w:rsidRPr="00FC18B0">
        <w:rPr>
          <w:rFonts w:hint="cs"/>
          <w:rtl/>
          <w:lang w:bidi="ar-EG"/>
        </w:rPr>
        <w:t>وبعد ال</w:t>
      </w:r>
      <w:r w:rsidR="00184E00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مهلة ال</w:t>
      </w:r>
      <w:r w:rsidR="00184E00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محددة أعلاه، ستعلن نتائج هذا التشاور في رسالة إدارية معممة وستنشر التوصيتان ال‍موافَق عليهما بأسرع وقت م</w:t>
      </w:r>
      <w:r w:rsidR="00184E00" w:rsidRPr="00FC18B0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>مكن عملياً (انظر </w:t>
      </w:r>
      <w:hyperlink r:id="rId9" w:history="1">
        <w:r w:rsidRPr="00FC18B0">
          <w:rPr>
            <w:rStyle w:val="Hyperlink"/>
          </w:rPr>
          <w:t>http://www.itu.int/pub/R-REC</w:t>
        </w:r>
      </w:hyperlink>
      <w:r w:rsidRPr="00FC18B0">
        <w:rPr>
          <w:rFonts w:hint="cs"/>
          <w:rtl/>
          <w:lang w:bidi="ar-EG"/>
        </w:rPr>
        <w:t>).</w:t>
      </w:r>
    </w:p>
    <w:p w:rsidR="005C771D" w:rsidRPr="00D62A84" w:rsidRDefault="009A0EFE" w:rsidP="001435DB">
      <w:pPr>
        <w:pageBreakBefore/>
        <w:rPr>
          <w:spacing w:val="-2"/>
          <w:rtl/>
        </w:rPr>
      </w:pPr>
      <w:r w:rsidRPr="00D62A84">
        <w:rPr>
          <w:rFonts w:hint="cs"/>
          <w:spacing w:val="-2"/>
          <w:rtl/>
          <w:lang w:bidi="ar-EG"/>
        </w:rPr>
        <w:lastRenderedPageBreak/>
        <w:t>ويرجى من أي منظمة عضو في الات</w:t>
      </w:r>
      <w:r w:rsidR="00D62A84" w:rsidRPr="00D62A84">
        <w:rPr>
          <w:rFonts w:hint="cs"/>
          <w:spacing w:val="-2"/>
          <w:rtl/>
          <w:lang w:bidi="ar-EG"/>
        </w:rPr>
        <w:t>‍</w:t>
      </w:r>
      <w:r w:rsidRPr="00D62A84">
        <w:rPr>
          <w:rFonts w:hint="cs"/>
          <w:spacing w:val="-2"/>
          <w:rtl/>
          <w:lang w:bidi="ar-EG"/>
        </w:rPr>
        <w:t>حاد تعلم بوجود براءة اختراع لديها أو لدى غيرها تغطي كلياً أو جزئياً عناصر مشروعي التوصيتين ال</w:t>
      </w:r>
      <w:r w:rsidR="00D62A84" w:rsidRPr="00D62A84">
        <w:rPr>
          <w:rFonts w:hint="cs"/>
          <w:spacing w:val="-2"/>
          <w:rtl/>
          <w:lang w:bidi="ar-EG"/>
        </w:rPr>
        <w:t>‍</w:t>
      </w:r>
      <w:r w:rsidRPr="00D62A84">
        <w:rPr>
          <w:rFonts w:hint="cs"/>
          <w:spacing w:val="-2"/>
          <w:rtl/>
          <w:lang w:bidi="ar-EG"/>
        </w:rPr>
        <w:t>مذكورتين في هذه الرسالة أن تبلغ الأمانة بهذه ال</w:t>
      </w:r>
      <w:r w:rsidR="00D62A84" w:rsidRPr="00D62A84">
        <w:rPr>
          <w:rFonts w:hint="cs"/>
          <w:spacing w:val="-2"/>
          <w:rtl/>
          <w:lang w:bidi="ar-EG"/>
        </w:rPr>
        <w:t>‍</w:t>
      </w:r>
      <w:r w:rsidRPr="00D62A84">
        <w:rPr>
          <w:rFonts w:hint="cs"/>
          <w:spacing w:val="-2"/>
          <w:rtl/>
          <w:lang w:bidi="ar-EG"/>
        </w:rPr>
        <w:t>معلومات بأسرع ما ي</w:t>
      </w:r>
      <w:r w:rsidR="00D62A84" w:rsidRPr="00D62A84">
        <w:rPr>
          <w:rFonts w:hint="cs"/>
          <w:spacing w:val="-2"/>
          <w:rtl/>
          <w:lang w:bidi="ar-EG"/>
        </w:rPr>
        <w:t>‍</w:t>
      </w:r>
      <w:r w:rsidRPr="00D62A84">
        <w:rPr>
          <w:rFonts w:hint="cs"/>
          <w:spacing w:val="-2"/>
          <w:rtl/>
          <w:lang w:bidi="ar-EG"/>
        </w:rPr>
        <w:t>مكن. وترد السياسة ال</w:t>
      </w:r>
      <w:r w:rsidR="00D62A84" w:rsidRPr="00D62A84">
        <w:rPr>
          <w:rFonts w:hint="cs"/>
          <w:spacing w:val="-2"/>
          <w:rtl/>
          <w:lang w:bidi="ar-EG"/>
        </w:rPr>
        <w:t>‍</w:t>
      </w:r>
      <w:r w:rsidRPr="00D62A84">
        <w:rPr>
          <w:rFonts w:hint="cs"/>
          <w:spacing w:val="-2"/>
          <w:rtl/>
          <w:lang w:bidi="ar-EG"/>
        </w:rPr>
        <w:t>مشتركة لبراءات الاختراع لقطاعي تقييس الاتصالات والاتصالات الراديوية وال</w:t>
      </w:r>
      <w:r w:rsidR="00D62A84" w:rsidRPr="00D62A84">
        <w:rPr>
          <w:rFonts w:hint="cs"/>
          <w:spacing w:val="-2"/>
          <w:rtl/>
          <w:lang w:bidi="ar-EG"/>
        </w:rPr>
        <w:t>‍</w:t>
      </w:r>
      <w:r w:rsidRPr="00D62A84">
        <w:rPr>
          <w:rFonts w:hint="cs"/>
          <w:spacing w:val="-2"/>
          <w:rtl/>
          <w:lang w:bidi="ar-EG"/>
        </w:rPr>
        <w:t>منظمة الدولية للتوحيد القياسي واللجنة الكهرتقنية الدولية </w:t>
      </w:r>
      <w:r w:rsidRPr="00D62A84">
        <w:rPr>
          <w:spacing w:val="-2"/>
          <w:lang w:bidi="ar-EG"/>
        </w:rPr>
        <w:t>(ITU</w:t>
      </w:r>
      <w:r w:rsidRPr="00D62A84">
        <w:rPr>
          <w:spacing w:val="-2"/>
          <w:lang w:bidi="ar-EG"/>
        </w:rPr>
        <w:noBreakHyphen/>
        <w:t>T/ITU</w:t>
      </w:r>
      <w:r w:rsidRPr="00D62A84">
        <w:rPr>
          <w:spacing w:val="-2"/>
          <w:lang w:bidi="ar-EG"/>
        </w:rPr>
        <w:noBreakHyphen/>
        <w:t>R/ISO/IEC)</w:t>
      </w:r>
      <w:r w:rsidRPr="00D62A84">
        <w:rPr>
          <w:rFonts w:hint="cs"/>
          <w:spacing w:val="-2"/>
          <w:rtl/>
          <w:lang w:bidi="ar-EG"/>
        </w:rPr>
        <w:t xml:space="preserve"> في</w:t>
      </w:r>
      <w:r w:rsidRPr="00D62A84">
        <w:rPr>
          <w:rFonts w:hint="eastAsia"/>
          <w:spacing w:val="-2"/>
          <w:rtl/>
          <w:lang w:bidi="ar-EG"/>
        </w:rPr>
        <w:t> </w:t>
      </w:r>
      <w:r w:rsidRPr="00D62A84">
        <w:rPr>
          <w:rFonts w:hint="cs"/>
          <w:spacing w:val="-2"/>
          <w:rtl/>
          <w:lang w:bidi="ar-EG"/>
        </w:rPr>
        <w:t>ال</w:t>
      </w:r>
      <w:r w:rsidR="00D62A84" w:rsidRPr="00D62A84">
        <w:rPr>
          <w:rFonts w:hint="cs"/>
          <w:spacing w:val="-2"/>
          <w:rtl/>
          <w:lang w:bidi="ar-EG"/>
        </w:rPr>
        <w:t>‍</w:t>
      </w:r>
      <w:r w:rsidRPr="00D62A84">
        <w:rPr>
          <w:rFonts w:hint="cs"/>
          <w:spacing w:val="-2"/>
          <w:rtl/>
          <w:lang w:bidi="ar-EG"/>
        </w:rPr>
        <w:t>موقع</w:t>
      </w:r>
      <w:r w:rsidRPr="00D62A84">
        <w:rPr>
          <w:rFonts w:hint="eastAsia"/>
          <w:spacing w:val="-2"/>
          <w:rtl/>
          <w:lang w:bidi="ar-EG"/>
        </w:rPr>
        <w:t> </w:t>
      </w:r>
      <w:hyperlink r:id="rId10" w:history="1">
        <w:r w:rsidRPr="00D62A84">
          <w:rPr>
            <w:rStyle w:val="Hyperlink"/>
            <w:spacing w:val="-2"/>
            <w:lang w:bidi="ar-EG"/>
          </w:rPr>
          <w:t>http://www.itu.int/en/ITU-T/ipr/Pages/policy.aspx</w:t>
        </w:r>
      </w:hyperlink>
      <w:r w:rsidRPr="00D62A84">
        <w:rPr>
          <w:rFonts w:hint="cs"/>
          <w:spacing w:val="-2"/>
          <w:rtl/>
          <w:lang w:bidi="ar-EG"/>
        </w:rPr>
        <w:t>.</w:t>
      </w:r>
    </w:p>
    <w:p w:rsidR="00E02604" w:rsidRPr="00FC18B0" w:rsidRDefault="00E02604" w:rsidP="00E02604">
      <w:pPr>
        <w:spacing w:before="1440"/>
        <w:jc w:val="left"/>
        <w:rPr>
          <w:rtl/>
        </w:rPr>
      </w:pPr>
      <w:r w:rsidRPr="00FC18B0">
        <w:rPr>
          <w:rFonts w:hint="cs"/>
          <w:rtl/>
        </w:rPr>
        <w:t>فرانسوا</w:t>
      </w:r>
      <w:r w:rsidRPr="00FC18B0">
        <w:rPr>
          <w:rtl/>
        </w:rPr>
        <w:t xml:space="preserve"> </w:t>
      </w:r>
      <w:r w:rsidRPr="00FC18B0">
        <w:rPr>
          <w:rFonts w:hint="cs"/>
          <w:rtl/>
        </w:rPr>
        <w:t>رانسي</w:t>
      </w:r>
      <w:r w:rsidRPr="00FC18B0">
        <w:rPr>
          <w:rtl/>
        </w:rPr>
        <w:br/>
      </w:r>
      <w:r w:rsidRPr="00FC18B0">
        <w:rPr>
          <w:rFonts w:hint="cs"/>
          <w:rtl/>
        </w:rPr>
        <w:t>ال</w:t>
      </w:r>
      <w:r w:rsidR="00210992" w:rsidRPr="00FC18B0">
        <w:rPr>
          <w:rFonts w:hint="cs"/>
          <w:rtl/>
        </w:rPr>
        <w:t>‍</w:t>
      </w:r>
      <w:r w:rsidRPr="00FC18B0">
        <w:rPr>
          <w:rFonts w:hint="cs"/>
          <w:rtl/>
        </w:rPr>
        <w:t>مدير</w:t>
      </w:r>
    </w:p>
    <w:p w:rsidR="009A0EFE" w:rsidRPr="00FC18B0" w:rsidRDefault="009A0EFE" w:rsidP="003129C3">
      <w:pPr>
        <w:tabs>
          <w:tab w:val="clear" w:pos="794"/>
          <w:tab w:val="clear" w:pos="1361"/>
          <w:tab w:val="left" w:pos="1134"/>
        </w:tabs>
        <w:spacing w:before="1440"/>
        <w:jc w:val="left"/>
        <w:rPr>
          <w:rtl/>
          <w:lang w:bidi="ar-EG"/>
        </w:rPr>
      </w:pPr>
      <w:proofErr w:type="gramStart"/>
      <w:r w:rsidRPr="00FC18B0">
        <w:rPr>
          <w:rFonts w:hint="cs"/>
          <w:b/>
          <w:bCs/>
          <w:rtl/>
          <w:lang w:bidi="ar-EG"/>
        </w:rPr>
        <w:t>الملحق</w:t>
      </w:r>
      <w:r w:rsidRPr="00FC18B0">
        <w:rPr>
          <w:rtl/>
          <w:lang w:bidi="ar-EG"/>
        </w:rPr>
        <w:t>:</w:t>
      </w:r>
      <w:r w:rsidRPr="00FC18B0">
        <w:rPr>
          <w:rtl/>
          <w:lang w:bidi="ar-EG"/>
        </w:rPr>
        <w:tab/>
      </w:r>
      <w:proofErr w:type="gramEnd"/>
      <w:r w:rsidRPr="00FC18B0">
        <w:rPr>
          <w:rFonts w:hint="cs"/>
          <w:rtl/>
          <w:lang w:bidi="ar-EG"/>
        </w:rPr>
        <w:t>عنوان مشروع كل من التوصيتين وملخصهما</w:t>
      </w:r>
    </w:p>
    <w:p w:rsidR="009A0EFE" w:rsidRPr="00FC18B0" w:rsidRDefault="009A0EFE" w:rsidP="003129C3">
      <w:pPr>
        <w:tabs>
          <w:tab w:val="clear" w:pos="794"/>
          <w:tab w:val="clear" w:pos="1361"/>
          <w:tab w:val="left" w:pos="1134"/>
        </w:tabs>
        <w:spacing w:before="360"/>
        <w:rPr>
          <w:rtl/>
          <w:lang w:bidi="ar-EG"/>
        </w:rPr>
      </w:pPr>
      <w:proofErr w:type="gramStart"/>
      <w:r w:rsidRPr="00FC18B0">
        <w:rPr>
          <w:rFonts w:hint="cs"/>
          <w:b/>
          <w:bCs/>
          <w:rtl/>
          <w:lang w:bidi="ar-EG"/>
        </w:rPr>
        <w:t>الوثائق</w:t>
      </w:r>
      <w:r w:rsidRPr="00FC18B0">
        <w:rPr>
          <w:rtl/>
          <w:lang w:bidi="ar-EG"/>
        </w:rPr>
        <w:t>:</w:t>
      </w:r>
      <w:r w:rsidRPr="00FC18B0">
        <w:rPr>
          <w:rFonts w:hint="cs"/>
          <w:rtl/>
          <w:lang w:bidi="ar-EG"/>
        </w:rPr>
        <w:tab/>
      </w:r>
      <w:proofErr w:type="gramEnd"/>
      <w:r w:rsidRPr="00FC18B0">
        <w:rPr>
          <w:rFonts w:hint="cs"/>
          <w:rtl/>
          <w:lang w:bidi="ar-EG"/>
        </w:rPr>
        <w:t xml:space="preserve">الوثيقتان </w:t>
      </w:r>
      <w:r w:rsidRPr="00FC18B0">
        <w:rPr>
          <w:lang w:bidi="ar-EG"/>
        </w:rPr>
        <w:t>4/7(Rev.1)</w:t>
      </w:r>
      <w:r w:rsidRPr="00FC18B0">
        <w:rPr>
          <w:rFonts w:hint="cs"/>
          <w:rtl/>
          <w:lang w:bidi="ar-EG"/>
        </w:rPr>
        <w:t xml:space="preserve"> و</w:t>
      </w:r>
      <w:r w:rsidRPr="00FC18B0">
        <w:rPr>
          <w:lang w:bidi="ar-EG"/>
        </w:rPr>
        <w:t>4/8(Rev.1)</w:t>
      </w:r>
    </w:p>
    <w:p w:rsidR="009A0EFE" w:rsidRPr="00FC18B0" w:rsidRDefault="009A0EFE" w:rsidP="001435DB">
      <w:pPr>
        <w:spacing w:before="240"/>
        <w:jc w:val="left"/>
        <w:rPr>
          <w:rtl/>
        </w:rPr>
      </w:pPr>
      <w:r w:rsidRPr="00FC18B0">
        <w:rPr>
          <w:rFonts w:hint="cs"/>
          <w:rtl/>
          <w:lang w:bidi="ar-EG"/>
        </w:rPr>
        <w:t>وتتاح نسخ إلكترونية من هاتين الوثيقتين في ال</w:t>
      </w:r>
      <w:r w:rsidR="000F2132">
        <w:rPr>
          <w:rFonts w:hint="cs"/>
          <w:rtl/>
          <w:lang w:bidi="ar-EG"/>
        </w:rPr>
        <w:t>‍</w:t>
      </w:r>
      <w:r w:rsidRPr="00FC18B0">
        <w:rPr>
          <w:rFonts w:hint="cs"/>
          <w:rtl/>
          <w:lang w:bidi="ar-EG"/>
        </w:rPr>
        <w:t xml:space="preserve">موقع: </w:t>
      </w:r>
      <w:hyperlink r:id="rId11" w:history="1">
        <w:r w:rsidRPr="00FC18B0">
          <w:rPr>
            <w:rStyle w:val="Hyperlink"/>
            <w:rFonts w:eastAsia="Times New Roman"/>
            <w:lang w:eastAsia="en-US"/>
          </w:rPr>
          <w:t>http://www.itu.int/md/R15-SG04-C/en</w:t>
        </w:r>
      </w:hyperlink>
    </w:p>
    <w:p w:rsidR="005C771D" w:rsidRPr="00E45690" w:rsidRDefault="005C771D" w:rsidP="00122B05">
      <w:pPr>
        <w:tabs>
          <w:tab w:val="clear" w:pos="794"/>
          <w:tab w:val="left" w:pos="283"/>
        </w:tabs>
        <w:spacing w:before="492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9A0EFE" w:rsidRPr="002F45BB" w:rsidRDefault="009A0EFE" w:rsidP="000F2132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</w:t>
      </w:r>
      <w:r>
        <w:rPr>
          <w:rFonts w:hint="cs"/>
          <w:sz w:val="18"/>
          <w:szCs w:val="24"/>
          <w:rtl/>
          <w:lang w:bidi="ar-EG"/>
        </w:rPr>
        <w:t>الات</w:t>
      </w:r>
      <w:r w:rsidR="000F2132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</w:t>
      </w:r>
      <w:r>
        <w:rPr>
          <w:rFonts w:hint="cs"/>
          <w:sz w:val="18"/>
          <w:szCs w:val="24"/>
          <w:rtl/>
          <w:lang w:bidi="ar-EG"/>
        </w:rPr>
        <w:t>ال</w:t>
      </w:r>
      <w:r w:rsidR="000F2132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مشاركون</w:t>
      </w:r>
      <w:r w:rsidRPr="00831543">
        <w:rPr>
          <w:rFonts w:hint="cs"/>
          <w:sz w:val="18"/>
          <w:szCs w:val="24"/>
          <w:rtl/>
          <w:lang w:bidi="ar-EG"/>
        </w:rPr>
        <w:t xml:space="preserve"> في أعمال </w:t>
      </w:r>
      <w:r>
        <w:rPr>
          <w:rFonts w:hint="cs"/>
          <w:sz w:val="18"/>
          <w:szCs w:val="24"/>
          <w:rtl/>
          <w:lang w:bidi="ar-EG"/>
        </w:rPr>
        <w:t>ل</w:t>
      </w:r>
      <w:r w:rsidR="000F2132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جنة</w:t>
      </w:r>
      <w:r w:rsidRPr="00831543">
        <w:rPr>
          <w:rFonts w:hint="cs"/>
          <w:sz w:val="18"/>
          <w:szCs w:val="24"/>
          <w:rtl/>
          <w:lang w:bidi="ar-EG"/>
        </w:rPr>
        <w:t xml:space="preserve"> الدراسات </w:t>
      </w:r>
      <w:r>
        <w:rPr>
          <w:sz w:val="18"/>
          <w:szCs w:val="24"/>
          <w:lang w:val="fr-CH" w:bidi="ar-EG"/>
        </w:rPr>
        <w:t>4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9A0EFE" w:rsidRDefault="009A0EFE" w:rsidP="009A0EFE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>
        <w:rPr>
          <w:rFonts w:hint="cs"/>
          <w:sz w:val="18"/>
          <w:szCs w:val="24"/>
          <w:rtl/>
          <w:lang w:bidi="ar-EG"/>
        </w:rPr>
        <w:t>ال</w:t>
      </w:r>
      <w:r w:rsidR="000F2132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منتسبون</w:t>
      </w:r>
      <w:r>
        <w:rPr>
          <w:sz w:val="18"/>
          <w:szCs w:val="24"/>
          <w:rtl/>
          <w:lang w:bidi="ar-EG"/>
        </w:rPr>
        <w:t xml:space="preserve"> إلى قطاع الاتصالات الراديوية </w:t>
      </w:r>
      <w:r>
        <w:rPr>
          <w:rFonts w:hint="cs"/>
          <w:sz w:val="18"/>
          <w:szCs w:val="24"/>
          <w:rtl/>
          <w:lang w:bidi="ar-EG"/>
        </w:rPr>
        <w:t>ال</w:t>
      </w:r>
      <w:r w:rsidR="000F2132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مشاركون</w:t>
      </w:r>
      <w:r>
        <w:rPr>
          <w:sz w:val="18"/>
          <w:szCs w:val="24"/>
          <w:rtl/>
          <w:lang w:bidi="ar-EG"/>
        </w:rPr>
        <w:t xml:space="preserve"> في </w:t>
      </w:r>
      <w:r>
        <w:rPr>
          <w:rFonts w:hint="cs"/>
          <w:sz w:val="18"/>
          <w:szCs w:val="24"/>
          <w:rtl/>
          <w:lang w:bidi="ar-EG"/>
        </w:rPr>
        <w:t>أعمال</w:t>
      </w:r>
      <w:r>
        <w:rPr>
          <w:sz w:val="18"/>
          <w:szCs w:val="24"/>
          <w:rtl/>
          <w:lang w:bidi="ar-EG"/>
        </w:rPr>
        <w:t xml:space="preserve"> </w:t>
      </w:r>
      <w:r>
        <w:rPr>
          <w:rFonts w:hint="cs"/>
          <w:sz w:val="18"/>
          <w:szCs w:val="24"/>
          <w:rtl/>
          <w:lang w:bidi="ar-EG"/>
        </w:rPr>
        <w:t>ل</w:t>
      </w:r>
      <w:r w:rsidR="000F2132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جنة</w:t>
      </w:r>
      <w:r>
        <w:rPr>
          <w:sz w:val="18"/>
          <w:szCs w:val="24"/>
          <w:rtl/>
          <w:lang w:bidi="ar-EG"/>
        </w:rPr>
        <w:t xml:space="preserve"> الدراسات </w:t>
      </w:r>
      <w:r>
        <w:rPr>
          <w:sz w:val="18"/>
          <w:szCs w:val="24"/>
          <w:lang w:bidi="ar-EG"/>
        </w:rPr>
        <w:t>4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9A0EFE" w:rsidRPr="002F45BB" w:rsidRDefault="009A0EFE" w:rsidP="009A0EFE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2F45BB">
        <w:rPr>
          <w:rFonts w:hint="cs"/>
          <w:sz w:val="18"/>
          <w:szCs w:val="24"/>
          <w:rtl/>
          <w:lang w:bidi="ar-EG"/>
        </w:rPr>
        <w:t>-</w:t>
      </w:r>
      <w:r w:rsidRPr="002F45BB">
        <w:rPr>
          <w:rFonts w:hint="cs"/>
          <w:sz w:val="18"/>
          <w:szCs w:val="24"/>
          <w:rtl/>
          <w:lang w:bidi="ar-EG"/>
        </w:rPr>
        <w:tab/>
      </w:r>
      <w:r w:rsidRPr="002F45BB">
        <w:rPr>
          <w:rFonts w:hint="cs"/>
          <w:sz w:val="18"/>
          <w:szCs w:val="24"/>
          <w:rtl/>
        </w:rPr>
        <w:t xml:space="preserve">الهيئات </w:t>
      </w:r>
      <w:r>
        <w:rPr>
          <w:rFonts w:hint="cs"/>
          <w:sz w:val="18"/>
          <w:szCs w:val="24"/>
          <w:rtl/>
        </w:rPr>
        <w:t>الأكادي</w:t>
      </w:r>
      <w:r w:rsidR="000F2132">
        <w:rPr>
          <w:rFonts w:hint="cs"/>
          <w:sz w:val="18"/>
          <w:szCs w:val="24"/>
          <w:rtl/>
        </w:rPr>
        <w:t>‍</w:t>
      </w:r>
      <w:r>
        <w:rPr>
          <w:rFonts w:hint="cs"/>
          <w:sz w:val="18"/>
          <w:szCs w:val="24"/>
          <w:rtl/>
        </w:rPr>
        <w:t>مية</w:t>
      </w:r>
      <w:r w:rsidRPr="002F45BB">
        <w:rPr>
          <w:rFonts w:hint="cs"/>
          <w:sz w:val="18"/>
          <w:szCs w:val="24"/>
          <w:rtl/>
        </w:rPr>
        <w:t xml:space="preserve"> </w:t>
      </w:r>
      <w:r>
        <w:rPr>
          <w:rFonts w:hint="cs"/>
          <w:sz w:val="18"/>
          <w:szCs w:val="24"/>
          <w:rtl/>
        </w:rPr>
        <w:t>ال</w:t>
      </w:r>
      <w:r w:rsidR="000F2132">
        <w:rPr>
          <w:rFonts w:hint="cs"/>
          <w:sz w:val="18"/>
          <w:szCs w:val="24"/>
          <w:rtl/>
        </w:rPr>
        <w:t>‍</w:t>
      </w:r>
      <w:r>
        <w:rPr>
          <w:rFonts w:hint="cs"/>
          <w:sz w:val="18"/>
          <w:szCs w:val="24"/>
          <w:rtl/>
        </w:rPr>
        <w:t>منضمة</w:t>
      </w:r>
      <w:r w:rsidRPr="002F45BB">
        <w:rPr>
          <w:rFonts w:hint="cs"/>
          <w:sz w:val="18"/>
          <w:szCs w:val="24"/>
          <w:rtl/>
        </w:rPr>
        <w:t xml:space="preserve"> إلى </w:t>
      </w:r>
      <w:r>
        <w:rPr>
          <w:rFonts w:hint="cs"/>
          <w:sz w:val="18"/>
          <w:szCs w:val="24"/>
          <w:rtl/>
        </w:rPr>
        <w:t>الات</w:t>
      </w:r>
      <w:r w:rsidR="000F2132">
        <w:rPr>
          <w:rFonts w:hint="cs"/>
          <w:sz w:val="18"/>
          <w:szCs w:val="24"/>
          <w:rtl/>
        </w:rPr>
        <w:t>‍</w:t>
      </w:r>
      <w:r>
        <w:rPr>
          <w:rFonts w:hint="cs"/>
          <w:sz w:val="18"/>
          <w:szCs w:val="24"/>
          <w:rtl/>
        </w:rPr>
        <w:t>حاد</w:t>
      </w:r>
    </w:p>
    <w:p w:rsidR="009A0EFE" w:rsidRDefault="009A0EFE" w:rsidP="009A0EFE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رؤساء </w:t>
      </w:r>
      <w:r>
        <w:rPr>
          <w:rFonts w:hint="cs"/>
          <w:sz w:val="18"/>
          <w:szCs w:val="24"/>
          <w:rtl/>
          <w:lang w:bidi="ar-EG"/>
        </w:rPr>
        <w:t>ل</w:t>
      </w:r>
      <w:r w:rsidR="000F2132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جان</w:t>
      </w:r>
      <w:r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:rsidR="009A0EFE" w:rsidRDefault="009A0EFE" w:rsidP="009A0EFE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رئيس الاجتماع التحضيري </w:t>
      </w:r>
      <w:r>
        <w:rPr>
          <w:rFonts w:hint="cs"/>
          <w:sz w:val="18"/>
          <w:szCs w:val="24"/>
          <w:rtl/>
          <w:lang w:bidi="ar-EG"/>
        </w:rPr>
        <w:t>للمؤت</w:t>
      </w:r>
      <w:r w:rsidR="000F2132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مر</w:t>
      </w:r>
      <w:r>
        <w:rPr>
          <w:sz w:val="18"/>
          <w:szCs w:val="24"/>
          <w:rtl/>
          <w:lang w:bidi="ar-EG"/>
        </w:rPr>
        <w:t xml:space="preserve"> ونوابه</w:t>
      </w:r>
    </w:p>
    <w:p w:rsidR="009A0EFE" w:rsidRDefault="009A0EFE" w:rsidP="009A0EFE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أعضاء </w:t>
      </w:r>
      <w:r>
        <w:rPr>
          <w:rFonts w:hint="cs"/>
          <w:sz w:val="18"/>
          <w:szCs w:val="24"/>
          <w:rtl/>
          <w:lang w:bidi="ar-EG"/>
        </w:rPr>
        <w:t>ل</w:t>
      </w:r>
      <w:r w:rsidR="000F2132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جنة</w:t>
      </w:r>
      <w:r>
        <w:rPr>
          <w:sz w:val="18"/>
          <w:szCs w:val="24"/>
          <w:rtl/>
          <w:lang w:bidi="ar-EG"/>
        </w:rPr>
        <w:t xml:space="preserve"> لوائح الراديو</w:t>
      </w:r>
    </w:p>
    <w:p w:rsidR="000F2132" w:rsidRDefault="009A0EFE" w:rsidP="009A0EFE">
      <w:pPr>
        <w:tabs>
          <w:tab w:val="clear" w:pos="794"/>
          <w:tab w:val="left" w:pos="283"/>
        </w:tabs>
        <w:spacing w:before="0"/>
        <w:jc w:val="left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الأمين العام </w:t>
      </w:r>
      <w:r>
        <w:rPr>
          <w:rFonts w:hint="cs"/>
          <w:sz w:val="18"/>
          <w:szCs w:val="24"/>
          <w:rtl/>
          <w:lang w:bidi="ar-EG"/>
        </w:rPr>
        <w:t>للات</w:t>
      </w:r>
      <w:r w:rsidR="000F2132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حاد</w:t>
      </w:r>
      <w:r>
        <w:rPr>
          <w:sz w:val="18"/>
          <w:szCs w:val="24"/>
          <w:rtl/>
          <w:lang w:bidi="ar-EG"/>
        </w:rPr>
        <w:t xml:space="preserve"> ومدير مكتب تقييس الاتصالات ومدير مكتب تنمية الاتصالات</w:t>
      </w:r>
    </w:p>
    <w:p w:rsidR="00185E59" w:rsidRDefault="00185E59" w:rsidP="009A0EFE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  <w:bookmarkStart w:id="0" w:name="_GoBack"/>
      <w:bookmarkEnd w:id="0"/>
    </w:p>
    <w:p w:rsidR="005C771D" w:rsidRDefault="005C771D" w:rsidP="009A0EFE">
      <w:pPr>
        <w:pStyle w:val="AnnexNo"/>
        <w:rPr>
          <w:rtl/>
          <w:lang w:val="en-GB"/>
        </w:rPr>
      </w:pPr>
      <w:r w:rsidRPr="008D3F8E">
        <w:rPr>
          <w:rFonts w:hint="eastAsia"/>
          <w:rtl/>
        </w:rPr>
        <w:lastRenderedPageBreak/>
        <w:t>ال</w:t>
      </w:r>
      <w:r w:rsidRPr="008D3F8E">
        <w:rPr>
          <w:rFonts w:hint="cs"/>
          <w:rtl/>
        </w:rPr>
        <w:t>‍</w:t>
      </w:r>
      <w:r w:rsidRPr="008D3F8E">
        <w:rPr>
          <w:rFonts w:hint="eastAsia"/>
          <w:rtl/>
        </w:rPr>
        <w:t>ملحـق</w:t>
      </w:r>
    </w:p>
    <w:p w:rsidR="005C771D" w:rsidRDefault="009A0EFE" w:rsidP="00492837">
      <w:pPr>
        <w:pStyle w:val="Annextitle"/>
        <w:rPr>
          <w:rtl/>
        </w:rPr>
      </w:pPr>
      <w:r>
        <w:rPr>
          <w:rFonts w:hint="cs"/>
          <w:rtl/>
        </w:rPr>
        <w:t xml:space="preserve">عنوان </w:t>
      </w:r>
      <w:r w:rsidR="00492837">
        <w:rPr>
          <w:rFonts w:hint="cs"/>
          <w:rtl/>
        </w:rPr>
        <w:t>وملخص</w:t>
      </w:r>
      <w:r>
        <w:rPr>
          <w:rFonts w:hint="cs"/>
          <w:rtl/>
        </w:rPr>
        <w:t xml:space="preserve"> كل من</w:t>
      </w:r>
      <w:r w:rsidR="00492837">
        <w:rPr>
          <w:rFonts w:hint="cs"/>
          <w:rtl/>
        </w:rPr>
        <w:t xml:space="preserve"> مشروعي</w:t>
      </w:r>
      <w:r>
        <w:rPr>
          <w:rFonts w:hint="cs"/>
          <w:rtl/>
        </w:rPr>
        <w:t xml:space="preserve"> التوصيتين </w:t>
      </w:r>
      <w:r w:rsidR="00492837">
        <w:rPr>
          <w:rFonts w:hint="cs"/>
          <w:rtl/>
        </w:rPr>
        <w:t>اللذين اعتمدتهما</w:t>
      </w:r>
      <w:r>
        <w:rPr>
          <w:rtl/>
        </w:rPr>
        <w:br/>
      </w:r>
      <w:r>
        <w:rPr>
          <w:rFonts w:hint="cs"/>
          <w:rtl/>
        </w:rPr>
        <w:t xml:space="preserve">لجنة الدراسات </w:t>
      </w:r>
      <w:r>
        <w:t>4</w:t>
      </w:r>
      <w:r>
        <w:rPr>
          <w:rFonts w:hint="cs"/>
          <w:rtl/>
          <w:lang w:bidi="ar-EG"/>
        </w:rPr>
        <w:t xml:space="preserve"> للاتصالات الراديوية</w:t>
      </w:r>
    </w:p>
    <w:p w:rsidR="005C771D" w:rsidRPr="008E29DB" w:rsidRDefault="009A0EFE" w:rsidP="00492837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highlight w:val="yellow"/>
          <w:rtl/>
          <w:lang w:bidi="ar-EG"/>
        </w:rPr>
      </w:pPr>
      <w:r w:rsidRPr="00A7640C">
        <w:rPr>
          <w:rFonts w:hint="cs"/>
          <w:u w:val="single"/>
          <w:rtl/>
          <w:lang w:bidi="ar-EG"/>
        </w:rPr>
        <w:t xml:space="preserve">مشروع التوصية </w:t>
      </w:r>
      <w:r>
        <w:rPr>
          <w:rFonts w:hint="cs"/>
          <w:u w:val="single"/>
          <w:rtl/>
          <w:lang w:bidi="ar-EG"/>
        </w:rPr>
        <w:t>الجديدة</w:t>
      </w:r>
      <w:r w:rsidRPr="00A7640C">
        <w:rPr>
          <w:rFonts w:hint="cs"/>
          <w:u w:val="single"/>
          <w:rtl/>
          <w:lang w:bidi="ar-EG"/>
        </w:rPr>
        <w:t xml:space="preserve"> </w:t>
      </w:r>
      <w:r w:rsidRPr="00A7640C">
        <w:rPr>
          <w:u w:val="single"/>
        </w:rPr>
        <w:t xml:space="preserve">ITU-R </w:t>
      </w:r>
      <w:proofErr w:type="gramStart"/>
      <w:r w:rsidRPr="00A7640C">
        <w:rPr>
          <w:u w:val="single"/>
        </w:rPr>
        <w:t>BO.[</w:t>
      </w:r>
      <w:proofErr w:type="gramEnd"/>
      <w:r w:rsidRPr="00A7640C">
        <w:rPr>
          <w:u w:val="single"/>
        </w:rPr>
        <w:t>UHDTV_TRANSMISSION]</w:t>
      </w:r>
      <w:r w:rsidR="005C771D" w:rsidRPr="009A0EFE">
        <w:rPr>
          <w:rFonts w:hint="cs"/>
          <w:rtl/>
          <w:lang w:bidi="ar-EG"/>
        </w:rPr>
        <w:tab/>
      </w:r>
      <w:r w:rsidRPr="00B10707">
        <w:rPr>
          <w:rFonts w:hint="cs"/>
          <w:rtl/>
          <w:lang w:bidi="ar-EG"/>
        </w:rPr>
        <w:t>الوثيقة</w:t>
      </w:r>
      <w:r>
        <w:rPr>
          <w:rFonts w:hint="eastAsia"/>
          <w:rtl/>
          <w:lang w:bidi="ar-EG"/>
        </w:rPr>
        <w:t> </w:t>
      </w:r>
      <w:r w:rsidR="00492837" w:rsidRPr="00A31800">
        <w:t>4/7(Rev.1)</w:t>
      </w:r>
    </w:p>
    <w:p w:rsidR="005C771D" w:rsidRPr="008E29DB" w:rsidRDefault="009A0EFE" w:rsidP="005C771D">
      <w:pPr>
        <w:pStyle w:val="Rectitle"/>
        <w:spacing w:before="240"/>
        <w:rPr>
          <w:highlight w:val="yellow"/>
          <w:rtl/>
          <w:lang w:bidi="ar-EG"/>
        </w:rPr>
      </w:pPr>
      <w:r w:rsidRPr="00B10707">
        <w:rPr>
          <w:rFonts w:hint="cs"/>
          <w:rtl/>
          <w:lang w:bidi="ar-EG"/>
        </w:rPr>
        <w:t>نظام الإرسال للإذاعة الساتلية للتلفزيون فائق الوضوح</w:t>
      </w:r>
    </w:p>
    <w:p w:rsidR="005C771D" w:rsidRDefault="009A0EFE" w:rsidP="005C771D">
      <w:pPr>
        <w:rPr>
          <w:rtl/>
        </w:rPr>
      </w:pPr>
      <w:r w:rsidRPr="00B10707">
        <w:rPr>
          <w:rFonts w:hint="cs"/>
          <w:rtl/>
        </w:rPr>
        <w:t xml:space="preserve">تتطلب إذاعة </w:t>
      </w:r>
      <w:r>
        <w:rPr>
          <w:rFonts w:hint="cs"/>
          <w:rtl/>
        </w:rPr>
        <w:t>التلفزيون</w:t>
      </w:r>
      <w:r w:rsidRPr="00B10707">
        <w:rPr>
          <w:rFonts w:hint="cs"/>
          <w:rtl/>
        </w:rPr>
        <w:t xml:space="preserve"> فائق الوضوح سعة إرسالٍ تتجاوز إذاعة </w:t>
      </w:r>
      <w:r>
        <w:rPr>
          <w:rFonts w:hint="cs"/>
          <w:rtl/>
        </w:rPr>
        <w:t>التلفزيون</w:t>
      </w:r>
      <w:r w:rsidRPr="00B10707">
        <w:rPr>
          <w:rFonts w:hint="cs"/>
          <w:rtl/>
        </w:rPr>
        <w:t xml:space="preserve"> عالي الوضوح التقليدي. وتحدد هذه التوصية نظام إرسالٍ للإذاعة الساتلية </w:t>
      </w:r>
      <w:r>
        <w:rPr>
          <w:rFonts w:hint="cs"/>
          <w:rtl/>
        </w:rPr>
        <w:t>للتلفزيون فائق الوضوح.</w:t>
      </w:r>
    </w:p>
    <w:p w:rsidR="00492837" w:rsidRDefault="00492837" w:rsidP="00595266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A7640C">
        <w:rPr>
          <w:rFonts w:hint="cs"/>
          <w:u w:val="single"/>
          <w:rtl/>
          <w:lang w:bidi="ar-EG"/>
        </w:rPr>
        <w:t xml:space="preserve">مشروع مراجعة التوصية </w:t>
      </w:r>
      <w:r w:rsidRPr="00A7640C">
        <w:rPr>
          <w:u w:val="single"/>
          <w:lang w:bidi="ar-EG"/>
        </w:rPr>
        <w:t>ITU-R</w:t>
      </w:r>
      <w:r w:rsidR="00595266">
        <w:rPr>
          <w:u w:val="single"/>
          <w:lang w:bidi="ar-EG"/>
        </w:rPr>
        <w:t> </w:t>
      </w:r>
      <w:r w:rsidRPr="00A7640C">
        <w:rPr>
          <w:u w:val="single"/>
          <w:lang w:bidi="ar-EG"/>
        </w:rPr>
        <w:t>BO.1784</w:t>
      </w:r>
      <w:r w:rsidRPr="00492837">
        <w:rPr>
          <w:rtl/>
          <w:lang w:bidi="ar-EG"/>
        </w:rPr>
        <w:tab/>
      </w:r>
      <w:r w:rsidRPr="00492837">
        <w:rPr>
          <w:rFonts w:hint="cs"/>
          <w:rtl/>
          <w:lang w:bidi="ar-EG"/>
        </w:rPr>
        <w:t>الوثيقة</w:t>
      </w:r>
      <w:r w:rsidRPr="00492837">
        <w:rPr>
          <w:rFonts w:hint="eastAsia"/>
          <w:rtl/>
          <w:lang w:bidi="ar-EG"/>
        </w:rPr>
        <w:t> </w:t>
      </w:r>
      <w:r w:rsidR="00D8352F" w:rsidRPr="00A31800">
        <w:t>4/8(Rev.1)</w:t>
      </w:r>
    </w:p>
    <w:p w:rsidR="009A0EFE" w:rsidRPr="006577AE" w:rsidRDefault="009A0EFE" w:rsidP="009A0EFE">
      <w:pPr>
        <w:pStyle w:val="Rectitle"/>
        <w:spacing w:before="240" w:after="240"/>
        <w:rPr>
          <w:rtl/>
          <w:lang w:bidi="ar-SY"/>
        </w:rPr>
      </w:pPr>
      <w:r w:rsidRPr="006577AE">
        <w:rPr>
          <w:rFonts w:hint="cs"/>
          <w:rtl/>
          <w:lang w:bidi="ar-SY"/>
        </w:rPr>
        <w:t xml:space="preserve">نظام الإذاعة الرقمية الساتلية مرن </w:t>
      </w:r>
      <w:proofErr w:type="gramStart"/>
      <w:r w:rsidRPr="006577AE">
        <w:rPr>
          <w:rFonts w:hint="cs"/>
          <w:rtl/>
          <w:lang w:bidi="ar-SY"/>
        </w:rPr>
        <w:t>التشكيل</w:t>
      </w:r>
      <w:r w:rsidRPr="006577AE">
        <w:rPr>
          <w:rtl/>
          <w:lang w:bidi="ar-SY"/>
        </w:rPr>
        <w:br/>
      </w:r>
      <w:r w:rsidRPr="006577AE">
        <w:rPr>
          <w:rFonts w:hint="cs"/>
          <w:rtl/>
          <w:lang w:bidi="ar-SY"/>
        </w:rPr>
        <w:t>(</w:t>
      </w:r>
      <w:proofErr w:type="gramEnd"/>
      <w:r w:rsidRPr="006577AE">
        <w:rPr>
          <w:rFonts w:hint="cs"/>
          <w:rtl/>
          <w:lang w:bidi="ar-SY"/>
        </w:rPr>
        <w:t>التلفزيون والصوت والبيانات)</w:t>
      </w:r>
    </w:p>
    <w:p w:rsidR="001A04CA" w:rsidRDefault="009A0EFE" w:rsidP="009A0EFE">
      <w:pPr>
        <w:rPr>
          <w:rtl/>
        </w:rPr>
      </w:pPr>
      <w:r w:rsidRPr="006577AE">
        <w:rPr>
          <w:rFonts w:hint="cs"/>
          <w:rtl/>
        </w:rPr>
        <w:t xml:space="preserve">الهدف من هذه المراجعة هو إضافة مواصفات </w:t>
      </w:r>
      <w:r>
        <w:rPr>
          <w:rFonts w:hint="cs"/>
          <w:rtl/>
        </w:rPr>
        <w:t>بشأن نظام الإذاعة</w:t>
      </w:r>
      <w:r w:rsidRPr="006577AE">
        <w:rPr>
          <w:rFonts w:hint="cs"/>
          <w:rtl/>
        </w:rPr>
        <w:t xml:space="preserve"> الفيديوية الرقمية </w:t>
      </w:r>
      <w:r>
        <w:rPr>
          <w:rFonts w:hint="cs"/>
          <w:rtl/>
        </w:rPr>
        <w:t>الساتلية</w:t>
      </w:r>
      <w:r w:rsidRPr="006577AE">
        <w:rPr>
          <w:rFonts w:hint="cs"/>
          <w:rtl/>
        </w:rPr>
        <w:t xml:space="preserve"> </w:t>
      </w:r>
      <w:r>
        <w:t>(</w:t>
      </w:r>
      <w:r w:rsidRPr="006577AE">
        <w:rPr>
          <w:lang w:val="en-GB"/>
        </w:rPr>
        <w:t>DVB-S2</w:t>
      </w:r>
      <w:r w:rsidRPr="006577AE">
        <w:rPr>
          <w:rFonts w:hint="eastAsia"/>
          <w:lang w:val="en-GB"/>
        </w:rPr>
        <w:t>X</w:t>
      </w:r>
      <w:r>
        <w:t>)</w:t>
      </w:r>
      <w:r w:rsidRPr="006577AE">
        <w:rPr>
          <w:rFonts w:hint="cs"/>
          <w:rtl/>
        </w:rPr>
        <w:t>.</w:t>
      </w:r>
      <w:r>
        <w:rPr>
          <w:rFonts w:hint="cs"/>
          <w:rtl/>
        </w:rPr>
        <w:t xml:space="preserve"> و</w:t>
      </w:r>
      <w:r w:rsidRPr="006577AE">
        <w:rPr>
          <w:rFonts w:hint="cs"/>
          <w:rtl/>
        </w:rPr>
        <w:t>تمثل</w:t>
      </w:r>
      <w:r>
        <w:rPr>
          <w:rFonts w:hint="cs"/>
          <w:rtl/>
          <w:lang w:bidi="ar-EG"/>
        </w:rPr>
        <w:t xml:space="preserve"> مواصفات</w:t>
      </w:r>
      <w:r w:rsidRPr="006577AE">
        <w:rPr>
          <w:rFonts w:hint="cs"/>
          <w:rtl/>
        </w:rPr>
        <w:t xml:space="preserve"> الإذاعة الفيديوية الرقمية الساتلية </w:t>
      </w:r>
      <w:r>
        <w:t>"</w:t>
      </w:r>
      <w:r w:rsidRPr="006577AE">
        <w:rPr>
          <w:lang w:val="en-GB"/>
        </w:rPr>
        <w:t>DVB-S2</w:t>
      </w:r>
      <w:r w:rsidRPr="006577AE">
        <w:rPr>
          <w:rFonts w:hint="eastAsia"/>
          <w:lang w:val="en-GB"/>
        </w:rPr>
        <w:t>X</w:t>
      </w:r>
      <w:r>
        <w:t>"</w:t>
      </w:r>
      <w:r w:rsidRPr="006577AE">
        <w:rPr>
          <w:rFonts w:hint="cs"/>
          <w:rtl/>
        </w:rPr>
        <w:t xml:space="preserve">، كما هو مبين في التوصية </w:t>
      </w:r>
      <w:r w:rsidRPr="006577AE">
        <w:rPr>
          <w:rFonts w:hint="eastAsia"/>
          <w:lang w:val="en-GB"/>
        </w:rPr>
        <w:t>ITU-R BO.1784</w:t>
      </w:r>
      <w:r w:rsidRPr="006577AE">
        <w:rPr>
          <w:rFonts w:hint="cs"/>
          <w:rtl/>
        </w:rPr>
        <w:t xml:space="preserve">، امتداداً لمواصفة الإذاعة الفيديوية الرقمية الساتلية </w:t>
      </w:r>
      <w:r>
        <w:t>"</w:t>
      </w:r>
      <w:r w:rsidRPr="006577AE">
        <w:rPr>
          <w:lang w:val="en-GB"/>
        </w:rPr>
        <w:t>DVB-S2</w:t>
      </w:r>
      <w:r>
        <w:t>"</w:t>
      </w:r>
      <w:r w:rsidRPr="006577AE">
        <w:rPr>
          <w:rFonts w:hint="cs"/>
          <w:rtl/>
        </w:rPr>
        <w:t xml:space="preserve"> لأغراض التطبيقات الساتلية للنطاق العريض، وتوفر تكنولوجيات وخصائص إضافية.</w:t>
      </w:r>
    </w:p>
    <w:p w:rsidR="005C771D" w:rsidRPr="008D3F8E" w:rsidRDefault="005C771D" w:rsidP="005C771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71" w:rsidRDefault="00B01B71" w:rsidP="00F36590">
      <w:pPr>
        <w:spacing w:before="0" w:line="240" w:lineRule="auto"/>
      </w:pPr>
      <w:r>
        <w:separator/>
      </w:r>
    </w:p>
  </w:endnote>
  <w:endnote w:type="continuationSeparator" w:id="0">
    <w:p w:rsidR="00B01B71" w:rsidRDefault="00B01B71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DBD" w:rsidRPr="00952DBD" w:rsidRDefault="00952DBD" w:rsidP="00952DBD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color w:val="3E8EDE"/>
        <w:sz w:val="18"/>
        <w:szCs w:val="18"/>
        <w:lang w:eastAsia="en-US"/>
      </w:rPr>
    </w:pPr>
    <w:r w:rsidRPr="00952DBD">
      <w:rPr>
        <w:rFonts w:eastAsia="Times New Roman" w:cs="Calibri"/>
        <w:color w:val="3E8EDE"/>
        <w:sz w:val="18"/>
        <w:szCs w:val="18"/>
        <w:lang w:eastAsia="en-US"/>
      </w:rPr>
      <w:t>International Telecommunication Union • Place des Nations, CH</w:t>
    </w:r>
    <w:r w:rsidRPr="00952DBD">
      <w:rPr>
        <w:rFonts w:eastAsia="Times New Roman" w:cs="Calibri"/>
        <w:color w:val="3E8EDE"/>
        <w:sz w:val="18"/>
        <w:szCs w:val="18"/>
        <w:lang w:eastAsia="en-US"/>
      </w:rPr>
      <w:noBreakHyphen/>
      <w:t xml:space="preserve">1211 Geneva 20, Switzerland </w:t>
    </w:r>
    <w:r w:rsidRPr="00952DBD">
      <w:rPr>
        <w:rFonts w:eastAsia="Times New Roman" w:cs="Calibri"/>
        <w:color w:val="3E8EDE"/>
        <w:sz w:val="18"/>
        <w:szCs w:val="18"/>
        <w:lang w:eastAsia="en-US"/>
      </w:rPr>
      <w:br/>
      <w:t xml:space="preserve">Tel: +41 22 730 5111 • Fax: +41 22 733 7256 • </w:t>
    </w:r>
    <w:r w:rsidRPr="00952DBD">
      <w:rPr>
        <w:rFonts w:eastAsia="Times New Roman" w:cs="Calibri"/>
        <w:color w:val="3E8EDE"/>
        <w:sz w:val="18"/>
        <w:szCs w:val="18"/>
        <w:lang w:eastAsia="en-US"/>
      </w:rPr>
      <w:br/>
      <w:t xml:space="preserve">E-mail: </w:t>
    </w:r>
    <w:hyperlink r:id="rId1" w:history="1">
      <w:r w:rsidRPr="00952DBD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itumail@itu.int</w:t>
      </w:r>
    </w:hyperlink>
    <w:r w:rsidRPr="00952DBD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2" w:history="1">
      <w:r w:rsidRPr="00952DBD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</w:t>
      </w:r>
    </w:hyperlink>
    <w:r w:rsidRPr="00952DBD">
      <w:rPr>
        <w:rFonts w:eastAsia="Times New Roman" w:cs="Calibri"/>
        <w:color w:val="3E8EDE"/>
        <w:sz w:val="18"/>
        <w:szCs w:val="18"/>
        <w:lang w:eastAsia="en-US"/>
      </w:rPr>
      <w:t xml:space="preserve"> • </w:t>
    </w:r>
    <w:hyperlink r:id="rId3" w:history="1">
      <w:r w:rsidRPr="00952DBD">
        <w:rPr>
          <w:rFonts w:eastAsia="Times New Roman" w:cs="Calibri"/>
          <w:color w:val="3E8EDE"/>
          <w:sz w:val="18"/>
          <w:szCs w:val="18"/>
          <w:u w:val="single"/>
          <w:lang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71" w:rsidRDefault="00B01B71" w:rsidP="00F36590">
      <w:pPr>
        <w:spacing w:before="0" w:line="240" w:lineRule="auto"/>
      </w:pPr>
      <w:r>
        <w:separator/>
      </w:r>
    </w:p>
  </w:footnote>
  <w:footnote w:type="continuationSeparator" w:id="0">
    <w:p w:rsidR="00B01B71" w:rsidRDefault="00B01B71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020B8E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020B8E">
      <w:rPr>
        <w:rFonts w:cs="Calibri"/>
        <w:sz w:val="18"/>
        <w:szCs w:val="18"/>
      </w:rPr>
      <w:t xml:space="preserve">- </w:t>
    </w:r>
    <w:r w:rsidR="007E6E52" w:rsidRPr="00020B8E">
      <w:rPr>
        <w:rFonts w:cs="Calibri"/>
        <w:sz w:val="18"/>
        <w:szCs w:val="18"/>
        <w:lang w:val="en-GB"/>
      </w:rPr>
      <w:fldChar w:fldCharType="begin"/>
    </w:r>
    <w:r w:rsidR="007E6E52" w:rsidRPr="00020B8E">
      <w:rPr>
        <w:rFonts w:cs="Calibri"/>
        <w:sz w:val="18"/>
        <w:szCs w:val="18"/>
        <w:lang w:val="en-GB"/>
      </w:rPr>
      <w:instrText xml:space="preserve"> PAGE </w:instrText>
    </w:r>
    <w:r w:rsidR="007E6E52" w:rsidRPr="00020B8E">
      <w:rPr>
        <w:rFonts w:cs="Calibri"/>
        <w:sz w:val="18"/>
        <w:szCs w:val="18"/>
        <w:lang w:val="en-GB"/>
      </w:rPr>
      <w:fldChar w:fldCharType="separate"/>
    </w:r>
    <w:r w:rsidR="00020B8E">
      <w:rPr>
        <w:rFonts w:cs="Calibri"/>
        <w:noProof/>
        <w:sz w:val="18"/>
        <w:szCs w:val="18"/>
        <w:lang w:val="en-GB"/>
      </w:rPr>
      <w:t>3</w:t>
    </w:r>
    <w:r w:rsidR="007E6E52" w:rsidRPr="00020B8E">
      <w:rPr>
        <w:rFonts w:cs="Calibri"/>
        <w:sz w:val="18"/>
        <w:szCs w:val="18"/>
      </w:rPr>
      <w:fldChar w:fldCharType="end"/>
    </w:r>
    <w:r w:rsidRPr="00020B8E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71"/>
    <w:rsid w:val="00020B8E"/>
    <w:rsid w:val="00083A9A"/>
    <w:rsid w:val="00090574"/>
    <w:rsid w:val="000B73F4"/>
    <w:rsid w:val="000F2132"/>
    <w:rsid w:val="00122B05"/>
    <w:rsid w:val="001435DB"/>
    <w:rsid w:val="00184E00"/>
    <w:rsid w:val="00185E59"/>
    <w:rsid w:val="001A04CA"/>
    <w:rsid w:val="001D1D7B"/>
    <w:rsid w:val="001E4B9F"/>
    <w:rsid w:val="00210992"/>
    <w:rsid w:val="0023283D"/>
    <w:rsid w:val="00241274"/>
    <w:rsid w:val="00283A9D"/>
    <w:rsid w:val="002978F4"/>
    <w:rsid w:val="002B028D"/>
    <w:rsid w:val="002E6541"/>
    <w:rsid w:val="003129C3"/>
    <w:rsid w:val="00335CE7"/>
    <w:rsid w:val="003403A3"/>
    <w:rsid w:val="00341FFF"/>
    <w:rsid w:val="00357185"/>
    <w:rsid w:val="003B65BD"/>
    <w:rsid w:val="0040525C"/>
    <w:rsid w:val="0042686F"/>
    <w:rsid w:val="00443869"/>
    <w:rsid w:val="004848F2"/>
    <w:rsid w:val="00485E78"/>
    <w:rsid w:val="00492837"/>
    <w:rsid w:val="004B2ED5"/>
    <w:rsid w:val="004C6CD2"/>
    <w:rsid w:val="004D704B"/>
    <w:rsid w:val="0050730A"/>
    <w:rsid w:val="00546BF7"/>
    <w:rsid w:val="0055516A"/>
    <w:rsid w:val="00595266"/>
    <w:rsid w:val="005C771D"/>
    <w:rsid w:val="005F4897"/>
    <w:rsid w:val="006E1CFD"/>
    <w:rsid w:val="006F63F7"/>
    <w:rsid w:val="007042C1"/>
    <w:rsid w:val="00706D7A"/>
    <w:rsid w:val="00714C7B"/>
    <w:rsid w:val="00733D09"/>
    <w:rsid w:val="00741503"/>
    <w:rsid w:val="007C1FE5"/>
    <w:rsid w:val="007E6E52"/>
    <w:rsid w:val="008235CD"/>
    <w:rsid w:val="008513CB"/>
    <w:rsid w:val="00951EBA"/>
    <w:rsid w:val="00952DBD"/>
    <w:rsid w:val="00982B28"/>
    <w:rsid w:val="009A0EFE"/>
    <w:rsid w:val="00A0706D"/>
    <w:rsid w:val="00A44B54"/>
    <w:rsid w:val="00A97F94"/>
    <w:rsid w:val="00AA305C"/>
    <w:rsid w:val="00AB7CE2"/>
    <w:rsid w:val="00B01B71"/>
    <w:rsid w:val="00B078CB"/>
    <w:rsid w:val="00B11105"/>
    <w:rsid w:val="00B17A48"/>
    <w:rsid w:val="00B5527F"/>
    <w:rsid w:val="00C65978"/>
    <w:rsid w:val="00C674FE"/>
    <w:rsid w:val="00C75633"/>
    <w:rsid w:val="00CB3E2E"/>
    <w:rsid w:val="00CE2EE1"/>
    <w:rsid w:val="00CF3FFD"/>
    <w:rsid w:val="00D62A84"/>
    <w:rsid w:val="00D77D0F"/>
    <w:rsid w:val="00D8352F"/>
    <w:rsid w:val="00DA0BC8"/>
    <w:rsid w:val="00DA1CF0"/>
    <w:rsid w:val="00DC24B4"/>
    <w:rsid w:val="00DF16DC"/>
    <w:rsid w:val="00E02604"/>
    <w:rsid w:val="00E3407A"/>
    <w:rsid w:val="00E45211"/>
    <w:rsid w:val="00E64F8E"/>
    <w:rsid w:val="00E96F8D"/>
    <w:rsid w:val="00F36590"/>
    <w:rsid w:val="00F84366"/>
    <w:rsid w:val="00F85089"/>
    <w:rsid w:val="00F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CEE4B98-6EAB-46E1-A0B7-A39D6F94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4-C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5B45-249B-41E2-BEAB-BB274D53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30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I .T. U.</cp:lastModifiedBy>
  <cp:revision>27</cp:revision>
  <dcterms:created xsi:type="dcterms:W3CDTF">2016-10-17T12:37:00Z</dcterms:created>
  <dcterms:modified xsi:type="dcterms:W3CDTF">2016-10-18T06:57:00Z</dcterms:modified>
</cp:coreProperties>
</file>