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1B2948">
            <w:pPr>
              <w:spacing w:before="0"/>
              <w:jc w:val="left"/>
              <w:rPr>
                <w:b/>
                <w:bCs/>
                <w:sz w:val="28"/>
                <w:szCs w:val="28"/>
                <w:lang w:val="fr-FR"/>
              </w:rPr>
            </w:pPr>
            <w:r w:rsidRPr="00CE22BA">
              <w:rPr>
                <w:b/>
                <w:bCs/>
                <w:lang w:val="fr-FR"/>
              </w:rPr>
              <w:t>CACE/</w:t>
            </w:r>
            <w:r w:rsidR="00CE3FFA">
              <w:rPr>
                <w:b/>
                <w:bCs/>
                <w:lang w:val="fr-FR"/>
              </w:rPr>
              <w:t>766</w:t>
            </w:r>
          </w:p>
        </w:tc>
        <w:tc>
          <w:tcPr>
            <w:tcW w:w="2835" w:type="dxa"/>
            <w:shd w:val="clear" w:color="auto" w:fill="auto"/>
          </w:tcPr>
          <w:p w:rsidR="00E53DCE" w:rsidRPr="00CE22BA" w:rsidRDefault="00EB6050" w:rsidP="00EB6050">
            <w:pPr>
              <w:spacing w:before="0"/>
              <w:jc w:val="right"/>
              <w:rPr>
                <w:sz w:val="28"/>
                <w:szCs w:val="28"/>
                <w:lang w:val="fr-FR"/>
              </w:rPr>
            </w:pPr>
            <w:sdt>
              <w:sdtPr>
                <w:rPr>
                  <w:rFonts w:cs="Arial"/>
                  <w:szCs w:val="24"/>
                  <w:lang w:val="fr-CH"/>
                </w:rPr>
                <w:alias w:val="Date"/>
                <w:tag w:val="Date"/>
                <w:id w:val="444659277"/>
                <w:placeholder>
                  <w:docPart w:val="6D344025DFC9400D9389897788A04F2F"/>
                </w:placeholder>
                <w:date>
                  <w:dateFormat w:val="d MMMM yyyy"/>
                  <w:lid w:val="fr-FR"/>
                  <w:storeMappedDataAs w:val="date"/>
                  <w:calendar w:val="gregorian"/>
                </w:date>
              </w:sdtPr>
              <w:sdtEndPr/>
              <w:sdtContent>
                <w:r w:rsidR="00CE3FFA">
                  <w:rPr>
                    <w:rFonts w:cs="Arial"/>
                    <w:szCs w:val="24"/>
                    <w:lang w:val="fr-CH"/>
                  </w:rPr>
                  <w:t xml:space="preserve">Le </w:t>
                </w:r>
                <w:r w:rsidR="00683AD9">
                  <w:rPr>
                    <w:rFonts w:cs="Arial"/>
                    <w:szCs w:val="24"/>
                    <w:lang w:val="fr-FR"/>
                  </w:rPr>
                  <w:t>2</w:t>
                </w:r>
                <w:r>
                  <w:rPr>
                    <w:rFonts w:cs="Arial"/>
                    <w:szCs w:val="24"/>
                    <w:lang w:val="fr-FR"/>
                  </w:rPr>
                  <w:t>9</w:t>
                </w:r>
                <w:r w:rsidR="00CE3FFA">
                  <w:rPr>
                    <w:rFonts w:cs="Arial"/>
                    <w:szCs w:val="24"/>
                    <w:lang w:val="fr-FR"/>
                  </w:rPr>
                  <w:t xml:space="preserve"> février 2016</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B6050" w:rsidTr="004228FA">
        <w:trPr>
          <w:jc w:val="center"/>
        </w:trPr>
        <w:tc>
          <w:tcPr>
            <w:tcW w:w="9889" w:type="dxa"/>
            <w:gridSpan w:val="3"/>
            <w:shd w:val="clear" w:color="auto" w:fill="auto"/>
          </w:tcPr>
          <w:p w:rsidR="00E53DCE" w:rsidRPr="00CE22BA" w:rsidRDefault="00EE1A57" w:rsidP="00E02AE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E02AE0">
              <w:rPr>
                <w:b/>
                <w:bCs/>
                <w:szCs w:val="24"/>
                <w:lang w:val="fr-FR"/>
              </w:rPr>
              <w:t>6</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EB6050"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B6050"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B6050"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E02AE0">
            <w:pPr>
              <w:tabs>
                <w:tab w:val="clear" w:pos="1588"/>
                <w:tab w:val="left" w:pos="1560"/>
              </w:tabs>
              <w:spacing w:before="0"/>
              <w:rPr>
                <w:b/>
                <w:bCs/>
                <w:lang w:val="fr-FR"/>
              </w:rPr>
            </w:pPr>
            <w:r w:rsidRPr="00CE22BA">
              <w:rPr>
                <w:b/>
                <w:bCs/>
                <w:lang w:val="fr-FR"/>
              </w:rPr>
              <w:t xml:space="preserve">Commission d'études </w:t>
            </w:r>
            <w:r w:rsidR="00E02AE0">
              <w:rPr>
                <w:b/>
                <w:bCs/>
                <w:lang w:val="fr-FR"/>
              </w:rPr>
              <w:t>6</w:t>
            </w:r>
            <w:r w:rsidRPr="00CE22BA">
              <w:rPr>
                <w:b/>
                <w:bCs/>
                <w:lang w:val="fr-FR"/>
              </w:rPr>
              <w:t xml:space="preserve"> des radiocommunications (</w:t>
            </w:r>
            <w:r w:rsidR="00E02AE0" w:rsidRPr="00F829F1">
              <w:rPr>
                <w:b/>
                <w:bCs/>
                <w:szCs w:val="24"/>
                <w:lang w:val="fr-FR"/>
              </w:rPr>
              <w:t>Service de radiodiffusion</w:t>
            </w:r>
            <w:r w:rsidRPr="00CE22BA">
              <w:rPr>
                <w:b/>
                <w:bCs/>
                <w:lang w:val="fr-FR"/>
              </w:rPr>
              <w:t>)</w:t>
            </w:r>
          </w:p>
          <w:p w:rsidR="001B2948" w:rsidRPr="00CE22BA" w:rsidRDefault="00A40690" w:rsidP="00F34387">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 xml:space="preserve">Proposition d'adoption de </w:t>
            </w:r>
            <w:r w:rsidR="00E02AE0">
              <w:rPr>
                <w:b/>
                <w:bCs/>
                <w:lang w:val="fr-FR"/>
              </w:rPr>
              <w:t>2</w:t>
            </w:r>
            <w:r w:rsidR="001B2948" w:rsidRPr="00CE22BA">
              <w:rPr>
                <w:b/>
                <w:bCs/>
                <w:lang w:val="fr-FR"/>
              </w:rPr>
              <w:t xml:space="preserve"> projets de nouvel</w:t>
            </w:r>
            <w:r w:rsidR="006A1EA5">
              <w:rPr>
                <w:b/>
                <w:bCs/>
                <w:lang w:val="fr-FR"/>
              </w:rPr>
              <w:t xml:space="preserve">le Recommandation UIT-R et d'un </w:t>
            </w:r>
            <w:r w:rsidR="00F34387">
              <w:rPr>
                <w:b/>
                <w:bCs/>
                <w:lang w:val="fr-FR"/>
              </w:rPr>
              <w:t>projet</w:t>
            </w:r>
            <w:r w:rsidR="001B2948" w:rsidRPr="00CE22BA">
              <w:rPr>
                <w:b/>
                <w:bCs/>
                <w:lang w:val="fr-FR"/>
              </w:rPr>
              <w:t xml:space="preserve">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p w:rsidR="00A40690" w:rsidRPr="00CE22BA" w:rsidRDefault="001B2948" w:rsidP="00F34387">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006A1EA5">
              <w:rPr>
                <w:b/>
                <w:bCs/>
                <w:lang w:val="fr-FR"/>
              </w:rPr>
              <w:tab/>
              <w:t>Proposition de suppression d'une</w:t>
            </w:r>
            <w:r w:rsidRPr="00CE22BA">
              <w:rPr>
                <w:b/>
                <w:bCs/>
                <w:lang w:val="fr-FR"/>
              </w:rPr>
              <w:t xml:space="preserve"> Recommandation UIT-R</w:t>
            </w:r>
          </w:p>
        </w:tc>
      </w:tr>
      <w:tr w:rsidR="00E53DCE" w:rsidRPr="00EB6050"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B6050"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B6050"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EB6050"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1B2948" w:rsidRPr="00CE22BA" w:rsidRDefault="001B2948" w:rsidP="00837C88">
      <w:pPr>
        <w:rPr>
          <w:lang w:val="fr-FR"/>
        </w:rPr>
      </w:pPr>
      <w:r w:rsidRPr="00CE22BA">
        <w:rPr>
          <w:lang w:val="fr-FR"/>
        </w:rPr>
        <w:t xml:space="preserve">A sa réunion tenue </w:t>
      </w:r>
      <w:r w:rsidR="00A87B37">
        <w:rPr>
          <w:lang w:val="fr-FR"/>
        </w:rPr>
        <w:t xml:space="preserve">le 5 février </w:t>
      </w:r>
      <w:r w:rsidRPr="00CE22BA">
        <w:rPr>
          <w:lang w:val="fr-FR"/>
        </w:rPr>
        <w:t xml:space="preserve">2016, la Commission d'études </w:t>
      </w:r>
      <w:r w:rsidR="00A87B37">
        <w:rPr>
          <w:lang w:val="fr-FR"/>
        </w:rPr>
        <w:t>6</w:t>
      </w:r>
      <w:r w:rsidRPr="00CE22BA">
        <w:rPr>
          <w:lang w:val="fr-FR"/>
        </w:rPr>
        <w:t xml:space="preserve"> des radiocommunications a décidé de demander l'</w:t>
      </w:r>
      <w:r w:rsidR="00A87B37">
        <w:rPr>
          <w:lang w:val="fr-FR"/>
        </w:rPr>
        <w:t xml:space="preserve">adoption par correspondance de </w:t>
      </w:r>
      <w:r w:rsidR="00837C88">
        <w:rPr>
          <w:lang w:val="fr-FR"/>
        </w:rPr>
        <w:t>deux</w:t>
      </w:r>
      <w:r w:rsidRPr="00CE22BA">
        <w:rPr>
          <w:lang w:val="fr-FR"/>
        </w:rPr>
        <w:t xml:space="preserve"> projets de nouvel</w:t>
      </w:r>
      <w:r w:rsidR="00A87B37">
        <w:rPr>
          <w:lang w:val="fr-FR"/>
        </w:rPr>
        <w:t xml:space="preserve">le Recommandation UIT-R et d'un </w:t>
      </w:r>
      <w:r w:rsidRPr="00CE22BA">
        <w:rPr>
          <w:lang w:val="fr-FR"/>
        </w:rPr>
        <w:t>projet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00480635">
        <w:rPr>
          <w:lang w:val="fr-FR"/>
        </w:rPr>
        <w:t>de la Résolution UIT-R 1-7. L</w:t>
      </w:r>
      <w:r w:rsidRPr="00CE22BA">
        <w:rPr>
          <w:lang w:val="fr-FR"/>
        </w:rPr>
        <w:t>es titres et résumés</w:t>
      </w:r>
      <w:r w:rsidR="00480635">
        <w:rPr>
          <w:lang w:val="fr-FR"/>
        </w:rPr>
        <w:t xml:space="preserve"> </w:t>
      </w:r>
      <w:r w:rsidRPr="00CE22BA">
        <w:rPr>
          <w:lang w:val="fr-FR"/>
        </w:rPr>
        <w:t xml:space="preserve">des projets de Recommandation figurent dans l'Annexe </w:t>
      </w:r>
      <w:r w:rsidR="00480635">
        <w:rPr>
          <w:lang w:val="fr-FR"/>
        </w:rPr>
        <w:t xml:space="preserve">1 </w:t>
      </w:r>
      <w:r w:rsidRPr="00CE22BA">
        <w:rPr>
          <w:lang w:val="fr-FR"/>
        </w:rPr>
        <w:t>de la présente Circulaire. Un Etat Membre qui soulève une objection au sujet de l'adoption d'un projet de Recommandation est prié d'informer le Directeur et le Président de la Commission d'études des raisons de cette objection.</w:t>
      </w:r>
    </w:p>
    <w:p w:rsidR="00EF221F" w:rsidRPr="00CE22BA" w:rsidRDefault="00EF221F" w:rsidP="00683AD9">
      <w:pPr>
        <w:rPr>
          <w:lang w:val="fr-FR"/>
        </w:rPr>
      </w:pPr>
      <w:r>
        <w:rPr>
          <w:lang w:val="fr-FR"/>
        </w:rPr>
        <w:t xml:space="preserve">La période d'examen durera </w:t>
      </w:r>
      <w:r w:rsidR="00837C88">
        <w:rPr>
          <w:lang w:val="fr-FR"/>
        </w:rPr>
        <w:t>deux</w:t>
      </w:r>
      <w:r w:rsidRPr="00CE22BA">
        <w:rPr>
          <w:lang w:val="fr-FR"/>
        </w:rPr>
        <w:t xml:space="preserve"> mois, jusqu</w:t>
      </w:r>
      <w:r>
        <w:rPr>
          <w:lang w:val="fr-FR"/>
        </w:rPr>
        <w:t>'</w:t>
      </w:r>
      <w:r w:rsidRPr="00CE22BA">
        <w:rPr>
          <w:lang w:val="fr-FR"/>
        </w:rPr>
        <w:t xml:space="preserve">au </w:t>
      </w:r>
      <w:r w:rsidR="00EB6050">
        <w:rPr>
          <w:u w:val="single"/>
          <w:lang w:val="fr-FR"/>
        </w:rPr>
        <w:t>29</w:t>
      </w:r>
      <w:r w:rsidRPr="00A87B37">
        <w:rPr>
          <w:u w:val="single"/>
          <w:lang w:val="fr-FR"/>
        </w:rPr>
        <w:t xml:space="preserve"> avril 2016</w:t>
      </w:r>
      <w:r w:rsidRPr="00CE22BA">
        <w:rPr>
          <w:lang w:val="fr-FR"/>
        </w:rPr>
        <w:t xml:space="preserve">. Si, au cours de cette période, aucun Etat Membre ne soulève d'objection, les </w:t>
      </w:r>
      <w:r>
        <w:rPr>
          <w:lang w:val="fr-FR"/>
        </w:rPr>
        <w:t xml:space="preserve">projets de </w:t>
      </w:r>
      <w:r w:rsidRPr="00CE22BA">
        <w:rPr>
          <w:lang w:val="fr-FR"/>
        </w:rPr>
        <w:t>Recommandation s</w:t>
      </w:r>
      <w:r>
        <w:rPr>
          <w:lang w:val="fr-FR"/>
        </w:rPr>
        <w:t>eront considéré</w:t>
      </w:r>
      <w:r w:rsidRPr="00CE22BA">
        <w:rPr>
          <w:lang w:val="fr-FR"/>
        </w:rPr>
        <w:t xml:space="preserve">s comme adoptés par la Commission d'études </w:t>
      </w:r>
      <w:r>
        <w:rPr>
          <w:lang w:val="fr-FR"/>
        </w:rPr>
        <w:t>6</w:t>
      </w:r>
      <w:r w:rsidRPr="00CE22BA">
        <w:rPr>
          <w:lang w:val="fr-FR"/>
        </w:rPr>
        <w:t>. En outre, puisque la procédure PAAS est appliquée, les projets de Recommandation</w:t>
      </w:r>
      <w:r w:rsidRPr="00CE22BA">
        <w:rPr>
          <w:szCs w:val="24"/>
          <w:lang w:val="fr-FR"/>
        </w:rPr>
        <w:t xml:space="preserve"> </w:t>
      </w:r>
      <w:r w:rsidRPr="00CE22BA">
        <w:rPr>
          <w:color w:val="000000"/>
          <w:lang w:val="fr-FR"/>
        </w:rPr>
        <w:t>seront considérés également comme approuvés.</w:t>
      </w:r>
    </w:p>
    <w:p w:rsidR="001B2948" w:rsidRPr="00CE22BA" w:rsidRDefault="001B2948" w:rsidP="00EF221F">
      <w:pPr>
        <w:rPr>
          <w:lang w:val="fr-FR"/>
        </w:rPr>
      </w:pPr>
      <w:r w:rsidRPr="00CE22BA">
        <w:rPr>
          <w:lang w:val="fr-FR"/>
        </w:rPr>
        <w:t>Par ailleurs, la Commission d'étud</w:t>
      </w:r>
      <w:r w:rsidR="00A87B37">
        <w:rPr>
          <w:lang w:val="fr-FR"/>
        </w:rPr>
        <w:t>es a proposé la suppression de</w:t>
      </w:r>
      <w:r w:rsidRPr="00CE22BA">
        <w:rPr>
          <w:lang w:val="fr-FR"/>
        </w:rPr>
        <w:t xml:space="preserve"> </w:t>
      </w:r>
      <w:r w:rsidR="00EF221F">
        <w:rPr>
          <w:lang w:val="fr-FR"/>
        </w:rPr>
        <w:t xml:space="preserve">la </w:t>
      </w:r>
      <w:r w:rsidRPr="00CE22BA">
        <w:rPr>
          <w:lang w:val="fr-FR"/>
        </w:rPr>
        <w:t xml:space="preserve">Recommandation </w:t>
      </w:r>
      <w:r w:rsidR="00EF221F">
        <w:rPr>
          <w:lang w:val="fr-FR"/>
        </w:rPr>
        <w:t xml:space="preserve">indiquée </w:t>
      </w:r>
      <w:r w:rsidRPr="00CE22BA">
        <w:rPr>
          <w:lang w:val="fr-FR"/>
        </w:rPr>
        <w:t>dans l'Annexe 2. Un Etat Membre qui soulève une objection au sujet de la suppression d'un</w:t>
      </w:r>
      <w:r w:rsidR="00FC2898">
        <w:rPr>
          <w:lang w:val="fr-FR"/>
        </w:rPr>
        <w:t>e</w:t>
      </w:r>
      <w:r w:rsidRPr="00CE22BA">
        <w:rPr>
          <w:lang w:val="fr-FR"/>
        </w:rPr>
        <w:t xml:space="preserve"> Recommandation est prié d'informer le Directeur et le Président de la Commission d'études des raisons de cette objection.</w:t>
      </w:r>
    </w:p>
    <w:p w:rsidR="00EF221F" w:rsidRDefault="00EF221F" w:rsidP="00EB6050">
      <w:pPr>
        <w:rPr>
          <w:lang w:val="fr-FR"/>
        </w:rPr>
      </w:pPr>
      <w:r>
        <w:rPr>
          <w:lang w:val="fr-FR"/>
        </w:rPr>
        <w:t xml:space="preserve">La période d'examen durera deux mois, jusqu'au </w:t>
      </w:r>
      <w:r w:rsidR="00683AD9">
        <w:rPr>
          <w:u w:val="single"/>
          <w:lang w:val="fr-FR"/>
        </w:rPr>
        <w:t>2</w:t>
      </w:r>
      <w:r w:rsidR="00EB6050">
        <w:rPr>
          <w:u w:val="single"/>
          <w:lang w:val="fr-FR"/>
        </w:rPr>
        <w:t>9</w:t>
      </w:r>
      <w:bookmarkStart w:id="0" w:name="_GoBack"/>
      <w:bookmarkEnd w:id="0"/>
      <w:r w:rsidRPr="00683AD9">
        <w:rPr>
          <w:u w:val="single"/>
          <w:lang w:val="fr-FR"/>
        </w:rPr>
        <w:t xml:space="preserve"> avril 2016</w:t>
      </w:r>
      <w:r>
        <w:rPr>
          <w:lang w:val="fr-FR"/>
        </w:rPr>
        <w:t>. Si, au cours de cette période, aucun Etats Membre ne soulève d'objection à la suppression proposée, la Recommandation sera considérée comme supprimée.</w:t>
      </w:r>
    </w:p>
    <w:p w:rsidR="001B2948" w:rsidRPr="00CE22BA" w:rsidRDefault="001B2948" w:rsidP="00EF221F">
      <w:pPr>
        <w:rPr>
          <w:lang w:val="fr-FR"/>
        </w:rPr>
      </w:pPr>
      <w:r w:rsidRPr="00CE22BA">
        <w:rPr>
          <w:lang w:val="fr-FR"/>
        </w:rPr>
        <w:lastRenderedPageBreak/>
        <w:t>Après la date limite mentionnée ci-dessus, les résultats de</w:t>
      </w:r>
      <w:r w:rsidR="00EF221F">
        <w:rPr>
          <w:lang w:val="fr-FR"/>
        </w:rPr>
        <w:t>s</w:t>
      </w:r>
      <w:r w:rsidRPr="00CE22BA">
        <w:rPr>
          <w:lang w:val="fr-FR"/>
        </w:rPr>
        <w:t xml:space="preserve"> procédure</w:t>
      </w:r>
      <w:r w:rsidR="00EF221F">
        <w:rPr>
          <w:lang w:val="fr-FR"/>
        </w:rPr>
        <w:t>s</w:t>
      </w:r>
      <w:r w:rsidRPr="00CE22BA">
        <w:rPr>
          <w:lang w:val="fr-FR"/>
        </w:rPr>
        <w:t xml:space="preserve"> </w:t>
      </w:r>
      <w:r w:rsidR="00EF221F">
        <w:rPr>
          <w:lang w:val="fr-FR"/>
        </w:rPr>
        <w:t>ci-dessus</w:t>
      </w:r>
      <w:r w:rsidRPr="00CE22BA">
        <w:rPr>
          <w:lang w:val="fr-FR"/>
        </w:rPr>
        <w:t xml:space="preserve"> seront communiqués dans une</w:t>
      </w:r>
      <w:r w:rsidR="001B79E0">
        <w:rPr>
          <w:lang w:val="fr-FR"/>
        </w:rPr>
        <w:t xml:space="preserve"> Circulaire administrative et les Recommandation</w:t>
      </w:r>
      <w:r w:rsidRPr="00CE22BA">
        <w:rPr>
          <w:lang w:val="fr-FR"/>
        </w:rPr>
        <w:t>s approuvées</w:t>
      </w:r>
      <w:r w:rsidR="001B79E0">
        <w:rPr>
          <w:lang w:val="fr-FR"/>
        </w:rPr>
        <w:t xml:space="preserve"> seront publiée</w:t>
      </w:r>
      <w:r w:rsidRPr="00CE22BA">
        <w:rPr>
          <w:lang w:val="fr-FR"/>
        </w:rPr>
        <w:t xml:space="preserve">s dans les meilleurs délais (voir </w:t>
      </w:r>
      <w:hyperlink r:id="rId8" w:history="1">
        <w:r w:rsidRPr="00CE22BA">
          <w:rPr>
            <w:rStyle w:val="Hyperlink"/>
            <w:lang w:val="fr-FR"/>
          </w:rPr>
          <w:t>http://www.itu.int/pub/R-REC</w:t>
        </w:r>
      </w:hyperlink>
      <w:r w:rsidRPr="00CE22BA">
        <w:rPr>
          <w:lang w:val="fr-FR"/>
        </w:rPr>
        <w:t>).</w:t>
      </w:r>
    </w:p>
    <w:p w:rsidR="001B2948" w:rsidRPr="00CE22BA" w:rsidRDefault="001B2948" w:rsidP="00AE5C22">
      <w:pPr>
        <w:rPr>
          <w:lang w:val="fr-FR"/>
        </w:rPr>
      </w:pPr>
      <w:r w:rsidRPr="00CE22BA">
        <w:rPr>
          <w:lang w:val="fr-FR"/>
        </w:rPr>
        <w:t>Toute organisation membre de l'UIT ayant connaissance d'un b</w:t>
      </w:r>
      <w:r w:rsidR="00E57382">
        <w:rPr>
          <w:lang w:val="fr-FR"/>
        </w:rPr>
        <w:t>revet détenu en son sein ou par </w:t>
      </w:r>
      <w:r w:rsidRPr="00CE22BA">
        <w:rPr>
          <w:lang w:val="fr-FR"/>
        </w:rPr>
        <w:t>d'autres organismes, et susceptible de se rapporter complètem</w:t>
      </w:r>
      <w:r w:rsidR="00E57382">
        <w:rPr>
          <w:lang w:val="fr-FR"/>
        </w:rPr>
        <w:t>ent ou en partie à des éléments </w:t>
      </w:r>
      <w:r w:rsidRPr="00CE22BA">
        <w:rPr>
          <w:lang w:val="fr-FR"/>
        </w:rPr>
        <w:t>des projets de Recommandation mentionnés dans l</w:t>
      </w:r>
      <w:r w:rsidR="00E57382">
        <w:rPr>
          <w:lang w:val="fr-FR"/>
        </w:rPr>
        <w:t>a présente lettre, est priée de </w:t>
      </w:r>
      <w:r w:rsidRPr="00CE22BA">
        <w:rPr>
          <w:lang w:val="fr-FR"/>
        </w:rPr>
        <w:t>transmettre lesdites informations au Secrétariat dans les meilleu</w:t>
      </w:r>
      <w:r w:rsidR="00E57382">
        <w:rPr>
          <w:lang w:val="fr-FR"/>
        </w:rPr>
        <w:t>rs délais. La politique commune </w:t>
      </w:r>
      <w:r w:rsidRPr="00CE22BA">
        <w:rPr>
          <w:lang w:val="fr-FR"/>
        </w:rPr>
        <w:t>en matière de brevets de l'UIT</w:t>
      </w:r>
      <w:r w:rsidRPr="00CE22BA">
        <w:rPr>
          <w:lang w:val="fr-FR"/>
        </w:rPr>
        <w:noBreakHyphen/>
        <w:t>T/UIT</w:t>
      </w:r>
      <w:r w:rsidRPr="00CE22BA">
        <w:rPr>
          <w:lang w:val="fr-FR"/>
        </w:rPr>
        <w:noBreakHyphen/>
        <w:t>R/ISO/CEI est disponible à l'adresse:</w:t>
      </w:r>
      <w:r w:rsidR="001A1A08">
        <w:rPr>
          <w:lang w:val="fr-FR"/>
        </w:rPr>
        <w:br/>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E53DCE" w:rsidP="0009714B">
      <w:pPr>
        <w:spacing w:before="1920" w:line="240" w:lineRule="auto"/>
        <w:jc w:val="left"/>
        <w:rPr>
          <w:szCs w:val="24"/>
          <w:lang w:val="fr-FR"/>
        </w:rPr>
      </w:pPr>
      <w:r w:rsidRPr="00CE22BA">
        <w:rPr>
          <w:szCs w:val="24"/>
          <w:lang w:val="fr-FR"/>
        </w:rPr>
        <w:t>François Rancy</w:t>
      </w:r>
      <w:r w:rsidRPr="00CE22BA">
        <w:rPr>
          <w:szCs w:val="24"/>
          <w:lang w:val="fr-FR"/>
        </w:rPr>
        <w:br/>
        <w:t xml:space="preserve">Directeur </w:t>
      </w:r>
    </w:p>
    <w:p w:rsidR="00A61881" w:rsidRPr="00A61881" w:rsidRDefault="00A61881" w:rsidP="00A61881">
      <w:pPr>
        <w:rPr>
          <w:lang w:val="fr-FR"/>
        </w:rPr>
      </w:pPr>
    </w:p>
    <w:p w:rsidR="00A61881" w:rsidRPr="00A61881" w:rsidRDefault="00A61881" w:rsidP="00A61881">
      <w:pPr>
        <w:rPr>
          <w:lang w:val="fr-FR"/>
        </w:rPr>
      </w:pPr>
    </w:p>
    <w:p w:rsidR="001B2948" w:rsidRPr="00CE22BA" w:rsidRDefault="001B2948" w:rsidP="00A61881">
      <w:pPr>
        <w:rPr>
          <w:bCs/>
          <w:lang w:val="fr-FR"/>
        </w:rPr>
      </w:pPr>
      <w:r w:rsidRPr="00CE22BA">
        <w:rPr>
          <w:b/>
          <w:bCs/>
          <w:lang w:val="fr-FR"/>
        </w:rPr>
        <w:t>Annexe 1:</w:t>
      </w:r>
      <w:r w:rsidRPr="00CE22BA">
        <w:rPr>
          <w:b/>
          <w:bCs/>
          <w:lang w:val="fr-FR"/>
        </w:rPr>
        <w:tab/>
      </w:r>
      <w:r w:rsidR="00A87B37">
        <w:rPr>
          <w:bCs/>
          <w:lang w:val="fr-FR"/>
        </w:rPr>
        <w:t>Titre</w:t>
      </w:r>
      <w:r w:rsidR="00CE22BA">
        <w:rPr>
          <w:bCs/>
          <w:lang w:val="fr-FR"/>
        </w:rPr>
        <w:t>s</w:t>
      </w:r>
      <w:r w:rsidR="00A87B37">
        <w:rPr>
          <w:bCs/>
          <w:lang w:val="fr-FR"/>
        </w:rPr>
        <w:t xml:space="preserve"> et résumé</w:t>
      </w:r>
      <w:r w:rsidR="00CE22BA">
        <w:rPr>
          <w:bCs/>
          <w:lang w:val="fr-FR"/>
        </w:rPr>
        <w:t>s d</w:t>
      </w:r>
      <w:r w:rsidRPr="00CE22BA">
        <w:rPr>
          <w:bCs/>
          <w:lang w:val="fr-FR"/>
        </w:rPr>
        <w:t>es projets de Recommandation</w:t>
      </w:r>
    </w:p>
    <w:p w:rsidR="001B2948" w:rsidRDefault="001B2948" w:rsidP="001B2948">
      <w:pPr>
        <w:rPr>
          <w:bCs/>
          <w:lang w:val="fr-FR"/>
        </w:rPr>
      </w:pPr>
      <w:r w:rsidRPr="00CE22BA">
        <w:rPr>
          <w:b/>
          <w:bCs/>
          <w:lang w:val="fr-FR"/>
        </w:rPr>
        <w:t>Annexe 2:</w:t>
      </w:r>
      <w:r w:rsidRPr="00CE22BA">
        <w:rPr>
          <w:b/>
          <w:bCs/>
          <w:lang w:val="fr-FR"/>
        </w:rPr>
        <w:tab/>
      </w:r>
      <w:r w:rsidR="00A87B37">
        <w:rPr>
          <w:bCs/>
          <w:lang w:val="fr-FR"/>
        </w:rPr>
        <w:t>Recommandation</w:t>
      </w:r>
      <w:r w:rsidRPr="00CE22BA">
        <w:rPr>
          <w:bCs/>
          <w:lang w:val="fr-FR"/>
        </w:rPr>
        <w:t xml:space="preserve"> dont la suppression est proposée</w:t>
      </w:r>
    </w:p>
    <w:p w:rsidR="00A61881" w:rsidRPr="00CE22BA" w:rsidRDefault="00A61881" w:rsidP="001B2948">
      <w:pPr>
        <w:rPr>
          <w:bCs/>
          <w:lang w:val="fr-FR"/>
        </w:rPr>
      </w:pPr>
    </w:p>
    <w:p w:rsidR="001B2948" w:rsidRPr="006E69EE" w:rsidRDefault="001B2948" w:rsidP="00EF221F">
      <w:pPr>
        <w:spacing w:line="240" w:lineRule="auto"/>
        <w:rPr>
          <w:lang w:val="fr-CH"/>
        </w:rPr>
      </w:pPr>
      <w:r w:rsidRPr="00CE22BA">
        <w:rPr>
          <w:b/>
          <w:bCs/>
          <w:lang w:val="fr-FR"/>
        </w:rPr>
        <w:t>Documents:</w:t>
      </w:r>
      <w:r w:rsidRPr="00CE22BA">
        <w:rPr>
          <w:b/>
          <w:bCs/>
          <w:lang w:val="fr-FR"/>
        </w:rPr>
        <w:tab/>
      </w:r>
      <w:r w:rsidR="006E69EE" w:rsidRPr="006E69EE">
        <w:rPr>
          <w:szCs w:val="24"/>
          <w:lang w:val="fr-CH"/>
        </w:rPr>
        <w:t xml:space="preserve">Documents </w:t>
      </w:r>
      <w:hyperlink r:id="rId11" w:history="1">
        <w:r w:rsidR="006E69EE" w:rsidRPr="00B5548A">
          <w:rPr>
            <w:rStyle w:val="Hyperlink"/>
            <w:szCs w:val="24"/>
            <w:lang w:val="fr-CH"/>
          </w:rPr>
          <w:t>6/12</w:t>
        </w:r>
      </w:hyperlink>
      <w:r w:rsidR="006E69EE" w:rsidRPr="006E69EE">
        <w:rPr>
          <w:szCs w:val="24"/>
          <w:lang w:val="fr-CH"/>
        </w:rPr>
        <w:t xml:space="preserve">, </w:t>
      </w:r>
      <w:hyperlink r:id="rId12" w:history="1">
        <w:r w:rsidR="006E69EE" w:rsidRPr="00B5548A">
          <w:rPr>
            <w:rStyle w:val="Hyperlink"/>
            <w:szCs w:val="24"/>
            <w:lang w:val="fr-CH"/>
          </w:rPr>
          <w:t>6/24</w:t>
        </w:r>
      </w:hyperlink>
      <w:r w:rsidR="006E69EE" w:rsidRPr="006E69EE">
        <w:rPr>
          <w:szCs w:val="24"/>
          <w:lang w:val="fr-CH"/>
        </w:rPr>
        <w:t>(R</w:t>
      </w:r>
      <w:r w:rsidR="00EF221F">
        <w:rPr>
          <w:szCs w:val="24"/>
          <w:lang w:val="fr-CH"/>
        </w:rPr>
        <w:t>é</w:t>
      </w:r>
      <w:r w:rsidR="006E69EE" w:rsidRPr="006E69EE">
        <w:rPr>
          <w:szCs w:val="24"/>
          <w:lang w:val="fr-CH"/>
        </w:rPr>
        <w:t>v.1)</w:t>
      </w:r>
      <w:r w:rsidR="006E69EE">
        <w:rPr>
          <w:szCs w:val="24"/>
          <w:lang w:val="fr-CH"/>
        </w:rPr>
        <w:t xml:space="preserve"> et</w:t>
      </w:r>
      <w:r w:rsidR="006E69EE" w:rsidRPr="006E69EE">
        <w:rPr>
          <w:szCs w:val="24"/>
          <w:lang w:val="fr-CH"/>
        </w:rPr>
        <w:t xml:space="preserve"> </w:t>
      </w:r>
      <w:hyperlink r:id="rId13" w:history="1">
        <w:r w:rsidR="006E69EE" w:rsidRPr="00B5548A">
          <w:rPr>
            <w:rStyle w:val="Hyperlink"/>
            <w:szCs w:val="24"/>
            <w:lang w:val="fr-CH"/>
          </w:rPr>
          <w:t>6/33</w:t>
        </w:r>
      </w:hyperlink>
      <w:r w:rsidR="006E69EE" w:rsidRPr="006E69EE">
        <w:rPr>
          <w:szCs w:val="24"/>
          <w:lang w:val="fr-CH"/>
        </w:rPr>
        <w:t>(R</w:t>
      </w:r>
      <w:r w:rsidR="00EF221F">
        <w:rPr>
          <w:szCs w:val="24"/>
          <w:lang w:val="fr-CH"/>
        </w:rPr>
        <w:t>é</w:t>
      </w:r>
      <w:r w:rsidR="006E69EE" w:rsidRPr="006E69EE">
        <w:rPr>
          <w:szCs w:val="24"/>
          <w:lang w:val="fr-CH"/>
        </w:rPr>
        <w:t>v.1)</w:t>
      </w:r>
    </w:p>
    <w:p w:rsidR="001B2948" w:rsidRPr="00CE22BA" w:rsidRDefault="001B2948" w:rsidP="00B24B82">
      <w:pPr>
        <w:jc w:val="left"/>
        <w:rPr>
          <w:lang w:val="fr-FR"/>
        </w:rPr>
      </w:pPr>
      <w:r w:rsidRPr="00CE22BA">
        <w:rPr>
          <w:lang w:val="fr-FR"/>
        </w:rPr>
        <w:t>Les documents sont disponibles en format électronique à l'adresse:</w:t>
      </w:r>
      <w:r w:rsidR="00B24B82">
        <w:rPr>
          <w:lang w:val="fr-FR"/>
        </w:rPr>
        <w:br/>
      </w:r>
      <w:hyperlink r:id="rId14" w:history="1">
        <w:r w:rsidR="006E69EE" w:rsidRPr="006E69EE">
          <w:rPr>
            <w:rStyle w:val="Hyperlink"/>
            <w:szCs w:val="24"/>
            <w:lang w:val="fr-CH"/>
          </w:rPr>
          <w:t>http://www.itu.int/md/R15-SG06-C/en</w:t>
        </w:r>
      </w:hyperlink>
    </w:p>
    <w:p w:rsidR="003736F8" w:rsidRDefault="003736F8" w:rsidP="00A40690">
      <w:pPr>
        <w:tabs>
          <w:tab w:val="left" w:pos="284"/>
          <w:tab w:val="left" w:pos="568"/>
        </w:tabs>
        <w:spacing w:after="120"/>
        <w:rPr>
          <w:szCs w:val="24"/>
          <w:u w:val="single"/>
          <w:lang w:val="fr-FR"/>
        </w:rPr>
      </w:pPr>
    </w:p>
    <w:p w:rsidR="006E69EE" w:rsidRPr="006E69EE" w:rsidRDefault="006E69EE" w:rsidP="00A40690">
      <w:pPr>
        <w:tabs>
          <w:tab w:val="left" w:pos="284"/>
          <w:tab w:val="left" w:pos="568"/>
        </w:tabs>
        <w:spacing w:after="120"/>
        <w:rPr>
          <w:szCs w:val="24"/>
          <w:u w:val="single"/>
          <w:lang w:val="fr-FR"/>
        </w:rPr>
      </w:pPr>
    </w:p>
    <w:p w:rsidR="00A40690" w:rsidRPr="00D32285" w:rsidRDefault="00A40690" w:rsidP="00B24B82">
      <w:pPr>
        <w:tabs>
          <w:tab w:val="left" w:pos="284"/>
          <w:tab w:val="left" w:pos="568"/>
        </w:tabs>
        <w:spacing w:before="2520" w:after="80"/>
        <w:rPr>
          <w:b/>
          <w:bCs/>
          <w:sz w:val="18"/>
          <w:szCs w:val="18"/>
          <w:lang w:val="fr-FR"/>
        </w:rPr>
      </w:pPr>
      <w:r w:rsidRPr="00D32285">
        <w:rPr>
          <w:b/>
          <w:bCs/>
          <w:sz w:val="18"/>
          <w:szCs w:val="18"/>
          <w:lang w:val="fr-FR"/>
        </w:rPr>
        <w:t>Distribution:</w:t>
      </w:r>
    </w:p>
    <w:p w:rsidR="00A40690" w:rsidRPr="00CE22BA" w:rsidRDefault="00A40690" w:rsidP="00837C88">
      <w:pPr>
        <w:tabs>
          <w:tab w:val="left" w:pos="284"/>
        </w:tabs>
        <w:spacing w:before="0" w:line="240" w:lineRule="auto"/>
        <w:ind w:left="284" w:hanging="284"/>
        <w:jc w:val="left"/>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6E69EE">
        <w:rPr>
          <w:bCs/>
          <w:sz w:val="18"/>
          <w:szCs w:val="18"/>
          <w:lang w:val="fr-FR"/>
        </w:rPr>
        <w:t>6</w:t>
      </w:r>
      <w:r w:rsidRPr="00CE22BA">
        <w:rPr>
          <w:bCs/>
          <w:sz w:val="18"/>
          <w:szCs w:val="18"/>
          <w:lang w:val="fr-FR"/>
        </w:rPr>
        <w:t xml:space="preserve"> des radiocommunications</w:t>
      </w:r>
    </w:p>
    <w:p w:rsidR="00A40690" w:rsidRPr="00CE22BA"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Associés de l'UIT-R participant aux tra</w:t>
      </w:r>
      <w:r w:rsidR="006E69EE">
        <w:rPr>
          <w:sz w:val="18"/>
          <w:szCs w:val="18"/>
          <w:lang w:val="fr-FR"/>
        </w:rPr>
        <w:t>vaux de la Commission d'études 6</w:t>
      </w:r>
      <w:r w:rsidRPr="00CE22BA">
        <w:rPr>
          <w:sz w:val="18"/>
          <w:szCs w:val="18"/>
          <w:lang w:val="fr-FR"/>
        </w:rPr>
        <w:t xml:space="preserve"> des radiocommunications </w:t>
      </w:r>
    </w:p>
    <w:p w:rsidR="00A40690" w:rsidRPr="00CE22BA"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Etablissements universitaires p</w:t>
      </w:r>
      <w:r w:rsidR="00FD612A">
        <w:rPr>
          <w:sz w:val="18"/>
          <w:szCs w:val="18"/>
          <w:lang w:val="fr-FR"/>
        </w:rPr>
        <w:t>articipant aux travaux de l'UIT</w:t>
      </w:r>
    </w:p>
    <w:p w:rsidR="001A1A08"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837C88">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1A1A08" w:rsidRDefault="00B61CEB" w:rsidP="001A1A08">
      <w:pPr>
        <w:pStyle w:val="AnnexNotitle0"/>
        <w:rPr>
          <w:rFonts w:asciiTheme="minorHAnsi" w:hAnsiTheme="minorHAnsi" w:cstheme="minorHAnsi"/>
          <w:szCs w:val="28"/>
          <w:lang w:val="fr-FR"/>
        </w:rPr>
      </w:pPr>
      <w:r w:rsidRPr="00092CEE">
        <w:rPr>
          <w:rFonts w:asciiTheme="minorHAnsi" w:hAnsiTheme="minorHAnsi" w:cstheme="minorHAnsi"/>
          <w:szCs w:val="28"/>
          <w:lang w:val="fr-FR"/>
        </w:rPr>
        <w:lastRenderedPageBreak/>
        <w:t>Annexe 1</w:t>
      </w:r>
    </w:p>
    <w:p w:rsidR="00B61CEB" w:rsidRDefault="00B61CEB" w:rsidP="001A1A08">
      <w:pPr>
        <w:pStyle w:val="AnnexNotitle0"/>
        <w:rPr>
          <w:rFonts w:asciiTheme="minorHAnsi" w:hAnsiTheme="minorHAnsi" w:cstheme="minorHAnsi"/>
          <w:szCs w:val="28"/>
          <w:lang w:val="fr-FR"/>
        </w:rPr>
      </w:pPr>
      <w:r w:rsidRPr="00092CEE">
        <w:rPr>
          <w:rFonts w:asciiTheme="minorHAnsi" w:hAnsiTheme="minorHAnsi" w:cstheme="minorHAnsi"/>
          <w:szCs w:val="28"/>
          <w:lang w:val="fr-FR"/>
        </w:rPr>
        <w:t>Titres et résumés des projets de Recommandation</w:t>
      </w:r>
    </w:p>
    <w:p w:rsidR="001A1A08" w:rsidRPr="001A1A08" w:rsidRDefault="001A1A08" w:rsidP="001A1A08">
      <w:pPr>
        <w:pStyle w:val="Normalaftertitle"/>
        <w:spacing w:before="160"/>
        <w:rPr>
          <w:lang w:val="fr-FR"/>
        </w:rPr>
      </w:pPr>
    </w:p>
    <w:p w:rsidR="00B61CEB" w:rsidRPr="00092CEE" w:rsidRDefault="00B61CEB" w:rsidP="001A1A08">
      <w:pPr>
        <w:tabs>
          <w:tab w:val="right" w:pos="9639"/>
        </w:tabs>
        <w:rPr>
          <w:rFonts w:asciiTheme="minorHAnsi" w:hAnsiTheme="minorHAnsi" w:cstheme="minorHAnsi"/>
          <w:szCs w:val="24"/>
          <w:lang w:val="fr-FR"/>
        </w:rPr>
      </w:pPr>
      <w:r w:rsidRPr="00092CEE">
        <w:rPr>
          <w:rFonts w:asciiTheme="minorHAnsi" w:hAnsiTheme="minorHAnsi" w:cstheme="minorHAnsi"/>
          <w:szCs w:val="24"/>
          <w:u w:val="single"/>
          <w:lang w:val="fr-FR"/>
        </w:rPr>
        <w:t>Projet de nouvelle Recommandation UIT-R BS.[ADM-DEFs]</w:t>
      </w:r>
      <w:r w:rsidRPr="00092CEE">
        <w:rPr>
          <w:rFonts w:asciiTheme="minorHAnsi" w:hAnsiTheme="minorHAnsi" w:cstheme="minorHAnsi"/>
          <w:szCs w:val="24"/>
          <w:lang w:val="fr-FR"/>
        </w:rPr>
        <w:tab/>
        <w:t>Doc. 6/12</w:t>
      </w:r>
    </w:p>
    <w:p w:rsidR="00B61CEB" w:rsidRPr="00092CEE" w:rsidRDefault="00B61CEB" w:rsidP="00B61CEB">
      <w:pPr>
        <w:pStyle w:val="Rectitle"/>
        <w:rPr>
          <w:lang w:val="fr-FR"/>
        </w:rPr>
      </w:pPr>
      <w:r w:rsidRPr="00092CEE">
        <w:rPr>
          <w:lang w:val="fr-FR"/>
        </w:rPr>
        <w:t>Définitions communes pour le Modèle de définition audio</w:t>
      </w:r>
    </w:p>
    <w:p w:rsidR="00B61CEB" w:rsidRDefault="00B61CEB" w:rsidP="00B61CEB">
      <w:pPr>
        <w:rPr>
          <w:szCs w:val="24"/>
          <w:lang w:val="fr-FR" w:eastAsia="zh-CN"/>
        </w:rPr>
      </w:pPr>
      <w:r w:rsidRPr="00092CEE">
        <w:rPr>
          <w:rFonts w:eastAsia="SimSun"/>
          <w:szCs w:val="24"/>
          <w:lang w:val="fr-FR" w:eastAsia="zh-CN"/>
        </w:rPr>
        <w:t>Ce projet de nouvelle Recommandation donne un ensemble de définitions communes pour les canaux audio et les configurations utilisant le Modèle de définition audio (Rec. UIT-R BS.2076). Les configurations des canaux comprennent celles décrites dans les Recommandations UIT-R BS.2051 (</w:t>
      </w:r>
      <w:r w:rsidRPr="00092CEE">
        <w:rPr>
          <w:szCs w:val="24"/>
          <w:lang w:val="fr-FR" w:eastAsia="zh-CN"/>
        </w:rPr>
        <w:t>Système sonore évolué pour la production de programmes) et UIT-R BS.775 (</w:t>
      </w:r>
      <w:r w:rsidRPr="00092CEE">
        <w:rPr>
          <w:szCs w:val="24"/>
          <w:lang w:val="fr-FR"/>
        </w:rPr>
        <w:t>Système de son stéréophonique multicanal avec ou sans image associée</w:t>
      </w:r>
      <w:r w:rsidRPr="00092CEE">
        <w:rPr>
          <w:szCs w:val="24"/>
          <w:lang w:val="fr-FR" w:eastAsia="zh-CN"/>
        </w:rPr>
        <w:t>).</w:t>
      </w:r>
    </w:p>
    <w:p w:rsidR="001A1A08" w:rsidRPr="00092CEE" w:rsidRDefault="001A1A08" w:rsidP="00B61CEB">
      <w:pPr>
        <w:rPr>
          <w:rFonts w:asciiTheme="minorHAnsi" w:hAnsiTheme="minorHAnsi" w:cstheme="minorHAnsi"/>
          <w:szCs w:val="24"/>
          <w:u w:val="single"/>
          <w:lang w:val="fr-FR"/>
        </w:rPr>
      </w:pPr>
    </w:p>
    <w:p w:rsidR="00B61CEB" w:rsidRPr="00092CEE" w:rsidRDefault="00B61CEB" w:rsidP="001A1A08">
      <w:pPr>
        <w:tabs>
          <w:tab w:val="right" w:pos="9639"/>
        </w:tabs>
        <w:rPr>
          <w:rFonts w:asciiTheme="minorHAnsi" w:hAnsiTheme="minorHAnsi" w:cstheme="minorHAnsi"/>
          <w:szCs w:val="24"/>
          <w:lang w:val="fr-FR"/>
        </w:rPr>
      </w:pPr>
      <w:r w:rsidRPr="00092CEE">
        <w:rPr>
          <w:rFonts w:asciiTheme="minorHAnsi" w:hAnsiTheme="minorHAnsi" w:cstheme="minorHAnsi"/>
          <w:szCs w:val="24"/>
          <w:u w:val="single"/>
          <w:lang w:val="fr-FR"/>
        </w:rPr>
        <w:t>Projet de nouvelle Recommandation UIT-R BT.[EVP]</w:t>
      </w:r>
      <w:r w:rsidRPr="00092CEE">
        <w:rPr>
          <w:rFonts w:asciiTheme="minorHAnsi" w:hAnsiTheme="minorHAnsi" w:cstheme="minorHAnsi"/>
          <w:szCs w:val="24"/>
          <w:lang w:val="fr-FR"/>
        </w:rPr>
        <w:tab/>
        <w:t>Doc. 6/33(Rév.1)</w:t>
      </w:r>
    </w:p>
    <w:p w:rsidR="00B61CEB" w:rsidRPr="00092CEE" w:rsidRDefault="00B61CEB" w:rsidP="00B61CEB">
      <w:pPr>
        <w:pStyle w:val="Rectitle"/>
        <w:rPr>
          <w:lang w:val="fr-FR"/>
        </w:rPr>
      </w:pPr>
      <w:r w:rsidRPr="00092CEE">
        <w:rPr>
          <w:lang w:val="fr-FR"/>
        </w:rPr>
        <w:t xml:space="preserve">Evaluation subjective de la qualité vidéo au moyen du protocole d'observation </w:t>
      </w:r>
      <w:r>
        <w:rPr>
          <w:lang w:val="fr-FR"/>
        </w:rPr>
        <w:t>par </w:t>
      </w:r>
      <w:r w:rsidRPr="00092CEE">
        <w:rPr>
          <w:lang w:val="fr-FR"/>
        </w:rPr>
        <w:t>des spécialistes (EVP)</w:t>
      </w:r>
    </w:p>
    <w:p w:rsidR="00B61CEB" w:rsidRPr="00092CEE" w:rsidRDefault="00B61CEB" w:rsidP="00B61CEB">
      <w:pPr>
        <w:rPr>
          <w:szCs w:val="24"/>
          <w:lang w:val="fr-FR"/>
        </w:rPr>
      </w:pPr>
      <w:r w:rsidRPr="00092CEE">
        <w:rPr>
          <w:rFonts w:eastAsia="SimSun"/>
          <w:szCs w:val="24"/>
          <w:lang w:val="fr-FR" w:eastAsia="zh-CN"/>
        </w:rPr>
        <w:t xml:space="preserve">Ce projet de nouvelle Recommandation décrit </w:t>
      </w:r>
      <w:r w:rsidRPr="00092CEE">
        <w:rPr>
          <w:szCs w:val="24"/>
          <w:lang w:val="fr-FR"/>
        </w:rPr>
        <w:t>la méthode d'évaluation subjective de la qualité vidéo d'images animées au moyen du protocole d'observation par des spécialistes (EVP), avec la participation d'un nombre réduit d'observateurs, tous choisis parmi les spécialistes du domaine correspondant du traitement vidéo.</w:t>
      </w:r>
    </w:p>
    <w:p w:rsidR="00B61CEB" w:rsidRDefault="00B61CEB" w:rsidP="00B61CEB">
      <w:pPr>
        <w:rPr>
          <w:szCs w:val="24"/>
          <w:lang w:val="fr-FR"/>
        </w:rPr>
      </w:pPr>
      <w:r w:rsidRPr="00092CEE">
        <w:rPr>
          <w:szCs w:val="24"/>
          <w:lang w:val="fr-FR"/>
        </w:rPr>
        <w:t>Une évaluation au moyen du protocole EVP prend moins de temps qu'une évaluation subjective formelle et peut être menée dans un environnement «informel» en l'absence de perturbations extérieures visuelles et auditives. Cela signifie qu'elle peut se dérouler même si aucun laboratoire de test n'est disponible, dans l'hypothèse où l'éclairage ambiant et les conditions d'observation (type d'écran, angle et distance d'observation) appliqués sont conformes à ce qui est décrit dans la méthode. Il a été démontré qu'une évaluation au moyen du protocole EVP pouvait fournir des résultats acceptables.</w:t>
      </w:r>
    </w:p>
    <w:p w:rsidR="001A1A08" w:rsidRPr="00092CEE" w:rsidRDefault="001A1A08" w:rsidP="00B61CEB">
      <w:pPr>
        <w:rPr>
          <w:szCs w:val="24"/>
          <w:lang w:val="fr-FR"/>
        </w:rPr>
      </w:pPr>
    </w:p>
    <w:p w:rsidR="00B61CEB" w:rsidRPr="00092CEE" w:rsidRDefault="00B61CEB" w:rsidP="001A1A08">
      <w:pPr>
        <w:tabs>
          <w:tab w:val="right" w:pos="9639"/>
        </w:tabs>
        <w:rPr>
          <w:rFonts w:asciiTheme="minorHAnsi" w:hAnsiTheme="minorHAnsi" w:cstheme="minorHAnsi"/>
          <w:szCs w:val="24"/>
          <w:lang w:val="fr-FR"/>
        </w:rPr>
      </w:pPr>
      <w:r w:rsidRPr="00092CEE">
        <w:rPr>
          <w:rFonts w:asciiTheme="minorHAnsi" w:hAnsiTheme="minorHAnsi" w:cstheme="minorHAnsi"/>
          <w:szCs w:val="24"/>
          <w:u w:val="single"/>
          <w:lang w:val="fr-FR"/>
        </w:rPr>
        <w:t>Projet de révision de la Recommandation UIT-R BT.1206-2</w:t>
      </w:r>
      <w:r w:rsidRPr="00092CEE">
        <w:rPr>
          <w:rFonts w:asciiTheme="minorHAnsi" w:hAnsiTheme="minorHAnsi" w:cstheme="minorHAnsi"/>
          <w:szCs w:val="24"/>
          <w:lang w:val="fr-FR"/>
        </w:rPr>
        <w:tab/>
        <w:t>Doc. 6/24(Rév.1)</w:t>
      </w:r>
    </w:p>
    <w:p w:rsidR="00B61CEB" w:rsidRPr="00092CEE" w:rsidRDefault="00B61CEB" w:rsidP="00B61CEB">
      <w:pPr>
        <w:pStyle w:val="Rectitle"/>
        <w:rPr>
          <w:b w:val="0"/>
          <w:bCs/>
          <w:szCs w:val="28"/>
          <w:lang w:val="fr-FR" w:eastAsia="zh-CN"/>
        </w:rPr>
      </w:pPr>
      <w:r w:rsidRPr="00092CEE">
        <w:rPr>
          <w:bCs/>
          <w:szCs w:val="28"/>
          <w:lang w:val="fr-FR" w:eastAsia="zh-CN"/>
        </w:rPr>
        <w:t xml:space="preserve">Gabarits de limite spectrale </w:t>
      </w:r>
      <w:r w:rsidRPr="00092CEE">
        <w:rPr>
          <w:lang w:val="fr-FR"/>
        </w:rPr>
        <w:t>pour</w:t>
      </w:r>
      <w:r w:rsidRPr="00092CEE">
        <w:rPr>
          <w:bCs/>
          <w:szCs w:val="28"/>
          <w:lang w:val="fr-FR" w:eastAsia="zh-CN"/>
        </w:rPr>
        <w:t xml:space="preserve"> la radiodiffusion télévisuelle numérique de Terre</w:t>
      </w:r>
    </w:p>
    <w:p w:rsidR="00B61CEB" w:rsidRPr="00092CEE" w:rsidRDefault="00B61CEB" w:rsidP="00B61CEB">
      <w:pPr>
        <w:rPr>
          <w:szCs w:val="24"/>
          <w:lang w:val="fr-FR" w:eastAsia="zh-CN"/>
        </w:rPr>
      </w:pPr>
      <w:r w:rsidRPr="00092CEE">
        <w:rPr>
          <w:szCs w:val="24"/>
          <w:lang w:val="fr-FR" w:eastAsia="zh-CN"/>
        </w:rPr>
        <w:t>Cette révision a pour objet d'ajouter dans l'Annexe 2 les gabarits de limite spectrale propres au système B (DVB-T) utilisant un découpage en canaux de 6 MHz. Les valeurs sont cohérentes avec un gabarit qui serait extrapolé à partir des gabarits pour des canaux de 7 et 8 MHz pour le système DVB-T. Les gabarits sont ceux utilisés par l'Universitat Politècnica de València dans ses études relatives à la planification et à l'optimisation des fréquences et des réseaux pour le système DVB-T2 en Colombie.</w:t>
      </w:r>
    </w:p>
    <w:p w:rsidR="00B61CEB" w:rsidRPr="00092CEE" w:rsidRDefault="00B61CEB" w:rsidP="00B61CE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092CEE">
        <w:rPr>
          <w:rFonts w:asciiTheme="minorHAnsi" w:hAnsiTheme="minorHAnsi" w:cstheme="minorHAnsi"/>
          <w:sz w:val="28"/>
          <w:szCs w:val="28"/>
          <w:lang w:val="fr-FR"/>
        </w:rPr>
        <w:br w:type="page"/>
      </w:r>
    </w:p>
    <w:p w:rsidR="00B61CEB" w:rsidRPr="00092CEE" w:rsidRDefault="00B61CEB" w:rsidP="00B61CEB">
      <w:pPr>
        <w:pStyle w:val="AnnexNoTitle"/>
        <w:rPr>
          <w:rFonts w:asciiTheme="minorHAnsi" w:hAnsiTheme="minorHAnsi" w:cstheme="minorHAnsi"/>
          <w:sz w:val="28"/>
          <w:szCs w:val="28"/>
          <w:lang w:val="fr-FR"/>
        </w:rPr>
      </w:pPr>
      <w:r w:rsidRPr="00092CEE">
        <w:rPr>
          <w:rFonts w:asciiTheme="minorHAnsi" w:hAnsiTheme="minorHAnsi" w:cstheme="minorHAnsi"/>
          <w:sz w:val="28"/>
          <w:szCs w:val="28"/>
          <w:lang w:val="fr-FR"/>
        </w:rPr>
        <w:lastRenderedPageBreak/>
        <w:t>Annexe 2</w:t>
      </w:r>
    </w:p>
    <w:p w:rsidR="00B61CEB" w:rsidRPr="00092CEE" w:rsidRDefault="00B61CEB" w:rsidP="00B61CEB">
      <w:pPr>
        <w:spacing w:before="240"/>
        <w:jc w:val="center"/>
        <w:rPr>
          <w:rFonts w:asciiTheme="minorHAnsi" w:hAnsiTheme="minorHAnsi" w:cstheme="minorHAnsi"/>
          <w:szCs w:val="24"/>
          <w:lang w:val="fr-FR"/>
        </w:rPr>
      </w:pPr>
      <w:r w:rsidRPr="00092CEE">
        <w:rPr>
          <w:rFonts w:asciiTheme="minorHAnsi" w:hAnsiTheme="minorHAnsi" w:cstheme="minorHAnsi"/>
          <w:szCs w:val="24"/>
          <w:lang w:val="fr-FR"/>
        </w:rPr>
        <w:t>(Source: Document 6/29)</w:t>
      </w:r>
    </w:p>
    <w:p w:rsidR="00B61CEB" w:rsidRDefault="00B61CEB" w:rsidP="00B61CEB">
      <w:pPr>
        <w:pStyle w:val="AnnexNoTitle"/>
        <w:spacing w:before="480" w:after="360"/>
        <w:rPr>
          <w:rFonts w:asciiTheme="minorHAnsi" w:hAnsiTheme="minorHAnsi" w:cstheme="minorHAnsi"/>
          <w:bCs/>
          <w:sz w:val="28"/>
          <w:szCs w:val="28"/>
          <w:lang w:val="fr-FR"/>
        </w:rPr>
      </w:pPr>
      <w:r w:rsidRPr="00092CEE">
        <w:rPr>
          <w:rFonts w:asciiTheme="minorHAnsi" w:hAnsiTheme="minorHAnsi" w:cstheme="minorHAnsi"/>
          <w:sz w:val="28"/>
          <w:szCs w:val="28"/>
          <w:lang w:val="fr-FR"/>
        </w:rPr>
        <w:t>Recommandation</w:t>
      </w:r>
      <w:r w:rsidRPr="00092CEE">
        <w:rPr>
          <w:rFonts w:asciiTheme="minorHAnsi" w:hAnsiTheme="minorHAnsi" w:cstheme="minorHAnsi"/>
          <w:bCs/>
          <w:sz w:val="28"/>
          <w:szCs w:val="28"/>
          <w:lang w:val="fr-FR"/>
        </w:rPr>
        <w:t xml:space="preserve"> dont la suppression est proposée</w:t>
      </w:r>
    </w:p>
    <w:p w:rsidR="001A1A08" w:rsidRPr="001A1A08" w:rsidRDefault="001A1A08" w:rsidP="001A1A08">
      <w:pPr>
        <w:pStyle w:val="Normalaftertitle"/>
        <w:rPr>
          <w:lang w:val="fr-FR"/>
        </w:rPr>
      </w:pPr>
    </w:p>
    <w:tbl>
      <w:tblPr>
        <w:tblStyle w:val="TableGrid"/>
        <w:tblW w:w="0" w:type="auto"/>
        <w:tblLook w:val="04A0" w:firstRow="1" w:lastRow="0" w:firstColumn="1" w:lastColumn="0" w:noHBand="0" w:noVBand="1"/>
      </w:tblPr>
      <w:tblGrid>
        <w:gridCol w:w="1942"/>
        <w:gridCol w:w="7687"/>
      </w:tblGrid>
      <w:tr w:rsidR="00B61CEB" w:rsidRPr="00092CEE" w:rsidTr="00C266D2">
        <w:tc>
          <w:tcPr>
            <w:tcW w:w="1951" w:type="dxa"/>
          </w:tcPr>
          <w:p w:rsidR="00B61CEB" w:rsidRPr="00092CEE" w:rsidRDefault="00B61CEB" w:rsidP="00C266D2">
            <w:pPr>
              <w:pStyle w:val="Tablehead"/>
              <w:rPr>
                <w:lang w:val="fr-FR"/>
              </w:rPr>
            </w:pPr>
            <w:r w:rsidRPr="00092CEE">
              <w:rPr>
                <w:lang w:val="fr-FR"/>
              </w:rPr>
              <w:t>Recommandation UIT-R</w:t>
            </w:r>
          </w:p>
        </w:tc>
        <w:tc>
          <w:tcPr>
            <w:tcW w:w="7904" w:type="dxa"/>
          </w:tcPr>
          <w:p w:rsidR="00B61CEB" w:rsidRPr="00092CEE" w:rsidRDefault="00B61CEB" w:rsidP="00C266D2">
            <w:pPr>
              <w:pStyle w:val="Tablehead"/>
              <w:rPr>
                <w:lang w:val="fr-FR"/>
              </w:rPr>
            </w:pPr>
            <w:r w:rsidRPr="00092CEE">
              <w:rPr>
                <w:lang w:val="fr-FR"/>
              </w:rPr>
              <w:t>Titre</w:t>
            </w:r>
          </w:p>
        </w:tc>
      </w:tr>
      <w:tr w:rsidR="00B61CEB" w:rsidRPr="00EB6050" w:rsidTr="00C266D2">
        <w:tc>
          <w:tcPr>
            <w:tcW w:w="1951" w:type="dxa"/>
          </w:tcPr>
          <w:p w:rsidR="00B61CEB" w:rsidRPr="00092CEE" w:rsidRDefault="00B61CEB">
            <w:pPr>
              <w:pStyle w:val="Tabletext"/>
              <w:jc w:val="center"/>
              <w:rPr>
                <w:rFonts w:asciiTheme="minorHAnsi" w:hAnsiTheme="minorHAnsi"/>
                <w:szCs w:val="20"/>
                <w:lang w:val="fr-FR"/>
              </w:rPr>
              <w:pPrChange w:id="1" w:author="Mostyn-Jones, Elizabeth" w:date="2016-02-10T15:27:00Z">
                <w:pPr>
                  <w:pStyle w:val="Tabletext"/>
                </w:pPr>
              </w:pPrChange>
            </w:pPr>
            <w:r w:rsidRPr="00092CEE">
              <w:rPr>
                <w:rFonts w:asciiTheme="minorHAnsi" w:hAnsiTheme="minorHAnsi"/>
                <w:szCs w:val="20"/>
                <w:lang w:val="fr-FR"/>
              </w:rPr>
              <w:t>BT.1384-2</w:t>
            </w:r>
          </w:p>
        </w:tc>
        <w:tc>
          <w:tcPr>
            <w:tcW w:w="7904" w:type="dxa"/>
          </w:tcPr>
          <w:p w:rsidR="00B61CEB" w:rsidRPr="00092CEE" w:rsidRDefault="00B61CEB" w:rsidP="00C266D2">
            <w:pPr>
              <w:pStyle w:val="Tabletext"/>
              <w:rPr>
                <w:rFonts w:asciiTheme="minorHAnsi" w:hAnsiTheme="minorHAnsi"/>
                <w:szCs w:val="20"/>
                <w:lang w:val="fr-FR"/>
              </w:rPr>
            </w:pPr>
            <w:r w:rsidRPr="00092CEE">
              <w:rPr>
                <w:rFonts w:asciiTheme="minorHAnsi" w:hAnsiTheme="minorHAnsi"/>
                <w:color w:val="000000"/>
                <w:szCs w:val="20"/>
                <w:lang w:val="fr-FR"/>
              </w:rPr>
              <w:t>Paramètres pour l'échange international d'enregistrements sonores multivoie avec ou sans image associée</w:t>
            </w:r>
          </w:p>
        </w:tc>
      </w:tr>
    </w:tbl>
    <w:p w:rsidR="00B61CEB" w:rsidRPr="00092CEE" w:rsidRDefault="00B61CEB" w:rsidP="00B61CEB">
      <w:pPr>
        <w:rPr>
          <w:lang w:val="fr-FR"/>
        </w:rPr>
      </w:pPr>
    </w:p>
    <w:p w:rsidR="00B61CEB" w:rsidRPr="00EA460F" w:rsidRDefault="00B61CEB" w:rsidP="00EA460F">
      <w:pPr>
        <w:jc w:val="center"/>
        <w:rPr>
          <w:lang w:val="fr-FR"/>
        </w:rPr>
      </w:pPr>
      <w:r w:rsidRPr="00092CEE">
        <w:rPr>
          <w:lang w:val="fr-FR"/>
        </w:rPr>
        <w:t>______________</w:t>
      </w:r>
    </w:p>
    <w:sectPr w:rsidR="00B61CEB" w:rsidRPr="00EA460F" w:rsidSect="001C6A2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09" w:rsidRDefault="00FB7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46" w:rsidRPr="00EF221F" w:rsidRDefault="00FB0446" w:rsidP="00EF221F">
    <w:pPr>
      <w:pStyle w:val="Footer"/>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F5AA5" w:rsidRDefault="001B2948" w:rsidP="0088443B">
    <w:pPr>
      <w:pStyle w:val="FirstFooter"/>
      <w:spacing w:line="240" w:lineRule="auto"/>
      <w:ind w:left="-397" w:right="-397"/>
      <w:jc w:val="center"/>
      <w:rPr>
        <w:sz w:val="18"/>
        <w:szCs w:val="18"/>
        <w:lang w:val="fr-CH"/>
      </w:rPr>
    </w:pPr>
    <w:r w:rsidRPr="00A40690">
      <w:rPr>
        <w:color w:val="3E8EDE"/>
        <w:sz w:val="18"/>
        <w:szCs w:val="18"/>
        <w:lang w:val="fr-CH"/>
      </w:rPr>
      <w:t>Union internationale des télécommunications • Place des Nations • CH</w:t>
    </w:r>
    <w:r w:rsidRPr="00A40690">
      <w:rPr>
        <w:color w:val="3E8EDE"/>
        <w:sz w:val="18"/>
        <w:szCs w:val="18"/>
        <w:lang w:val="fr-CH"/>
      </w:rPr>
      <w:noBreakHyphen/>
      <w:t xml:space="preserve">1211 Genève 20 • Suisse </w:t>
    </w:r>
    <w:r w:rsidRPr="00A40690">
      <w:rPr>
        <w:color w:val="3E8EDE"/>
        <w:sz w:val="18"/>
        <w:szCs w:val="18"/>
        <w:lang w:val="fr-CH"/>
      </w:rPr>
      <w:br/>
      <w:t>Tél</w:t>
    </w:r>
    <w:r>
      <w:rPr>
        <w:color w:val="3E8EDE"/>
        <w:sz w:val="18"/>
        <w:szCs w:val="18"/>
        <w:lang w:val="fr-CH"/>
      </w:rPr>
      <w:t>.</w:t>
    </w:r>
    <w:r w:rsidRPr="00A40690">
      <w:rPr>
        <w:color w:val="3E8EDE"/>
        <w:sz w:val="18"/>
        <w:szCs w:val="18"/>
        <w:lang w:val="fr-CH"/>
      </w:rPr>
      <w:t xml:space="preserve">: +41 22 730 5111 • Fax: +41 22 733 7256 • </w:t>
    </w:r>
    <w:r w:rsidRPr="00A40690">
      <w:rPr>
        <w:color w:val="3E8EDE"/>
        <w:sz w:val="18"/>
        <w:szCs w:val="18"/>
        <w:lang w:val="fr-CH"/>
      </w:rPr>
      <w:br/>
      <w:t>Courriel:</w:t>
    </w:r>
    <w:r w:rsidRPr="00E53DCE">
      <w:rPr>
        <w:sz w:val="18"/>
        <w:szCs w:val="18"/>
        <w:lang w:val="fr-FR"/>
      </w:rPr>
      <w:t xml:space="preserve"> </w:t>
    </w:r>
    <w:hyperlink r:id="rId1" w:history="1">
      <w:r w:rsidRPr="00A40690">
        <w:rPr>
          <w:rStyle w:val="Hyperlink"/>
          <w:color w:val="3E8EDE"/>
          <w:sz w:val="18"/>
          <w:szCs w:val="18"/>
          <w:lang w:val="fr-CH"/>
        </w:rPr>
        <w:t>itumail@itu.int</w:t>
      </w:r>
    </w:hyperlink>
    <w:r w:rsidRPr="00A40690">
      <w:rPr>
        <w:color w:val="3E8EDE"/>
        <w:sz w:val="18"/>
        <w:szCs w:val="18"/>
        <w:lang w:val="fr-CH"/>
      </w:rPr>
      <w:t xml:space="preserve"> • </w:t>
    </w:r>
    <w:hyperlink r:id="rId2" w:history="1">
      <w:r w:rsidRPr="00A40690">
        <w:rPr>
          <w:rStyle w:val="Hyperlink"/>
          <w:color w:val="3E8EDE"/>
          <w:sz w:val="18"/>
          <w:szCs w:val="18"/>
          <w:lang w:val="fr-CH"/>
        </w:rPr>
        <w:t>www.itu.int</w:t>
      </w:r>
    </w:hyperlink>
    <w:r w:rsidRPr="00A40690">
      <w:rPr>
        <w:color w:val="3E8EDE"/>
        <w:sz w:val="18"/>
        <w:szCs w:val="18"/>
        <w:lang w:val="fr-CH"/>
      </w:rPr>
      <w:t xml:space="preserve"> • </w:t>
    </w:r>
    <w:hyperlink r:id="rId3" w:history="1">
      <w:r w:rsidRPr="00A40690">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B6050">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EB6050">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2948" w:rsidTr="00C236AF">
      <w:tc>
        <w:tcPr>
          <w:tcW w:w="5031" w:type="dxa"/>
        </w:tcPr>
        <w:p w:rsidR="001B2948" w:rsidRDefault="001B2948"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2948" w:rsidRDefault="001B2948"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2948" w:rsidRPr="00C236AF" w:rsidRDefault="001B2948"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714B"/>
    <w:rsid w:val="000A096A"/>
    <w:rsid w:val="000A375E"/>
    <w:rsid w:val="000A41C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1A08"/>
    <w:rsid w:val="001B2948"/>
    <w:rsid w:val="001B351B"/>
    <w:rsid w:val="001B42C9"/>
    <w:rsid w:val="001B79E0"/>
    <w:rsid w:val="001C06DB"/>
    <w:rsid w:val="001C6971"/>
    <w:rsid w:val="001C6A22"/>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635"/>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83AD9"/>
    <w:rsid w:val="006864DE"/>
    <w:rsid w:val="006A1EA5"/>
    <w:rsid w:val="006A518B"/>
    <w:rsid w:val="006B0590"/>
    <w:rsid w:val="006B49DA"/>
    <w:rsid w:val="006C53F8"/>
    <w:rsid w:val="006C7CDE"/>
    <w:rsid w:val="006E69EE"/>
    <w:rsid w:val="007234B1"/>
    <w:rsid w:val="00723D08"/>
    <w:rsid w:val="00725FDA"/>
    <w:rsid w:val="00727816"/>
    <w:rsid w:val="00730B9A"/>
    <w:rsid w:val="00732163"/>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7C88"/>
    <w:rsid w:val="00854131"/>
    <w:rsid w:val="008553DE"/>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13B7"/>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1881"/>
    <w:rsid w:val="00A63355"/>
    <w:rsid w:val="00A7596D"/>
    <w:rsid w:val="00A87B37"/>
    <w:rsid w:val="00A963DF"/>
    <w:rsid w:val="00AA211B"/>
    <w:rsid w:val="00AC0C22"/>
    <w:rsid w:val="00AC3896"/>
    <w:rsid w:val="00AC6E33"/>
    <w:rsid w:val="00AD2CF2"/>
    <w:rsid w:val="00AE2D88"/>
    <w:rsid w:val="00AE5C22"/>
    <w:rsid w:val="00AE6F6F"/>
    <w:rsid w:val="00AF2EF6"/>
    <w:rsid w:val="00AF3325"/>
    <w:rsid w:val="00AF34D9"/>
    <w:rsid w:val="00AF70DA"/>
    <w:rsid w:val="00B019D3"/>
    <w:rsid w:val="00B24B82"/>
    <w:rsid w:val="00B34CF9"/>
    <w:rsid w:val="00B37559"/>
    <w:rsid w:val="00B4054B"/>
    <w:rsid w:val="00B5548A"/>
    <w:rsid w:val="00B579B0"/>
    <w:rsid w:val="00B57D11"/>
    <w:rsid w:val="00B61CEB"/>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D70"/>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3FFA"/>
    <w:rsid w:val="00CE463D"/>
    <w:rsid w:val="00D10BA0"/>
    <w:rsid w:val="00D21694"/>
    <w:rsid w:val="00D24EB5"/>
    <w:rsid w:val="00D3228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2AE0"/>
    <w:rsid w:val="00E04C86"/>
    <w:rsid w:val="00E17344"/>
    <w:rsid w:val="00E20189"/>
    <w:rsid w:val="00E20F30"/>
    <w:rsid w:val="00E2189C"/>
    <w:rsid w:val="00E25BB1"/>
    <w:rsid w:val="00E27BBA"/>
    <w:rsid w:val="00E30E3F"/>
    <w:rsid w:val="00E35E8F"/>
    <w:rsid w:val="00E428AB"/>
    <w:rsid w:val="00E438E8"/>
    <w:rsid w:val="00E453A3"/>
    <w:rsid w:val="00E520E2"/>
    <w:rsid w:val="00E530C4"/>
    <w:rsid w:val="00E53DCE"/>
    <w:rsid w:val="00E55996"/>
    <w:rsid w:val="00E57382"/>
    <w:rsid w:val="00E64254"/>
    <w:rsid w:val="00E67928"/>
    <w:rsid w:val="00E70FB5"/>
    <w:rsid w:val="00E915AF"/>
    <w:rsid w:val="00E96415"/>
    <w:rsid w:val="00EA15B3"/>
    <w:rsid w:val="00EA2C83"/>
    <w:rsid w:val="00EA460F"/>
    <w:rsid w:val="00EB2358"/>
    <w:rsid w:val="00EB3EB8"/>
    <w:rsid w:val="00EB6050"/>
    <w:rsid w:val="00EC00EF"/>
    <w:rsid w:val="00EC02FE"/>
    <w:rsid w:val="00EC4A96"/>
    <w:rsid w:val="00EE03A0"/>
    <w:rsid w:val="00EE1A57"/>
    <w:rsid w:val="00EF221F"/>
    <w:rsid w:val="00F27057"/>
    <w:rsid w:val="00F34387"/>
    <w:rsid w:val="00F424BF"/>
    <w:rsid w:val="00F44FC3"/>
    <w:rsid w:val="00F46107"/>
    <w:rsid w:val="00F468C5"/>
    <w:rsid w:val="00F52F39"/>
    <w:rsid w:val="00F6184F"/>
    <w:rsid w:val="00F73DBD"/>
    <w:rsid w:val="00F8310E"/>
    <w:rsid w:val="00F914DD"/>
    <w:rsid w:val="00FA2358"/>
    <w:rsid w:val="00FB0446"/>
    <w:rsid w:val="00FB2592"/>
    <w:rsid w:val="00FB2810"/>
    <w:rsid w:val="00FB7809"/>
    <w:rsid w:val="00FB7A2C"/>
    <w:rsid w:val="00FC2898"/>
    <w:rsid w:val="00FC2947"/>
    <w:rsid w:val="00FD612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RectitleChar">
    <w:name w:val="Rec_title Char"/>
    <w:link w:val="Rectitle"/>
    <w:rsid w:val="00B61CEB"/>
    <w:rPr>
      <w:b/>
      <w:sz w:val="28"/>
      <w:szCs w:val="22"/>
      <w:lang w:val="en-US" w:eastAsia="en-US"/>
    </w:rPr>
  </w:style>
  <w:style w:type="character" w:customStyle="1" w:styleId="TabletextChar">
    <w:name w:val="Table_text Char"/>
    <w:link w:val="Tabletext"/>
    <w:uiPriority w:val="99"/>
    <w:locked/>
    <w:rsid w:val="00B61CEB"/>
    <w:rPr>
      <w:szCs w:val="22"/>
      <w:lang w:val="en-US" w:eastAsia="en-US"/>
    </w:rPr>
  </w:style>
  <w:style w:type="character" w:customStyle="1" w:styleId="TableheadChar">
    <w:name w:val="Table_head Char"/>
    <w:basedOn w:val="DefaultParagraphFont"/>
    <w:link w:val="Tablehead"/>
    <w:uiPriority w:val="99"/>
    <w:locked/>
    <w:rsid w:val="00B61CEB"/>
    <w:rPr>
      <w:b/>
      <w:szCs w:val="22"/>
      <w:lang w:val="en-US" w:eastAsia="en-US"/>
    </w:rPr>
  </w:style>
  <w:style w:type="character" w:styleId="FollowedHyperlink">
    <w:name w:val="FollowedHyperlink"/>
    <w:basedOn w:val="DefaultParagraphFont"/>
    <w:semiHidden/>
    <w:unhideWhenUsed/>
    <w:rsid w:val="00AC6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6-C-0033/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6-C-002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1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www.itu.int/en/ITU-T/ipr/Pages/policy.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md/R15-SG06-C/en"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344025DFC9400D9389897788A04F2F"/>
        <w:category>
          <w:name w:val="General"/>
          <w:gallery w:val="placeholder"/>
        </w:category>
        <w:types>
          <w:type w:val="bbPlcHdr"/>
        </w:types>
        <w:behaviors>
          <w:behavior w:val="content"/>
        </w:behaviors>
        <w:guid w:val="{EBFD7A29-4A2C-4487-ABD3-D55FAE2EB1FD}"/>
      </w:docPartPr>
      <w:docPartBody>
        <w:p w:rsidR="00FC6C0D" w:rsidRDefault="00A84296" w:rsidP="00A84296">
          <w:pPr>
            <w:pStyle w:val="6D344025DFC9400D9389897788A04F2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A84296"/>
    <w:rsid w:val="00E0314F"/>
    <w:rsid w:val="00FC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296"/>
    <w:rPr>
      <w:color w:val="808080"/>
    </w:rPr>
  </w:style>
  <w:style w:type="paragraph" w:customStyle="1" w:styleId="EE049E3FC0BC4FC480B1CFA3C78068C9">
    <w:name w:val="EE049E3FC0BC4FC480B1CFA3C78068C9"/>
  </w:style>
  <w:style w:type="paragraph" w:customStyle="1" w:styleId="6D344025DFC9400D9389897788A04F2F">
    <w:name w:val="6D344025DFC9400D9389897788A04F2F"/>
    <w:rsid w:val="00A84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7E3-E0EA-46F5-8265-BC6A5962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4</Pages>
  <Words>935</Words>
  <Characters>6263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5</cp:revision>
  <cp:lastPrinted>2016-02-29T09:46:00Z</cp:lastPrinted>
  <dcterms:created xsi:type="dcterms:W3CDTF">2016-02-25T07:22:00Z</dcterms:created>
  <dcterms:modified xsi:type="dcterms:W3CDTF">2016-02-29T09:46:00Z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