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6160CB"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 Administrativa</w:t>
            </w:r>
          </w:p>
          <w:p w:rsidR="00E53DCE" w:rsidRPr="0033029C" w:rsidRDefault="00C6275B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7C08E6">
              <w:rPr>
                <w:b/>
                <w:bCs/>
                <w:szCs w:val="24"/>
              </w:rPr>
              <w:t>CACE/</w:t>
            </w:r>
            <w:r>
              <w:rPr>
                <w:b/>
                <w:bCs/>
                <w:szCs w:val="24"/>
              </w:rPr>
              <w:t>710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C6275B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F25219">
              <w:rPr>
                <w:bCs/>
                <w:szCs w:val="24"/>
              </w:rPr>
              <w:t>30</w:t>
            </w:r>
            <w:r w:rsidRPr="00F25219">
              <w:rPr>
                <w:bCs/>
                <w:szCs w:val="24"/>
                <w:lang w:val="es-ES_tradnl"/>
              </w:rPr>
              <w:t xml:space="preserve"> de enero de 2015</w:t>
            </w:r>
          </w:p>
        </w:tc>
      </w:tr>
      <w:tr w:rsidR="00E53DCE" w:rsidRPr="0033029C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FA5B57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C6275B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90201F">
              <w:rPr>
                <w:b/>
                <w:bCs/>
                <w:szCs w:val="24"/>
                <w:lang w:val="es-ES"/>
              </w:rPr>
              <w:t>A las Administraciones de los Estados Miembros de la UIT, a los Miembros</w:t>
            </w:r>
            <w:r w:rsidRPr="0090201F">
              <w:rPr>
                <w:b/>
                <w:bCs/>
                <w:szCs w:val="24"/>
                <w:lang w:val="es-ES"/>
              </w:rPr>
              <w:br/>
              <w:t>de Sector de Radiocomunicaciones y a los Asociados del UIT-R que participan</w:t>
            </w:r>
            <w:r w:rsidRPr="0090201F">
              <w:rPr>
                <w:b/>
                <w:bCs/>
                <w:szCs w:val="24"/>
                <w:lang w:val="es-ES"/>
              </w:rPr>
              <w:br/>
              <w:t>en los trabajos de la Comisión de Estudio 5 de Radiocomunicaciones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C6275B" w:rsidRPr="00FA5B57" w:rsidTr="006160CB">
        <w:tc>
          <w:tcPr>
            <w:tcW w:w="1526" w:type="dxa"/>
            <w:shd w:val="clear" w:color="auto" w:fill="auto"/>
          </w:tcPr>
          <w:p w:rsidR="00C6275B" w:rsidRPr="0033029C" w:rsidRDefault="00C6275B" w:rsidP="00C6275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 w:rsidRPr="0033029C">
              <w:rPr>
                <w:szCs w:val="24"/>
              </w:rPr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6275B" w:rsidRPr="0090201F" w:rsidRDefault="00C6275B" w:rsidP="00C627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Cs w:val="24"/>
                <w:lang w:val="es-ES"/>
              </w:rPr>
            </w:pPr>
            <w:r w:rsidRPr="0090201F">
              <w:rPr>
                <w:b/>
                <w:szCs w:val="24"/>
                <w:lang w:val="es-ES"/>
              </w:rPr>
              <w:t xml:space="preserve">Comisión de Estudio 5 de Radiocomunicaciones </w:t>
            </w:r>
            <w:r w:rsidRPr="0090201F">
              <w:rPr>
                <w:b/>
                <w:bCs/>
                <w:szCs w:val="24"/>
                <w:lang w:val="es-ES"/>
              </w:rPr>
              <w:t>(</w:t>
            </w:r>
            <w:r w:rsidRPr="0090201F">
              <w:rPr>
                <w:b/>
                <w:szCs w:val="24"/>
                <w:lang w:val="es-ES"/>
              </w:rPr>
              <w:t>Servicios terrenales</w:t>
            </w:r>
            <w:r w:rsidRPr="0090201F">
              <w:rPr>
                <w:b/>
                <w:bCs/>
                <w:szCs w:val="24"/>
                <w:lang w:val="es-ES"/>
              </w:rPr>
              <w:t>)</w:t>
            </w:r>
          </w:p>
          <w:p w:rsidR="00C6275B" w:rsidRPr="0090201F" w:rsidRDefault="00C6275B" w:rsidP="00FD68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120" w:after="120"/>
              <w:ind w:left="459" w:hanging="459"/>
              <w:jc w:val="left"/>
              <w:rPr>
                <w:b/>
                <w:bCs/>
                <w:szCs w:val="24"/>
                <w:lang w:val="es-ES"/>
              </w:rPr>
            </w:pPr>
            <w:r w:rsidRPr="0090201F">
              <w:rPr>
                <w:szCs w:val="24"/>
                <w:lang w:val="es-ES"/>
              </w:rPr>
              <w:t>–</w:t>
            </w:r>
            <w:r w:rsidRPr="0090201F">
              <w:rPr>
                <w:b/>
                <w:bCs/>
                <w:szCs w:val="24"/>
                <w:lang w:val="es-ES"/>
              </w:rPr>
              <w:tab/>
            </w:r>
            <w:r w:rsidRPr="0090201F">
              <w:rPr>
                <w:b/>
                <w:szCs w:val="24"/>
                <w:lang w:val="es-ES"/>
              </w:rPr>
              <w:t>Propuesta de aprobación de 3 proyectos de Recomendación UIT-R revisada</w:t>
            </w:r>
          </w:p>
        </w:tc>
      </w:tr>
      <w:tr w:rsidR="00E53DCE" w:rsidRPr="00FA5B57" w:rsidTr="006160CB">
        <w:tc>
          <w:tcPr>
            <w:tcW w:w="1526" w:type="dxa"/>
            <w:shd w:val="clear" w:color="auto" w:fill="auto"/>
          </w:tcPr>
          <w:p w:rsidR="00E53DCE" w:rsidRPr="0090201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0201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FA5B57" w:rsidTr="006160CB">
        <w:tc>
          <w:tcPr>
            <w:tcW w:w="1526" w:type="dxa"/>
            <w:shd w:val="clear" w:color="auto" w:fill="auto"/>
          </w:tcPr>
          <w:p w:rsidR="00E53DCE" w:rsidRPr="0090201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0201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FA5B57" w:rsidTr="006160CB">
        <w:tc>
          <w:tcPr>
            <w:tcW w:w="9889" w:type="dxa"/>
            <w:gridSpan w:val="3"/>
            <w:shd w:val="clear" w:color="auto" w:fill="auto"/>
          </w:tcPr>
          <w:p w:rsidR="00E53DCE" w:rsidRPr="0090201F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FA5B57" w:rsidTr="006160CB">
        <w:tc>
          <w:tcPr>
            <w:tcW w:w="9889" w:type="dxa"/>
            <w:gridSpan w:val="3"/>
            <w:shd w:val="clear" w:color="auto" w:fill="auto"/>
          </w:tcPr>
          <w:p w:rsidR="00E53DCE" w:rsidRPr="0090201F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</w:tbl>
    <w:p w:rsidR="00E53DCE" w:rsidRPr="0090201F" w:rsidRDefault="00E53DCE" w:rsidP="00E53DCE">
      <w:pPr>
        <w:rPr>
          <w:szCs w:val="24"/>
          <w:lang w:val="es-ES"/>
        </w:rPr>
      </w:pPr>
    </w:p>
    <w:p w:rsidR="00C6275B" w:rsidRPr="00C6275B" w:rsidRDefault="00C6275B" w:rsidP="00C6275B">
      <w:pPr>
        <w:spacing w:before="0"/>
        <w:rPr>
          <w:szCs w:val="24"/>
          <w:lang w:val="es-ES_tradnl"/>
        </w:rPr>
      </w:pPr>
      <w:r w:rsidRPr="00C6275B">
        <w:rPr>
          <w:szCs w:val="24"/>
          <w:lang w:val="es-ES_tradnl"/>
        </w:rPr>
        <w:t xml:space="preserve">En la reunión de la Comisión de Estudio 5 de Radiocomunicaciones celebrada del 10 al 11 de noviembre de 2014, la Comisión de Estudio decidió solicitar la adopción de 3 proyectos de Recomendación UIT-R revisada por correspondencia, de conformidad con el § 10.2.3 de la Resolución UIT-R 1-6. </w:t>
      </w:r>
    </w:p>
    <w:p w:rsidR="00C6275B" w:rsidRPr="00C6275B" w:rsidRDefault="00C6275B" w:rsidP="00C6275B">
      <w:pPr>
        <w:rPr>
          <w:szCs w:val="24"/>
          <w:lang w:val="es-ES_tradnl"/>
        </w:rPr>
      </w:pPr>
      <w:r w:rsidRPr="00C6275B">
        <w:rPr>
          <w:szCs w:val="24"/>
          <w:lang w:val="es-ES_tradnl"/>
        </w:rPr>
        <w:t>Como indica la Circular Administrativa CACE/698 de 24 de noviem</w:t>
      </w:r>
      <w:r w:rsidR="00FD6848">
        <w:rPr>
          <w:szCs w:val="24"/>
          <w:lang w:val="es-ES_tradnl"/>
        </w:rPr>
        <w:t>b</w:t>
      </w:r>
      <w:r w:rsidRPr="00C6275B">
        <w:rPr>
          <w:szCs w:val="24"/>
          <w:lang w:val="es-ES_tradnl"/>
        </w:rPr>
        <w:t>re de 2014, el periodo de consulta para la adopción de las Recomendaciones finalizó el 24 de enero de 2015.</w:t>
      </w:r>
    </w:p>
    <w:p w:rsidR="00C6275B" w:rsidRPr="00C6275B" w:rsidRDefault="00C6275B" w:rsidP="00C6275B">
      <w:pPr>
        <w:rPr>
          <w:szCs w:val="24"/>
          <w:lang w:val="es-ES_tradnl"/>
        </w:rPr>
      </w:pPr>
      <w:r w:rsidRPr="00C6275B">
        <w:rPr>
          <w:szCs w:val="24"/>
          <w:lang w:val="es-ES_tradnl"/>
        </w:rPr>
        <w:t>Las Recomendaciones han sido adoptadas por la Comisión de Estudio 5 y debe aplicarse el procedimiento de aprobación de la Resolución UIT-</w:t>
      </w:r>
      <w:r w:rsidR="0003071A">
        <w:rPr>
          <w:szCs w:val="24"/>
          <w:lang w:val="es-ES_tradnl"/>
        </w:rPr>
        <w:t>R 1-6 § 10.4. Los títulos y resú</w:t>
      </w:r>
      <w:r w:rsidRPr="00C6275B">
        <w:rPr>
          <w:szCs w:val="24"/>
          <w:lang w:val="es-ES_tradnl"/>
        </w:rPr>
        <w:t>menes de los proyectos de Reco</w:t>
      </w:r>
      <w:r w:rsidR="00FD6848">
        <w:rPr>
          <w:szCs w:val="24"/>
          <w:lang w:val="es-ES_tradnl"/>
        </w:rPr>
        <w:t>mendación aparecen en el Anexo</w:t>
      </w:r>
      <w:r w:rsidRPr="00C6275B">
        <w:rPr>
          <w:szCs w:val="24"/>
          <w:lang w:val="es-ES_tradnl"/>
        </w:rPr>
        <w:t>.</w:t>
      </w:r>
    </w:p>
    <w:p w:rsidR="00C6275B" w:rsidRPr="00C6275B" w:rsidRDefault="00C6275B" w:rsidP="00C6275B">
      <w:pPr>
        <w:rPr>
          <w:szCs w:val="24"/>
          <w:lang w:val="es-ES_tradnl"/>
        </w:rPr>
      </w:pPr>
      <w:r w:rsidRPr="00C6275B">
        <w:rPr>
          <w:szCs w:val="24"/>
          <w:lang w:val="es-ES_tradnl"/>
        </w:rPr>
        <w:t>Teniendo en cuenta las disposiciones del § 10.4 de la Resolución UIT-R 1-6, se solicita a los Estados Miembros que informen a la Secretaría (</w:t>
      </w:r>
      <w:hyperlink r:id="rId8" w:history="1">
        <w:r w:rsidRPr="00C6275B">
          <w:rPr>
            <w:rFonts w:cs="Times New Roman"/>
            <w:color w:val="0000FF"/>
            <w:szCs w:val="24"/>
            <w:u w:val="single"/>
            <w:lang w:val="es-ES_tradnl"/>
          </w:rPr>
          <w:t>brsgd</w:t>
        </w:r>
        <w:r w:rsidRPr="00C6275B">
          <w:rPr>
            <w:rFonts w:cs="Times New Roman"/>
            <w:color w:val="0000FF"/>
            <w:szCs w:val="24"/>
            <w:u w:val="single"/>
            <w:lang w:val="es-ES_tradnl"/>
          </w:rPr>
          <w:t>@</w:t>
        </w:r>
        <w:r w:rsidRPr="00C6275B">
          <w:rPr>
            <w:rFonts w:cs="Times New Roman"/>
            <w:color w:val="0000FF"/>
            <w:szCs w:val="24"/>
            <w:u w:val="single"/>
            <w:lang w:val="es-ES_tradnl"/>
          </w:rPr>
          <w:t>itu.int</w:t>
        </w:r>
      </w:hyperlink>
      <w:r w:rsidRPr="00C6275B">
        <w:rPr>
          <w:szCs w:val="24"/>
          <w:lang w:val="es-ES_tradnl"/>
        </w:rPr>
        <w:t xml:space="preserve">) a más tardar el </w:t>
      </w:r>
      <w:r w:rsidRPr="00C6275B">
        <w:rPr>
          <w:szCs w:val="24"/>
          <w:u w:val="single"/>
          <w:lang w:val="es-ES_tradnl"/>
        </w:rPr>
        <w:t>30 de marzo de 2015</w:t>
      </w:r>
      <w:r w:rsidRPr="00C6275B">
        <w:rPr>
          <w:szCs w:val="24"/>
          <w:lang w:val="es-ES_tradnl"/>
        </w:rPr>
        <w:t xml:space="preserve"> si aprueban o no la</w:t>
      </w:r>
      <w:r w:rsidR="0003071A">
        <w:rPr>
          <w:szCs w:val="24"/>
          <w:lang w:val="es-ES_tradnl"/>
        </w:rPr>
        <w:t>s</w:t>
      </w:r>
      <w:r w:rsidRPr="00C6275B">
        <w:rPr>
          <w:szCs w:val="24"/>
          <w:lang w:val="es-ES_tradnl"/>
        </w:rPr>
        <w:t xml:space="preserve"> anteriores propuestas.</w:t>
      </w:r>
    </w:p>
    <w:p w:rsidR="00C6275B" w:rsidRPr="00C6275B" w:rsidRDefault="00C6275B" w:rsidP="00C6275B">
      <w:pPr>
        <w:rPr>
          <w:szCs w:val="24"/>
          <w:lang w:val="es-ES_tradnl"/>
        </w:rPr>
      </w:pPr>
      <w:r w:rsidRPr="00C6275B">
        <w:rPr>
          <w:szCs w:val="24"/>
          <w:lang w:val="es-ES_tradnl"/>
        </w:rPr>
        <w:t>Se solicita a todo Estado Miembro que se oponga a la aprobación de un proyecto de Recomendación que informe al Director y al Presidente de la Comisión de Estudio de las razones correspondientes.</w:t>
      </w:r>
    </w:p>
    <w:p w:rsidR="00C6275B" w:rsidRPr="00C6275B" w:rsidRDefault="00C6275B" w:rsidP="00C6275B">
      <w:pPr>
        <w:rPr>
          <w:szCs w:val="24"/>
          <w:lang w:val="es-ES_tradnl"/>
        </w:rPr>
      </w:pPr>
      <w:r w:rsidRPr="00C6275B">
        <w:rPr>
          <w:szCs w:val="24"/>
          <w:lang w:val="es-ES_tradnl"/>
        </w:rPr>
        <w:t>Una vez transcurrido el plazo señalado, se anunciarán los resultados de esta consulta en una Circular Administrativa y las Recomendaciones aprobadas se publicarán a la mayor brevedad posible (véase </w:t>
      </w:r>
      <w:hyperlink r:id="rId9" w:history="1">
        <w:r w:rsidRPr="00C6275B">
          <w:rPr>
            <w:rFonts w:cs="Times New Roman"/>
            <w:color w:val="0000FF"/>
            <w:szCs w:val="24"/>
            <w:u w:val="single"/>
            <w:lang w:val="es-ES_tradnl"/>
          </w:rPr>
          <w:t>http://www.itu.in</w:t>
        </w:r>
        <w:r w:rsidRPr="00C6275B">
          <w:rPr>
            <w:rFonts w:cs="Times New Roman"/>
            <w:color w:val="0000FF"/>
            <w:szCs w:val="24"/>
            <w:u w:val="single"/>
            <w:lang w:val="es-ES_tradnl"/>
          </w:rPr>
          <w:t>t</w:t>
        </w:r>
        <w:r w:rsidRPr="00C6275B">
          <w:rPr>
            <w:rFonts w:cs="Times New Roman"/>
            <w:color w:val="0000FF"/>
            <w:szCs w:val="24"/>
            <w:u w:val="single"/>
            <w:lang w:val="es-ES_tradnl"/>
          </w:rPr>
          <w:t>/pub/R-REC</w:t>
        </w:r>
      </w:hyperlink>
      <w:r w:rsidRPr="00C6275B">
        <w:rPr>
          <w:szCs w:val="24"/>
          <w:lang w:val="es-ES_tradnl"/>
        </w:rPr>
        <w:t>).</w:t>
      </w:r>
    </w:p>
    <w:p w:rsidR="00FD6848" w:rsidRDefault="00FD68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lang w:val="es-ES_tradnl"/>
        </w:rPr>
      </w:pPr>
      <w:r>
        <w:rPr>
          <w:szCs w:val="24"/>
          <w:lang w:val="es-ES_tradnl"/>
        </w:rPr>
        <w:br w:type="page"/>
      </w:r>
    </w:p>
    <w:p w:rsidR="00C6275B" w:rsidRPr="00C6275B" w:rsidRDefault="00C6275B" w:rsidP="008065A7">
      <w:pPr>
        <w:rPr>
          <w:lang w:val="es-ES_tradnl"/>
        </w:rPr>
      </w:pPr>
      <w:r w:rsidRPr="00C6275B">
        <w:rPr>
          <w:lang w:val="es-ES_tradnl"/>
        </w:rPr>
        <w:lastRenderedPageBreak/>
        <w:t xml:space="preserve"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materia de patentes para </w:t>
      </w:r>
      <w:r w:rsidRPr="00C6275B">
        <w:rPr>
          <w:lang w:val="es-ES_tradnl"/>
        </w:rPr>
        <w:br/>
        <w:t xml:space="preserve">UIT-T/UIT-R/ISO/CEI puede consultarse en </w:t>
      </w:r>
      <w:hyperlink r:id="rId10" w:history="1">
        <w:r w:rsidRPr="00C6275B">
          <w:rPr>
            <w:rFonts w:cs="Times New Roman"/>
            <w:color w:val="0000FF"/>
            <w:u w:val="single"/>
            <w:lang w:val="es-ES_tradnl"/>
          </w:rPr>
          <w:t>http://www.itu.int/e</w:t>
        </w:r>
        <w:r w:rsidRPr="00C6275B">
          <w:rPr>
            <w:rFonts w:cs="Times New Roman"/>
            <w:color w:val="0000FF"/>
            <w:u w:val="single"/>
            <w:lang w:val="es-ES_tradnl"/>
          </w:rPr>
          <w:t>n</w:t>
        </w:r>
        <w:r w:rsidRPr="00C6275B">
          <w:rPr>
            <w:rFonts w:cs="Times New Roman"/>
            <w:color w:val="0000FF"/>
            <w:u w:val="single"/>
            <w:lang w:val="es-ES_tradnl"/>
          </w:rPr>
          <w:t>/ITU-T/ipr/Pages/policy.aspx</w:t>
        </w:r>
      </w:hyperlink>
      <w:r w:rsidRPr="00C6275B">
        <w:rPr>
          <w:lang w:val="es-ES_tradnl"/>
        </w:rPr>
        <w:t>.</w:t>
      </w:r>
    </w:p>
    <w:p w:rsidR="00C6275B" w:rsidRPr="00C6275B" w:rsidRDefault="00C6275B" w:rsidP="00C6275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418" w:line="240" w:lineRule="auto"/>
        <w:jc w:val="left"/>
        <w:textAlignment w:val="auto"/>
        <w:rPr>
          <w:rFonts w:asciiTheme="minorHAnsi" w:hAnsiTheme="minorHAnsi" w:cs="Times New Roman"/>
          <w:szCs w:val="24"/>
          <w:lang w:val="es-ES_tradnl"/>
        </w:rPr>
      </w:pPr>
      <w:r w:rsidRPr="00C6275B">
        <w:rPr>
          <w:rFonts w:asciiTheme="minorHAnsi" w:hAnsiTheme="minorHAnsi" w:cs="Times New Roman"/>
          <w:szCs w:val="24"/>
          <w:lang w:val="es-ES_tradnl"/>
        </w:rPr>
        <w:t>François Rancy</w:t>
      </w:r>
      <w:r w:rsidRPr="00C6275B">
        <w:rPr>
          <w:rFonts w:asciiTheme="minorHAnsi" w:hAnsiTheme="minorHAnsi" w:cs="Times New Roman"/>
          <w:szCs w:val="24"/>
          <w:lang w:val="es-ES_tradnl"/>
        </w:rPr>
        <w:br/>
        <w:t>Director</w:t>
      </w:r>
    </w:p>
    <w:p w:rsidR="00C6275B" w:rsidRPr="00C6275B" w:rsidRDefault="00C6275B" w:rsidP="0003071A">
      <w:pPr>
        <w:tabs>
          <w:tab w:val="clear" w:pos="794"/>
          <w:tab w:val="clear" w:pos="1191"/>
          <w:tab w:val="left" w:pos="851"/>
          <w:tab w:val="left" w:pos="993"/>
          <w:tab w:val="left" w:pos="1560"/>
          <w:tab w:val="left" w:pos="4820"/>
        </w:tabs>
        <w:spacing w:before="840"/>
        <w:ind w:left="1588" w:hanging="1588"/>
        <w:jc w:val="left"/>
        <w:rPr>
          <w:szCs w:val="24"/>
          <w:lang w:val="es-ES_tradnl"/>
        </w:rPr>
      </w:pPr>
      <w:r w:rsidRPr="00C6275B">
        <w:rPr>
          <w:b/>
          <w:szCs w:val="24"/>
          <w:lang w:val="es-ES_tradnl"/>
        </w:rPr>
        <w:t>Anexo</w:t>
      </w:r>
      <w:r w:rsidRPr="00C6275B">
        <w:rPr>
          <w:bCs/>
          <w:szCs w:val="24"/>
          <w:lang w:val="es-ES_tradnl"/>
        </w:rPr>
        <w:t>:</w:t>
      </w:r>
      <w:r w:rsidR="008065A7" w:rsidRPr="008065A7">
        <w:rPr>
          <w:lang w:val="es-ES"/>
        </w:rPr>
        <w:t xml:space="preserve"> </w:t>
      </w:r>
      <w:r w:rsidR="008065A7" w:rsidRPr="008065A7">
        <w:rPr>
          <w:lang w:val="es-ES"/>
        </w:rPr>
        <w:tab/>
      </w:r>
      <w:r w:rsidR="008065A7">
        <w:rPr>
          <w:b/>
          <w:lang w:val="es-ES"/>
        </w:rPr>
        <w:tab/>
      </w:r>
      <w:r w:rsidR="008065A7" w:rsidRPr="008065A7">
        <w:rPr>
          <w:lang w:val="es-ES"/>
        </w:rPr>
        <w:t>-</w:t>
      </w:r>
      <w:r w:rsidR="008065A7" w:rsidRPr="008065A7">
        <w:rPr>
          <w:lang w:val="es-ES"/>
        </w:rPr>
        <w:tab/>
      </w:r>
      <w:r w:rsidRPr="00C6275B">
        <w:rPr>
          <w:szCs w:val="24"/>
          <w:lang w:val="es-ES_tradnl"/>
        </w:rPr>
        <w:t>Títulos y res</w:t>
      </w:r>
      <w:r w:rsidR="0003071A">
        <w:rPr>
          <w:szCs w:val="24"/>
          <w:lang w:val="es-ES_tradnl"/>
        </w:rPr>
        <w:t>ú</w:t>
      </w:r>
      <w:r w:rsidRPr="00C6275B">
        <w:rPr>
          <w:szCs w:val="24"/>
          <w:lang w:val="es-ES_tradnl"/>
        </w:rPr>
        <w:t>menes de los proyectos de Recomendación</w:t>
      </w:r>
    </w:p>
    <w:p w:rsidR="00C6275B" w:rsidRPr="00C6275B" w:rsidRDefault="00C6275B" w:rsidP="00C6275B">
      <w:pPr>
        <w:tabs>
          <w:tab w:val="clear" w:pos="1191"/>
          <w:tab w:val="left" w:pos="1560"/>
          <w:tab w:val="left" w:pos="4820"/>
        </w:tabs>
        <w:ind w:left="1588" w:hanging="1588"/>
        <w:jc w:val="left"/>
        <w:rPr>
          <w:szCs w:val="24"/>
          <w:lang w:val="es-ES_tradnl"/>
        </w:rPr>
      </w:pPr>
      <w:r w:rsidRPr="00C6275B">
        <w:rPr>
          <w:szCs w:val="24"/>
          <w:lang w:val="es-ES_tradnl"/>
        </w:rPr>
        <w:tab/>
      </w:r>
      <w:r w:rsidRPr="00C6275B">
        <w:rPr>
          <w:szCs w:val="24"/>
          <w:lang w:val="es-ES_tradnl"/>
        </w:rPr>
        <w:tab/>
      </w:r>
      <w:r w:rsidRPr="00C6275B">
        <w:rPr>
          <w:bCs/>
          <w:szCs w:val="24"/>
          <w:lang w:val="es-ES_tradnl"/>
        </w:rPr>
        <w:t>Documentos</w:t>
      </w:r>
      <w:r w:rsidRPr="00C6275B">
        <w:rPr>
          <w:szCs w:val="24"/>
          <w:lang w:val="es-ES_tradnl"/>
        </w:rPr>
        <w:t xml:space="preserve"> 5/BL/19 a 5/BL/21</w:t>
      </w:r>
    </w:p>
    <w:p w:rsidR="00C6275B" w:rsidRPr="00C6275B" w:rsidRDefault="00C6275B" w:rsidP="00C6275B">
      <w:pPr>
        <w:spacing w:before="60"/>
        <w:ind w:left="794" w:hanging="794"/>
        <w:rPr>
          <w:szCs w:val="24"/>
          <w:lang w:val="es-ES_tradnl"/>
        </w:rPr>
      </w:pPr>
    </w:p>
    <w:p w:rsidR="00C6275B" w:rsidRPr="00C6275B" w:rsidRDefault="00C6275B" w:rsidP="00FA5B57">
      <w:pPr>
        <w:spacing w:before="60"/>
        <w:rPr>
          <w:rFonts w:cs="Times New Roman"/>
          <w:sz w:val="22"/>
          <w:szCs w:val="24"/>
          <w:lang w:val="es-ES_tradnl"/>
        </w:rPr>
      </w:pPr>
      <w:r w:rsidRPr="00C6275B">
        <w:rPr>
          <w:szCs w:val="24"/>
          <w:lang w:val="es-ES_tradnl"/>
        </w:rPr>
        <w:t xml:space="preserve">Estos documentos están disponibles en formato electrónico en: </w:t>
      </w:r>
      <w:hyperlink r:id="rId11" w:history="1">
        <w:r w:rsidR="00332EDA" w:rsidRPr="008D315C">
          <w:rPr>
            <w:rStyle w:val="Hyperlink"/>
            <w:rFonts w:cs="Times New Roman"/>
            <w:sz w:val="22"/>
            <w:szCs w:val="24"/>
            <w:lang w:val="es-ES_tradnl"/>
          </w:rPr>
          <w:t>http://www.itu.int/re</w:t>
        </w:r>
        <w:bookmarkStart w:id="0" w:name="_GoBack"/>
        <w:bookmarkEnd w:id="0"/>
        <w:r w:rsidR="00332EDA" w:rsidRPr="008D315C">
          <w:rPr>
            <w:rStyle w:val="Hyperlink"/>
            <w:rFonts w:cs="Times New Roman"/>
            <w:sz w:val="22"/>
            <w:szCs w:val="24"/>
            <w:lang w:val="es-ES_tradnl"/>
          </w:rPr>
          <w:t>c</w:t>
        </w:r>
        <w:r w:rsidR="00332EDA" w:rsidRPr="008D315C">
          <w:rPr>
            <w:rStyle w:val="Hyperlink"/>
            <w:rFonts w:cs="Times New Roman"/>
            <w:sz w:val="22"/>
            <w:szCs w:val="24"/>
            <w:lang w:val="es-ES_tradnl"/>
          </w:rPr>
          <w:t>/R-REC-M/en</w:t>
        </w:r>
      </w:hyperlink>
    </w:p>
    <w:p w:rsidR="00C6275B" w:rsidRPr="00C6275B" w:rsidRDefault="00C6275B" w:rsidP="00C6275B">
      <w:pPr>
        <w:spacing w:before="60"/>
        <w:rPr>
          <w:szCs w:val="24"/>
          <w:lang w:val="es-ES_tradnl"/>
        </w:rPr>
      </w:pPr>
    </w:p>
    <w:p w:rsidR="00C6275B" w:rsidRPr="00C6275B" w:rsidRDefault="00C6275B" w:rsidP="00FD6848">
      <w:pPr>
        <w:keepNext/>
        <w:tabs>
          <w:tab w:val="left" w:pos="284"/>
          <w:tab w:val="left" w:pos="568"/>
        </w:tabs>
        <w:spacing w:before="6120"/>
        <w:rPr>
          <w:b/>
          <w:bCs/>
          <w:sz w:val="18"/>
          <w:szCs w:val="18"/>
          <w:lang w:val="es-ES_tradnl"/>
        </w:rPr>
      </w:pPr>
      <w:r w:rsidRPr="00C6275B">
        <w:rPr>
          <w:b/>
          <w:bCs/>
          <w:sz w:val="18"/>
          <w:szCs w:val="18"/>
          <w:lang w:val="es-ES_tradnl"/>
        </w:rPr>
        <w:t>Distribución:</w:t>
      </w:r>
    </w:p>
    <w:p w:rsidR="00C6275B" w:rsidRPr="00C6275B" w:rsidRDefault="00C6275B" w:rsidP="00C6275B">
      <w:pPr>
        <w:tabs>
          <w:tab w:val="left" w:pos="6237"/>
        </w:tabs>
        <w:spacing w:before="120" w:line="240" w:lineRule="auto"/>
        <w:ind w:left="284" w:hanging="284"/>
        <w:rPr>
          <w:sz w:val="18"/>
          <w:szCs w:val="18"/>
          <w:lang w:val="es-ES_tradnl"/>
        </w:rPr>
      </w:pPr>
      <w:r w:rsidRPr="00C6275B">
        <w:rPr>
          <w:sz w:val="18"/>
          <w:szCs w:val="18"/>
          <w:lang w:val="es-ES_tradnl"/>
        </w:rPr>
        <w:t>–</w:t>
      </w:r>
      <w:r w:rsidRPr="00C6275B">
        <w:rPr>
          <w:sz w:val="18"/>
          <w:szCs w:val="18"/>
          <w:lang w:val="es-ES_tradnl"/>
        </w:rPr>
        <w:tab/>
        <w:t xml:space="preserve">Administraciones de los Estados Miembros de la UIT y del Sector de Radiocomunicaciones que participan en los trabajos de la Comisión de Estudio 5 de Radiocomunicaciones </w:t>
      </w:r>
    </w:p>
    <w:p w:rsidR="00C6275B" w:rsidRPr="00C6275B" w:rsidRDefault="00C6275B" w:rsidP="00C6275B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C6275B">
        <w:rPr>
          <w:sz w:val="18"/>
          <w:szCs w:val="18"/>
          <w:lang w:val="es-ES_tradnl"/>
        </w:rPr>
        <w:t>–</w:t>
      </w:r>
      <w:r w:rsidRPr="00C6275B">
        <w:rPr>
          <w:sz w:val="18"/>
          <w:szCs w:val="18"/>
          <w:lang w:val="es-ES_tradnl"/>
        </w:rPr>
        <w:tab/>
        <w:t xml:space="preserve">Asociados del UIT-R que participan en los trabajos de la Comisión de Estudio 5 de Radiocomunicaciones </w:t>
      </w:r>
    </w:p>
    <w:p w:rsidR="00C6275B" w:rsidRPr="00C6275B" w:rsidRDefault="00C6275B" w:rsidP="00C6275B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C6275B">
        <w:rPr>
          <w:sz w:val="18"/>
          <w:szCs w:val="18"/>
          <w:lang w:val="es-ES_tradnl"/>
        </w:rPr>
        <w:t>–</w:t>
      </w:r>
      <w:r w:rsidRPr="00C6275B">
        <w:rPr>
          <w:sz w:val="18"/>
          <w:szCs w:val="18"/>
          <w:lang w:val="es-ES_tradnl"/>
        </w:rPr>
        <w:tab/>
        <w:t xml:space="preserve">Presidentes y Vicepresidentes de las Comisiones de Estudio de Radiocomunicaciones y Comisión Especial para Asuntos Reglamentarios y de Procedimiento </w:t>
      </w:r>
    </w:p>
    <w:p w:rsidR="00C6275B" w:rsidRPr="00C6275B" w:rsidRDefault="00C6275B" w:rsidP="00C6275B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C6275B">
        <w:rPr>
          <w:sz w:val="18"/>
          <w:szCs w:val="18"/>
          <w:lang w:val="es-ES_tradnl"/>
        </w:rPr>
        <w:t>–</w:t>
      </w:r>
      <w:r w:rsidRPr="00C6275B">
        <w:rPr>
          <w:sz w:val="18"/>
          <w:szCs w:val="18"/>
          <w:lang w:val="es-ES_tradnl"/>
        </w:rPr>
        <w:tab/>
        <w:t xml:space="preserve">Presidente y Vicepresidentes de la Reunión Preparatoria de la Conferencia </w:t>
      </w:r>
    </w:p>
    <w:p w:rsidR="00C6275B" w:rsidRPr="00C6275B" w:rsidRDefault="00C6275B" w:rsidP="00C6275B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C6275B">
        <w:rPr>
          <w:sz w:val="18"/>
          <w:szCs w:val="18"/>
          <w:lang w:val="es-ES_tradnl"/>
        </w:rPr>
        <w:t>–</w:t>
      </w:r>
      <w:r w:rsidRPr="00C6275B">
        <w:rPr>
          <w:sz w:val="18"/>
          <w:szCs w:val="18"/>
          <w:lang w:val="es-ES_tradnl"/>
        </w:rPr>
        <w:tab/>
        <w:t xml:space="preserve">Miembros de la Junta del Reglamento de Radiocomunicaciones </w:t>
      </w:r>
    </w:p>
    <w:p w:rsidR="00C6275B" w:rsidRDefault="00C6275B" w:rsidP="00C6275B">
      <w:pPr>
        <w:tabs>
          <w:tab w:val="left" w:pos="6237"/>
        </w:tabs>
        <w:overflowPunct/>
        <w:autoSpaceDE/>
        <w:autoSpaceDN/>
        <w:adjustRightInd/>
        <w:spacing w:before="0" w:line="240" w:lineRule="auto"/>
        <w:ind w:left="284" w:hanging="284"/>
        <w:textAlignment w:val="auto"/>
        <w:rPr>
          <w:sz w:val="18"/>
          <w:szCs w:val="18"/>
          <w:lang w:val="es-ES_tradnl"/>
        </w:rPr>
      </w:pPr>
      <w:r w:rsidRPr="00C6275B">
        <w:rPr>
          <w:sz w:val="18"/>
          <w:szCs w:val="18"/>
          <w:lang w:val="es-ES_tradnl"/>
        </w:rPr>
        <w:t>–</w:t>
      </w:r>
      <w:r w:rsidRPr="00C6275B">
        <w:rPr>
          <w:sz w:val="18"/>
          <w:szCs w:val="18"/>
          <w:lang w:val="es-ES_tradnl"/>
        </w:rPr>
        <w:tab/>
        <w:t xml:space="preserve">Secretario General de la UIT, Director de la Oficina de Normalización de las Telecomunicaciones, Director de la Oficina de Desarrollo de Telecomunicaciones </w:t>
      </w:r>
    </w:p>
    <w:p w:rsidR="000F7195" w:rsidRDefault="000F7195" w:rsidP="00C6275B">
      <w:pPr>
        <w:tabs>
          <w:tab w:val="left" w:pos="6237"/>
        </w:tabs>
        <w:overflowPunct/>
        <w:autoSpaceDE/>
        <w:autoSpaceDN/>
        <w:adjustRightInd/>
        <w:spacing w:before="0" w:line="240" w:lineRule="auto"/>
        <w:ind w:left="284" w:hanging="284"/>
        <w:textAlignment w:val="auto"/>
        <w:rPr>
          <w:sz w:val="18"/>
          <w:szCs w:val="18"/>
          <w:lang w:val="es-ES_tradnl"/>
        </w:rPr>
      </w:pPr>
    </w:p>
    <w:p w:rsidR="000F7195" w:rsidRPr="00664913" w:rsidRDefault="000F7195" w:rsidP="000F7195">
      <w:pPr>
        <w:pStyle w:val="AnnexNotitle0"/>
        <w:spacing w:before="120"/>
        <w:rPr>
          <w:rFonts w:asciiTheme="minorHAnsi" w:hAnsiTheme="minorHAnsi" w:cstheme="minorHAnsi"/>
          <w:szCs w:val="28"/>
          <w:lang w:val="es-ES_tradnl"/>
        </w:rPr>
      </w:pPr>
      <w:r w:rsidRPr="00664913">
        <w:rPr>
          <w:rFonts w:asciiTheme="minorHAnsi" w:hAnsiTheme="minorHAnsi" w:cstheme="minorHAnsi"/>
          <w:szCs w:val="28"/>
          <w:lang w:val="es-ES_tradnl"/>
        </w:rPr>
        <w:lastRenderedPageBreak/>
        <w:t>Anexo</w:t>
      </w:r>
      <w:r w:rsidRPr="00664913">
        <w:rPr>
          <w:rFonts w:asciiTheme="minorHAnsi" w:hAnsiTheme="minorHAnsi" w:cstheme="minorHAnsi"/>
          <w:szCs w:val="28"/>
          <w:lang w:val="es-ES_tradnl"/>
        </w:rPr>
        <w:br/>
      </w:r>
      <w:r w:rsidRPr="00664913">
        <w:rPr>
          <w:rFonts w:asciiTheme="minorHAnsi" w:hAnsiTheme="minorHAnsi" w:cstheme="minorHAnsi"/>
          <w:szCs w:val="28"/>
          <w:lang w:val="es-ES_tradnl"/>
        </w:rPr>
        <w:br/>
        <w:t>Títulos y resúmenes de los proyectos de Recomendación adoptados por la Comisión de E</w:t>
      </w:r>
      <w:r>
        <w:rPr>
          <w:rFonts w:asciiTheme="minorHAnsi" w:hAnsiTheme="minorHAnsi" w:cstheme="minorHAnsi"/>
          <w:szCs w:val="28"/>
          <w:lang w:val="es-ES_tradnl"/>
        </w:rPr>
        <w:t>studio 5 de Radiocomunicaciones</w:t>
      </w:r>
    </w:p>
    <w:p w:rsidR="000F7195" w:rsidRPr="00664913" w:rsidRDefault="000F7195" w:rsidP="000F7195">
      <w:pPr>
        <w:tabs>
          <w:tab w:val="right" w:pos="9639"/>
        </w:tabs>
        <w:spacing w:before="720"/>
        <w:rPr>
          <w:lang w:val="es-ES_tradnl"/>
        </w:rPr>
      </w:pPr>
      <w:r w:rsidRPr="00664913">
        <w:rPr>
          <w:u w:val="single"/>
          <w:lang w:val="es-ES_tradnl"/>
        </w:rPr>
        <w:t>Proyecto de revisión de la Recomendación UIT-R M.1174-2</w:t>
      </w:r>
      <w:r w:rsidRPr="00664913">
        <w:rPr>
          <w:lang w:val="es-ES_tradnl"/>
        </w:rPr>
        <w:tab/>
        <w:t>Doc. 5/BL/19</w:t>
      </w:r>
    </w:p>
    <w:p w:rsidR="000F7195" w:rsidRPr="00664913" w:rsidRDefault="000F7195" w:rsidP="000F7195">
      <w:pPr>
        <w:pStyle w:val="Rectitle"/>
        <w:rPr>
          <w:lang w:val="es-ES_tradnl" w:eastAsia="zh-CN"/>
        </w:rPr>
      </w:pPr>
      <w:bookmarkStart w:id="1" w:name="dtitle1" w:colFirst="0" w:colLast="0"/>
      <w:r w:rsidRPr="00664913">
        <w:rPr>
          <w:lang w:val="es-ES_tradnl"/>
        </w:rPr>
        <w:t>Características técnicas de los equipos utilizados para las comunicaciones a bordo de barcos en las bandas comprendidas entre 450 y 470 MHz</w:t>
      </w:r>
    </w:p>
    <w:p w:rsidR="000F7195" w:rsidRPr="00664913" w:rsidRDefault="000F7195" w:rsidP="000F7195">
      <w:pPr>
        <w:spacing w:before="400"/>
        <w:rPr>
          <w:lang w:val="es-ES_tradnl"/>
        </w:rPr>
      </w:pPr>
      <w:bookmarkStart w:id="2" w:name="dbreak"/>
      <w:bookmarkEnd w:id="1"/>
      <w:bookmarkEnd w:id="2"/>
      <w:r w:rsidRPr="00664913">
        <w:rPr>
          <w:lang w:val="es-ES_tradnl"/>
        </w:rPr>
        <w:t>Esta revisión propone lo siguiente para las comunicaciones a bordo de barcos en las bandas de frecuencia comprendidas entre 450 MHz y 470 MHz:</w:t>
      </w:r>
    </w:p>
    <w:p w:rsidR="000F7195" w:rsidRPr="00664913" w:rsidRDefault="000F7195" w:rsidP="000F7195">
      <w:pPr>
        <w:pStyle w:val="enumlev1"/>
        <w:rPr>
          <w:lang w:val="es-ES_tradnl"/>
        </w:rPr>
      </w:pPr>
      <w:r w:rsidRPr="00664913">
        <w:rPr>
          <w:lang w:val="es-ES_tradnl"/>
        </w:rPr>
        <w:t>–</w:t>
      </w:r>
      <w:r w:rsidRPr="00664913">
        <w:rPr>
          <w:lang w:val="es-ES_tradnl"/>
        </w:rPr>
        <w:tab/>
        <w:t>características técnicas adicionales de los equipos que hacen uso de tecnologías digitales;</w:t>
      </w:r>
    </w:p>
    <w:p w:rsidR="000F7195" w:rsidRPr="00664913" w:rsidRDefault="000F7195" w:rsidP="000F7195">
      <w:pPr>
        <w:pStyle w:val="enumlev1"/>
        <w:rPr>
          <w:lang w:val="es-ES_tradnl"/>
        </w:rPr>
      </w:pPr>
      <w:r w:rsidRPr="00664913">
        <w:rPr>
          <w:lang w:val="es-ES_tradnl"/>
        </w:rPr>
        <w:t>–</w:t>
      </w:r>
      <w:r w:rsidRPr="00664913">
        <w:rPr>
          <w:lang w:val="es-ES_tradnl"/>
        </w:rPr>
        <w:tab/>
        <w:t>nueva disposición de las bandas de frecuencia</w:t>
      </w:r>
      <w:r>
        <w:rPr>
          <w:lang w:val="es-ES_tradnl"/>
        </w:rPr>
        <w:t>s</w:t>
      </w:r>
      <w:r w:rsidRPr="00664913">
        <w:rPr>
          <w:lang w:val="es-ES_tradnl"/>
        </w:rPr>
        <w:t xml:space="preserve"> y nueva numeración de canales asociada;</w:t>
      </w:r>
    </w:p>
    <w:p w:rsidR="000F7195" w:rsidRPr="00664913" w:rsidRDefault="000F7195" w:rsidP="000F7195">
      <w:pPr>
        <w:pStyle w:val="enumlev1"/>
        <w:rPr>
          <w:lang w:val="es-ES_tradnl"/>
        </w:rPr>
      </w:pPr>
      <w:r w:rsidRPr="00664913">
        <w:rPr>
          <w:lang w:val="es-ES_tradnl"/>
        </w:rPr>
        <w:t>–</w:t>
      </w:r>
      <w:r w:rsidRPr="00664913">
        <w:rPr>
          <w:lang w:val="es-ES_tradnl"/>
        </w:rPr>
        <w:tab/>
        <w:t>técnicas de reducción de la interferencia para evitar la congestión;</w:t>
      </w:r>
    </w:p>
    <w:p w:rsidR="000F7195" w:rsidRPr="00664913" w:rsidRDefault="000F7195" w:rsidP="000F7195">
      <w:pPr>
        <w:pStyle w:val="enumlev1"/>
        <w:rPr>
          <w:lang w:val="es-ES_tradnl"/>
        </w:rPr>
      </w:pPr>
      <w:r w:rsidRPr="00664913">
        <w:rPr>
          <w:lang w:val="es-ES_tradnl"/>
        </w:rPr>
        <w:t>–</w:t>
      </w:r>
      <w:r w:rsidRPr="00664913">
        <w:rPr>
          <w:lang w:val="es-ES_tradnl"/>
        </w:rPr>
        <w:tab/>
        <w:t>provisiones para el mantenimiento de la tecnología analógica.</w:t>
      </w:r>
    </w:p>
    <w:p w:rsidR="000F7195" w:rsidRPr="00664913" w:rsidRDefault="000F7195" w:rsidP="000F7195">
      <w:pPr>
        <w:tabs>
          <w:tab w:val="right" w:pos="9639"/>
        </w:tabs>
        <w:spacing w:before="400"/>
        <w:rPr>
          <w:lang w:val="es-ES_tradnl"/>
        </w:rPr>
      </w:pPr>
      <w:r w:rsidRPr="00664913">
        <w:rPr>
          <w:u w:val="single"/>
          <w:lang w:val="es-ES_tradnl"/>
        </w:rPr>
        <w:t>Proyecto de revisión de la Recomendación UIT-R M.690-2</w:t>
      </w:r>
      <w:r w:rsidRPr="00664913">
        <w:rPr>
          <w:lang w:val="es-ES_tradnl"/>
        </w:rPr>
        <w:tab/>
        <w:t>Doc. 5/BL/20</w:t>
      </w:r>
    </w:p>
    <w:p w:rsidR="000F7195" w:rsidRPr="00664913" w:rsidRDefault="000F7195" w:rsidP="000F7195">
      <w:pPr>
        <w:pStyle w:val="Rectitle"/>
        <w:ind w:left="108"/>
        <w:rPr>
          <w:lang w:val="es-ES_tradnl"/>
        </w:rPr>
      </w:pPr>
      <w:r w:rsidRPr="00664913">
        <w:rPr>
          <w:bCs/>
          <w:szCs w:val="28"/>
          <w:lang w:val="es-ES_tradnl"/>
        </w:rPr>
        <w:t xml:space="preserve">Características técnicas de las radiobalizas de localización de siniestros (RLS) </w:t>
      </w:r>
      <w:r w:rsidRPr="00664913">
        <w:rPr>
          <w:bCs/>
          <w:szCs w:val="28"/>
          <w:lang w:val="es-ES_tradnl"/>
        </w:rPr>
        <w:br/>
        <w:t>que funcionan con frecuencias portadoras de 121,5 MHz y 243 MHz</w:t>
      </w:r>
    </w:p>
    <w:p w:rsidR="000F7195" w:rsidRPr="00664913" w:rsidRDefault="000F7195" w:rsidP="000F7195">
      <w:pPr>
        <w:spacing w:before="400" w:line="240" w:lineRule="auto"/>
        <w:rPr>
          <w:lang w:val="es-ES_tradnl"/>
        </w:rPr>
      </w:pPr>
      <w:r w:rsidRPr="00664913">
        <w:rPr>
          <w:lang w:val="es-ES_tradnl"/>
        </w:rPr>
        <w:t>Esta revisión propone para las RLS que funcionan en 121,5 MHz ó 243 MHz la supresión de cualquier ambigüedad que pueda aparecer en la interpretación de los cambios introducidos en la Recomendación UIT-R M.690-2 relativos a la característica de la señal de audiofrecuencia que indica cuándo están activas dichas RLS.</w:t>
      </w:r>
    </w:p>
    <w:p w:rsidR="000F7195" w:rsidRPr="00664913" w:rsidRDefault="000F7195" w:rsidP="000F7195">
      <w:pPr>
        <w:spacing w:before="120" w:line="240" w:lineRule="auto"/>
        <w:rPr>
          <w:lang w:val="es-ES_tradnl"/>
        </w:rPr>
      </w:pPr>
      <w:r w:rsidRPr="00664913">
        <w:rPr>
          <w:lang w:val="es-ES_tradnl"/>
        </w:rPr>
        <w:t>En coherencia con las normas de la industria de la época, la Recomendación UIT-R M.690-1 sólo permitía una repetición del barrido de audio descendente con un retorno abrupto a la frecuencia de inicio. Con arreglo a la opinión de la industria y de las organizaciones de elaboración de normas ajenas a la UIT en el sentido de que también podría acomodarse una repetición del barrido de audio ascendente, se revisó la Recomendación UIT-R M.690-1 de manera que admitiese el barrido tanto ascendente como descendente. Sin embargo, no quedó claro si las radiobalizas individuales deben emitir sólo un barrido descendente o ascendente y no enviar una cierta combinación de ambos barridos (por ejemplo, barridos ascendentes y descendentes continuos sin interrupciones abruptas o distintos barridos ascendente y descendente en una secuencia/configuración).</w:t>
      </w:r>
    </w:p>
    <w:p w:rsidR="000F7195" w:rsidRPr="00664913" w:rsidRDefault="000F7195" w:rsidP="000F719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u w:val="single"/>
          <w:lang w:val="es-ES_tradnl"/>
        </w:rPr>
      </w:pPr>
      <w:r w:rsidRPr="00664913">
        <w:rPr>
          <w:u w:val="single"/>
          <w:lang w:val="es-ES_tradnl"/>
        </w:rPr>
        <w:br w:type="page"/>
      </w:r>
    </w:p>
    <w:p w:rsidR="000F7195" w:rsidRPr="00664913" w:rsidRDefault="000F7195" w:rsidP="000F7195">
      <w:pPr>
        <w:tabs>
          <w:tab w:val="right" w:pos="9639"/>
        </w:tabs>
        <w:rPr>
          <w:lang w:val="es-ES_tradnl"/>
        </w:rPr>
      </w:pPr>
      <w:r w:rsidRPr="00664913">
        <w:rPr>
          <w:u w:val="single"/>
          <w:lang w:val="es-ES_tradnl"/>
        </w:rPr>
        <w:lastRenderedPageBreak/>
        <w:t>Proyecto de revisión de la Recomendación UIT-R M.585-6</w:t>
      </w:r>
      <w:r w:rsidRPr="00664913">
        <w:rPr>
          <w:lang w:val="es-ES_tradnl"/>
        </w:rPr>
        <w:tab/>
        <w:t>Doc. 5/BL/21</w:t>
      </w:r>
    </w:p>
    <w:p w:rsidR="000F7195" w:rsidRPr="00B20E0A" w:rsidRDefault="000F7195" w:rsidP="000F7195">
      <w:pPr>
        <w:pStyle w:val="Rectitle"/>
        <w:rPr>
          <w:lang w:val="es-ES_tradnl"/>
        </w:rPr>
      </w:pPr>
      <w:r w:rsidRPr="00B20E0A">
        <w:rPr>
          <w:lang w:val="es-ES_tradnl"/>
        </w:rPr>
        <w:t>Asignación y uso de identidades del servicio móvil marítimo</w:t>
      </w:r>
    </w:p>
    <w:p w:rsidR="000F7195" w:rsidRPr="00664913" w:rsidRDefault="000F7195" w:rsidP="000F7195">
      <w:pPr>
        <w:spacing w:before="400"/>
        <w:ind w:left="794" w:hanging="794"/>
        <w:rPr>
          <w:lang w:val="es-ES_tradnl"/>
        </w:rPr>
      </w:pPr>
      <w:r w:rsidRPr="00664913">
        <w:rPr>
          <w:lang w:val="es-ES_tradnl"/>
        </w:rPr>
        <w:t>Esta revisión propone lo siguiente:</w:t>
      </w:r>
    </w:p>
    <w:p w:rsidR="000F7195" w:rsidRPr="00664913" w:rsidRDefault="000F7195" w:rsidP="000F7195">
      <w:pPr>
        <w:pStyle w:val="enumlev1"/>
        <w:rPr>
          <w:lang w:val="es-ES_tradnl"/>
        </w:rPr>
      </w:pPr>
      <w:r w:rsidRPr="00664913">
        <w:rPr>
          <w:lang w:val="es-ES_tradnl"/>
        </w:rPr>
        <w:t>–</w:t>
      </w:r>
      <w:r w:rsidRPr="00664913">
        <w:rPr>
          <w:lang w:val="es-ES_tradnl"/>
        </w:rPr>
        <w:tab/>
      </w:r>
      <w:r>
        <w:rPr>
          <w:lang w:val="es-ES_tradnl"/>
        </w:rPr>
        <w:t>n</w:t>
      </w:r>
      <w:r w:rsidRPr="00664913">
        <w:rPr>
          <w:lang w:val="es-ES_tradnl"/>
        </w:rPr>
        <w:t>ueva categoría opcional d) en el Anexo 1, Sección 2, párrafo</w:t>
      </w:r>
      <w:r>
        <w:rPr>
          <w:lang w:val="es-ES_tradnl"/>
        </w:rPr>
        <w:t xml:space="preserve"> 3 para estaciones repetidoras </w:t>
      </w:r>
      <w:r w:rsidRPr="00664913">
        <w:rPr>
          <w:lang w:val="es-ES_tradnl"/>
        </w:rPr>
        <w:t>del SIA utilizando el formato 00MID4XXX;</w:t>
      </w:r>
    </w:p>
    <w:p w:rsidR="000F7195" w:rsidRPr="00664913" w:rsidRDefault="000F7195" w:rsidP="000F7195">
      <w:pPr>
        <w:pStyle w:val="enumlev1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  <w:t>a</w:t>
      </w:r>
      <w:r w:rsidRPr="00664913">
        <w:rPr>
          <w:lang w:val="es-ES_tradnl"/>
        </w:rPr>
        <w:t>clarar el texto relativo a los ceros finales de las MMSI en el Anexo 1, Sección 1, párrafo 4;</w:t>
      </w:r>
    </w:p>
    <w:p w:rsidR="000F7195" w:rsidRDefault="000F7195" w:rsidP="000F7195">
      <w:pPr>
        <w:pStyle w:val="enumlev1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  <w:t>c</w:t>
      </w:r>
      <w:r w:rsidRPr="00664913">
        <w:rPr>
          <w:lang w:val="es-ES_tradnl"/>
        </w:rPr>
        <w:t>ambio redaccional: «transpondedor» debe cambiarse por «transmisor» en el SIA-SART (Anexo 2, Sección 2.1).</w:t>
      </w:r>
    </w:p>
    <w:p w:rsidR="000F7195" w:rsidRPr="00442FD0" w:rsidRDefault="000F7195" w:rsidP="000F7195">
      <w:pPr>
        <w:pStyle w:val="Reasons"/>
        <w:rPr>
          <w:lang w:val="es-ES_tradnl"/>
        </w:rPr>
      </w:pPr>
    </w:p>
    <w:p w:rsidR="000F7195" w:rsidRPr="000F7195" w:rsidRDefault="000F7195" w:rsidP="000F7195">
      <w:pPr>
        <w:spacing w:before="600"/>
        <w:jc w:val="center"/>
      </w:pPr>
      <w:r>
        <w:t>______________</w:t>
      </w:r>
    </w:p>
    <w:sectPr w:rsidR="000F7195" w:rsidRPr="000F7195" w:rsidSect="00031E6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75B" w:rsidRDefault="00C6275B">
      <w:r>
        <w:separator/>
      </w:r>
    </w:p>
  </w:endnote>
  <w:endnote w:type="continuationSeparator" w:id="0">
    <w:p w:rsidR="00C6275B" w:rsidRDefault="00C6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836C8A" w:rsidRDefault="00A80EFE" w:rsidP="00805A02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es-ES_tradnl"/>
      </w:rPr>
    </w:pPr>
    <w:r w:rsidRPr="00836C8A">
      <w:rPr>
        <w:color w:val="3E8EDE"/>
        <w:sz w:val="18"/>
        <w:szCs w:val="18"/>
        <w:lang w:val="es-ES_tradnl"/>
      </w:rPr>
      <w:t>Unión Internacional de Telecomunicaciones • Place des Nations • CH</w:t>
    </w:r>
    <w:r w:rsidRPr="00836C8A">
      <w:rPr>
        <w:color w:val="3E8EDE"/>
        <w:sz w:val="18"/>
        <w:szCs w:val="18"/>
        <w:lang w:val="es-ES_tradnl"/>
      </w:rPr>
      <w:noBreakHyphen/>
      <w:t>1211 Ginebra 20 • Suiza</w:t>
    </w:r>
    <w:r w:rsidRPr="00836C8A">
      <w:rPr>
        <w:color w:val="3E8EDE"/>
        <w:sz w:val="18"/>
        <w:szCs w:val="18"/>
        <w:lang w:val="es-ES_tradnl"/>
      </w:rPr>
      <w:br/>
      <w:t xml:space="preserve">Tel: +41 22 730 5111 • Fax: +41 22 733 7256 • </w:t>
    </w:r>
    <w:r>
      <w:rPr>
        <w:color w:val="3E8EDE"/>
        <w:sz w:val="18"/>
        <w:szCs w:val="18"/>
        <w:lang w:val="es-ES_tradnl"/>
      </w:rPr>
      <w:br/>
    </w:r>
    <w:r w:rsidRPr="00836C8A">
      <w:rPr>
        <w:color w:val="3E8EDE"/>
        <w:sz w:val="18"/>
        <w:szCs w:val="18"/>
        <w:lang w:val="es-ES_tradnl"/>
      </w:rPr>
      <w:t xml:space="preserve">Correo-e: </w:t>
    </w:r>
    <w:hyperlink r:id="rId1" w:history="1">
      <w:r w:rsidRPr="00836C8A">
        <w:rPr>
          <w:color w:val="3E8EDE"/>
          <w:sz w:val="18"/>
          <w:szCs w:val="18"/>
          <w:lang w:val="es-ES_tradnl"/>
        </w:rPr>
        <w:t>itumail@itu.int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2" w:history="1">
      <w:r w:rsidRPr="00836C8A">
        <w:rPr>
          <w:color w:val="3E8EDE"/>
          <w:sz w:val="18"/>
          <w:szCs w:val="18"/>
          <w:lang w:val="es-ES_tradnl"/>
        </w:rPr>
        <w:t>www.itu.int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3" w:history="1">
      <w:r w:rsidR="00805A02" w:rsidRPr="0090201F">
        <w:rPr>
          <w:color w:val="3E8EDE"/>
          <w:sz w:val="18"/>
          <w:lang w:val="es-ES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75B" w:rsidRDefault="00C6275B">
      <w:r>
        <w:t>____________________</w:t>
      </w:r>
    </w:p>
  </w:footnote>
  <w:footnote w:type="continuationSeparator" w:id="0">
    <w:p w:rsidR="00C6275B" w:rsidRDefault="00C62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0F719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332EDA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0F719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0F7195" w:rsidRDefault="00E915AF">
    <w:pPr>
      <w:pStyle w:val="Header"/>
      <w:rPr>
        <w:iCs/>
        <w:sz w:val="18"/>
        <w:szCs w:val="18"/>
      </w:rPr>
    </w:pPr>
    <w:r>
      <w:tab/>
    </w:r>
    <w:r>
      <w:tab/>
    </w:r>
    <w:r w:rsidR="000F7195">
      <w:t xml:space="preserve">- </w:t>
    </w:r>
    <w:r w:rsidR="001B42C9" w:rsidRPr="000F7195">
      <w:rPr>
        <w:iCs/>
        <w:sz w:val="18"/>
        <w:szCs w:val="18"/>
      </w:rPr>
      <w:fldChar w:fldCharType="begin"/>
    </w:r>
    <w:r w:rsidRPr="000F7195">
      <w:rPr>
        <w:iCs/>
        <w:sz w:val="18"/>
        <w:szCs w:val="18"/>
      </w:rPr>
      <w:instrText xml:space="preserve"> PAGE  \* MERGEFORMAT </w:instrText>
    </w:r>
    <w:r w:rsidR="001B42C9" w:rsidRPr="000F7195">
      <w:rPr>
        <w:iCs/>
        <w:sz w:val="18"/>
        <w:szCs w:val="18"/>
      </w:rPr>
      <w:fldChar w:fldCharType="separate"/>
    </w:r>
    <w:r w:rsidR="00332EDA">
      <w:rPr>
        <w:iCs/>
        <w:noProof/>
        <w:sz w:val="18"/>
        <w:szCs w:val="18"/>
      </w:rPr>
      <w:t>3</w:t>
    </w:r>
    <w:r w:rsidR="001B42C9" w:rsidRPr="000F7195">
      <w:rPr>
        <w:iCs/>
        <w:sz w:val="18"/>
        <w:szCs w:val="18"/>
      </w:rPr>
      <w:fldChar w:fldCharType="end"/>
    </w:r>
    <w:r w:rsidR="000F7195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E4595" w:rsidTr="00297D40">
      <w:tc>
        <w:tcPr>
          <w:tcW w:w="4889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9E4595" w:rsidRDefault="00E915AF" w:rsidP="009E4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6275B"/>
    <w:rsid w:val="00006A31"/>
    <w:rsid w:val="00006C82"/>
    <w:rsid w:val="00010E30"/>
    <w:rsid w:val="00015C76"/>
    <w:rsid w:val="00026CF8"/>
    <w:rsid w:val="0003071A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7195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37B2C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029C"/>
    <w:rsid w:val="00332EDA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065A7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201F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275B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A5B57"/>
    <w:rsid w:val="00FB2592"/>
    <w:rsid w:val="00FB2810"/>
    <w:rsid w:val="00FB7A2C"/>
    <w:rsid w:val="00FC2947"/>
    <w:rsid w:val="00FD6848"/>
    <w:rsid w:val="00FE0818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C97B7848-0E70-40CC-9EBE-B33EAD60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0F719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rsid w:val="000F7195"/>
    <w:rPr>
      <w:b/>
      <w:sz w:val="28"/>
      <w:szCs w:val="22"/>
      <w:lang w:val="en-US" w:eastAsia="en-US"/>
    </w:rPr>
  </w:style>
  <w:style w:type="character" w:customStyle="1" w:styleId="enumlev1Char">
    <w:name w:val="enumlev1 Char"/>
    <w:link w:val="enumlev1"/>
    <w:locked/>
    <w:rsid w:val="000F7195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0F719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332E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M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et\AppData\Roaming\Microsoft\Templates\ITUOffice2007\POOL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455F7-BC2B-4A3D-8CFA-B59E9169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20</TotalTime>
  <Pages>4</Pages>
  <Words>883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6127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Jovet, Nathalie</cp:lastModifiedBy>
  <cp:revision>9</cp:revision>
  <cp:lastPrinted>2015-01-28T14:18:00Z</cp:lastPrinted>
  <dcterms:created xsi:type="dcterms:W3CDTF">2015-01-27T10:59:00Z</dcterms:created>
  <dcterms:modified xsi:type="dcterms:W3CDTF">2015-01-28T14:24:00Z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