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BA5AEF">
            <w:pPr>
              <w:spacing w:before="0" w:line="240" w:lineRule="auto"/>
              <w:jc w:val="left"/>
              <w:rPr>
                <w:rFonts w:asciiTheme="majorEastAsia" w:eastAsiaTheme="majorEastAsia" w:hAnsiTheme="majorEastAsia" w:cstheme="minorHAnsi"/>
                <w:b/>
                <w:bCs/>
                <w:color w:val="808080"/>
                <w:sz w:val="28"/>
                <w:szCs w:val="28"/>
                <w:lang w:val="en-GB" w:eastAsia="zh-CN"/>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A5AEF">
            <w:pPr>
              <w:spacing w:before="0" w:line="240" w:lineRule="auto"/>
              <w:jc w:val="left"/>
              <w:rPr>
                <w:rFonts w:cstheme="minorHAnsi"/>
                <w:b/>
                <w:bCs/>
                <w:color w:val="808080"/>
                <w:sz w:val="28"/>
                <w:szCs w:val="28"/>
                <w:lang w:val="en-GB" w:eastAsia="zh-CN"/>
              </w:rPr>
            </w:pPr>
          </w:p>
          <w:p w:rsidR="00E53DCE" w:rsidRPr="00AF70DA" w:rsidRDefault="00E53DCE" w:rsidP="00BA5AEF">
            <w:pPr>
              <w:spacing w:before="0" w:line="240" w:lineRule="auto"/>
              <w:jc w:val="left"/>
              <w:rPr>
                <w:rFonts w:cs="Times New Roman Bold"/>
                <w:b/>
                <w:bCs/>
                <w:color w:val="808080"/>
                <w:sz w:val="28"/>
                <w:szCs w:val="28"/>
                <w:lang w:val="en-GB" w:eastAsia="zh-CN"/>
              </w:rPr>
            </w:pPr>
          </w:p>
        </w:tc>
      </w:tr>
      <w:tr w:rsidR="00E53DCE" w:rsidRPr="00334544" w:rsidTr="006160CB">
        <w:tc>
          <w:tcPr>
            <w:tcW w:w="7054" w:type="dxa"/>
            <w:gridSpan w:val="2"/>
            <w:shd w:val="clear" w:color="auto" w:fill="auto"/>
          </w:tcPr>
          <w:p w:rsidR="00E53DCE" w:rsidRPr="00334544" w:rsidRDefault="009C6A12" w:rsidP="00BA5AEF">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BA5AEF">
            <w:pPr>
              <w:spacing w:before="0" w:line="240" w:lineRule="auto"/>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4F3F62" w:rsidRPr="00FE5237">
              <w:rPr>
                <w:b/>
                <w:bCs/>
                <w:szCs w:val="24"/>
                <w:lang w:val="fr-CH"/>
              </w:rPr>
              <w:t>692</w:t>
            </w:r>
          </w:p>
        </w:tc>
        <w:tc>
          <w:tcPr>
            <w:tcW w:w="2835" w:type="dxa"/>
            <w:shd w:val="clear" w:color="auto" w:fill="auto"/>
          </w:tcPr>
          <w:p w:rsidR="00E53DCE" w:rsidRPr="00334544" w:rsidRDefault="00F4289B" w:rsidP="00BA5AEF">
            <w:pPr>
              <w:spacing w:before="0" w:line="240" w:lineRule="auto"/>
              <w:jc w:val="right"/>
              <w:rPr>
                <w:szCs w:val="24"/>
                <w:lang w:val="en-GB" w:eastAsia="zh-CN"/>
              </w:rPr>
            </w:pPr>
            <w:r>
              <w:rPr>
                <w:szCs w:val="24"/>
                <w:lang w:val="en-GB"/>
              </w:rPr>
              <w:t>2014</w:t>
            </w:r>
            <w:r>
              <w:rPr>
                <w:rFonts w:hint="eastAsia"/>
                <w:szCs w:val="24"/>
                <w:lang w:val="en-GB" w:eastAsia="zh-CN"/>
              </w:rPr>
              <w:t>年</w:t>
            </w:r>
            <w:r>
              <w:rPr>
                <w:rFonts w:hint="eastAsia"/>
                <w:szCs w:val="24"/>
                <w:lang w:val="en-GB" w:eastAsia="zh-CN"/>
              </w:rPr>
              <w:t>10</w:t>
            </w:r>
            <w:r>
              <w:rPr>
                <w:rFonts w:hint="eastAsia"/>
                <w:szCs w:val="24"/>
                <w:lang w:val="en-GB" w:eastAsia="zh-CN"/>
              </w:rPr>
              <w:t>月</w:t>
            </w:r>
            <w:r>
              <w:rPr>
                <w:szCs w:val="24"/>
                <w:lang w:val="en-GB"/>
              </w:rPr>
              <w:t>3</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BA5AEF">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BA5AEF">
            <w:pPr>
              <w:spacing w:before="0" w:line="240" w:lineRule="auto"/>
              <w:jc w:val="left"/>
              <w:rPr>
                <w:szCs w:val="24"/>
              </w:rPr>
            </w:pPr>
          </w:p>
        </w:tc>
      </w:tr>
      <w:tr w:rsidR="00E53DCE" w:rsidRPr="00334544" w:rsidTr="006160CB">
        <w:tc>
          <w:tcPr>
            <w:tcW w:w="9889" w:type="dxa"/>
            <w:gridSpan w:val="3"/>
            <w:shd w:val="clear" w:color="auto" w:fill="auto"/>
          </w:tcPr>
          <w:p w:rsidR="00E53DCE" w:rsidRPr="00334544" w:rsidRDefault="00D631CE" w:rsidP="00BA5AEF">
            <w:pPr>
              <w:spacing w:before="0" w:line="240" w:lineRule="auto"/>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1E031F">
              <w:rPr>
                <w:rFonts w:eastAsia="SimSun"/>
                <w:b/>
                <w:lang w:eastAsia="zh-CN"/>
              </w:rPr>
              <w:br/>
            </w:r>
            <w:r w:rsidR="00E91EDF" w:rsidRPr="00505A6A">
              <w:rPr>
                <w:rFonts w:eastAsia="SimSun" w:hint="eastAsia"/>
                <w:b/>
                <w:lang w:eastAsia="zh-CN"/>
              </w:rPr>
              <w:t>参加无线电通信第</w:t>
            </w:r>
            <w:r w:rsidR="00F4289B">
              <w:rPr>
                <w:rFonts w:eastAsia="SimSun" w:hint="eastAsia"/>
                <w:b/>
                <w:lang w:eastAsia="zh-CN"/>
              </w:rPr>
              <w:t>4</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BA5AEF">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BA5AEF">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BA5AEF">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BA5AEF">
            <w:pPr>
              <w:tabs>
                <w:tab w:val="clear" w:pos="1588"/>
                <w:tab w:val="left" w:pos="1560"/>
              </w:tabs>
              <w:spacing w:before="0" w:line="240" w:lineRule="auto"/>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91EDF" w:rsidRPr="00E91EDF" w:rsidRDefault="00E91EDF" w:rsidP="00BA5AEF">
            <w:pPr>
              <w:spacing w:before="0" w:line="240" w:lineRule="auto"/>
              <w:rPr>
                <w:b/>
                <w:bCs/>
                <w:lang w:eastAsia="zh-CN"/>
              </w:rPr>
            </w:pPr>
            <w:r w:rsidRPr="00E91EDF">
              <w:rPr>
                <w:rFonts w:hint="eastAsia"/>
                <w:b/>
                <w:bCs/>
                <w:lang w:eastAsia="zh-CN"/>
              </w:rPr>
              <w:t>无线电通信第</w:t>
            </w:r>
            <w:r w:rsidR="00F4289B">
              <w:rPr>
                <w:rFonts w:hint="eastAsia"/>
                <w:b/>
                <w:bCs/>
                <w:lang w:eastAsia="zh-CN"/>
              </w:rPr>
              <w:t>4</w:t>
            </w:r>
            <w:r w:rsidRPr="00E91EDF">
              <w:rPr>
                <w:rFonts w:hint="eastAsia"/>
                <w:b/>
                <w:bCs/>
                <w:lang w:eastAsia="zh-CN"/>
              </w:rPr>
              <w:t>研究组</w:t>
            </w:r>
            <w:r>
              <w:rPr>
                <w:rFonts w:hint="eastAsia"/>
                <w:b/>
                <w:bCs/>
                <w:lang w:eastAsia="zh-CN"/>
              </w:rPr>
              <w:t>（</w:t>
            </w:r>
            <w:r w:rsidR="00F4289B">
              <w:rPr>
                <w:rFonts w:hint="eastAsia"/>
                <w:b/>
                <w:bCs/>
                <w:lang w:eastAsia="zh-CN"/>
              </w:rPr>
              <w:t>卫星业务</w:t>
            </w:r>
            <w:r>
              <w:rPr>
                <w:rFonts w:hint="eastAsia"/>
                <w:b/>
                <w:bCs/>
                <w:lang w:eastAsia="zh-CN"/>
              </w:rPr>
              <w:t>）</w:t>
            </w:r>
          </w:p>
          <w:p w:rsidR="004F3F62" w:rsidRPr="009C7E95" w:rsidRDefault="004F3F62" w:rsidP="00BA5AEF">
            <w:pPr>
              <w:pStyle w:val="enumlev1"/>
              <w:spacing w:line="240" w:lineRule="auto"/>
              <w:rPr>
                <w:b/>
                <w:bCs/>
                <w:lang w:eastAsia="zh-CN"/>
              </w:rPr>
            </w:pPr>
            <w:r w:rsidRPr="009C7E95">
              <w:rPr>
                <w:b/>
                <w:bCs/>
                <w:lang w:eastAsia="zh-CN"/>
              </w:rPr>
              <w:t>–</w:t>
            </w:r>
            <w:r w:rsidRPr="009C7E95">
              <w:rPr>
                <w:b/>
                <w:bCs/>
                <w:lang w:eastAsia="zh-CN"/>
              </w:rPr>
              <w:tab/>
            </w:r>
            <w:r w:rsidRPr="009C7E95">
              <w:rPr>
                <w:b/>
                <w:bCs/>
                <w:lang w:eastAsia="zh-CN"/>
              </w:rPr>
              <w:t>根据</w:t>
            </w:r>
            <w:r w:rsidRPr="009C7E95">
              <w:rPr>
                <w:b/>
                <w:bCs/>
                <w:lang w:eastAsia="zh-CN"/>
              </w:rPr>
              <w:t>ITU-R</w:t>
            </w:r>
            <w:r w:rsidRPr="009C7E95">
              <w:rPr>
                <w:b/>
                <w:bCs/>
                <w:lang w:eastAsia="zh-CN"/>
              </w:rPr>
              <w:t>第</w:t>
            </w:r>
            <w:r w:rsidRPr="009C7E95">
              <w:rPr>
                <w:b/>
                <w:bCs/>
                <w:lang w:eastAsia="zh-CN"/>
              </w:rPr>
              <w:t>1-6</w:t>
            </w:r>
            <w:r w:rsidRPr="009C7E95">
              <w:rPr>
                <w:b/>
                <w:bCs/>
                <w:lang w:eastAsia="zh-CN"/>
              </w:rPr>
              <w:t>号决议第</w:t>
            </w:r>
            <w:r w:rsidRPr="009C7E95">
              <w:rPr>
                <w:b/>
                <w:bCs/>
                <w:lang w:eastAsia="zh-CN"/>
              </w:rPr>
              <w:t>10.3</w:t>
            </w:r>
            <w:r w:rsidRPr="009C7E95">
              <w:rPr>
                <w:b/>
                <w:bCs/>
                <w:lang w:eastAsia="zh-CN"/>
              </w:rPr>
              <w:t>段（以信函方式同时通过和批准</w:t>
            </w:r>
            <w:r w:rsidRPr="009C7E95">
              <w:rPr>
                <w:rFonts w:hint="eastAsia"/>
                <w:b/>
                <w:bCs/>
                <w:lang w:eastAsia="zh-CN"/>
              </w:rPr>
              <w:t>的</w:t>
            </w:r>
            <w:r w:rsidRPr="009C7E95">
              <w:rPr>
                <w:b/>
                <w:bCs/>
                <w:lang w:eastAsia="zh-CN"/>
              </w:rPr>
              <w:t>程序）以信函方式通过</w:t>
            </w:r>
            <w:r w:rsidR="00BA5AEF">
              <w:rPr>
                <w:rFonts w:hint="eastAsia"/>
                <w:b/>
                <w:bCs/>
                <w:lang w:eastAsia="zh-CN"/>
              </w:rPr>
              <w:t>并同时</w:t>
            </w:r>
            <w:r w:rsidR="00BA5AEF">
              <w:rPr>
                <w:b/>
                <w:bCs/>
                <w:lang w:eastAsia="zh-CN"/>
              </w:rPr>
              <w:t>批准</w:t>
            </w:r>
            <w:r w:rsidRPr="00FE5237">
              <w:rPr>
                <w:b/>
                <w:bCs/>
                <w:lang w:eastAsia="zh-CN"/>
              </w:rPr>
              <w:t>1</w:t>
            </w:r>
            <w:r w:rsidRPr="009C7E95">
              <w:rPr>
                <w:b/>
                <w:bCs/>
                <w:lang w:eastAsia="zh-CN"/>
              </w:rPr>
              <w:t>份</w:t>
            </w:r>
            <w:r w:rsidRPr="009C7E95">
              <w:rPr>
                <w:rFonts w:hint="eastAsia"/>
                <w:b/>
                <w:bCs/>
                <w:lang w:eastAsia="zh-CN"/>
              </w:rPr>
              <w:t>ITU-R</w:t>
            </w:r>
            <w:r w:rsidRPr="009C7E95">
              <w:rPr>
                <w:b/>
                <w:bCs/>
                <w:lang w:eastAsia="zh-CN"/>
              </w:rPr>
              <w:t>新建议书和</w:t>
            </w:r>
            <w:r w:rsidRPr="00FE5237">
              <w:rPr>
                <w:b/>
                <w:bCs/>
                <w:lang w:eastAsia="zh-CN"/>
              </w:rPr>
              <w:t>1</w:t>
            </w:r>
            <w:r w:rsidRPr="009C7E95">
              <w:rPr>
                <w:b/>
                <w:bCs/>
                <w:lang w:eastAsia="zh-CN"/>
              </w:rPr>
              <w:t>份</w:t>
            </w:r>
            <w:r w:rsidRPr="009C7E95">
              <w:rPr>
                <w:rFonts w:hint="eastAsia"/>
                <w:b/>
                <w:bCs/>
                <w:lang w:eastAsia="zh-CN"/>
              </w:rPr>
              <w:t>ITU-R</w:t>
            </w:r>
            <w:r w:rsidRPr="009C7E95">
              <w:rPr>
                <w:b/>
                <w:bCs/>
                <w:lang w:eastAsia="zh-CN"/>
              </w:rPr>
              <w:t>修订建议书</w:t>
            </w:r>
          </w:p>
          <w:p w:rsidR="004F3F62" w:rsidRPr="00334544" w:rsidRDefault="004F3F62" w:rsidP="00BA5AEF">
            <w:pPr>
              <w:pStyle w:val="enumlev1"/>
              <w:spacing w:line="240" w:lineRule="auto"/>
              <w:rPr>
                <w:szCs w:val="24"/>
                <w:lang w:eastAsia="zh-CN"/>
              </w:rPr>
            </w:pPr>
            <w:r w:rsidRPr="009C7E95">
              <w:rPr>
                <w:b/>
                <w:bCs/>
                <w:lang w:eastAsia="zh-CN"/>
              </w:rPr>
              <w:t>–</w:t>
            </w:r>
            <w:r w:rsidRPr="009C7E95">
              <w:rPr>
                <w:b/>
                <w:bCs/>
                <w:lang w:eastAsia="zh-CN"/>
              </w:rPr>
              <w:tab/>
            </w:r>
            <w:r w:rsidRPr="009C7E95">
              <w:rPr>
                <w:rFonts w:hint="eastAsia"/>
                <w:b/>
                <w:bCs/>
                <w:lang w:eastAsia="zh-CN"/>
              </w:rPr>
              <w:t>废止</w:t>
            </w:r>
            <w:r w:rsidRPr="00FE5237">
              <w:rPr>
                <w:b/>
                <w:bCs/>
                <w:lang w:eastAsia="zh-CN"/>
              </w:rPr>
              <w:t>5</w:t>
            </w:r>
            <w:r w:rsidRPr="009C7E95">
              <w:rPr>
                <w:rFonts w:hint="eastAsia"/>
                <w:b/>
                <w:bCs/>
                <w:lang w:eastAsia="zh-CN"/>
              </w:rPr>
              <w:t>份</w:t>
            </w:r>
            <w:r w:rsidRPr="009C7E95">
              <w:rPr>
                <w:rFonts w:hint="eastAsia"/>
                <w:b/>
                <w:bCs/>
                <w:lang w:eastAsia="zh-CN"/>
              </w:rPr>
              <w:t>ITU-R</w:t>
            </w:r>
            <w:r w:rsidRPr="009C7E95">
              <w:rPr>
                <w:rFonts w:hint="eastAsia"/>
                <w:b/>
                <w:bCs/>
                <w:lang w:eastAsia="zh-CN"/>
              </w:rPr>
              <w:t>建议书</w:t>
            </w:r>
          </w:p>
        </w:tc>
      </w:tr>
      <w:tr w:rsidR="00E53DCE" w:rsidRPr="00334544" w:rsidTr="006160CB">
        <w:tc>
          <w:tcPr>
            <w:tcW w:w="1526" w:type="dxa"/>
            <w:shd w:val="clear" w:color="auto" w:fill="auto"/>
          </w:tcPr>
          <w:p w:rsidR="00E53DCE" w:rsidRPr="00334544" w:rsidRDefault="00E53DCE" w:rsidP="00BA5AE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A5AEF">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BA5AE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BA5AEF">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BA5AEF">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BA5AEF">
            <w:pPr>
              <w:spacing w:before="0" w:line="240" w:lineRule="auto"/>
              <w:jc w:val="left"/>
              <w:rPr>
                <w:b/>
                <w:bCs/>
                <w:szCs w:val="24"/>
                <w:lang w:eastAsia="zh-CN"/>
              </w:rPr>
            </w:pPr>
          </w:p>
        </w:tc>
      </w:tr>
    </w:tbl>
    <w:p w:rsidR="004F3F62" w:rsidRPr="004730D5" w:rsidRDefault="004F3F62" w:rsidP="00BA5AEF">
      <w:pPr>
        <w:spacing w:before="360" w:line="240" w:lineRule="auto"/>
        <w:ind w:firstLineChars="200" w:firstLine="480"/>
        <w:rPr>
          <w:lang w:eastAsia="zh-CN"/>
        </w:rPr>
      </w:pPr>
      <w:r w:rsidRPr="004730D5">
        <w:rPr>
          <w:lang w:eastAsia="zh-CN"/>
        </w:rPr>
        <w:t>根据</w:t>
      </w:r>
      <w:r w:rsidRPr="004730D5">
        <w:rPr>
          <w:lang w:eastAsia="zh-CN"/>
        </w:rPr>
        <w:t>ITU-R</w:t>
      </w:r>
      <w:r w:rsidRPr="004730D5">
        <w:rPr>
          <w:lang w:eastAsia="zh-CN"/>
        </w:rPr>
        <w:t>第</w:t>
      </w:r>
      <w:r w:rsidRPr="004730D5">
        <w:rPr>
          <w:lang w:eastAsia="zh-CN"/>
        </w:rPr>
        <w:t>1-6</w:t>
      </w:r>
      <w:r w:rsidRPr="004730D5">
        <w:rPr>
          <w:lang w:eastAsia="zh-CN"/>
        </w:rPr>
        <w:t>号决议（第</w:t>
      </w:r>
      <w:r w:rsidRPr="004730D5">
        <w:rPr>
          <w:lang w:eastAsia="zh-CN"/>
        </w:rPr>
        <w:t>10.3</w:t>
      </w:r>
      <w:r w:rsidRPr="004730D5">
        <w:rPr>
          <w:lang w:eastAsia="zh-CN"/>
        </w:rPr>
        <w:t>段）规定的程序，通过</w:t>
      </w:r>
      <w:r w:rsidRPr="004730D5">
        <w:rPr>
          <w:lang w:eastAsia="zh-CN"/>
        </w:rPr>
        <w:t>201</w:t>
      </w:r>
      <w:r w:rsidR="00BA5AEF">
        <w:rPr>
          <w:lang w:eastAsia="zh-CN"/>
        </w:rPr>
        <w:t>4</w:t>
      </w:r>
      <w:r w:rsidRPr="004730D5">
        <w:rPr>
          <w:lang w:eastAsia="zh-CN"/>
        </w:rPr>
        <w:t>年</w:t>
      </w:r>
      <w:r w:rsidR="00BA5AEF">
        <w:rPr>
          <w:rFonts w:hint="eastAsia"/>
          <w:lang w:eastAsia="zh-CN"/>
        </w:rPr>
        <w:t>7</w:t>
      </w:r>
      <w:r w:rsidRPr="004730D5">
        <w:rPr>
          <w:lang w:eastAsia="zh-CN"/>
        </w:rPr>
        <w:t>月</w:t>
      </w:r>
      <w:r w:rsidR="00BA5AEF">
        <w:rPr>
          <w:rFonts w:hint="eastAsia"/>
          <w:lang w:eastAsia="zh-CN"/>
        </w:rPr>
        <w:t>2</w:t>
      </w:r>
      <w:r w:rsidR="00BA5AEF">
        <w:rPr>
          <w:lang w:eastAsia="zh-CN"/>
        </w:rPr>
        <w:t>9</w:t>
      </w:r>
      <w:r w:rsidRPr="004730D5">
        <w:rPr>
          <w:lang w:eastAsia="zh-CN"/>
        </w:rPr>
        <w:t>日的第</w:t>
      </w:r>
      <w:r w:rsidRPr="004730D5">
        <w:rPr>
          <w:lang w:eastAsia="zh-CN"/>
        </w:rPr>
        <w:t>CA</w:t>
      </w:r>
      <w:r>
        <w:rPr>
          <w:rFonts w:hint="eastAsia"/>
          <w:lang w:eastAsia="zh-CN"/>
        </w:rPr>
        <w:t>CE</w:t>
      </w:r>
      <w:r w:rsidRPr="004730D5">
        <w:rPr>
          <w:lang w:eastAsia="zh-CN"/>
        </w:rPr>
        <w:t>/</w:t>
      </w:r>
      <w:r w:rsidRPr="00FE5237">
        <w:rPr>
          <w:lang w:eastAsia="zh-CN"/>
        </w:rPr>
        <w:t>684</w:t>
      </w:r>
      <w:r w:rsidRPr="004730D5">
        <w:rPr>
          <w:lang w:eastAsia="zh-CN"/>
        </w:rPr>
        <w:t>号行政通函，提交了</w:t>
      </w:r>
      <w:r w:rsidRPr="00FE5237">
        <w:rPr>
          <w:lang w:eastAsia="zh-CN"/>
        </w:rPr>
        <w:t>1</w:t>
      </w:r>
      <w:r w:rsidRPr="004730D5">
        <w:rPr>
          <w:lang w:eastAsia="zh-CN"/>
        </w:rPr>
        <w:t>份</w:t>
      </w:r>
      <w:r w:rsidRPr="004730D5">
        <w:rPr>
          <w:lang w:eastAsia="zh-CN"/>
        </w:rPr>
        <w:t>ITU-R</w:t>
      </w:r>
      <w:r w:rsidRPr="004730D5">
        <w:rPr>
          <w:lang w:eastAsia="zh-CN"/>
        </w:rPr>
        <w:t>新建议书草案和</w:t>
      </w:r>
      <w:r w:rsidRPr="00FE5237">
        <w:rPr>
          <w:lang w:eastAsia="zh-CN"/>
        </w:rPr>
        <w:t>1</w:t>
      </w:r>
      <w:r w:rsidRPr="004730D5">
        <w:rPr>
          <w:lang w:eastAsia="zh-CN"/>
        </w:rPr>
        <w:t>份</w:t>
      </w:r>
      <w:r w:rsidRPr="004730D5">
        <w:rPr>
          <w:lang w:eastAsia="zh-CN"/>
        </w:rPr>
        <w:t>ITU-R</w:t>
      </w:r>
      <w:r w:rsidRPr="004730D5">
        <w:rPr>
          <w:lang w:eastAsia="zh-CN"/>
        </w:rPr>
        <w:t>建议书修订草案，以便以信函方式同时通过和批准（</w:t>
      </w:r>
      <w:r w:rsidRPr="004730D5">
        <w:rPr>
          <w:lang w:eastAsia="zh-CN"/>
        </w:rPr>
        <w:t>PSAA</w:t>
      </w:r>
      <w:r w:rsidRPr="004730D5">
        <w:rPr>
          <w:lang w:eastAsia="zh-CN"/>
        </w:rPr>
        <w:t>）。另外，研究组建议废止</w:t>
      </w:r>
      <w:r w:rsidRPr="00FE5237">
        <w:rPr>
          <w:lang w:eastAsia="zh-CN"/>
        </w:rPr>
        <w:t>5</w:t>
      </w:r>
      <w:r w:rsidRPr="004730D5">
        <w:rPr>
          <w:lang w:eastAsia="zh-CN"/>
        </w:rPr>
        <w:t>份</w:t>
      </w:r>
      <w:r w:rsidR="00BA5AEF" w:rsidRPr="004730D5">
        <w:rPr>
          <w:lang w:eastAsia="zh-CN"/>
        </w:rPr>
        <w:t>ITU-R</w:t>
      </w:r>
      <w:r w:rsidRPr="004730D5">
        <w:rPr>
          <w:lang w:eastAsia="zh-CN"/>
        </w:rPr>
        <w:t>建议书。</w:t>
      </w:r>
    </w:p>
    <w:p w:rsidR="004730D5" w:rsidRPr="004730D5" w:rsidRDefault="004730D5" w:rsidP="00BA5AEF">
      <w:pPr>
        <w:spacing w:line="240" w:lineRule="auto"/>
        <w:ind w:firstLineChars="200" w:firstLine="480"/>
        <w:rPr>
          <w:lang w:eastAsia="zh-CN"/>
        </w:rPr>
      </w:pPr>
      <w:r w:rsidRPr="004730D5">
        <w:rPr>
          <w:lang w:eastAsia="zh-CN"/>
        </w:rPr>
        <w:t>有关该程序的条件已于</w:t>
      </w:r>
      <w:r w:rsidRPr="004730D5">
        <w:rPr>
          <w:lang w:eastAsia="zh-CN"/>
        </w:rPr>
        <w:t>201</w:t>
      </w:r>
      <w:r w:rsidR="00BA5AEF">
        <w:rPr>
          <w:lang w:eastAsia="zh-CN"/>
        </w:rPr>
        <w:t>4</w:t>
      </w:r>
      <w:r w:rsidRPr="004730D5">
        <w:rPr>
          <w:lang w:eastAsia="zh-CN"/>
        </w:rPr>
        <w:t>年</w:t>
      </w:r>
      <w:r w:rsidR="00BA5AEF">
        <w:rPr>
          <w:rFonts w:hint="eastAsia"/>
          <w:lang w:eastAsia="zh-CN"/>
        </w:rPr>
        <w:t>9</w:t>
      </w:r>
      <w:r w:rsidRPr="004730D5">
        <w:rPr>
          <w:lang w:eastAsia="zh-CN"/>
        </w:rPr>
        <w:t>月</w:t>
      </w:r>
      <w:r w:rsidR="00BA5AEF">
        <w:rPr>
          <w:rFonts w:hint="eastAsia"/>
          <w:lang w:eastAsia="zh-CN"/>
        </w:rPr>
        <w:t>2</w:t>
      </w:r>
      <w:r w:rsidR="00BA5AEF">
        <w:rPr>
          <w:lang w:eastAsia="zh-CN"/>
        </w:rPr>
        <w:t>9</w:t>
      </w:r>
      <w:r w:rsidRPr="004730D5">
        <w:rPr>
          <w:lang w:eastAsia="zh-CN"/>
        </w:rPr>
        <w:t>日得到满足。</w:t>
      </w:r>
    </w:p>
    <w:p w:rsidR="00E91EDF" w:rsidRPr="004730D5" w:rsidRDefault="004730D5" w:rsidP="00BA5AEF">
      <w:pPr>
        <w:spacing w:line="240" w:lineRule="auto"/>
        <w:ind w:firstLineChars="200" w:firstLine="480"/>
        <w:rPr>
          <w:lang w:eastAsia="zh-CN"/>
        </w:rPr>
      </w:pPr>
      <w:r w:rsidRPr="004730D5">
        <w:rPr>
          <w:lang w:eastAsia="zh-CN"/>
        </w:rPr>
        <w:t>已经批准的建议书将由国际电联公布出版。本通函附件</w:t>
      </w:r>
      <w:r w:rsidRPr="004730D5">
        <w:rPr>
          <w:lang w:eastAsia="zh-CN"/>
        </w:rPr>
        <w:t>1</w:t>
      </w:r>
      <w:r w:rsidRPr="004730D5">
        <w:rPr>
          <w:rFonts w:hint="eastAsia"/>
          <w:lang w:eastAsia="zh-CN"/>
        </w:rPr>
        <w:t>提供</w:t>
      </w:r>
      <w:r w:rsidRPr="004730D5">
        <w:rPr>
          <w:lang w:eastAsia="zh-CN"/>
        </w:rPr>
        <w:t>了这些建议书的标题和分配的编号。</w:t>
      </w:r>
      <w:bookmarkStart w:id="0" w:name="StartTyping_E"/>
      <w:bookmarkEnd w:id="0"/>
      <w:r w:rsidRPr="004730D5">
        <w:rPr>
          <w:lang w:eastAsia="zh-CN"/>
        </w:rPr>
        <w:t>附件</w:t>
      </w:r>
      <w:r w:rsidRPr="004730D5">
        <w:rPr>
          <w:lang w:eastAsia="zh-CN"/>
        </w:rPr>
        <w:t>2</w:t>
      </w:r>
      <w:r w:rsidRPr="004730D5">
        <w:rPr>
          <w:lang w:eastAsia="zh-CN"/>
        </w:rPr>
        <w:t>提供了废</w:t>
      </w:r>
      <w:r w:rsidRPr="004730D5">
        <w:rPr>
          <w:rFonts w:hint="eastAsia"/>
          <w:lang w:eastAsia="zh-CN"/>
        </w:rPr>
        <w:t>止的</w:t>
      </w:r>
      <w:r w:rsidRPr="004730D5">
        <w:rPr>
          <w:lang w:eastAsia="zh-CN"/>
        </w:rPr>
        <w:t>建议书的清单。</w:t>
      </w:r>
    </w:p>
    <w:p w:rsidR="00D631CE" w:rsidRPr="00334544" w:rsidRDefault="00D631CE" w:rsidP="00BA5AEF">
      <w:pPr>
        <w:spacing w:line="240" w:lineRule="auto"/>
        <w:rPr>
          <w:rFonts w:asciiTheme="minorHAnsi" w:hAnsiTheme="minorHAnsi" w:cstheme="minorHAnsi"/>
          <w:szCs w:val="24"/>
          <w:lang w:eastAsia="zh-CN"/>
        </w:rPr>
      </w:pPr>
    </w:p>
    <w:p w:rsidR="00D35AB9" w:rsidRPr="00334544" w:rsidRDefault="00D35AB9" w:rsidP="00BA5AEF">
      <w:pPr>
        <w:spacing w:line="240" w:lineRule="auto"/>
        <w:rPr>
          <w:rFonts w:asciiTheme="minorHAnsi" w:hAnsiTheme="minorHAnsi" w:cstheme="minorHAnsi"/>
          <w:szCs w:val="24"/>
          <w:lang w:eastAsia="zh-CN"/>
        </w:rPr>
      </w:pPr>
    </w:p>
    <w:p w:rsidR="00031E64" w:rsidRPr="00E91EDF" w:rsidRDefault="009C6A12" w:rsidP="00BA5AEF">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BC0E56">
        <w:rPr>
          <w:rFonts w:eastAsiaTheme="majorEastAsia"/>
          <w:szCs w:val="24"/>
          <w:lang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E91EDF" w:rsidRPr="00E91EDF" w:rsidRDefault="00E91EDF" w:rsidP="00BA5AEF">
      <w:pPr>
        <w:spacing w:line="240" w:lineRule="auto"/>
        <w:rPr>
          <w:lang w:eastAsia="zh-CN"/>
        </w:rPr>
      </w:pPr>
    </w:p>
    <w:p w:rsidR="00E91EDF" w:rsidRPr="00E91EDF" w:rsidRDefault="00E91EDF" w:rsidP="00BA5AEF">
      <w:pPr>
        <w:spacing w:line="240" w:lineRule="auto"/>
        <w:rPr>
          <w:lang w:eastAsia="zh-CN"/>
        </w:rPr>
      </w:pPr>
    </w:p>
    <w:p w:rsidR="00E91EDF" w:rsidRDefault="00E91EDF" w:rsidP="00BA5AEF">
      <w:pPr>
        <w:spacing w:line="240" w:lineRule="auto"/>
        <w:rPr>
          <w:lang w:eastAsia="zh-CN"/>
        </w:rPr>
      </w:pPr>
      <w:r w:rsidRPr="00E91EDF">
        <w:rPr>
          <w:rFonts w:hint="eastAsia"/>
          <w:b/>
          <w:bCs/>
          <w:lang w:eastAsia="zh-CN"/>
        </w:rPr>
        <w:t>附件：</w:t>
      </w:r>
      <w:r w:rsidR="004F3F62" w:rsidRPr="00FE5237">
        <w:t>2</w:t>
      </w:r>
      <w:r w:rsidR="00BC0E56">
        <w:rPr>
          <w:rFonts w:hint="eastAsia"/>
          <w:lang w:eastAsia="zh-CN"/>
        </w:rPr>
        <w:t>件</w:t>
      </w:r>
    </w:p>
    <w:p w:rsidR="00E91EDF" w:rsidRPr="00E91EDF" w:rsidRDefault="00E91EDF" w:rsidP="00BA5AEF">
      <w:pPr>
        <w:spacing w:line="240" w:lineRule="auto"/>
        <w:rPr>
          <w:lang w:eastAsia="zh-CN"/>
        </w:rPr>
      </w:pPr>
    </w:p>
    <w:p w:rsidR="00E91EDF" w:rsidRPr="00E91EDF" w:rsidRDefault="00E91EDF" w:rsidP="00BA5AEF">
      <w:pPr>
        <w:spacing w:line="240" w:lineRule="auto"/>
        <w:rPr>
          <w:b/>
          <w:bCs/>
          <w:sz w:val="16"/>
          <w:szCs w:val="16"/>
          <w:lang w:eastAsia="zh-CN"/>
        </w:rPr>
      </w:pPr>
      <w:r w:rsidRPr="00E91EDF">
        <w:rPr>
          <w:rFonts w:hint="eastAsia"/>
          <w:b/>
          <w:bCs/>
          <w:sz w:val="16"/>
          <w:szCs w:val="16"/>
          <w:lang w:eastAsia="zh-CN"/>
        </w:rPr>
        <w:t>分发：</w:t>
      </w:r>
    </w:p>
    <w:p w:rsidR="00E91EDF" w:rsidRPr="00E91EDF" w:rsidRDefault="00E91EDF" w:rsidP="00BA5A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4F3F62" w:rsidRPr="00FE5237">
        <w:rPr>
          <w:rFonts w:asciiTheme="minorHAnsi" w:hAnsiTheme="minorHAnsi" w:cstheme="minorHAnsi"/>
          <w:sz w:val="18"/>
          <w:szCs w:val="18"/>
          <w:lang w:eastAsia="zh-CN"/>
        </w:rPr>
        <w:t>4</w:t>
      </w:r>
      <w:r w:rsidRPr="00E91EDF">
        <w:rPr>
          <w:rFonts w:hint="eastAsia"/>
          <w:sz w:val="16"/>
          <w:szCs w:val="16"/>
          <w:lang w:eastAsia="zh-CN"/>
        </w:rPr>
        <w:t>研究组工作的无线电通信部门成员</w:t>
      </w:r>
    </w:p>
    <w:p w:rsidR="00E91EDF" w:rsidRPr="00E91EDF" w:rsidRDefault="00E91EDF" w:rsidP="00BA5A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4F3F62" w:rsidRPr="00FE5237">
        <w:rPr>
          <w:rFonts w:asciiTheme="minorHAnsi" w:hAnsiTheme="minorHAnsi" w:cstheme="minorHAnsi"/>
          <w:sz w:val="18"/>
          <w:szCs w:val="18"/>
          <w:lang w:eastAsia="zh-CN"/>
        </w:rPr>
        <w:t>4</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BA5A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BA5A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BA5AEF">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E91EDF" w:rsidRDefault="00E91EDF" w:rsidP="00BA5AEF">
      <w:pPr>
        <w:pStyle w:val="enumlev1"/>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4F3F62" w:rsidRPr="00726FB7" w:rsidRDefault="004F3F62" w:rsidP="00BA5AEF">
      <w:pPr>
        <w:pStyle w:val="AnnexNoTitle"/>
        <w:spacing w:line="240" w:lineRule="auto"/>
        <w:rPr>
          <w:sz w:val="28"/>
          <w:szCs w:val="28"/>
          <w:lang w:eastAsia="zh-CN"/>
        </w:rPr>
      </w:pPr>
      <w:r w:rsidRPr="00726FB7">
        <w:rPr>
          <w:rFonts w:hint="eastAsia"/>
          <w:sz w:val="28"/>
          <w:szCs w:val="28"/>
          <w:lang w:eastAsia="zh-CN"/>
        </w:rPr>
        <w:lastRenderedPageBreak/>
        <w:t>附件</w:t>
      </w:r>
      <w:r>
        <w:rPr>
          <w:rFonts w:hint="eastAsia"/>
          <w:sz w:val="28"/>
          <w:szCs w:val="28"/>
          <w:lang w:eastAsia="zh-CN"/>
        </w:rPr>
        <w:t xml:space="preserve"> 1</w:t>
      </w:r>
      <w:r w:rsidRPr="00726FB7">
        <w:rPr>
          <w:sz w:val="28"/>
          <w:szCs w:val="28"/>
          <w:lang w:eastAsia="zh-CN"/>
        </w:rPr>
        <w:br/>
      </w:r>
      <w:r w:rsidRPr="00726FB7">
        <w:rPr>
          <w:rFonts w:hint="eastAsia"/>
          <w:sz w:val="28"/>
          <w:szCs w:val="28"/>
          <w:lang w:eastAsia="zh-CN"/>
        </w:rPr>
        <w:br/>
      </w:r>
      <w:r>
        <w:rPr>
          <w:rFonts w:hint="eastAsia"/>
          <w:sz w:val="28"/>
          <w:szCs w:val="28"/>
          <w:lang w:eastAsia="zh-CN"/>
        </w:rPr>
        <w:t>已经批准的</w:t>
      </w:r>
      <w:r>
        <w:rPr>
          <w:rFonts w:hint="eastAsia"/>
          <w:sz w:val="28"/>
          <w:szCs w:val="28"/>
          <w:lang w:eastAsia="zh-CN"/>
        </w:rPr>
        <w:t>ITU-R</w:t>
      </w:r>
      <w:r>
        <w:rPr>
          <w:rFonts w:hint="eastAsia"/>
          <w:sz w:val="28"/>
          <w:szCs w:val="28"/>
          <w:lang w:eastAsia="zh-CN"/>
        </w:rPr>
        <w:t>建议书的标题</w:t>
      </w:r>
    </w:p>
    <w:p w:rsidR="004F3F62" w:rsidRDefault="004F3F62" w:rsidP="00BA5AEF">
      <w:pPr>
        <w:tabs>
          <w:tab w:val="clear" w:pos="794"/>
          <w:tab w:val="clear" w:pos="1191"/>
          <w:tab w:val="clear" w:pos="1588"/>
          <w:tab w:val="clear" w:pos="1985"/>
          <w:tab w:val="right" w:pos="9639"/>
        </w:tabs>
        <w:spacing w:line="240" w:lineRule="auto"/>
        <w:rPr>
          <w:u w:val="single"/>
          <w:lang w:eastAsia="zh-CN"/>
        </w:rPr>
      </w:pPr>
    </w:p>
    <w:p w:rsidR="004F3F62" w:rsidRPr="00726FB7" w:rsidRDefault="004F3F62" w:rsidP="00BA5AEF">
      <w:pPr>
        <w:tabs>
          <w:tab w:val="right" w:pos="9639"/>
        </w:tabs>
        <w:spacing w:before="600" w:line="240" w:lineRule="auto"/>
        <w:rPr>
          <w:lang w:eastAsia="zh-CN"/>
        </w:rPr>
      </w:pPr>
      <w:r w:rsidRPr="000211C8">
        <w:rPr>
          <w:rFonts w:asciiTheme="minorHAnsi" w:hAnsiTheme="minorHAnsi" w:cstheme="minorHAnsi"/>
          <w:szCs w:val="24"/>
          <w:u w:val="single"/>
          <w:lang w:eastAsia="zh-CN"/>
        </w:rPr>
        <w:t>ITU-R S.</w:t>
      </w:r>
      <w:r w:rsidR="00BA5AEF">
        <w:rPr>
          <w:rFonts w:asciiTheme="minorHAnsi" w:hAnsiTheme="minorHAnsi" w:cstheme="minorHAnsi"/>
          <w:szCs w:val="24"/>
          <w:u w:val="single"/>
          <w:lang w:eastAsia="zh-CN"/>
        </w:rPr>
        <w:t>2062-0</w:t>
      </w:r>
      <w:r>
        <w:rPr>
          <w:rFonts w:hint="eastAsia"/>
          <w:u w:val="single"/>
          <w:lang w:eastAsia="zh-CN"/>
        </w:rPr>
        <w:t>建议书</w:t>
      </w:r>
      <w:r>
        <w:rPr>
          <w:rFonts w:hint="eastAsia"/>
          <w:lang w:eastAsia="zh-CN"/>
        </w:rPr>
        <w:tab/>
      </w:r>
      <w:r w:rsidRPr="000211C8">
        <w:rPr>
          <w:rFonts w:asciiTheme="minorHAnsi" w:hAnsiTheme="minorHAnsi" w:cstheme="minorHAnsi"/>
          <w:szCs w:val="24"/>
          <w:lang w:eastAsia="zh-CN"/>
        </w:rPr>
        <w:t>4/67(Rev.1)</w:t>
      </w:r>
      <w:r>
        <w:rPr>
          <w:rFonts w:hint="eastAsia"/>
          <w:lang w:eastAsia="zh-CN"/>
        </w:rPr>
        <w:t>号文件</w:t>
      </w:r>
    </w:p>
    <w:p w:rsidR="004F3F62" w:rsidRPr="00E807F4" w:rsidRDefault="004F3F62" w:rsidP="00BA5AEF">
      <w:pPr>
        <w:pStyle w:val="Rectitle"/>
        <w:rPr>
          <w:lang w:eastAsia="zh-CN"/>
        </w:rPr>
      </w:pPr>
      <w:r w:rsidRPr="00E807F4">
        <w:rPr>
          <w:rFonts w:hint="eastAsia"/>
          <w:lang w:eastAsia="zh-CN"/>
        </w:rPr>
        <w:t>用于</w:t>
      </w:r>
      <w:r w:rsidRPr="00E807F4">
        <w:rPr>
          <w:rFonts w:hint="eastAsia"/>
          <w:lang w:eastAsia="zh-CN"/>
        </w:rPr>
        <w:t>4/6 GHz</w:t>
      </w:r>
      <w:r w:rsidRPr="00E807F4">
        <w:rPr>
          <w:rFonts w:hint="eastAsia"/>
          <w:lang w:eastAsia="zh-CN"/>
        </w:rPr>
        <w:t>和</w:t>
      </w:r>
      <w:r w:rsidRPr="00E807F4">
        <w:rPr>
          <w:rFonts w:hint="eastAsia"/>
          <w:lang w:eastAsia="zh-CN"/>
        </w:rPr>
        <w:t>11-12/13/14 GHz</w:t>
      </w:r>
      <w:r w:rsidR="00BA5AEF">
        <w:rPr>
          <w:lang w:eastAsia="zh-CN"/>
        </w:rPr>
        <w:t xml:space="preserve"> </w:t>
      </w:r>
      <w:r w:rsidRPr="00E807F4">
        <w:rPr>
          <w:rFonts w:hint="eastAsia"/>
          <w:lang w:eastAsia="zh-CN"/>
        </w:rPr>
        <w:t>FSS</w:t>
      </w:r>
      <w:r w:rsidRPr="00E807F4">
        <w:rPr>
          <w:rFonts w:hint="eastAsia"/>
          <w:lang w:eastAsia="zh-CN"/>
        </w:rPr>
        <w:t>频段</w:t>
      </w:r>
      <w:r w:rsidR="00BA5AEF" w:rsidRPr="00E807F4">
        <w:rPr>
          <w:rFonts w:hint="eastAsia"/>
          <w:lang w:eastAsia="zh-CN"/>
        </w:rPr>
        <w:t>卫星固定业务</w:t>
      </w:r>
      <w:r w:rsidRPr="00E807F4">
        <w:rPr>
          <w:rFonts w:hint="eastAsia"/>
          <w:lang w:eastAsia="zh-CN"/>
        </w:rPr>
        <w:t>使用对地静止卫星网络</w:t>
      </w:r>
      <w:r w:rsidRPr="00E807F4">
        <w:rPr>
          <w:lang w:eastAsia="zh-CN"/>
        </w:rPr>
        <w:br/>
      </w:r>
      <w:r w:rsidRPr="00E807F4">
        <w:rPr>
          <w:rFonts w:hint="eastAsia"/>
          <w:lang w:eastAsia="zh-CN"/>
        </w:rPr>
        <w:t>进行偶尔使用载波地球站传输</w:t>
      </w:r>
      <w:r w:rsidR="00BA5AEF">
        <w:rPr>
          <w:rFonts w:hint="eastAsia"/>
          <w:lang w:eastAsia="zh-CN"/>
        </w:rPr>
        <w:t>的</w:t>
      </w:r>
      <w:r w:rsidRPr="00E807F4">
        <w:rPr>
          <w:rFonts w:hint="eastAsia"/>
          <w:lang w:eastAsia="zh-CN"/>
        </w:rPr>
        <w:t>数字调制传输的</w:t>
      </w:r>
      <w:r w:rsidRPr="00E807F4">
        <w:rPr>
          <w:lang w:eastAsia="zh-CN"/>
        </w:rPr>
        <w:br/>
      </w:r>
      <w:r w:rsidRPr="00E807F4">
        <w:rPr>
          <w:rFonts w:hint="eastAsia"/>
          <w:lang w:eastAsia="zh-CN"/>
        </w:rPr>
        <w:t>载波识别系统</w:t>
      </w:r>
    </w:p>
    <w:p w:rsidR="00924F53" w:rsidRDefault="00924F53" w:rsidP="00BA5AEF">
      <w:pPr>
        <w:tabs>
          <w:tab w:val="right" w:pos="9639"/>
        </w:tabs>
        <w:spacing w:line="240" w:lineRule="auto"/>
        <w:rPr>
          <w:szCs w:val="24"/>
          <w:lang w:eastAsia="zh-CN"/>
        </w:rPr>
      </w:pPr>
    </w:p>
    <w:p w:rsidR="004F3F62" w:rsidRDefault="004F3F62" w:rsidP="00BA5AEF">
      <w:pPr>
        <w:tabs>
          <w:tab w:val="right" w:pos="9639"/>
        </w:tabs>
        <w:spacing w:before="600" w:line="240" w:lineRule="auto"/>
        <w:rPr>
          <w:lang w:eastAsia="zh-CN"/>
        </w:rPr>
      </w:pPr>
      <w:r w:rsidRPr="000211C8">
        <w:rPr>
          <w:rFonts w:asciiTheme="minorHAnsi" w:hAnsiTheme="minorHAnsi" w:cstheme="minorHAnsi"/>
          <w:szCs w:val="24"/>
          <w:u w:val="single"/>
          <w:lang w:eastAsia="zh-CN"/>
        </w:rPr>
        <w:t>ITU-R M.1478-</w:t>
      </w:r>
      <w:r w:rsidR="00BA5AEF">
        <w:rPr>
          <w:rFonts w:asciiTheme="minorHAnsi" w:hAnsiTheme="minorHAnsi" w:cstheme="minorHAnsi"/>
          <w:szCs w:val="24"/>
          <w:u w:val="single"/>
          <w:lang w:eastAsia="zh-CN"/>
        </w:rPr>
        <w:t>3</w:t>
      </w:r>
      <w:r>
        <w:rPr>
          <w:rFonts w:asciiTheme="minorHAnsi" w:hAnsiTheme="minorHAnsi" w:cstheme="minorHAnsi" w:hint="eastAsia"/>
          <w:szCs w:val="24"/>
          <w:u w:val="single"/>
          <w:lang w:eastAsia="zh-CN"/>
        </w:rPr>
        <w:t>建议书</w:t>
      </w:r>
      <w:r>
        <w:rPr>
          <w:rFonts w:asciiTheme="minorHAnsi" w:hAnsiTheme="minorHAnsi" w:cstheme="minorHAnsi"/>
          <w:szCs w:val="24"/>
          <w:lang w:eastAsia="zh-CN"/>
        </w:rPr>
        <w:tab/>
      </w:r>
      <w:r w:rsidRPr="000211C8">
        <w:rPr>
          <w:rFonts w:asciiTheme="minorHAnsi" w:hAnsiTheme="minorHAnsi" w:cstheme="minorHAnsi"/>
          <w:szCs w:val="24"/>
          <w:lang w:eastAsia="zh-CN"/>
        </w:rPr>
        <w:t>4/64(Rev.1)</w:t>
      </w:r>
      <w:r>
        <w:rPr>
          <w:rFonts w:asciiTheme="minorHAnsi" w:hAnsiTheme="minorHAnsi" w:cstheme="minorHAnsi" w:hint="eastAsia"/>
          <w:szCs w:val="24"/>
          <w:lang w:eastAsia="zh-CN"/>
        </w:rPr>
        <w:t>号文件</w:t>
      </w:r>
    </w:p>
    <w:p w:rsidR="004F3F62" w:rsidRDefault="004F3F62" w:rsidP="00BA5AEF">
      <w:pPr>
        <w:pStyle w:val="Rectitle"/>
        <w:rPr>
          <w:lang w:eastAsia="zh-CN"/>
        </w:rPr>
      </w:pPr>
      <w:r w:rsidRPr="00525995">
        <w:rPr>
          <w:lang w:eastAsia="zh-CN"/>
        </w:rPr>
        <w:t>406</w:t>
      </w:r>
      <w:r w:rsidRPr="00525995">
        <w:rPr>
          <w:lang w:eastAsia="zh-CN"/>
        </w:rPr>
        <w:noBreakHyphen/>
        <w:t>406.1 MHz</w:t>
      </w:r>
      <w:r w:rsidRPr="00525995">
        <w:rPr>
          <w:lang w:eastAsia="zh-CN"/>
        </w:rPr>
        <w:t>频段</w:t>
      </w:r>
      <w:proofErr w:type="spellStart"/>
      <w:r>
        <w:rPr>
          <w:lang w:eastAsia="zh-CN"/>
        </w:rPr>
        <w:t>Cospas-Sarsat</w:t>
      </w:r>
      <w:proofErr w:type="spellEnd"/>
      <w:r w:rsidRPr="00525995">
        <w:rPr>
          <w:lang w:eastAsia="zh-CN"/>
        </w:rPr>
        <w:t>搜救设备</w:t>
      </w:r>
      <w:r>
        <w:rPr>
          <w:lang w:eastAsia="zh-CN"/>
        </w:rPr>
        <w:br/>
      </w:r>
      <w:r w:rsidRPr="00525995">
        <w:rPr>
          <w:lang w:eastAsia="zh-CN"/>
        </w:rPr>
        <w:t>的保护标准</w:t>
      </w:r>
    </w:p>
    <w:p w:rsidR="004F3F62" w:rsidRDefault="004F3F62" w:rsidP="00BA5AEF">
      <w:pPr>
        <w:tabs>
          <w:tab w:val="clear" w:pos="794"/>
          <w:tab w:val="clear" w:pos="1191"/>
          <w:tab w:val="clear" w:pos="1588"/>
          <w:tab w:val="clear" w:pos="1985"/>
        </w:tabs>
        <w:overflowPunct/>
        <w:autoSpaceDE/>
        <w:autoSpaceDN/>
        <w:adjustRightInd/>
        <w:spacing w:before="0" w:line="240" w:lineRule="auto"/>
        <w:jc w:val="left"/>
        <w:textAlignment w:val="auto"/>
        <w:rPr>
          <w:b/>
          <w:sz w:val="28"/>
          <w:szCs w:val="28"/>
          <w:lang w:eastAsia="zh-CN"/>
        </w:rPr>
      </w:pPr>
      <w:r>
        <w:rPr>
          <w:sz w:val="28"/>
          <w:szCs w:val="28"/>
          <w:lang w:eastAsia="zh-CN"/>
        </w:rPr>
        <w:br w:type="page"/>
      </w:r>
    </w:p>
    <w:p w:rsidR="004F3F62" w:rsidRDefault="004F3F62" w:rsidP="00BA5AEF">
      <w:pPr>
        <w:pStyle w:val="AnnexNoTitle"/>
        <w:spacing w:line="240" w:lineRule="auto"/>
        <w:rPr>
          <w:sz w:val="28"/>
          <w:szCs w:val="28"/>
          <w:lang w:eastAsia="zh-CN"/>
        </w:rPr>
      </w:pPr>
      <w:r w:rsidRPr="00726FB7">
        <w:rPr>
          <w:rFonts w:hint="eastAsia"/>
          <w:sz w:val="28"/>
          <w:szCs w:val="28"/>
          <w:lang w:eastAsia="zh-CN"/>
        </w:rPr>
        <w:lastRenderedPageBreak/>
        <w:t>附件</w:t>
      </w:r>
      <w:r>
        <w:rPr>
          <w:rFonts w:hint="eastAsia"/>
          <w:sz w:val="28"/>
          <w:szCs w:val="28"/>
          <w:lang w:eastAsia="zh-CN"/>
        </w:rPr>
        <w:t xml:space="preserve"> </w:t>
      </w:r>
      <w:r w:rsidRPr="00726FB7">
        <w:rPr>
          <w:rFonts w:hint="eastAsia"/>
          <w:sz w:val="28"/>
          <w:szCs w:val="28"/>
          <w:lang w:eastAsia="zh-CN"/>
        </w:rPr>
        <w:t>2</w:t>
      </w:r>
      <w:r w:rsidRPr="00726FB7">
        <w:rPr>
          <w:sz w:val="28"/>
          <w:szCs w:val="28"/>
          <w:lang w:eastAsia="zh-CN"/>
        </w:rPr>
        <w:br/>
      </w:r>
      <w:r w:rsidRPr="00726FB7">
        <w:rPr>
          <w:rFonts w:hint="eastAsia"/>
          <w:sz w:val="28"/>
          <w:szCs w:val="28"/>
          <w:lang w:eastAsia="zh-CN"/>
        </w:rPr>
        <w:br/>
      </w:r>
      <w:r>
        <w:rPr>
          <w:rFonts w:hint="eastAsia"/>
          <w:sz w:val="28"/>
          <w:szCs w:val="28"/>
          <w:lang w:eastAsia="zh-CN"/>
        </w:rPr>
        <w:t>已经废止的</w:t>
      </w:r>
      <w:r>
        <w:rPr>
          <w:rFonts w:hint="eastAsia"/>
          <w:sz w:val="28"/>
          <w:szCs w:val="28"/>
          <w:lang w:eastAsia="zh-CN"/>
        </w:rPr>
        <w:t>ITU-R</w:t>
      </w:r>
      <w:r>
        <w:rPr>
          <w:rFonts w:hint="eastAsia"/>
          <w:sz w:val="28"/>
          <w:szCs w:val="28"/>
          <w:lang w:eastAsia="zh-CN"/>
        </w:rPr>
        <w:t>建议书的清单</w:t>
      </w:r>
    </w:p>
    <w:p w:rsidR="004F3F62" w:rsidRPr="004F3F62" w:rsidRDefault="004F3F62" w:rsidP="00BA5AEF">
      <w:pPr>
        <w:pStyle w:val="Normalaftertitle"/>
        <w:spacing w:line="240" w:lineRule="auto"/>
        <w:rPr>
          <w:lang w:eastAsia="zh-C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946"/>
      </w:tblGrid>
      <w:tr w:rsidR="004F3F62" w:rsidTr="00F5697C">
        <w:trPr>
          <w:cantSplit/>
          <w:tblHeader/>
        </w:trPr>
        <w:tc>
          <w:tcPr>
            <w:tcW w:w="1547" w:type="dxa"/>
            <w:tcBorders>
              <w:top w:val="single" w:sz="4" w:space="0" w:color="auto"/>
              <w:left w:val="single" w:sz="4" w:space="0" w:color="auto"/>
              <w:bottom w:val="single" w:sz="4" w:space="0" w:color="auto"/>
              <w:right w:val="single" w:sz="4" w:space="0" w:color="auto"/>
            </w:tcBorders>
            <w:vAlign w:val="center"/>
            <w:hideMark/>
          </w:tcPr>
          <w:p w:rsidR="004F3F62" w:rsidRPr="001F17E9" w:rsidRDefault="004F3F62" w:rsidP="00BA5AEF">
            <w:pPr>
              <w:pStyle w:val="Tablehead"/>
              <w:rPr>
                <w:lang w:eastAsia="zh-CN"/>
              </w:rPr>
            </w:pPr>
            <w:r w:rsidRPr="001F17E9">
              <w:rPr>
                <w:rFonts w:hint="eastAsia"/>
                <w:lang w:eastAsia="zh-CN"/>
              </w:rPr>
              <w:t>ITU-R</w:t>
            </w:r>
            <w:r>
              <w:rPr>
                <w:lang w:eastAsia="zh-CN"/>
              </w:rPr>
              <w:br/>
            </w:r>
            <w:r w:rsidRPr="001F17E9">
              <w:rPr>
                <w:rFonts w:hint="eastAsia"/>
                <w:lang w:eastAsia="zh-CN"/>
              </w:rPr>
              <w:t>建议书</w:t>
            </w:r>
          </w:p>
        </w:tc>
        <w:tc>
          <w:tcPr>
            <w:tcW w:w="7946" w:type="dxa"/>
            <w:tcBorders>
              <w:top w:val="single" w:sz="4" w:space="0" w:color="auto"/>
              <w:left w:val="single" w:sz="4" w:space="0" w:color="auto"/>
              <w:bottom w:val="single" w:sz="4" w:space="0" w:color="auto"/>
              <w:right w:val="single" w:sz="4" w:space="0" w:color="auto"/>
            </w:tcBorders>
            <w:vAlign w:val="center"/>
            <w:hideMark/>
          </w:tcPr>
          <w:p w:rsidR="004F3F62" w:rsidRPr="001F17E9" w:rsidRDefault="004F3F62" w:rsidP="00BA5AEF">
            <w:pPr>
              <w:pStyle w:val="Tablehead"/>
              <w:rPr>
                <w:lang w:eastAsia="zh-CN"/>
              </w:rPr>
            </w:pPr>
            <w:r w:rsidRPr="001F17E9">
              <w:rPr>
                <w:rFonts w:hint="eastAsia"/>
                <w:lang w:eastAsia="zh-CN"/>
              </w:rPr>
              <w:t>建议书标题</w:t>
            </w:r>
          </w:p>
        </w:tc>
      </w:tr>
      <w:tr w:rsidR="004F3F62" w:rsidRPr="00545D80" w:rsidTr="00F5697C">
        <w:trPr>
          <w:cantSplit/>
        </w:trPr>
        <w:tc>
          <w:tcPr>
            <w:tcW w:w="1547" w:type="dxa"/>
            <w:tcBorders>
              <w:top w:val="single" w:sz="4" w:space="0" w:color="auto"/>
              <w:left w:val="single" w:sz="4" w:space="0" w:color="auto"/>
              <w:bottom w:val="single" w:sz="4" w:space="0" w:color="auto"/>
              <w:right w:val="single" w:sz="4" w:space="0" w:color="auto"/>
            </w:tcBorders>
            <w:hideMark/>
          </w:tcPr>
          <w:p w:rsidR="004F3F62" w:rsidRPr="00545D80" w:rsidRDefault="004F3F62" w:rsidP="00BA5AEF">
            <w:pPr>
              <w:pStyle w:val="Tabletext"/>
              <w:jc w:val="center"/>
              <w:rPr>
                <w:lang w:eastAsia="zh-CN"/>
              </w:rPr>
            </w:pPr>
            <w:r w:rsidRPr="00545D80">
              <w:rPr>
                <w:lang w:eastAsia="zh-CN"/>
              </w:rPr>
              <w:t>S.352-4</w:t>
            </w:r>
          </w:p>
        </w:tc>
        <w:tc>
          <w:tcPr>
            <w:tcW w:w="7946" w:type="dxa"/>
            <w:tcBorders>
              <w:top w:val="single" w:sz="4" w:space="0" w:color="auto"/>
              <w:left w:val="single" w:sz="4" w:space="0" w:color="auto"/>
              <w:bottom w:val="single" w:sz="4" w:space="0" w:color="auto"/>
              <w:right w:val="single" w:sz="4" w:space="0" w:color="auto"/>
            </w:tcBorders>
            <w:vAlign w:val="center"/>
            <w:hideMark/>
          </w:tcPr>
          <w:p w:rsidR="004F3F62" w:rsidRPr="00545D80" w:rsidRDefault="004F3F62" w:rsidP="00BA5AEF">
            <w:pPr>
              <w:pStyle w:val="Tabletext"/>
              <w:rPr>
                <w:lang w:eastAsia="zh-CN"/>
              </w:rPr>
            </w:pPr>
            <w:r w:rsidRPr="00545D80">
              <w:rPr>
                <w:lang w:eastAsia="zh-CN"/>
              </w:rPr>
              <w:t>用于卫星固定业务中模拟传输系统的假设参考电路</w:t>
            </w:r>
          </w:p>
        </w:tc>
      </w:tr>
      <w:tr w:rsidR="004F3F62" w:rsidRPr="00545D80" w:rsidTr="00F5697C">
        <w:trPr>
          <w:cantSplit/>
        </w:trPr>
        <w:tc>
          <w:tcPr>
            <w:tcW w:w="1547" w:type="dxa"/>
            <w:tcBorders>
              <w:top w:val="single" w:sz="4" w:space="0" w:color="auto"/>
              <w:left w:val="single" w:sz="4" w:space="0" w:color="auto"/>
              <w:bottom w:val="single" w:sz="4" w:space="0" w:color="auto"/>
              <w:right w:val="single" w:sz="4" w:space="0" w:color="auto"/>
            </w:tcBorders>
            <w:hideMark/>
          </w:tcPr>
          <w:p w:rsidR="004F3F62" w:rsidRPr="00545D80" w:rsidRDefault="004F3F62" w:rsidP="00BA5AEF">
            <w:pPr>
              <w:pStyle w:val="Tabletext"/>
              <w:jc w:val="center"/>
              <w:rPr>
                <w:lang w:eastAsia="zh-CN"/>
              </w:rPr>
            </w:pPr>
            <w:r w:rsidRPr="00545D80">
              <w:rPr>
                <w:lang w:eastAsia="zh-CN"/>
              </w:rPr>
              <w:t>S.353-8</w:t>
            </w:r>
          </w:p>
        </w:tc>
        <w:tc>
          <w:tcPr>
            <w:tcW w:w="7946" w:type="dxa"/>
            <w:tcBorders>
              <w:top w:val="single" w:sz="4" w:space="0" w:color="auto"/>
              <w:left w:val="single" w:sz="4" w:space="0" w:color="auto"/>
              <w:bottom w:val="single" w:sz="4" w:space="0" w:color="auto"/>
              <w:right w:val="single" w:sz="4" w:space="0" w:color="auto"/>
            </w:tcBorders>
            <w:vAlign w:val="center"/>
            <w:hideMark/>
          </w:tcPr>
          <w:p w:rsidR="004F3F62" w:rsidRPr="00545D80" w:rsidRDefault="004F3F62" w:rsidP="00BA5AEF">
            <w:pPr>
              <w:pStyle w:val="Tabletext"/>
              <w:rPr>
                <w:lang w:eastAsia="zh-CN"/>
              </w:rPr>
            </w:pPr>
            <w:r w:rsidRPr="00545D80">
              <w:rPr>
                <w:rFonts w:hint="eastAsia"/>
                <w:lang w:eastAsia="zh-CN"/>
              </w:rPr>
              <w:t>卫星固定业务中频分复用电话</w:t>
            </w:r>
            <w:r w:rsidRPr="00545D80">
              <w:rPr>
                <w:lang w:eastAsia="zh-CN"/>
              </w:rPr>
              <w:t>假设参考电路的容许噪声功率</w:t>
            </w:r>
          </w:p>
        </w:tc>
      </w:tr>
      <w:tr w:rsidR="004F3F62" w:rsidRPr="00545D80" w:rsidTr="00F5697C">
        <w:trPr>
          <w:cantSplit/>
        </w:trPr>
        <w:tc>
          <w:tcPr>
            <w:tcW w:w="1547" w:type="dxa"/>
            <w:tcBorders>
              <w:top w:val="single" w:sz="4" w:space="0" w:color="auto"/>
              <w:left w:val="single" w:sz="4" w:space="0" w:color="auto"/>
              <w:bottom w:val="single" w:sz="4" w:space="0" w:color="auto"/>
              <w:right w:val="single" w:sz="4" w:space="0" w:color="auto"/>
            </w:tcBorders>
            <w:hideMark/>
          </w:tcPr>
          <w:p w:rsidR="004F3F62" w:rsidRPr="00545D80" w:rsidRDefault="004F3F62" w:rsidP="00BA5AEF">
            <w:pPr>
              <w:pStyle w:val="Tabletext"/>
              <w:jc w:val="center"/>
              <w:rPr>
                <w:lang w:eastAsia="zh-CN"/>
              </w:rPr>
            </w:pPr>
            <w:r w:rsidRPr="00545D80">
              <w:rPr>
                <w:lang w:eastAsia="zh-CN"/>
              </w:rPr>
              <w:t>S.464-2</w:t>
            </w:r>
          </w:p>
        </w:tc>
        <w:tc>
          <w:tcPr>
            <w:tcW w:w="7946" w:type="dxa"/>
            <w:tcBorders>
              <w:top w:val="single" w:sz="4" w:space="0" w:color="auto"/>
              <w:left w:val="single" w:sz="4" w:space="0" w:color="auto"/>
              <w:bottom w:val="single" w:sz="4" w:space="0" w:color="auto"/>
              <w:right w:val="single" w:sz="4" w:space="0" w:color="auto"/>
            </w:tcBorders>
            <w:vAlign w:val="center"/>
            <w:hideMark/>
          </w:tcPr>
          <w:p w:rsidR="004F3F62" w:rsidRPr="00545D80" w:rsidRDefault="004F3F62" w:rsidP="00BA5AEF">
            <w:pPr>
              <w:pStyle w:val="Tabletext"/>
              <w:rPr>
                <w:lang w:eastAsia="zh-CN"/>
              </w:rPr>
            </w:pPr>
            <w:r w:rsidRPr="00545D80">
              <w:rPr>
                <w:rFonts w:hint="eastAsia"/>
                <w:lang w:eastAsia="zh-CN"/>
              </w:rPr>
              <w:t>卫星固定业务频分复用电话调频系统的预加重特性</w:t>
            </w:r>
          </w:p>
        </w:tc>
      </w:tr>
      <w:tr w:rsidR="004F3F62" w:rsidRPr="00545D80" w:rsidTr="00F5697C">
        <w:trPr>
          <w:cantSplit/>
        </w:trPr>
        <w:tc>
          <w:tcPr>
            <w:tcW w:w="1547" w:type="dxa"/>
            <w:tcBorders>
              <w:top w:val="single" w:sz="4" w:space="0" w:color="auto"/>
              <w:left w:val="single" w:sz="4" w:space="0" w:color="auto"/>
              <w:bottom w:val="single" w:sz="4" w:space="0" w:color="auto"/>
              <w:right w:val="single" w:sz="4" w:space="0" w:color="auto"/>
            </w:tcBorders>
            <w:hideMark/>
          </w:tcPr>
          <w:p w:rsidR="004F3F62" w:rsidRPr="00545D80" w:rsidRDefault="004F3F62" w:rsidP="00BA5AEF">
            <w:pPr>
              <w:pStyle w:val="Tabletext"/>
              <w:jc w:val="center"/>
              <w:rPr>
                <w:lang w:eastAsia="zh-CN"/>
              </w:rPr>
            </w:pPr>
            <w:r w:rsidRPr="00545D80">
              <w:rPr>
                <w:lang w:eastAsia="zh-CN"/>
              </w:rPr>
              <w:t>S.481-2</w:t>
            </w:r>
          </w:p>
        </w:tc>
        <w:tc>
          <w:tcPr>
            <w:tcW w:w="7946" w:type="dxa"/>
            <w:tcBorders>
              <w:top w:val="single" w:sz="4" w:space="0" w:color="auto"/>
              <w:left w:val="single" w:sz="4" w:space="0" w:color="auto"/>
              <w:bottom w:val="single" w:sz="4" w:space="0" w:color="auto"/>
              <w:right w:val="single" w:sz="4" w:space="0" w:color="auto"/>
            </w:tcBorders>
            <w:vAlign w:val="center"/>
            <w:hideMark/>
          </w:tcPr>
          <w:p w:rsidR="004F3F62" w:rsidRPr="00545D80" w:rsidRDefault="004F3F62" w:rsidP="00BA5AEF">
            <w:pPr>
              <w:pStyle w:val="Tabletext"/>
              <w:rPr>
                <w:lang w:eastAsia="zh-CN"/>
              </w:rPr>
            </w:pPr>
            <w:r w:rsidRPr="00545D80">
              <w:rPr>
                <w:rFonts w:hint="eastAsia"/>
                <w:lang w:eastAsia="zh-CN"/>
              </w:rPr>
              <w:t>卫星固定业务系统频分复用电话的实际话务噪声测量</w:t>
            </w:r>
          </w:p>
        </w:tc>
      </w:tr>
      <w:tr w:rsidR="004F3F62" w:rsidRPr="00545D80" w:rsidTr="00F5697C">
        <w:trPr>
          <w:cantSplit/>
        </w:trPr>
        <w:tc>
          <w:tcPr>
            <w:tcW w:w="1547" w:type="dxa"/>
            <w:tcBorders>
              <w:top w:val="single" w:sz="4" w:space="0" w:color="auto"/>
              <w:left w:val="single" w:sz="4" w:space="0" w:color="auto"/>
              <w:bottom w:val="single" w:sz="4" w:space="0" w:color="auto"/>
              <w:right w:val="single" w:sz="4" w:space="0" w:color="auto"/>
            </w:tcBorders>
            <w:hideMark/>
          </w:tcPr>
          <w:p w:rsidR="004F3F62" w:rsidRPr="00545D80" w:rsidRDefault="004F3F62" w:rsidP="00BA5AEF">
            <w:pPr>
              <w:pStyle w:val="Tabletext"/>
              <w:jc w:val="center"/>
            </w:pPr>
            <w:r w:rsidRPr="00545D80">
              <w:t>S.482-2</w:t>
            </w:r>
          </w:p>
        </w:tc>
        <w:tc>
          <w:tcPr>
            <w:tcW w:w="7946" w:type="dxa"/>
            <w:tcBorders>
              <w:top w:val="single" w:sz="4" w:space="0" w:color="auto"/>
              <w:left w:val="single" w:sz="4" w:space="0" w:color="auto"/>
              <w:bottom w:val="single" w:sz="4" w:space="0" w:color="auto"/>
              <w:right w:val="single" w:sz="4" w:space="0" w:color="auto"/>
            </w:tcBorders>
            <w:vAlign w:val="center"/>
            <w:hideMark/>
          </w:tcPr>
          <w:p w:rsidR="004F3F62" w:rsidRPr="00545D80" w:rsidRDefault="004F3F62" w:rsidP="00BA5AEF">
            <w:pPr>
              <w:pStyle w:val="Tabletext"/>
              <w:rPr>
                <w:lang w:eastAsia="zh-CN"/>
              </w:rPr>
            </w:pPr>
            <w:r w:rsidRPr="00545D80">
              <w:rPr>
                <w:rFonts w:hint="eastAsia"/>
                <w:lang w:eastAsia="zh-CN"/>
              </w:rPr>
              <w:t>通过均匀频谱信号对卫星固定业务频分复用电话系统的性能进行测量</w:t>
            </w:r>
          </w:p>
        </w:tc>
      </w:tr>
    </w:tbl>
    <w:p w:rsidR="004F3F62" w:rsidRDefault="004F3F62" w:rsidP="00BA5AEF">
      <w:pPr>
        <w:spacing w:line="240" w:lineRule="auto"/>
        <w:jc w:val="left"/>
        <w:rPr>
          <w:lang w:eastAsia="zh-CN"/>
        </w:rPr>
      </w:pPr>
    </w:p>
    <w:p w:rsidR="004F3F62" w:rsidRDefault="004F3F62" w:rsidP="00BA5AEF">
      <w:pPr>
        <w:spacing w:line="240" w:lineRule="auto"/>
        <w:jc w:val="left"/>
        <w:rPr>
          <w:lang w:eastAsia="zh-CN"/>
        </w:rPr>
      </w:pPr>
    </w:p>
    <w:p w:rsidR="004F3F62" w:rsidRPr="00E91EDF" w:rsidRDefault="004F3F62" w:rsidP="00BA5AEF">
      <w:pPr>
        <w:spacing w:line="240" w:lineRule="auto"/>
        <w:jc w:val="center"/>
      </w:pPr>
      <w:r>
        <w:t>______________</w:t>
      </w:r>
    </w:p>
    <w:p w:rsidR="00E91EDF" w:rsidRPr="00924F53" w:rsidRDefault="00E91EDF" w:rsidP="004F3F62">
      <w:pPr>
        <w:spacing w:before="360" w:line="480" w:lineRule="auto"/>
        <w:rPr>
          <w:rFonts w:asciiTheme="minorHAnsi" w:eastAsia="SimSun" w:hAnsiTheme="minorHAnsi" w:cstheme="minorHAnsi"/>
          <w:szCs w:val="24"/>
          <w:lang w:eastAsia="zh-CN"/>
        </w:rPr>
      </w:pPr>
    </w:p>
    <w:sectPr w:rsidR="00E91EDF" w:rsidRPr="00924F53" w:rsidSect="00031E64">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9D" w:rsidRDefault="00C16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E0" w:rsidRPr="003657E0" w:rsidRDefault="003657E0" w:rsidP="003657E0">
    <w:pPr>
      <w:pStyle w:val="Footer"/>
      <w:tabs>
        <w:tab w:val="clear" w:pos="4320"/>
        <w:tab w:val="clear" w:pos="8640"/>
        <w:tab w:val="center" w:pos="5670"/>
        <w:tab w:val="right" w:pos="9639"/>
      </w:tabs>
      <w:rPr>
        <w:sz w:val="16"/>
        <w:szCs w:val="16"/>
        <w:lang w:eastAsia="zh-CN"/>
      </w:rP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65C39" w:rsidRDefault="00E915AF">
    <w:pPr>
      <w:pStyle w:val="Header"/>
      <w:rPr>
        <w:sz w:val="18"/>
        <w:szCs w:val="18"/>
      </w:rPr>
    </w:pPr>
    <w:r>
      <w:tab/>
    </w:r>
    <w:r>
      <w:tab/>
    </w:r>
    <w:r w:rsidRPr="00265C39">
      <w:rPr>
        <w:sz w:val="18"/>
        <w:szCs w:val="18"/>
      </w:rPr>
      <w:t xml:space="preserve">– </w:t>
    </w:r>
    <w:r w:rsidR="001B42C9" w:rsidRPr="00265C39">
      <w:rPr>
        <w:rStyle w:val="PageNumber"/>
        <w:sz w:val="18"/>
        <w:szCs w:val="18"/>
      </w:rPr>
      <w:fldChar w:fldCharType="begin"/>
    </w:r>
    <w:r w:rsidRPr="00265C39">
      <w:rPr>
        <w:rStyle w:val="PageNumber"/>
        <w:sz w:val="18"/>
        <w:szCs w:val="18"/>
      </w:rPr>
      <w:instrText xml:space="preserve"> PAGE </w:instrText>
    </w:r>
    <w:r w:rsidR="001B42C9" w:rsidRPr="00265C39">
      <w:rPr>
        <w:rStyle w:val="PageNumber"/>
        <w:sz w:val="18"/>
        <w:szCs w:val="18"/>
      </w:rPr>
      <w:fldChar w:fldCharType="separate"/>
    </w:r>
    <w:r w:rsidR="00C16C9D">
      <w:rPr>
        <w:rStyle w:val="PageNumber"/>
        <w:noProof/>
        <w:sz w:val="18"/>
        <w:szCs w:val="18"/>
      </w:rPr>
      <w:t>2</w:t>
    </w:r>
    <w:r w:rsidR="001B42C9" w:rsidRPr="00265C39">
      <w:rPr>
        <w:rStyle w:val="PageNumber"/>
        <w:sz w:val="18"/>
        <w:szCs w:val="18"/>
      </w:rPr>
      <w:fldChar w:fldCharType="end"/>
    </w:r>
    <w:r w:rsidRPr="00265C3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65C39" w:rsidRDefault="00BA5AEF" w:rsidP="00BA5AEF">
    <w:pPr>
      <w:pStyle w:val="Header"/>
      <w:rPr>
        <w:sz w:val="18"/>
        <w:szCs w:val="18"/>
      </w:rPr>
    </w:pPr>
    <w:r>
      <w:tab/>
    </w:r>
    <w:r>
      <w:tab/>
    </w:r>
    <w:r w:rsidRPr="00265C39">
      <w:rPr>
        <w:sz w:val="18"/>
        <w:szCs w:val="18"/>
      </w:rPr>
      <w:t xml:space="preserve">– </w:t>
    </w:r>
    <w:r w:rsidRPr="00265C39">
      <w:rPr>
        <w:rStyle w:val="PageNumber"/>
        <w:sz w:val="18"/>
        <w:szCs w:val="18"/>
      </w:rPr>
      <w:fldChar w:fldCharType="begin"/>
    </w:r>
    <w:r w:rsidRPr="00265C39">
      <w:rPr>
        <w:rStyle w:val="PageNumber"/>
        <w:sz w:val="18"/>
        <w:szCs w:val="18"/>
      </w:rPr>
      <w:instrText xml:space="preserve"> PAGE </w:instrText>
    </w:r>
    <w:r w:rsidRPr="00265C39">
      <w:rPr>
        <w:rStyle w:val="PageNumber"/>
        <w:sz w:val="18"/>
        <w:szCs w:val="18"/>
      </w:rPr>
      <w:fldChar w:fldCharType="separate"/>
    </w:r>
    <w:r w:rsidR="00C16C9D">
      <w:rPr>
        <w:rStyle w:val="PageNumber"/>
        <w:noProof/>
        <w:sz w:val="18"/>
        <w:szCs w:val="18"/>
      </w:rPr>
      <w:t>3</w:t>
    </w:r>
    <w:r w:rsidRPr="00265C39">
      <w:rPr>
        <w:rStyle w:val="PageNumber"/>
        <w:sz w:val="18"/>
        <w:szCs w:val="18"/>
      </w:rPr>
      <w:fldChar w:fldCharType="end"/>
    </w:r>
    <w:r w:rsidRPr="00265C39">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382"/>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302B3"/>
    <w:rsid w:val="00230C66"/>
    <w:rsid w:val="00235A29"/>
    <w:rsid w:val="00241526"/>
    <w:rsid w:val="002443A2"/>
    <w:rsid w:val="00265C39"/>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57E0"/>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730D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3F62"/>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4F53"/>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1396"/>
    <w:rsid w:val="00B579B0"/>
    <w:rsid w:val="00B57D11"/>
    <w:rsid w:val="00B649D7"/>
    <w:rsid w:val="00B81C2F"/>
    <w:rsid w:val="00B90743"/>
    <w:rsid w:val="00B90C45"/>
    <w:rsid w:val="00B933BE"/>
    <w:rsid w:val="00BA5AEF"/>
    <w:rsid w:val="00BC0E56"/>
    <w:rsid w:val="00BD6738"/>
    <w:rsid w:val="00BD7E5E"/>
    <w:rsid w:val="00BE1A14"/>
    <w:rsid w:val="00BE63DB"/>
    <w:rsid w:val="00BE6574"/>
    <w:rsid w:val="00C07319"/>
    <w:rsid w:val="00C16C9D"/>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1810"/>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D616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424BF"/>
    <w:rsid w:val="00F4289B"/>
    <w:rsid w:val="00F44FC3"/>
    <w:rsid w:val="00F46107"/>
    <w:rsid w:val="00F468C5"/>
    <w:rsid w:val="00F52F39"/>
    <w:rsid w:val="00F6184F"/>
    <w:rsid w:val="00F8310E"/>
    <w:rsid w:val="00F914DD"/>
    <w:rsid w:val="00FA2358"/>
    <w:rsid w:val="00FB2592"/>
    <w:rsid w:val="00FB2810"/>
    <w:rsid w:val="00FB7A2C"/>
    <w:rsid w:val="00FC2947"/>
    <w:rsid w:val="00FD3AF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A043041-1D81-4FB3-A92E-67D632C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rsid w:val="00924F53"/>
    <w:pPr>
      <w:keepNext/>
      <w:keepLines/>
      <w:spacing w:before="480" w:line="240" w:lineRule="auto"/>
      <w:jc w:val="center"/>
    </w:pPr>
    <w:rPr>
      <w:rFonts w:asciiTheme="minorHAnsi" w:eastAsia="SimSun" w:hAnsiTheme="minorHAnsi" w:cs="Times New Roman"/>
      <w:b/>
      <w:sz w:val="28"/>
      <w:szCs w:val="20"/>
      <w:lang w:val="en-GB"/>
    </w:rPr>
  </w:style>
  <w:style w:type="character" w:customStyle="1" w:styleId="RectitleChar">
    <w:name w:val="Rec_title Char"/>
    <w:link w:val="Rectitle"/>
    <w:rsid w:val="00924F5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FACB8-97DE-41B5-A867-B01DE57C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TotalTime>
  <Pages>3</Pages>
  <Words>721</Words>
  <Characters>339</Characters>
  <Application>Microsoft Office Word</Application>
  <DocSecurity>0</DocSecurity>
  <Lines>2</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Song, Xiaojing</cp:lastModifiedBy>
  <cp:revision>4</cp:revision>
  <cp:lastPrinted>2014-09-30T12:12:00Z</cp:lastPrinted>
  <dcterms:created xsi:type="dcterms:W3CDTF">2014-10-02T05:53:00Z</dcterms:created>
  <dcterms:modified xsi:type="dcterms:W3CDTF">2014-10-02T11:29:00Z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