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3828"/>
        <w:gridCol w:w="2693"/>
        <w:gridCol w:w="3260"/>
      </w:tblGrid>
      <w:tr w:rsidR="003B438E" w:rsidRPr="00051C5F" w:rsidTr="00944591">
        <w:trPr>
          <w:cantSplit/>
        </w:trPr>
        <w:tc>
          <w:tcPr>
            <w:tcW w:w="3828" w:type="dxa"/>
            <w:vAlign w:val="center"/>
          </w:tcPr>
          <w:p w:rsidR="003B438E" w:rsidRPr="00051C5F" w:rsidRDefault="00051C5F" w:rsidP="00051C5F">
            <w:pPr>
              <w:tabs>
                <w:tab w:val="right" w:pos="8732"/>
              </w:tabs>
              <w:spacing w:before="0"/>
              <w:ind w:left="397"/>
              <w:rPr>
                <w:rFonts w:asciiTheme="minorHAnsi" w:hAnsiTheme="minorHAnsi"/>
                <w:b/>
                <w:bCs/>
                <w:iCs/>
                <w:color w:val="FFFFFF"/>
                <w:sz w:val="28"/>
                <w:szCs w:val="28"/>
                <w:lang w:val="es-ES_tradnl"/>
              </w:rPr>
            </w:pPr>
            <w:bookmarkStart w:id="0" w:name="_GoBack"/>
            <w:bookmarkEnd w:id="0"/>
            <w:r w:rsidRPr="00051C5F">
              <w:rPr>
                <w:rFonts w:asciiTheme="minorHAnsi" w:hAnsiTheme="minorHAnsi"/>
                <w:b/>
                <w:bCs/>
                <w:sz w:val="28"/>
                <w:szCs w:val="28"/>
                <w:lang w:val="es-ES_tradnl"/>
              </w:rPr>
              <w:t>Oficina de Normalización de las Te</w:t>
            </w:r>
            <w:r w:rsidR="003B438E" w:rsidRPr="00051C5F">
              <w:rPr>
                <w:rFonts w:asciiTheme="minorHAnsi" w:hAnsiTheme="minorHAnsi"/>
                <w:b/>
                <w:bCs/>
                <w:sz w:val="28"/>
                <w:szCs w:val="28"/>
                <w:lang w:val="es-ES_tradnl"/>
              </w:rPr>
              <w:t>lecomunica</w:t>
            </w:r>
            <w:r w:rsidRPr="00051C5F">
              <w:rPr>
                <w:rFonts w:asciiTheme="minorHAnsi" w:hAnsiTheme="minorHAnsi"/>
                <w:b/>
                <w:bCs/>
                <w:sz w:val="28"/>
                <w:szCs w:val="28"/>
                <w:lang w:val="es-ES_tradnl"/>
              </w:rPr>
              <w:t xml:space="preserve">ciones </w:t>
            </w:r>
            <w:r w:rsidR="003B438E" w:rsidRPr="00051C5F">
              <w:rPr>
                <w:rFonts w:asciiTheme="minorHAnsi" w:hAnsiTheme="minorHAnsi"/>
                <w:b/>
                <w:bCs/>
                <w:sz w:val="28"/>
                <w:szCs w:val="28"/>
                <w:lang w:val="es-ES_tradnl"/>
              </w:rPr>
              <w:t>(TSB)</w:t>
            </w:r>
          </w:p>
        </w:tc>
        <w:tc>
          <w:tcPr>
            <w:tcW w:w="2693" w:type="dxa"/>
            <w:vAlign w:val="center"/>
          </w:tcPr>
          <w:p w:rsidR="003B438E" w:rsidRPr="00051C5F" w:rsidRDefault="003B438E" w:rsidP="00944591">
            <w:pPr>
              <w:tabs>
                <w:tab w:val="right" w:pos="8732"/>
              </w:tabs>
              <w:spacing w:before="0"/>
              <w:ind w:left="720"/>
              <w:rPr>
                <w:rFonts w:ascii="Verdana" w:hAnsi="Verdana"/>
                <w:b/>
                <w:bCs/>
                <w:iCs/>
                <w:color w:val="FFFFFF"/>
                <w:sz w:val="26"/>
                <w:szCs w:val="26"/>
                <w:lang w:val="es-ES_tradnl"/>
              </w:rPr>
            </w:pPr>
            <w:r>
              <w:rPr>
                <w:b/>
                <w:bCs/>
                <w:noProof/>
                <w:lang w:val="en-US" w:eastAsia="zh-CN"/>
              </w:rPr>
              <w:drawing>
                <wp:anchor distT="0" distB="0" distL="114300" distR="114300" simplePos="0" relativeHeight="251659264" behindDoc="1" locked="0" layoutInCell="1" allowOverlap="1" wp14:anchorId="4C32D8F0" wp14:editId="55B9523E">
                  <wp:simplePos x="0" y="0"/>
                  <wp:positionH relativeFrom="column">
                    <wp:posOffset>399415</wp:posOffset>
                  </wp:positionH>
                  <wp:positionV relativeFrom="paragraph">
                    <wp:posOffset>-2540</wp:posOffset>
                  </wp:positionV>
                  <wp:extent cx="63817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60" w:type="dxa"/>
            <w:vAlign w:val="center"/>
          </w:tcPr>
          <w:p w:rsidR="003B438E" w:rsidRPr="00051C5F" w:rsidRDefault="00051C5F" w:rsidP="00051C5F">
            <w:pPr>
              <w:spacing w:before="0"/>
              <w:rPr>
                <w:rFonts w:asciiTheme="minorHAnsi" w:hAnsiTheme="minorHAnsi"/>
                <w:sz w:val="28"/>
                <w:szCs w:val="28"/>
                <w:lang w:val="es-ES_tradnl"/>
              </w:rPr>
            </w:pPr>
            <w:r w:rsidRPr="00051C5F">
              <w:rPr>
                <w:rFonts w:asciiTheme="minorHAnsi" w:hAnsiTheme="minorHAnsi"/>
                <w:b/>
                <w:bCs/>
                <w:sz w:val="28"/>
                <w:szCs w:val="28"/>
                <w:lang w:val="es-ES_tradnl"/>
              </w:rPr>
              <w:t>Oficina de Radioco</w:t>
            </w:r>
            <w:r w:rsidR="003B438E" w:rsidRPr="00051C5F">
              <w:rPr>
                <w:rFonts w:asciiTheme="minorHAnsi" w:hAnsiTheme="minorHAnsi"/>
                <w:b/>
                <w:bCs/>
                <w:sz w:val="28"/>
                <w:szCs w:val="28"/>
                <w:lang w:val="es-ES_tradnl"/>
              </w:rPr>
              <w:t>munica</w:t>
            </w:r>
            <w:r>
              <w:rPr>
                <w:rFonts w:asciiTheme="minorHAnsi" w:hAnsiTheme="minorHAnsi"/>
                <w:b/>
                <w:bCs/>
                <w:sz w:val="28"/>
                <w:szCs w:val="28"/>
                <w:lang w:val="es-ES_tradnl"/>
              </w:rPr>
              <w:t>ciones</w:t>
            </w:r>
            <w:r w:rsidR="003B438E" w:rsidRPr="00051C5F">
              <w:rPr>
                <w:rFonts w:asciiTheme="minorHAnsi" w:hAnsiTheme="minorHAnsi"/>
                <w:b/>
                <w:bCs/>
                <w:sz w:val="28"/>
                <w:szCs w:val="28"/>
                <w:lang w:val="es-ES_tradnl"/>
              </w:rPr>
              <w:t xml:space="preserve"> (BR)</w:t>
            </w:r>
          </w:p>
        </w:tc>
      </w:tr>
      <w:tr w:rsidR="003B438E" w:rsidRPr="00051C5F" w:rsidTr="00944591">
        <w:trPr>
          <w:cantSplit/>
          <w:trHeight w:val="112"/>
        </w:trPr>
        <w:tc>
          <w:tcPr>
            <w:tcW w:w="6521" w:type="dxa"/>
            <w:gridSpan w:val="2"/>
            <w:vAlign w:val="center"/>
          </w:tcPr>
          <w:p w:rsidR="003B438E" w:rsidRPr="00051C5F" w:rsidRDefault="003B438E" w:rsidP="00944591">
            <w:pPr>
              <w:spacing w:before="0"/>
              <w:rPr>
                <w:lang w:val="es-ES_tradnl"/>
              </w:rPr>
            </w:pPr>
          </w:p>
        </w:tc>
        <w:tc>
          <w:tcPr>
            <w:tcW w:w="3260" w:type="dxa"/>
            <w:vAlign w:val="center"/>
          </w:tcPr>
          <w:p w:rsidR="003B438E" w:rsidRPr="00051C5F" w:rsidRDefault="003B438E" w:rsidP="00944591">
            <w:pPr>
              <w:spacing w:before="0"/>
              <w:rPr>
                <w:lang w:val="es-ES_tradnl"/>
              </w:rPr>
            </w:pPr>
          </w:p>
        </w:tc>
      </w:tr>
    </w:tbl>
    <w:p w:rsidR="003B438E" w:rsidRPr="00051C5F" w:rsidRDefault="003B438E" w:rsidP="003B438E">
      <w:pPr>
        <w:pStyle w:val="Index1"/>
        <w:tabs>
          <w:tab w:val="clear" w:pos="794"/>
          <w:tab w:val="clear" w:pos="1191"/>
          <w:tab w:val="clear" w:pos="1588"/>
          <w:tab w:val="clear" w:pos="1985"/>
          <w:tab w:val="left" w:pos="5387"/>
        </w:tabs>
        <w:spacing w:before="0"/>
        <w:rPr>
          <w:szCs w:val="24"/>
          <w:lang w:val="es-ES_tradnl"/>
        </w:rPr>
      </w:pPr>
      <w:r w:rsidRPr="00051C5F">
        <w:rPr>
          <w:lang w:val="es-ES_tradnl"/>
        </w:rPr>
        <w:tab/>
      </w:r>
    </w:p>
    <w:tbl>
      <w:tblPr>
        <w:tblW w:w="5225" w:type="pct"/>
        <w:tblInd w:w="-8" w:type="dxa"/>
        <w:tblCellMar>
          <w:left w:w="0" w:type="dxa"/>
          <w:right w:w="0" w:type="dxa"/>
        </w:tblCellMar>
        <w:tblLook w:val="0000" w:firstRow="0" w:lastRow="0" w:firstColumn="0" w:lastColumn="0" w:noHBand="0" w:noVBand="0"/>
      </w:tblPr>
      <w:tblGrid>
        <w:gridCol w:w="10"/>
        <w:gridCol w:w="985"/>
        <w:gridCol w:w="125"/>
        <w:gridCol w:w="3308"/>
        <w:gridCol w:w="536"/>
        <w:gridCol w:w="5109"/>
      </w:tblGrid>
      <w:tr w:rsidR="003B438E" w:rsidRPr="00BF12FC" w:rsidTr="008729B1">
        <w:trPr>
          <w:gridBefore w:val="1"/>
          <w:wBefore w:w="5" w:type="pct"/>
          <w:cantSplit/>
          <w:trHeight w:val="3868"/>
        </w:trPr>
        <w:tc>
          <w:tcPr>
            <w:tcW w:w="489" w:type="pct"/>
          </w:tcPr>
          <w:p w:rsidR="003B438E" w:rsidRPr="00051C5F" w:rsidRDefault="003B438E" w:rsidP="00944591">
            <w:pPr>
              <w:tabs>
                <w:tab w:val="left" w:pos="4111"/>
              </w:tabs>
              <w:spacing w:before="0"/>
              <w:rPr>
                <w:szCs w:val="24"/>
                <w:lang w:val="es-ES_tradnl"/>
              </w:rPr>
            </w:pPr>
          </w:p>
          <w:p w:rsidR="003B438E" w:rsidRPr="00051C5F" w:rsidRDefault="003B438E" w:rsidP="00944591">
            <w:pPr>
              <w:tabs>
                <w:tab w:val="left" w:pos="4111"/>
              </w:tabs>
              <w:spacing w:before="0"/>
              <w:rPr>
                <w:szCs w:val="24"/>
                <w:lang w:val="es-ES_tradnl"/>
              </w:rPr>
            </w:pPr>
            <w:proofErr w:type="spellStart"/>
            <w:r w:rsidRPr="00051C5F">
              <w:rPr>
                <w:szCs w:val="24"/>
                <w:lang w:val="es-ES_tradnl"/>
              </w:rPr>
              <w:t>Ref</w:t>
            </w:r>
            <w:proofErr w:type="spellEnd"/>
            <w:r w:rsidRPr="00051C5F">
              <w:rPr>
                <w:szCs w:val="24"/>
                <w:lang w:val="es-ES_tradnl"/>
              </w:rPr>
              <w:t>:</w:t>
            </w:r>
          </w:p>
          <w:p w:rsidR="003B438E" w:rsidRPr="00051C5F" w:rsidRDefault="003B438E" w:rsidP="00944591">
            <w:pPr>
              <w:tabs>
                <w:tab w:val="left" w:pos="4111"/>
              </w:tabs>
              <w:spacing w:before="0"/>
              <w:rPr>
                <w:szCs w:val="24"/>
                <w:lang w:val="es-ES_tradnl"/>
              </w:rPr>
            </w:pPr>
            <w:r w:rsidRPr="00051C5F">
              <w:rPr>
                <w:szCs w:val="24"/>
                <w:lang w:val="es-ES_tradnl"/>
              </w:rPr>
              <w:t>Tel:</w:t>
            </w:r>
          </w:p>
          <w:p w:rsidR="003B438E" w:rsidRPr="00051C5F" w:rsidRDefault="003B438E" w:rsidP="00944591">
            <w:pPr>
              <w:tabs>
                <w:tab w:val="left" w:pos="4111"/>
              </w:tabs>
              <w:spacing w:before="0"/>
              <w:rPr>
                <w:szCs w:val="24"/>
                <w:lang w:val="es-ES_tradnl"/>
              </w:rPr>
            </w:pPr>
            <w:r w:rsidRPr="00051C5F">
              <w:rPr>
                <w:szCs w:val="24"/>
                <w:lang w:val="es-ES_tradnl"/>
              </w:rPr>
              <w:t>Fax:</w:t>
            </w:r>
          </w:p>
          <w:p w:rsidR="003B438E" w:rsidRPr="00051C5F" w:rsidRDefault="00051C5F" w:rsidP="00051C5F">
            <w:pPr>
              <w:tabs>
                <w:tab w:val="left" w:pos="4111"/>
              </w:tabs>
              <w:spacing w:before="0"/>
              <w:rPr>
                <w:szCs w:val="24"/>
                <w:lang w:val="es-ES_tradnl"/>
              </w:rPr>
            </w:pPr>
            <w:r w:rsidRPr="00051C5F">
              <w:rPr>
                <w:szCs w:val="24"/>
                <w:lang w:val="es-ES_tradnl"/>
              </w:rPr>
              <w:t>Correo-e</w:t>
            </w:r>
            <w:r w:rsidR="003B438E" w:rsidRPr="00051C5F">
              <w:rPr>
                <w:szCs w:val="24"/>
                <w:lang w:val="es-ES_tradnl"/>
              </w:rPr>
              <w:t>:</w:t>
            </w:r>
          </w:p>
          <w:p w:rsidR="003B438E" w:rsidRPr="00051C5F" w:rsidRDefault="003B438E" w:rsidP="00944591">
            <w:pPr>
              <w:tabs>
                <w:tab w:val="left" w:pos="4111"/>
              </w:tabs>
              <w:spacing w:before="0"/>
              <w:rPr>
                <w:szCs w:val="24"/>
                <w:lang w:val="es-ES_tradnl"/>
              </w:rPr>
            </w:pPr>
          </w:p>
          <w:p w:rsidR="003B438E" w:rsidRPr="00051C5F" w:rsidRDefault="003B438E" w:rsidP="00944591">
            <w:pPr>
              <w:tabs>
                <w:tab w:val="left" w:pos="4111"/>
              </w:tabs>
              <w:spacing w:before="0"/>
              <w:rPr>
                <w:szCs w:val="24"/>
                <w:lang w:val="es-ES_tradnl"/>
              </w:rPr>
            </w:pPr>
          </w:p>
          <w:p w:rsidR="003B438E" w:rsidRPr="00051C5F" w:rsidRDefault="003B438E" w:rsidP="00944591">
            <w:pPr>
              <w:tabs>
                <w:tab w:val="left" w:pos="4111"/>
              </w:tabs>
              <w:spacing w:before="0"/>
              <w:rPr>
                <w:szCs w:val="24"/>
                <w:lang w:val="es-ES_tradnl"/>
              </w:rPr>
            </w:pPr>
          </w:p>
          <w:p w:rsidR="003B438E" w:rsidRPr="00051C5F" w:rsidRDefault="003B438E" w:rsidP="00944591">
            <w:pPr>
              <w:tabs>
                <w:tab w:val="left" w:pos="4111"/>
              </w:tabs>
              <w:spacing w:before="0"/>
              <w:rPr>
                <w:szCs w:val="24"/>
                <w:lang w:val="es-ES_tradnl"/>
              </w:rPr>
            </w:pPr>
            <w:proofErr w:type="spellStart"/>
            <w:r w:rsidRPr="00051C5F">
              <w:rPr>
                <w:szCs w:val="24"/>
                <w:lang w:val="es-ES_tradnl"/>
              </w:rPr>
              <w:t>Ref</w:t>
            </w:r>
            <w:proofErr w:type="spellEnd"/>
            <w:r w:rsidRPr="00051C5F">
              <w:rPr>
                <w:szCs w:val="24"/>
                <w:lang w:val="es-ES_tradnl"/>
              </w:rPr>
              <w:t>:</w:t>
            </w:r>
          </w:p>
          <w:p w:rsidR="003B438E" w:rsidRPr="00051C5F" w:rsidRDefault="003B438E" w:rsidP="00944591">
            <w:pPr>
              <w:tabs>
                <w:tab w:val="left" w:pos="4111"/>
              </w:tabs>
              <w:spacing w:before="0"/>
              <w:rPr>
                <w:szCs w:val="24"/>
                <w:lang w:val="es-ES_tradnl"/>
              </w:rPr>
            </w:pPr>
            <w:r w:rsidRPr="00051C5F">
              <w:rPr>
                <w:szCs w:val="24"/>
                <w:lang w:val="es-ES_tradnl"/>
              </w:rPr>
              <w:t>Tel:</w:t>
            </w:r>
          </w:p>
          <w:p w:rsidR="003B438E" w:rsidRPr="00051C5F" w:rsidRDefault="003B438E" w:rsidP="00944591">
            <w:pPr>
              <w:tabs>
                <w:tab w:val="left" w:pos="4111"/>
              </w:tabs>
              <w:spacing w:before="0"/>
              <w:rPr>
                <w:szCs w:val="24"/>
                <w:lang w:val="es-ES_tradnl"/>
              </w:rPr>
            </w:pPr>
            <w:r w:rsidRPr="00051C5F">
              <w:rPr>
                <w:szCs w:val="24"/>
                <w:lang w:val="es-ES_tradnl"/>
              </w:rPr>
              <w:t>Fax:</w:t>
            </w:r>
          </w:p>
          <w:p w:rsidR="003B438E" w:rsidRPr="00051C5F" w:rsidRDefault="00051C5F" w:rsidP="00944591">
            <w:pPr>
              <w:tabs>
                <w:tab w:val="left" w:pos="4111"/>
              </w:tabs>
              <w:spacing w:before="0"/>
              <w:rPr>
                <w:szCs w:val="24"/>
                <w:lang w:val="es-ES_tradnl"/>
              </w:rPr>
            </w:pPr>
            <w:r>
              <w:rPr>
                <w:szCs w:val="24"/>
                <w:lang w:val="es-ES_tradnl"/>
              </w:rPr>
              <w:t>Correo-e</w:t>
            </w:r>
            <w:r w:rsidR="003B438E" w:rsidRPr="00051C5F">
              <w:rPr>
                <w:szCs w:val="24"/>
                <w:lang w:val="es-ES_tradnl"/>
              </w:rPr>
              <w:t xml:space="preserve">: </w:t>
            </w:r>
          </w:p>
        </w:tc>
        <w:tc>
          <w:tcPr>
            <w:tcW w:w="1704" w:type="pct"/>
            <w:gridSpan w:val="2"/>
          </w:tcPr>
          <w:p w:rsidR="003B438E" w:rsidRDefault="003B438E" w:rsidP="00944591">
            <w:pPr>
              <w:tabs>
                <w:tab w:val="left" w:pos="4111"/>
              </w:tabs>
              <w:spacing w:before="0"/>
              <w:rPr>
                <w:b/>
                <w:bCs/>
                <w:szCs w:val="24"/>
                <w:lang w:val="es-ES_tradnl"/>
              </w:rPr>
            </w:pPr>
          </w:p>
          <w:p w:rsidR="003B438E" w:rsidRPr="00BF484A" w:rsidRDefault="003B438E" w:rsidP="00944591">
            <w:pPr>
              <w:tabs>
                <w:tab w:val="left" w:pos="4111"/>
              </w:tabs>
              <w:spacing w:before="0"/>
              <w:rPr>
                <w:b/>
                <w:bCs/>
                <w:szCs w:val="24"/>
                <w:lang w:val="es-ES_tradnl"/>
              </w:rPr>
            </w:pPr>
            <w:r>
              <w:rPr>
                <w:b/>
                <w:bCs/>
                <w:szCs w:val="24"/>
                <w:lang w:val="es-ES_tradnl"/>
              </w:rPr>
              <w:t>Circular</w:t>
            </w:r>
            <w:r w:rsidR="00051C5F">
              <w:rPr>
                <w:b/>
                <w:bCs/>
                <w:szCs w:val="24"/>
                <w:lang w:val="es-ES_tradnl"/>
              </w:rPr>
              <w:t xml:space="preserve"> TSB</w:t>
            </w:r>
            <w:r>
              <w:rPr>
                <w:b/>
                <w:bCs/>
                <w:szCs w:val="24"/>
                <w:lang w:val="es-ES_tradnl"/>
              </w:rPr>
              <w:t xml:space="preserve"> 74</w:t>
            </w:r>
          </w:p>
          <w:p w:rsidR="003B438E" w:rsidRPr="00BF484A" w:rsidRDefault="003B438E" w:rsidP="00944591">
            <w:pPr>
              <w:tabs>
                <w:tab w:val="left" w:pos="4111"/>
              </w:tabs>
              <w:spacing w:before="0"/>
              <w:rPr>
                <w:szCs w:val="24"/>
                <w:lang w:val="es-ES_tradnl"/>
              </w:rPr>
            </w:pPr>
            <w:r>
              <w:rPr>
                <w:szCs w:val="24"/>
                <w:lang w:val="es-ES_tradnl"/>
              </w:rPr>
              <w:t>+41 22 730 5858</w:t>
            </w:r>
            <w:r w:rsidRPr="00BF484A">
              <w:rPr>
                <w:szCs w:val="24"/>
                <w:lang w:val="es-ES_tradnl"/>
              </w:rPr>
              <w:br/>
              <w:t>+41 22 730 5853</w:t>
            </w:r>
          </w:p>
          <w:p w:rsidR="003B438E" w:rsidRPr="00BF484A" w:rsidRDefault="00BF12FC" w:rsidP="00944591">
            <w:pPr>
              <w:tabs>
                <w:tab w:val="left" w:pos="4111"/>
              </w:tabs>
              <w:spacing w:before="0"/>
              <w:rPr>
                <w:rStyle w:val="Hyperlink"/>
                <w:szCs w:val="24"/>
                <w:lang w:val="es-ES_tradnl"/>
              </w:rPr>
            </w:pPr>
            <w:hyperlink r:id="rId10" w:history="1">
              <w:r w:rsidR="003B438E" w:rsidRPr="007D4514">
                <w:rPr>
                  <w:rStyle w:val="Hyperlink"/>
                  <w:szCs w:val="24"/>
                  <w:lang w:val="es-ES_tradnl"/>
                </w:rPr>
                <w:t>tsbsg9@itu.int</w:t>
              </w:r>
            </w:hyperlink>
          </w:p>
          <w:p w:rsidR="003B438E" w:rsidRPr="00BF484A" w:rsidRDefault="003B438E" w:rsidP="00944591">
            <w:pPr>
              <w:tabs>
                <w:tab w:val="left" w:pos="4111"/>
              </w:tabs>
              <w:spacing w:before="0"/>
              <w:rPr>
                <w:rStyle w:val="Hyperlink"/>
                <w:szCs w:val="24"/>
                <w:lang w:val="es-ES_tradnl"/>
              </w:rPr>
            </w:pPr>
          </w:p>
          <w:p w:rsidR="003B438E" w:rsidRPr="00BF484A" w:rsidRDefault="003B438E" w:rsidP="00944591">
            <w:pPr>
              <w:tabs>
                <w:tab w:val="left" w:pos="4111"/>
              </w:tabs>
              <w:spacing w:before="0"/>
              <w:rPr>
                <w:rStyle w:val="Hyperlink"/>
                <w:b/>
                <w:bCs/>
                <w:szCs w:val="24"/>
                <w:lang w:val="es-ES_tradnl"/>
              </w:rPr>
            </w:pPr>
          </w:p>
          <w:p w:rsidR="003B438E" w:rsidRPr="00BF484A" w:rsidRDefault="003B438E" w:rsidP="00944591">
            <w:pPr>
              <w:tabs>
                <w:tab w:val="left" w:pos="4111"/>
              </w:tabs>
              <w:spacing w:before="0"/>
              <w:rPr>
                <w:rStyle w:val="Hyperlink"/>
                <w:b/>
                <w:bCs/>
                <w:szCs w:val="24"/>
                <w:lang w:val="es-ES_tradnl"/>
              </w:rPr>
            </w:pPr>
          </w:p>
          <w:p w:rsidR="003B438E" w:rsidRPr="008067A5" w:rsidRDefault="003B438E" w:rsidP="00944591">
            <w:pPr>
              <w:tabs>
                <w:tab w:val="left" w:pos="4111"/>
              </w:tabs>
              <w:spacing w:before="0"/>
              <w:rPr>
                <w:rStyle w:val="Hyperlink"/>
                <w:b/>
                <w:bCs/>
                <w:color w:val="auto"/>
                <w:szCs w:val="24"/>
                <w:u w:val="none"/>
                <w:lang w:val="es-ES_tradnl"/>
              </w:rPr>
            </w:pPr>
            <w:r w:rsidRPr="008067A5">
              <w:rPr>
                <w:rStyle w:val="Hyperlink"/>
                <w:b/>
                <w:bCs/>
                <w:color w:val="auto"/>
                <w:szCs w:val="24"/>
                <w:u w:val="none"/>
                <w:lang w:val="es-ES_tradnl"/>
              </w:rPr>
              <w:t>Circular</w:t>
            </w:r>
            <w:r w:rsidR="00051C5F" w:rsidRPr="008067A5">
              <w:rPr>
                <w:rStyle w:val="Hyperlink"/>
                <w:b/>
                <w:bCs/>
                <w:color w:val="auto"/>
                <w:szCs w:val="24"/>
                <w:u w:val="none"/>
                <w:lang w:val="es-ES_tradnl"/>
              </w:rPr>
              <w:t xml:space="preserve"> BR</w:t>
            </w:r>
            <w:r w:rsidRPr="008067A5">
              <w:rPr>
                <w:rStyle w:val="Hyperlink"/>
                <w:b/>
                <w:bCs/>
                <w:color w:val="auto"/>
                <w:szCs w:val="24"/>
                <w:u w:val="none"/>
                <w:lang w:val="es-ES_tradnl"/>
              </w:rPr>
              <w:t xml:space="preserve"> CACE/655</w:t>
            </w:r>
          </w:p>
          <w:p w:rsidR="003B438E" w:rsidRPr="008067A5" w:rsidRDefault="003B438E" w:rsidP="00944591">
            <w:pPr>
              <w:tabs>
                <w:tab w:val="left" w:pos="4111"/>
              </w:tabs>
              <w:spacing w:before="0"/>
              <w:rPr>
                <w:rStyle w:val="Hyperlink"/>
                <w:color w:val="auto"/>
                <w:szCs w:val="24"/>
                <w:u w:val="none"/>
                <w:lang w:val="es-ES_tradnl"/>
              </w:rPr>
            </w:pPr>
            <w:r w:rsidRPr="008067A5">
              <w:rPr>
                <w:rStyle w:val="Hyperlink"/>
                <w:color w:val="auto"/>
                <w:szCs w:val="24"/>
                <w:u w:val="none"/>
                <w:lang w:val="es-ES_tradnl"/>
              </w:rPr>
              <w:t>+41 22 730 5803</w:t>
            </w:r>
          </w:p>
          <w:p w:rsidR="003B438E" w:rsidRPr="008067A5" w:rsidRDefault="003B438E" w:rsidP="00944591">
            <w:pPr>
              <w:tabs>
                <w:tab w:val="left" w:pos="4111"/>
              </w:tabs>
              <w:spacing w:before="0"/>
              <w:rPr>
                <w:rStyle w:val="Hyperlink"/>
                <w:color w:val="auto"/>
                <w:szCs w:val="24"/>
                <w:u w:val="none"/>
                <w:lang w:val="es-ES_tradnl"/>
              </w:rPr>
            </w:pPr>
            <w:r w:rsidRPr="008067A5">
              <w:rPr>
                <w:rStyle w:val="Hyperlink"/>
                <w:color w:val="auto"/>
                <w:szCs w:val="24"/>
                <w:u w:val="none"/>
                <w:lang w:val="es-ES_tradnl"/>
              </w:rPr>
              <w:t>+41 22 730 5806</w:t>
            </w:r>
          </w:p>
          <w:p w:rsidR="003B438E" w:rsidRPr="00FE3097" w:rsidRDefault="00BF12FC" w:rsidP="00944591">
            <w:pPr>
              <w:tabs>
                <w:tab w:val="left" w:pos="4111"/>
              </w:tabs>
              <w:spacing w:before="0"/>
              <w:rPr>
                <w:rStyle w:val="Hyperlink"/>
                <w:b/>
                <w:bCs/>
                <w:szCs w:val="24"/>
                <w:lang w:val="es-ES_tradnl"/>
              </w:rPr>
            </w:pPr>
            <w:hyperlink r:id="rId11" w:history="1">
              <w:r w:rsidR="003B438E" w:rsidRPr="00FE3097">
                <w:rPr>
                  <w:rStyle w:val="Hyperlink"/>
                  <w:szCs w:val="24"/>
                  <w:lang w:val="es-ES_tradnl"/>
                </w:rPr>
                <w:t>rsg6@itu.int</w:t>
              </w:r>
            </w:hyperlink>
          </w:p>
          <w:p w:rsidR="003B438E" w:rsidRPr="00FE3097" w:rsidRDefault="003B438E" w:rsidP="00944591">
            <w:pPr>
              <w:tabs>
                <w:tab w:val="left" w:pos="4111"/>
              </w:tabs>
              <w:spacing w:before="0"/>
              <w:rPr>
                <w:rStyle w:val="Hyperlink"/>
                <w:szCs w:val="24"/>
                <w:lang w:val="es-ES_tradnl"/>
              </w:rPr>
            </w:pPr>
          </w:p>
          <w:p w:rsidR="003B438E" w:rsidRPr="00FE3097" w:rsidRDefault="003B438E" w:rsidP="00944591">
            <w:pPr>
              <w:tabs>
                <w:tab w:val="left" w:pos="4111"/>
              </w:tabs>
              <w:spacing w:before="0"/>
              <w:rPr>
                <w:b/>
                <w:bCs/>
                <w:szCs w:val="24"/>
                <w:lang w:val="es-ES_tradnl"/>
              </w:rPr>
            </w:pPr>
          </w:p>
        </w:tc>
        <w:tc>
          <w:tcPr>
            <w:tcW w:w="266" w:type="pct"/>
          </w:tcPr>
          <w:p w:rsidR="003B438E" w:rsidRPr="00FE3097" w:rsidRDefault="003B438E" w:rsidP="00944591">
            <w:pPr>
              <w:tabs>
                <w:tab w:val="clear" w:pos="794"/>
                <w:tab w:val="left" w:pos="141"/>
                <w:tab w:val="left" w:pos="4111"/>
              </w:tabs>
              <w:spacing w:before="0"/>
              <w:rPr>
                <w:lang w:val="es-ES_tradnl"/>
              </w:rPr>
            </w:pPr>
          </w:p>
        </w:tc>
        <w:tc>
          <w:tcPr>
            <w:tcW w:w="2536" w:type="pct"/>
          </w:tcPr>
          <w:p w:rsidR="003B438E" w:rsidRPr="00051C5F" w:rsidRDefault="003B438E" w:rsidP="00051C5F">
            <w:pPr>
              <w:pStyle w:val="Index1"/>
              <w:tabs>
                <w:tab w:val="clear" w:pos="794"/>
                <w:tab w:val="clear" w:pos="1191"/>
                <w:tab w:val="clear" w:pos="1588"/>
                <w:tab w:val="clear" w:pos="1985"/>
                <w:tab w:val="left" w:pos="5387"/>
              </w:tabs>
              <w:spacing w:before="240"/>
              <w:rPr>
                <w:lang w:val="es-ES_tradnl"/>
              </w:rPr>
            </w:pPr>
            <w:r w:rsidRPr="00051C5F">
              <w:rPr>
                <w:lang w:val="es-ES_tradnl"/>
              </w:rPr>
              <w:t>G</w:t>
            </w:r>
            <w:r w:rsidR="00051C5F" w:rsidRPr="00051C5F">
              <w:rPr>
                <w:lang w:val="es-ES_tradnl"/>
              </w:rPr>
              <w:t xml:space="preserve">inebra, </w:t>
            </w:r>
            <w:r w:rsidRPr="00051C5F">
              <w:rPr>
                <w:lang w:val="es-ES_tradnl"/>
              </w:rPr>
              <w:t xml:space="preserve">20 </w:t>
            </w:r>
            <w:r w:rsidR="00051C5F" w:rsidRPr="00051C5F">
              <w:rPr>
                <w:lang w:val="es-ES_tradnl"/>
              </w:rPr>
              <w:t>de diciembre de</w:t>
            </w:r>
            <w:r w:rsidRPr="00051C5F">
              <w:rPr>
                <w:lang w:val="es-ES_tradnl"/>
              </w:rPr>
              <w:t xml:space="preserve"> 2013</w:t>
            </w:r>
          </w:p>
          <w:p w:rsidR="003B438E" w:rsidRPr="00051C5F" w:rsidRDefault="003B438E" w:rsidP="00944591">
            <w:pPr>
              <w:tabs>
                <w:tab w:val="clear" w:pos="794"/>
                <w:tab w:val="left" w:pos="141"/>
                <w:tab w:val="left" w:pos="4111"/>
              </w:tabs>
              <w:rPr>
                <w:lang w:val="es-ES_tradnl"/>
              </w:rPr>
            </w:pPr>
          </w:p>
          <w:p w:rsidR="003B438E" w:rsidRPr="00051C5F" w:rsidRDefault="008729B1" w:rsidP="008729B1">
            <w:pPr>
              <w:tabs>
                <w:tab w:val="clear" w:pos="794"/>
                <w:tab w:val="clear" w:pos="1191"/>
                <w:tab w:val="clear" w:pos="1588"/>
                <w:tab w:val="clear" w:pos="1985"/>
                <w:tab w:val="left" w:pos="290"/>
                <w:tab w:val="left" w:pos="4111"/>
              </w:tabs>
              <w:ind w:left="290" w:hanging="283"/>
              <w:rPr>
                <w:lang w:val="es-ES_tradnl"/>
              </w:rPr>
            </w:pPr>
            <w:r>
              <w:rPr>
                <w:lang w:val="es-ES_tradnl"/>
              </w:rPr>
              <w:t>-</w:t>
            </w:r>
            <w:r>
              <w:rPr>
                <w:lang w:val="es-ES_tradnl"/>
              </w:rPr>
              <w:tab/>
            </w:r>
            <w:r w:rsidR="00051C5F" w:rsidRPr="00051C5F">
              <w:rPr>
                <w:lang w:val="es-ES_tradnl"/>
              </w:rPr>
              <w:t>A las Administraciones de los Estados Miembros de la Uni</w:t>
            </w:r>
            <w:r w:rsidR="00051C5F">
              <w:rPr>
                <w:lang w:val="es-ES_tradnl"/>
              </w:rPr>
              <w:t>ón</w:t>
            </w:r>
            <w:r w:rsidR="003B438E" w:rsidRPr="00051C5F">
              <w:rPr>
                <w:lang w:val="es-ES_tradnl"/>
              </w:rPr>
              <w:t>;</w:t>
            </w:r>
          </w:p>
          <w:p w:rsidR="003B438E" w:rsidRPr="00051C5F" w:rsidRDefault="008729B1" w:rsidP="008729B1">
            <w:pPr>
              <w:tabs>
                <w:tab w:val="clear" w:pos="794"/>
                <w:tab w:val="clear" w:pos="1191"/>
                <w:tab w:val="clear" w:pos="1588"/>
                <w:tab w:val="clear" w:pos="1985"/>
                <w:tab w:val="left" w:pos="290"/>
                <w:tab w:val="left" w:pos="4111"/>
              </w:tabs>
              <w:spacing w:before="0"/>
              <w:ind w:left="290" w:hanging="283"/>
              <w:rPr>
                <w:lang w:val="es-ES_tradnl"/>
              </w:rPr>
            </w:pPr>
            <w:r>
              <w:rPr>
                <w:lang w:val="es-ES_tradnl"/>
              </w:rPr>
              <w:t>-</w:t>
            </w:r>
            <w:r>
              <w:rPr>
                <w:lang w:val="es-ES_tradnl"/>
              </w:rPr>
              <w:tab/>
            </w:r>
            <w:r w:rsidR="00051C5F" w:rsidRPr="00051C5F">
              <w:rPr>
                <w:lang w:val="es-ES_tradnl"/>
              </w:rPr>
              <w:t>A los Miembros de Sector del UIT-T y el UIT-R</w:t>
            </w:r>
            <w:r w:rsidR="003B438E" w:rsidRPr="00051C5F">
              <w:rPr>
                <w:lang w:val="es-ES_tradnl"/>
              </w:rPr>
              <w:t>;</w:t>
            </w:r>
          </w:p>
          <w:p w:rsidR="003B438E" w:rsidRPr="00051C5F" w:rsidRDefault="003B438E" w:rsidP="008729B1">
            <w:pPr>
              <w:tabs>
                <w:tab w:val="clear" w:pos="794"/>
                <w:tab w:val="clear" w:pos="1191"/>
                <w:tab w:val="clear" w:pos="1588"/>
                <w:tab w:val="clear" w:pos="1985"/>
                <w:tab w:val="left" w:pos="290"/>
              </w:tabs>
              <w:spacing w:before="0"/>
              <w:ind w:left="290" w:hanging="283"/>
              <w:rPr>
                <w:lang w:val="es-ES_tradnl"/>
              </w:rPr>
            </w:pPr>
            <w:r w:rsidRPr="00051C5F">
              <w:rPr>
                <w:lang w:val="es-ES_tradnl"/>
              </w:rPr>
              <w:t>-</w:t>
            </w:r>
            <w:r w:rsidR="008729B1">
              <w:rPr>
                <w:lang w:val="es-ES_tradnl"/>
              </w:rPr>
              <w:tab/>
            </w:r>
            <w:r w:rsidR="00051C5F" w:rsidRPr="00051C5F">
              <w:rPr>
                <w:lang w:val="es-ES_tradnl"/>
              </w:rPr>
              <w:t xml:space="preserve">A los Asociados del UIT-T y el UIT-R; </w:t>
            </w:r>
          </w:p>
          <w:p w:rsidR="003B438E" w:rsidRPr="00051C5F" w:rsidRDefault="008729B1" w:rsidP="008729B1">
            <w:pPr>
              <w:tabs>
                <w:tab w:val="clear" w:pos="794"/>
                <w:tab w:val="clear" w:pos="1191"/>
                <w:tab w:val="clear" w:pos="1588"/>
                <w:tab w:val="clear" w:pos="1985"/>
                <w:tab w:val="left" w:pos="290"/>
              </w:tabs>
              <w:spacing w:before="0"/>
              <w:ind w:left="290" w:hanging="283"/>
              <w:rPr>
                <w:lang w:val="es-ES_tradnl"/>
              </w:rPr>
            </w:pPr>
            <w:r>
              <w:rPr>
                <w:lang w:val="es-ES_tradnl"/>
              </w:rPr>
              <w:t>-</w:t>
            </w:r>
            <w:r>
              <w:rPr>
                <w:lang w:val="es-ES_tradnl"/>
              </w:rPr>
              <w:tab/>
            </w:r>
            <w:r w:rsidR="00051C5F" w:rsidRPr="00051C5F">
              <w:rPr>
                <w:lang w:val="es-ES_tradnl"/>
              </w:rPr>
              <w:t>A las Instituciones Académicas del UIT-T y el UIT-R</w:t>
            </w:r>
          </w:p>
          <w:p w:rsidR="003B438E" w:rsidRPr="00051C5F" w:rsidRDefault="003B438E" w:rsidP="00944591">
            <w:pPr>
              <w:spacing w:before="0"/>
              <w:rPr>
                <w:lang w:val="es-ES_tradnl"/>
              </w:rPr>
            </w:pPr>
          </w:p>
          <w:p w:rsidR="003B438E" w:rsidRPr="00051C5F" w:rsidRDefault="003B438E" w:rsidP="00051C5F">
            <w:pPr>
              <w:tabs>
                <w:tab w:val="clear" w:pos="794"/>
                <w:tab w:val="clear" w:pos="1191"/>
                <w:tab w:val="clear" w:pos="1588"/>
                <w:tab w:val="clear" w:pos="1985"/>
                <w:tab w:val="left" w:pos="284"/>
              </w:tabs>
              <w:spacing w:before="0"/>
              <w:rPr>
                <w:b/>
                <w:bCs/>
                <w:lang w:val="es-ES_tradnl"/>
              </w:rPr>
            </w:pPr>
            <w:r w:rsidRPr="00051C5F">
              <w:rPr>
                <w:b/>
                <w:bCs/>
                <w:lang w:val="es-ES_tradnl"/>
              </w:rPr>
              <w:t>Cop</w:t>
            </w:r>
            <w:r w:rsidR="00051C5F" w:rsidRPr="00051C5F">
              <w:rPr>
                <w:b/>
                <w:bCs/>
                <w:lang w:val="es-ES_tradnl"/>
              </w:rPr>
              <w:t>ia</w:t>
            </w:r>
            <w:r w:rsidRPr="00051C5F">
              <w:rPr>
                <w:b/>
                <w:bCs/>
                <w:lang w:val="es-ES_tradnl"/>
              </w:rPr>
              <w:t>:</w:t>
            </w:r>
          </w:p>
          <w:p w:rsidR="003B438E" w:rsidRPr="00051C5F" w:rsidRDefault="003B438E" w:rsidP="00051C5F">
            <w:pPr>
              <w:spacing w:before="0"/>
              <w:ind w:left="284" w:hanging="284"/>
              <w:rPr>
                <w:lang w:val="es-ES_tradnl"/>
              </w:rPr>
            </w:pPr>
            <w:r w:rsidRPr="00051C5F">
              <w:rPr>
                <w:lang w:val="es-ES_tradnl"/>
              </w:rPr>
              <w:t>-</w:t>
            </w:r>
            <w:r w:rsidRPr="00051C5F">
              <w:rPr>
                <w:lang w:val="es-ES_tradnl"/>
              </w:rPr>
              <w:tab/>
            </w:r>
            <w:r w:rsidR="00051C5F">
              <w:rPr>
                <w:lang w:val="es-ES_tradnl"/>
              </w:rPr>
              <w:t>A los P</w:t>
            </w:r>
            <w:r w:rsidR="00051C5F" w:rsidRPr="00051C5F">
              <w:rPr>
                <w:lang w:val="es-ES_tradnl"/>
              </w:rPr>
              <w:t>residentes y Vicepresidentes de las Comisiones de Estudio del UIT-T y el UIT-R</w:t>
            </w:r>
            <w:r w:rsidRPr="00051C5F">
              <w:rPr>
                <w:lang w:val="es-ES_tradnl"/>
              </w:rPr>
              <w:t>;</w:t>
            </w:r>
          </w:p>
          <w:p w:rsidR="003B438E" w:rsidRPr="00051C5F" w:rsidRDefault="003B438E" w:rsidP="005A6AF1">
            <w:pPr>
              <w:spacing w:before="0" w:after="120"/>
              <w:ind w:left="284" w:hanging="284"/>
              <w:rPr>
                <w:lang w:val="es-ES_tradnl"/>
              </w:rPr>
            </w:pPr>
            <w:r w:rsidRPr="00051C5F">
              <w:rPr>
                <w:lang w:val="es-ES_tradnl"/>
              </w:rPr>
              <w:t>-</w:t>
            </w:r>
            <w:r w:rsidRPr="00051C5F">
              <w:rPr>
                <w:lang w:val="es-ES_tradnl"/>
              </w:rPr>
              <w:tab/>
            </w:r>
            <w:r w:rsidR="00051C5F" w:rsidRPr="00051C5F">
              <w:rPr>
                <w:lang w:val="es-ES_tradnl"/>
              </w:rPr>
              <w:t xml:space="preserve">Al </w:t>
            </w:r>
            <w:r w:rsidRPr="00051C5F">
              <w:rPr>
                <w:lang w:val="es-ES_tradnl"/>
              </w:rPr>
              <w:t xml:space="preserve">Director </w:t>
            </w:r>
            <w:r w:rsidR="00051C5F">
              <w:rPr>
                <w:lang w:val="es-ES_tradnl"/>
              </w:rPr>
              <w:t>de la O</w:t>
            </w:r>
            <w:r w:rsidR="00051C5F" w:rsidRPr="00051C5F">
              <w:rPr>
                <w:lang w:val="es-ES_tradnl"/>
              </w:rPr>
              <w:t>ficina de Desarrollo de las T</w:t>
            </w:r>
            <w:r w:rsidRPr="00051C5F">
              <w:rPr>
                <w:lang w:val="es-ES_tradnl"/>
              </w:rPr>
              <w:t>elecomunica</w:t>
            </w:r>
            <w:r w:rsidR="00051C5F">
              <w:rPr>
                <w:lang w:val="es-ES_tradnl"/>
              </w:rPr>
              <w:t>ciones</w:t>
            </w:r>
          </w:p>
        </w:tc>
      </w:tr>
      <w:tr w:rsidR="003B438E" w:rsidRPr="00BF12FC" w:rsidTr="008729B1">
        <w:trPr>
          <w:gridBefore w:val="1"/>
          <w:wBefore w:w="5" w:type="pct"/>
          <w:cantSplit/>
          <w:trHeight w:val="445"/>
        </w:trPr>
        <w:tc>
          <w:tcPr>
            <w:tcW w:w="2193" w:type="pct"/>
            <w:gridSpan w:val="3"/>
          </w:tcPr>
          <w:p w:rsidR="003B438E" w:rsidRPr="00051C5F" w:rsidRDefault="003B438E" w:rsidP="00944591">
            <w:pPr>
              <w:tabs>
                <w:tab w:val="clear" w:pos="794"/>
                <w:tab w:val="left" w:pos="141"/>
                <w:tab w:val="left" w:pos="4111"/>
              </w:tabs>
              <w:spacing w:before="0"/>
              <w:rPr>
                <w:lang w:val="es-ES_tradnl"/>
              </w:rPr>
            </w:pPr>
          </w:p>
        </w:tc>
        <w:tc>
          <w:tcPr>
            <w:tcW w:w="2802" w:type="pct"/>
            <w:gridSpan w:val="2"/>
          </w:tcPr>
          <w:p w:rsidR="003B438E" w:rsidRPr="00051C5F" w:rsidRDefault="003B438E" w:rsidP="00944591">
            <w:pPr>
              <w:spacing w:before="0" w:after="120"/>
              <w:ind w:left="284" w:hanging="284"/>
              <w:rPr>
                <w:lang w:val="es-ES_tradnl"/>
              </w:rPr>
            </w:pPr>
          </w:p>
        </w:tc>
      </w:tr>
      <w:tr w:rsidR="003B438E" w:rsidRPr="00BF12FC" w:rsidTr="008729B1">
        <w:tblPrEx>
          <w:tblCellMar>
            <w:left w:w="107" w:type="dxa"/>
            <w:right w:w="107" w:type="dxa"/>
          </w:tblCellMar>
        </w:tblPrEx>
        <w:trPr>
          <w:cantSplit/>
          <w:trHeight w:val="995"/>
        </w:trPr>
        <w:tc>
          <w:tcPr>
            <w:tcW w:w="556" w:type="pct"/>
            <w:gridSpan w:val="3"/>
          </w:tcPr>
          <w:p w:rsidR="003B438E" w:rsidRPr="002A73F7" w:rsidRDefault="00C2345E" w:rsidP="00C2345E">
            <w:pPr>
              <w:tabs>
                <w:tab w:val="left" w:pos="4111"/>
              </w:tabs>
            </w:pPr>
            <w:proofErr w:type="spellStart"/>
            <w:r>
              <w:t>Asunto</w:t>
            </w:r>
            <w:proofErr w:type="spellEnd"/>
            <w:r w:rsidR="003B438E" w:rsidRPr="002A73F7">
              <w:t>:</w:t>
            </w:r>
          </w:p>
        </w:tc>
        <w:tc>
          <w:tcPr>
            <w:tcW w:w="4444" w:type="pct"/>
            <w:gridSpan w:val="3"/>
          </w:tcPr>
          <w:p w:rsidR="003B438E" w:rsidRPr="00C2345E" w:rsidRDefault="00243EE5" w:rsidP="00ED48D5">
            <w:pPr>
              <w:tabs>
                <w:tab w:val="clear" w:pos="794"/>
                <w:tab w:val="left" w:pos="4111"/>
              </w:tabs>
              <w:rPr>
                <w:b/>
                <w:bCs/>
                <w:lang w:val="es-ES_tradnl"/>
              </w:rPr>
            </w:pPr>
            <w:r>
              <w:rPr>
                <w:b/>
                <w:bCs/>
                <w:lang w:val="es-ES_tradnl"/>
              </w:rPr>
              <w:t>Creación de un nuevo Gru</w:t>
            </w:r>
            <w:r w:rsidR="00C2345E" w:rsidRPr="00C2345E">
              <w:rPr>
                <w:b/>
                <w:bCs/>
                <w:lang w:val="es-ES_tradnl"/>
              </w:rPr>
              <w:t xml:space="preserve">po de Relator </w:t>
            </w:r>
            <w:r w:rsidR="00ED48D5">
              <w:rPr>
                <w:b/>
                <w:bCs/>
                <w:lang w:val="es-ES_tradnl"/>
              </w:rPr>
              <w:t>Intersectorial de la UIT sobre e</w:t>
            </w:r>
            <w:r w:rsidR="00C2345E" w:rsidRPr="00C2345E">
              <w:rPr>
                <w:b/>
                <w:bCs/>
                <w:lang w:val="es-ES_tradnl"/>
              </w:rPr>
              <w:t>valuación de</w:t>
            </w:r>
            <w:r w:rsidR="00ED48D5">
              <w:rPr>
                <w:b/>
                <w:bCs/>
                <w:lang w:val="es-ES_tradnl"/>
              </w:rPr>
              <w:t xml:space="preserve"> la c</w:t>
            </w:r>
            <w:r w:rsidR="00C2345E" w:rsidRPr="00C2345E">
              <w:rPr>
                <w:b/>
                <w:bCs/>
                <w:lang w:val="es-ES_tradnl"/>
              </w:rPr>
              <w:t xml:space="preserve">alidad </w:t>
            </w:r>
            <w:r w:rsidR="00ED48D5">
              <w:rPr>
                <w:b/>
                <w:bCs/>
                <w:lang w:val="es-ES_tradnl"/>
              </w:rPr>
              <w:t>a</w:t>
            </w:r>
            <w:r w:rsidR="00C2345E" w:rsidRPr="00C2345E">
              <w:rPr>
                <w:b/>
                <w:bCs/>
                <w:lang w:val="es-ES_tradnl"/>
              </w:rPr>
              <w:t>udiovisual (GRI-AVQA) y su primera reunión en Boulder, Colorado (EE.UU.) del 21 al 24 de enero de 2014</w:t>
            </w:r>
          </w:p>
        </w:tc>
      </w:tr>
    </w:tbl>
    <w:p w:rsidR="003B438E" w:rsidRPr="00C2345E" w:rsidRDefault="003B438E" w:rsidP="003B438E">
      <w:pPr>
        <w:spacing w:before="0"/>
        <w:rPr>
          <w:lang w:val="es-ES_tradnl"/>
        </w:rPr>
      </w:pPr>
    </w:p>
    <w:p w:rsidR="003B438E" w:rsidRPr="008729B1" w:rsidRDefault="003B438E" w:rsidP="003B438E">
      <w:pPr>
        <w:spacing w:before="240"/>
        <w:rPr>
          <w:vanish/>
          <w:lang w:val="es-ES"/>
        </w:rPr>
      </w:pPr>
      <w:bookmarkStart w:id="1" w:name="StartTyping_E"/>
      <w:bookmarkEnd w:id="1"/>
    </w:p>
    <w:p w:rsidR="003B438E" w:rsidRPr="00243EE5" w:rsidRDefault="00243EE5" w:rsidP="00243EE5">
      <w:pPr>
        <w:spacing w:before="240"/>
        <w:rPr>
          <w:lang w:val="es-ES_tradnl"/>
        </w:rPr>
      </w:pPr>
      <w:r w:rsidRPr="00243EE5">
        <w:rPr>
          <w:lang w:val="es-ES_tradnl"/>
        </w:rPr>
        <w:t xml:space="preserve">Estimada señora/Estimado señor: </w:t>
      </w:r>
    </w:p>
    <w:p w:rsidR="00243EE5" w:rsidRPr="00243EE5" w:rsidRDefault="003B438E" w:rsidP="00243EE5">
      <w:pPr>
        <w:rPr>
          <w:lang w:val="es-ES_tradnl"/>
        </w:rPr>
      </w:pPr>
      <w:bookmarkStart w:id="2" w:name="suitetext"/>
      <w:bookmarkEnd w:id="2"/>
      <w:r w:rsidRPr="00243EE5">
        <w:rPr>
          <w:lang w:val="es-ES_tradnl"/>
        </w:rPr>
        <w:t>1</w:t>
      </w:r>
      <w:r w:rsidRPr="00243EE5">
        <w:rPr>
          <w:lang w:val="es-ES_tradnl"/>
        </w:rPr>
        <w:tab/>
      </w:r>
      <w:r w:rsidR="00243EE5" w:rsidRPr="00243EE5">
        <w:rPr>
          <w:lang w:val="es-ES_tradnl"/>
        </w:rPr>
        <w:t>Tenemos el placer de anunciarle la creaci</w:t>
      </w:r>
      <w:r w:rsidR="00243EE5">
        <w:rPr>
          <w:lang w:val="es-ES_tradnl"/>
        </w:rPr>
        <w:t xml:space="preserve">ón del nuevo </w:t>
      </w:r>
      <w:r w:rsidR="00243EE5" w:rsidRPr="00243EE5">
        <w:rPr>
          <w:b/>
          <w:bCs/>
          <w:lang w:val="es-ES_tradnl"/>
        </w:rPr>
        <w:t xml:space="preserve">Grupo de Relator </w:t>
      </w:r>
      <w:r w:rsidR="00ED48D5">
        <w:rPr>
          <w:b/>
          <w:bCs/>
          <w:lang w:val="es-ES_tradnl"/>
        </w:rPr>
        <w:t>Intersectorial de la UIT sobre e</w:t>
      </w:r>
      <w:r w:rsidR="00243EE5" w:rsidRPr="00243EE5">
        <w:rPr>
          <w:b/>
          <w:bCs/>
          <w:lang w:val="es-ES_tradnl"/>
        </w:rPr>
        <w:t>valuación de la calidad audiovisual (GRI-AVQA)</w:t>
      </w:r>
      <w:r w:rsidR="00243EE5">
        <w:rPr>
          <w:lang w:val="es-ES_tradnl"/>
        </w:rPr>
        <w:t xml:space="preserve">, conforme a lo acordado por la CE9 del UIT-T el 18 de enero de 2013, la CE12 del UIT-T el 28 de marzo de 2013 y la CE6 del UIT-R el 22 de noviembre de 2013.  </w:t>
      </w:r>
    </w:p>
    <w:p w:rsidR="00243EE5" w:rsidRPr="00243EE5" w:rsidRDefault="003B438E" w:rsidP="00647FD8">
      <w:pPr>
        <w:rPr>
          <w:lang w:val="es-ES_tradnl"/>
        </w:rPr>
      </w:pPr>
      <w:r w:rsidRPr="00647FD8">
        <w:rPr>
          <w:lang w:val="es-ES_tradnl"/>
        </w:rPr>
        <w:t>2</w:t>
      </w:r>
      <w:r w:rsidRPr="00647FD8">
        <w:rPr>
          <w:lang w:val="es-ES_tradnl"/>
        </w:rPr>
        <w:tab/>
      </w:r>
      <w:r w:rsidR="00243EE5" w:rsidRPr="00243EE5">
        <w:rPr>
          <w:lang w:val="es-ES_tradnl"/>
        </w:rPr>
        <w:t>El GRI-AVQA examinará temas relativos a la evaluaci</w:t>
      </w:r>
      <w:r w:rsidR="00243EE5">
        <w:rPr>
          <w:lang w:val="es-ES_tradnl"/>
        </w:rPr>
        <w:t>ón de la calidad audiovi</w:t>
      </w:r>
      <w:r w:rsidR="00647FD8">
        <w:rPr>
          <w:lang w:val="es-ES_tradnl"/>
        </w:rPr>
        <w:t>sual y ví</w:t>
      </w:r>
      <w:r w:rsidR="00F207B0">
        <w:rPr>
          <w:lang w:val="es-ES_tradnl"/>
        </w:rPr>
        <w:t>deo entr</w:t>
      </w:r>
      <w:r w:rsidR="00243EE5">
        <w:rPr>
          <w:lang w:val="es-ES_tradnl"/>
        </w:rPr>
        <w:t>e la CE6 del UIT-R, la CE9 del UIT-T y la CE12 del UIT-T. El Grupo tiene por finalidad:</w:t>
      </w:r>
    </w:p>
    <w:p w:rsidR="003B438E" w:rsidRPr="00243EE5" w:rsidRDefault="00D407B7" w:rsidP="003B438E">
      <w:pPr>
        <w:pStyle w:val="ListBullet"/>
        <w:numPr>
          <w:ilvl w:val="0"/>
          <w:numId w:val="2"/>
        </w:numPr>
        <w:tabs>
          <w:tab w:val="clear" w:pos="720"/>
        </w:tabs>
        <w:ind w:left="567" w:hanging="567"/>
        <w:rPr>
          <w:lang w:val="es-ES_tradnl" w:eastAsia="zh-CN"/>
        </w:rPr>
      </w:pPr>
      <w:r>
        <w:rPr>
          <w:lang w:val="es-ES_tradnl" w:eastAsia="zh-CN"/>
        </w:rPr>
        <w:t>coordinar las actividades entr</w:t>
      </w:r>
      <w:r w:rsidR="00243EE5" w:rsidRPr="00243EE5">
        <w:rPr>
          <w:lang w:val="es-ES_tradnl" w:eastAsia="zh-CN"/>
        </w:rPr>
        <w:t xml:space="preserve">e las tres Comisiones de Estudio; </w:t>
      </w:r>
    </w:p>
    <w:p w:rsidR="003B438E" w:rsidRPr="00243EE5" w:rsidRDefault="00243EE5" w:rsidP="003B438E">
      <w:pPr>
        <w:pStyle w:val="ListBullet"/>
        <w:numPr>
          <w:ilvl w:val="0"/>
          <w:numId w:val="2"/>
        </w:numPr>
        <w:tabs>
          <w:tab w:val="clear" w:pos="720"/>
        </w:tabs>
        <w:ind w:left="567" w:hanging="567"/>
        <w:rPr>
          <w:lang w:val="es-ES_tradnl" w:eastAsia="zh-CN"/>
        </w:rPr>
      </w:pPr>
      <w:r w:rsidRPr="00243EE5">
        <w:rPr>
          <w:lang w:val="es-ES_tradnl" w:eastAsia="ja-JP"/>
        </w:rPr>
        <w:t>recopilar y distribuir la información;</w:t>
      </w:r>
    </w:p>
    <w:p w:rsidR="003B438E" w:rsidRPr="00243EE5" w:rsidRDefault="00243EE5" w:rsidP="00ED48D5">
      <w:pPr>
        <w:pStyle w:val="ListBullet"/>
        <w:numPr>
          <w:ilvl w:val="0"/>
          <w:numId w:val="2"/>
        </w:numPr>
        <w:tabs>
          <w:tab w:val="clear" w:pos="720"/>
        </w:tabs>
        <w:ind w:left="567" w:hanging="567"/>
        <w:rPr>
          <w:lang w:val="es-ES_tradnl" w:eastAsia="zh-CN"/>
        </w:rPr>
      </w:pPr>
      <w:r w:rsidRPr="00243EE5">
        <w:rPr>
          <w:lang w:val="es-ES_tradnl" w:eastAsia="zh-CN"/>
        </w:rPr>
        <w:t xml:space="preserve">elaborar Recomendaciones </w:t>
      </w:r>
      <w:r w:rsidR="00ED48D5">
        <w:rPr>
          <w:lang w:val="es-ES_tradnl" w:eastAsia="zh-CN"/>
        </w:rPr>
        <w:t xml:space="preserve">de textos </w:t>
      </w:r>
      <w:r w:rsidRPr="00243EE5">
        <w:rPr>
          <w:lang w:val="es-ES_tradnl" w:eastAsia="zh-CN"/>
        </w:rPr>
        <w:t>comunes;</w:t>
      </w:r>
    </w:p>
    <w:p w:rsidR="003B438E" w:rsidRPr="00243EE5" w:rsidRDefault="00243EE5" w:rsidP="003B438E">
      <w:pPr>
        <w:pStyle w:val="ListBullet"/>
        <w:numPr>
          <w:ilvl w:val="0"/>
          <w:numId w:val="2"/>
        </w:numPr>
        <w:tabs>
          <w:tab w:val="clear" w:pos="720"/>
        </w:tabs>
        <w:ind w:left="567" w:hanging="567"/>
        <w:rPr>
          <w:lang w:val="es-ES_tradnl"/>
        </w:rPr>
      </w:pPr>
      <w:r w:rsidRPr="00243EE5">
        <w:rPr>
          <w:lang w:val="es-ES_tradnl" w:eastAsia="zh-CN"/>
        </w:rPr>
        <w:t>facilitar un punto de contacto para el Grupo de Expertos</w:t>
      </w:r>
      <w:r>
        <w:rPr>
          <w:lang w:val="es-ES_tradnl" w:eastAsia="zh-CN"/>
        </w:rPr>
        <w:t xml:space="preserve"> sobre calidad video (VQEG).</w:t>
      </w:r>
    </w:p>
    <w:p w:rsidR="003B438E" w:rsidRPr="00807FCB" w:rsidRDefault="00807FCB" w:rsidP="00807FCB">
      <w:pPr>
        <w:rPr>
          <w:lang w:val="es-ES_tradnl"/>
        </w:rPr>
      </w:pPr>
      <w:r>
        <w:rPr>
          <w:lang w:val="es-ES_tradnl"/>
        </w:rPr>
        <w:t>Gracias al GRI</w:t>
      </w:r>
      <w:r w:rsidR="003B438E" w:rsidRPr="00807FCB">
        <w:rPr>
          <w:lang w:val="es-ES_tradnl"/>
        </w:rPr>
        <w:t>-AVQA</w:t>
      </w:r>
      <w:r w:rsidRPr="00807FCB">
        <w:rPr>
          <w:lang w:val="es-ES_tradnl"/>
        </w:rPr>
        <w:t xml:space="preserve"> los Relatores podrán: </w:t>
      </w:r>
    </w:p>
    <w:p w:rsidR="003B438E" w:rsidRPr="00807FCB" w:rsidRDefault="00807FCB" w:rsidP="00454B66">
      <w:pPr>
        <w:pStyle w:val="ListBullet"/>
        <w:numPr>
          <w:ilvl w:val="0"/>
          <w:numId w:val="2"/>
        </w:numPr>
        <w:tabs>
          <w:tab w:val="clear" w:pos="720"/>
        </w:tabs>
        <w:ind w:left="567" w:hanging="567"/>
        <w:rPr>
          <w:lang w:val="es-ES_tradnl" w:eastAsia="zh-CN"/>
        </w:rPr>
      </w:pPr>
      <w:r w:rsidRPr="00807FCB">
        <w:rPr>
          <w:lang w:val="es-ES_tradnl"/>
        </w:rPr>
        <w:t>intercambiar más rápidamente información, mediante correo electr</w:t>
      </w:r>
      <w:r>
        <w:rPr>
          <w:lang w:val="es-ES_tradnl"/>
        </w:rPr>
        <w:t xml:space="preserve">ónico y </w:t>
      </w:r>
      <w:r w:rsidR="00454B66">
        <w:rPr>
          <w:lang w:val="es-ES_tradnl"/>
        </w:rPr>
        <w:t xml:space="preserve">la celebración de </w:t>
      </w:r>
      <w:r>
        <w:rPr>
          <w:lang w:val="es-ES_tradnl"/>
        </w:rPr>
        <w:t>reuniones mixtas;</w:t>
      </w:r>
    </w:p>
    <w:p w:rsidR="003B438E" w:rsidRPr="00807FCB" w:rsidRDefault="00807FCB" w:rsidP="00454B66">
      <w:pPr>
        <w:pStyle w:val="ListBullet"/>
        <w:numPr>
          <w:ilvl w:val="0"/>
          <w:numId w:val="2"/>
        </w:numPr>
        <w:tabs>
          <w:tab w:val="clear" w:pos="720"/>
        </w:tabs>
        <w:ind w:left="567" w:hanging="567"/>
        <w:rPr>
          <w:lang w:val="es-ES_tradnl" w:eastAsia="zh-CN"/>
        </w:rPr>
      </w:pPr>
      <w:r w:rsidRPr="00807FCB">
        <w:rPr>
          <w:lang w:val="es-ES_tradnl" w:eastAsia="ja-JP"/>
        </w:rPr>
        <w:t>lograr la participación de un</w:t>
      </w:r>
      <w:r w:rsidR="00454B66">
        <w:rPr>
          <w:lang w:val="es-ES_tradnl" w:eastAsia="ja-JP"/>
        </w:rPr>
        <w:t xml:space="preserve">a gama más amplia </w:t>
      </w:r>
      <w:r w:rsidRPr="00807FCB">
        <w:rPr>
          <w:lang w:val="es-ES_tradnl" w:eastAsia="ja-JP"/>
        </w:rPr>
        <w:t>d</w:t>
      </w:r>
      <w:r w:rsidR="00454B66">
        <w:rPr>
          <w:lang w:val="es-ES_tradnl" w:eastAsia="ja-JP"/>
        </w:rPr>
        <w:t>e</w:t>
      </w:r>
      <w:r w:rsidRPr="00807FCB">
        <w:rPr>
          <w:lang w:val="es-ES_tradnl" w:eastAsia="ja-JP"/>
        </w:rPr>
        <w:t xml:space="preserve"> miembros de la UIT;</w:t>
      </w:r>
    </w:p>
    <w:p w:rsidR="003B438E" w:rsidRPr="00807FCB" w:rsidRDefault="00807FCB" w:rsidP="00807FCB">
      <w:pPr>
        <w:pStyle w:val="ListBullet"/>
        <w:numPr>
          <w:ilvl w:val="0"/>
          <w:numId w:val="2"/>
        </w:numPr>
        <w:tabs>
          <w:tab w:val="clear" w:pos="720"/>
        </w:tabs>
        <w:ind w:left="567" w:hanging="567"/>
        <w:rPr>
          <w:lang w:val="es-ES_tradnl" w:eastAsia="zh-CN"/>
        </w:rPr>
      </w:pPr>
      <w:r w:rsidRPr="00807FCB">
        <w:rPr>
          <w:lang w:val="es-ES_tradnl" w:eastAsia="ja-JP"/>
        </w:rPr>
        <w:t>invitar a expertos que no son miembros</w:t>
      </w:r>
      <w:r>
        <w:rPr>
          <w:lang w:val="es-ES_tradnl" w:eastAsia="ja-JP"/>
        </w:rPr>
        <w:t xml:space="preserve"> (por ejemplo, a representantes de </w:t>
      </w:r>
      <w:r w:rsidR="00005BDE">
        <w:rPr>
          <w:lang w:val="es-ES_tradnl" w:eastAsia="ja-JP"/>
        </w:rPr>
        <w:t>Instituciones Académicas</w:t>
      </w:r>
      <w:r>
        <w:rPr>
          <w:lang w:val="es-ES_tradnl" w:eastAsia="ja-JP"/>
        </w:rPr>
        <w:t>)</w:t>
      </w:r>
      <w:r w:rsidRPr="00807FCB">
        <w:rPr>
          <w:lang w:val="es-ES_tradnl" w:eastAsia="ja-JP"/>
        </w:rPr>
        <w:t xml:space="preserve"> a </w:t>
      </w:r>
      <w:r>
        <w:rPr>
          <w:lang w:val="es-ES_tradnl" w:eastAsia="ja-JP"/>
        </w:rPr>
        <w:t xml:space="preserve">que </w:t>
      </w:r>
      <w:r w:rsidRPr="00807FCB">
        <w:rPr>
          <w:lang w:val="es-ES_tradnl" w:eastAsia="ja-JP"/>
        </w:rPr>
        <w:t>present</w:t>
      </w:r>
      <w:r>
        <w:rPr>
          <w:lang w:val="es-ES_tradnl" w:eastAsia="ja-JP"/>
        </w:rPr>
        <w:t>en</w:t>
      </w:r>
      <w:r w:rsidRPr="00807FCB">
        <w:rPr>
          <w:lang w:val="es-ES_tradnl" w:eastAsia="ja-JP"/>
        </w:rPr>
        <w:t xml:space="preserve"> contrib</w:t>
      </w:r>
      <w:r>
        <w:rPr>
          <w:lang w:val="es-ES_tradnl" w:eastAsia="ja-JP"/>
        </w:rPr>
        <w:t>uciones;</w:t>
      </w:r>
    </w:p>
    <w:p w:rsidR="003B438E" w:rsidRPr="00807FCB" w:rsidRDefault="00807FCB" w:rsidP="00352761">
      <w:pPr>
        <w:pStyle w:val="ListBullet"/>
        <w:numPr>
          <w:ilvl w:val="0"/>
          <w:numId w:val="2"/>
        </w:numPr>
        <w:tabs>
          <w:tab w:val="clear" w:pos="720"/>
        </w:tabs>
        <w:ind w:left="567" w:hanging="567"/>
        <w:rPr>
          <w:lang w:val="es-ES_tradnl" w:eastAsia="zh-CN"/>
        </w:rPr>
      </w:pPr>
      <w:r w:rsidRPr="00807FCB">
        <w:rPr>
          <w:lang w:val="es-ES_tradnl"/>
        </w:rPr>
        <w:t xml:space="preserve">mantener informados a los interesados desde las primeras etapas de </w:t>
      </w:r>
      <w:r w:rsidR="00352761">
        <w:rPr>
          <w:lang w:val="es-ES_tradnl"/>
        </w:rPr>
        <w:t>los trabajos</w:t>
      </w:r>
      <w:r w:rsidRPr="00807FCB">
        <w:rPr>
          <w:lang w:val="es-ES_tradnl"/>
        </w:rPr>
        <w:t>;</w:t>
      </w:r>
    </w:p>
    <w:p w:rsidR="003B438E" w:rsidRPr="00807FCB" w:rsidRDefault="00807FCB" w:rsidP="0063250C">
      <w:pPr>
        <w:pStyle w:val="ListBullet"/>
        <w:numPr>
          <w:ilvl w:val="0"/>
          <w:numId w:val="2"/>
        </w:numPr>
        <w:tabs>
          <w:tab w:val="clear" w:pos="720"/>
        </w:tabs>
        <w:ind w:left="567" w:hanging="567"/>
        <w:rPr>
          <w:lang w:val="es-ES_tradnl" w:eastAsia="zh-CN"/>
        </w:rPr>
      </w:pPr>
      <w:r w:rsidRPr="00807FCB">
        <w:rPr>
          <w:lang w:val="es-ES_tradnl"/>
        </w:rPr>
        <w:t xml:space="preserve">crear una sesión editorial conjunta </w:t>
      </w:r>
      <w:r w:rsidR="0063250C">
        <w:rPr>
          <w:lang w:val="es-ES_tradnl"/>
        </w:rPr>
        <w:t>sobre</w:t>
      </w:r>
      <w:r w:rsidRPr="00807FCB">
        <w:rPr>
          <w:lang w:val="es-ES_tradnl"/>
        </w:rPr>
        <w:t xml:space="preserve"> una Recomendación; </w:t>
      </w:r>
    </w:p>
    <w:p w:rsidR="003B438E" w:rsidRPr="008023FB" w:rsidRDefault="008023FB" w:rsidP="008023FB">
      <w:pPr>
        <w:pStyle w:val="ListBullet"/>
        <w:numPr>
          <w:ilvl w:val="0"/>
          <w:numId w:val="2"/>
        </w:numPr>
        <w:tabs>
          <w:tab w:val="clear" w:pos="720"/>
        </w:tabs>
        <w:ind w:left="567" w:hanging="567"/>
        <w:rPr>
          <w:lang w:val="es-ES_tradnl" w:eastAsia="zh-CN"/>
        </w:rPr>
      </w:pPr>
      <w:r w:rsidRPr="008023FB">
        <w:rPr>
          <w:lang w:val="es-ES_tradnl" w:eastAsia="zh-CN"/>
        </w:rPr>
        <w:t xml:space="preserve">socializar los temas de estudio que </w:t>
      </w:r>
      <w:r>
        <w:rPr>
          <w:lang w:val="es-ES_tradnl" w:eastAsia="zh-CN"/>
        </w:rPr>
        <w:t>alcanzan</w:t>
      </w:r>
      <w:r w:rsidRPr="008023FB">
        <w:rPr>
          <w:lang w:val="es-ES_tradnl" w:eastAsia="zh-CN"/>
        </w:rPr>
        <w:t xml:space="preserve"> su grado de madurez.</w:t>
      </w:r>
      <w:r w:rsidR="00807FCB" w:rsidRPr="008023FB">
        <w:rPr>
          <w:lang w:val="es-ES_tradnl" w:eastAsia="zh-CN"/>
        </w:rPr>
        <w:t xml:space="preserve"> </w:t>
      </w:r>
    </w:p>
    <w:p w:rsidR="008023FB" w:rsidRPr="008023FB" w:rsidRDefault="008023FB" w:rsidP="008023FB">
      <w:pPr>
        <w:rPr>
          <w:lang w:val="es-ES_tradnl"/>
        </w:rPr>
      </w:pPr>
      <w:r w:rsidRPr="008023FB">
        <w:rPr>
          <w:lang w:val="es-ES_tradnl"/>
        </w:rPr>
        <w:lastRenderedPageBreak/>
        <w:t xml:space="preserve">Se invita </w:t>
      </w:r>
      <w:r>
        <w:rPr>
          <w:lang w:val="es-ES_tradnl"/>
        </w:rPr>
        <w:t xml:space="preserve">y alienta </w:t>
      </w:r>
      <w:r w:rsidRPr="008023FB">
        <w:rPr>
          <w:lang w:val="es-ES_tradnl"/>
        </w:rPr>
        <w:t>a</w:t>
      </w:r>
      <w:r>
        <w:rPr>
          <w:lang w:val="es-ES_tradnl"/>
        </w:rPr>
        <w:t xml:space="preserve"> participar en el Grupo a</w:t>
      </w:r>
      <w:r w:rsidRPr="008023FB">
        <w:rPr>
          <w:lang w:val="es-ES_tradnl"/>
        </w:rPr>
        <w:t xml:space="preserve"> </w:t>
      </w:r>
      <w:r>
        <w:rPr>
          <w:lang w:val="es-ES_tradnl"/>
        </w:rPr>
        <w:t xml:space="preserve">quienes </w:t>
      </w:r>
      <w:r w:rsidRPr="008023FB">
        <w:rPr>
          <w:lang w:val="es-ES_tradnl"/>
        </w:rPr>
        <w:t xml:space="preserve">puedan </w:t>
      </w:r>
      <w:r>
        <w:rPr>
          <w:lang w:val="es-ES_tradnl"/>
        </w:rPr>
        <w:t>contribuir presentando</w:t>
      </w:r>
      <w:r w:rsidRPr="008023FB">
        <w:rPr>
          <w:lang w:val="es-ES_tradnl"/>
        </w:rPr>
        <w:t xml:space="preserve"> propuestas en materia de tecnolog</w:t>
      </w:r>
      <w:r>
        <w:rPr>
          <w:lang w:val="es-ES_tradnl"/>
        </w:rPr>
        <w:t xml:space="preserve">ía.  </w:t>
      </w:r>
    </w:p>
    <w:p w:rsidR="00863231" w:rsidRPr="00863231" w:rsidRDefault="00677844" w:rsidP="008A4D89">
      <w:pPr>
        <w:rPr>
          <w:lang w:val="es-ES_tradnl"/>
        </w:rPr>
      </w:pPr>
      <w:r>
        <w:rPr>
          <w:lang w:val="es-ES_tradnl"/>
        </w:rPr>
        <w:t>El GRI</w:t>
      </w:r>
      <w:r w:rsidR="00863231" w:rsidRPr="00863231">
        <w:rPr>
          <w:lang w:val="es-ES_tradnl"/>
        </w:rPr>
        <w:t xml:space="preserve">-AVQA </w:t>
      </w:r>
      <w:r w:rsidR="00A156F2">
        <w:rPr>
          <w:lang w:val="es-ES_tradnl"/>
        </w:rPr>
        <w:t>destaca la importancia de</w:t>
      </w:r>
      <w:r w:rsidR="00863231" w:rsidRPr="00863231">
        <w:rPr>
          <w:lang w:val="es-ES_tradnl"/>
        </w:rPr>
        <w:t xml:space="preserve"> la participación a distancia y </w:t>
      </w:r>
      <w:r w:rsidR="00A156F2">
        <w:rPr>
          <w:lang w:val="es-ES_tradnl"/>
        </w:rPr>
        <w:t xml:space="preserve">de las </w:t>
      </w:r>
      <w:r w:rsidR="00863231" w:rsidRPr="00863231">
        <w:rPr>
          <w:lang w:val="es-ES_tradnl"/>
        </w:rPr>
        <w:t>reuniones</w:t>
      </w:r>
      <w:r w:rsidR="00A156F2">
        <w:rPr>
          <w:lang w:val="es-ES_tradnl"/>
        </w:rPr>
        <w:t xml:space="preserve"> celebradas en un lugar común </w:t>
      </w:r>
      <w:r w:rsidR="00863231" w:rsidRPr="00863231">
        <w:rPr>
          <w:lang w:val="es-ES_tradnl"/>
        </w:rPr>
        <w:t xml:space="preserve">(por ejemplo, </w:t>
      </w:r>
      <w:r w:rsidR="00A156F2">
        <w:rPr>
          <w:lang w:val="es-ES_tradnl"/>
        </w:rPr>
        <w:t xml:space="preserve">con una reunión </w:t>
      </w:r>
      <w:r w:rsidR="00863231" w:rsidRPr="00863231">
        <w:rPr>
          <w:lang w:val="es-ES_tradnl"/>
        </w:rPr>
        <w:t>de</w:t>
      </w:r>
      <w:r w:rsidR="00A156F2">
        <w:rPr>
          <w:lang w:val="es-ES_tradnl"/>
        </w:rPr>
        <w:t xml:space="preserve"> una Comisión de E</w:t>
      </w:r>
      <w:r w:rsidR="00863231" w:rsidRPr="00863231">
        <w:rPr>
          <w:lang w:val="es-ES_tradnl"/>
        </w:rPr>
        <w:t>studio,</w:t>
      </w:r>
      <w:r w:rsidR="00A156F2">
        <w:rPr>
          <w:lang w:val="es-ES_tradnl"/>
        </w:rPr>
        <w:t xml:space="preserve"> de un Grupo de Relator interino o del </w:t>
      </w:r>
      <w:r w:rsidR="00863231" w:rsidRPr="00863231">
        <w:rPr>
          <w:lang w:val="es-ES_tradnl"/>
        </w:rPr>
        <w:t>VQEG).</w:t>
      </w:r>
      <w:r w:rsidR="00A156F2">
        <w:rPr>
          <w:lang w:val="es-ES_tradnl"/>
        </w:rPr>
        <w:t xml:space="preserve"> El G</w:t>
      </w:r>
      <w:r w:rsidR="00863231" w:rsidRPr="00863231">
        <w:rPr>
          <w:lang w:val="es-ES_tradnl"/>
        </w:rPr>
        <w:t xml:space="preserve">rupo </w:t>
      </w:r>
      <w:r w:rsidR="00A156F2">
        <w:rPr>
          <w:lang w:val="es-ES_tradnl"/>
        </w:rPr>
        <w:t xml:space="preserve">también destaca la importancia de la duración de las reuniones, que deben ser breves </w:t>
      </w:r>
      <w:r w:rsidR="00863231" w:rsidRPr="00863231">
        <w:rPr>
          <w:lang w:val="es-ES_tradnl"/>
        </w:rPr>
        <w:t xml:space="preserve">para minimizar </w:t>
      </w:r>
      <w:r w:rsidR="008A4D89">
        <w:rPr>
          <w:lang w:val="es-ES_tradnl"/>
        </w:rPr>
        <w:t xml:space="preserve">la incidencia del </w:t>
      </w:r>
      <w:r w:rsidR="00863231" w:rsidRPr="00863231">
        <w:rPr>
          <w:lang w:val="es-ES_tradnl"/>
        </w:rPr>
        <w:t xml:space="preserve">tiempo </w:t>
      </w:r>
      <w:r w:rsidR="008A4D89">
        <w:rPr>
          <w:lang w:val="es-ES_tradnl"/>
        </w:rPr>
        <w:t xml:space="preserve">de duración </w:t>
      </w:r>
      <w:r w:rsidR="00A156F2">
        <w:rPr>
          <w:lang w:val="es-ES_tradnl"/>
        </w:rPr>
        <w:t>en</w:t>
      </w:r>
      <w:r w:rsidR="00863231" w:rsidRPr="00863231">
        <w:rPr>
          <w:lang w:val="es-ES_tradnl"/>
        </w:rPr>
        <w:t xml:space="preserve"> los participantes.</w:t>
      </w:r>
    </w:p>
    <w:p w:rsidR="00863231" w:rsidRPr="00863231" w:rsidRDefault="00863231" w:rsidP="00355794">
      <w:pPr>
        <w:rPr>
          <w:lang w:val="es-ES_tradnl"/>
        </w:rPr>
      </w:pPr>
      <w:r w:rsidRPr="00863231">
        <w:rPr>
          <w:lang w:val="es-ES_tradnl"/>
        </w:rPr>
        <w:t xml:space="preserve">Con </w:t>
      </w:r>
      <w:r w:rsidR="00837EEF">
        <w:rPr>
          <w:lang w:val="es-ES_tradnl"/>
        </w:rPr>
        <w:t>la creación</w:t>
      </w:r>
      <w:r w:rsidRPr="00863231">
        <w:rPr>
          <w:lang w:val="es-ES_tradnl"/>
        </w:rPr>
        <w:t xml:space="preserve"> del GRI-AVQA, el Grupo </w:t>
      </w:r>
      <w:r w:rsidR="00837EEF">
        <w:rPr>
          <w:lang w:val="es-ES_tradnl"/>
        </w:rPr>
        <w:t xml:space="preserve">Mixto </w:t>
      </w:r>
      <w:r w:rsidRPr="00863231">
        <w:rPr>
          <w:lang w:val="es-ES_tradnl"/>
        </w:rPr>
        <w:t xml:space="preserve">de Relator sobre </w:t>
      </w:r>
      <w:r w:rsidR="00837EEF">
        <w:rPr>
          <w:lang w:val="es-ES_tradnl"/>
        </w:rPr>
        <w:t>evaluación de la c</w:t>
      </w:r>
      <w:r w:rsidRPr="00863231">
        <w:rPr>
          <w:lang w:val="es-ES_tradnl"/>
        </w:rPr>
        <w:t xml:space="preserve">alidad </w:t>
      </w:r>
      <w:r w:rsidR="00837EEF">
        <w:rPr>
          <w:lang w:val="es-ES_tradnl"/>
        </w:rPr>
        <w:t>m</w:t>
      </w:r>
      <w:r w:rsidRPr="00863231">
        <w:rPr>
          <w:lang w:val="es-ES_tradnl"/>
        </w:rPr>
        <w:t>ultimedi</w:t>
      </w:r>
      <w:r w:rsidR="00837EEF">
        <w:rPr>
          <w:lang w:val="es-ES_tradnl"/>
        </w:rPr>
        <w:t>os</w:t>
      </w:r>
      <w:r w:rsidRPr="00863231">
        <w:rPr>
          <w:lang w:val="es-ES_tradnl"/>
        </w:rPr>
        <w:t xml:space="preserve"> (</w:t>
      </w:r>
      <w:r w:rsidR="009B1080">
        <w:rPr>
          <w:lang w:val="es-ES_tradnl"/>
        </w:rPr>
        <w:t>GMR</w:t>
      </w:r>
      <w:r w:rsidRPr="00863231">
        <w:rPr>
          <w:lang w:val="es-ES_tradnl"/>
        </w:rPr>
        <w:t xml:space="preserve">-MMQA) </w:t>
      </w:r>
      <w:r w:rsidR="009B1080">
        <w:rPr>
          <w:lang w:val="es-ES_tradnl"/>
        </w:rPr>
        <w:t xml:space="preserve">que coordina la labor </w:t>
      </w:r>
      <w:r w:rsidR="00837EEF">
        <w:rPr>
          <w:lang w:val="es-ES_tradnl"/>
        </w:rPr>
        <w:t>e</w:t>
      </w:r>
      <w:r w:rsidRPr="00863231">
        <w:rPr>
          <w:lang w:val="es-ES_tradnl"/>
        </w:rPr>
        <w:t xml:space="preserve">ntre </w:t>
      </w:r>
      <w:r w:rsidR="00837EEF">
        <w:rPr>
          <w:lang w:val="es-ES_tradnl"/>
        </w:rPr>
        <w:t xml:space="preserve">la CE9 y la CE12 del UIT-T </w:t>
      </w:r>
      <w:r w:rsidR="00602D36">
        <w:rPr>
          <w:lang w:val="es-ES_tradnl"/>
        </w:rPr>
        <w:t>queda</w:t>
      </w:r>
      <w:r w:rsidRPr="00863231">
        <w:rPr>
          <w:lang w:val="es-ES_tradnl"/>
        </w:rPr>
        <w:t xml:space="preserve"> oficialmente cerrado. </w:t>
      </w:r>
      <w:r w:rsidR="00602D36">
        <w:rPr>
          <w:lang w:val="es-ES_tradnl"/>
        </w:rPr>
        <w:t>EL GRI</w:t>
      </w:r>
      <w:r w:rsidRPr="00863231">
        <w:rPr>
          <w:lang w:val="es-ES_tradnl"/>
        </w:rPr>
        <w:t xml:space="preserve">-AVQA </w:t>
      </w:r>
      <w:r w:rsidR="00355794">
        <w:rPr>
          <w:lang w:val="es-ES_tradnl"/>
        </w:rPr>
        <w:t>proseguir</w:t>
      </w:r>
      <w:r w:rsidRPr="00863231">
        <w:rPr>
          <w:lang w:val="es-ES_tradnl"/>
        </w:rPr>
        <w:t xml:space="preserve">á y </w:t>
      </w:r>
      <w:r w:rsidR="00602D36">
        <w:rPr>
          <w:lang w:val="es-ES_tradnl"/>
        </w:rPr>
        <w:t>ampliará la labor de</w:t>
      </w:r>
      <w:r w:rsidRPr="00863231">
        <w:rPr>
          <w:lang w:val="es-ES_tradnl"/>
        </w:rPr>
        <w:t xml:space="preserve"> coordinación de</w:t>
      </w:r>
      <w:r w:rsidR="00602D36">
        <w:rPr>
          <w:lang w:val="es-ES_tradnl"/>
        </w:rPr>
        <w:t>l</w:t>
      </w:r>
      <w:r w:rsidRPr="00863231">
        <w:rPr>
          <w:lang w:val="es-ES_tradnl"/>
        </w:rPr>
        <w:t xml:space="preserve"> </w:t>
      </w:r>
      <w:r w:rsidR="009B1080">
        <w:rPr>
          <w:lang w:val="es-ES_tradnl"/>
        </w:rPr>
        <w:t>GMR</w:t>
      </w:r>
      <w:r w:rsidR="009B1080">
        <w:rPr>
          <w:lang w:val="es-ES_tradnl"/>
        </w:rPr>
        <w:noBreakHyphen/>
      </w:r>
      <w:r w:rsidRPr="00863231">
        <w:rPr>
          <w:lang w:val="es-ES_tradnl"/>
        </w:rPr>
        <w:t xml:space="preserve">MMQA </w:t>
      </w:r>
      <w:r w:rsidR="00602D36">
        <w:rPr>
          <w:lang w:val="es-ES_tradnl"/>
        </w:rPr>
        <w:t>e incluirá al mismo tiempo a</w:t>
      </w:r>
      <w:r w:rsidRPr="00863231">
        <w:rPr>
          <w:lang w:val="es-ES_tradnl"/>
        </w:rPr>
        <w:t xml:space="preserve"> los expertos del </w:t>
      </w:r>
      <w:r w:rsidR="00602D36">
        <w:rPr>
          <w:lang w:val="es-ES_tradnl"/>
        </w:rPr>
        <w:t>GT6C del UIT-R en un plano de igualdad</w:t>
      </w:r>
      <w:r w:rsidRPr="00863231">
        <w:rPr>
          <w:lang w:val="es-ES_tradnl"/>
        </w:rPr>
        <w:t>.</w:t>
      </w:r>
    </w:p>
    <w:p w:rsidR="00863231" w:rsidRPr="00863231" w:rsidRDefault="00F6525E" w:rsidP="00F6525E">
      <w:pPr>
        <w:rPr>
          <w:lang w:val="es-ES_tradnl"/>
        </w:rPr>
      </w:pPr>
      <w:r w:rsidRPr="00F6525E">
        <w:rPr>
          <w:lang w:val="es-ES_tradnl"/>
        </w:rPr>
        <w:t xml:space="preserve">El objetivo principal de este nuevo GRI es contribuir a la elaboración de Recomendaciones UIT-T e UIT-R sobre evaluación de la calidad audiovisual y vídeo. La página web del GRI-AVQA está disponible en </w:t>
      </w:r>
      <w:r w:rsidR="00BF12FC">
        <w:fldChar w:fldCharType="begin"/>
      </w:r>
      <w:r w:rsidR="00BF12FC" w:rsidRPr="00BF12FC">
        <w:rPr>
          <w:lang w:val="es-ES_tradnl"/>
        </w:rPr>
        <w:instrText xml:space="preserve"> HYPERLINK "http://itu.int/en/irg/avqa" </w:instrText>
      </w:r>
      <w:r w:rsidR="00BF12FC">
        <w:fldChar w:fldCharType="separate"/>
      </w:r>
      <w:r w:rsidR="003B438E" w:rsidRPr="00F6525E">
        <w:rPr>
          <w:rStyle w:val="Hyperlink"/>
          <w:lang w:val="es-ES_tradnl"/>
        </w:rPr>
        <w:t>http://itu.int/en/irg/avqa</w:t>
      </w:r>
      <w:r w:rsidR="00BF12FC">
        <w:rPr>
          <w:rStyle w:val="Hyperlink"/>
          <w:lang w:val="es-ES_tradnl"/>
        </w:rPr>
        <w:fldChar w:fldCharType="end"/>
      </w:r>
      <w:r w:rsidR="003B438E" w:rsidRPr="00F6525E">
        <w:rPr>
          <w:lang w:val="es-ES_tradnl"/>
        </w:rPr>
        <w:t xml:space="preserve">. </w:t>
      </w:r>
      <w:r>
        <w:rPr>
          <w:lang w:val="es-ES_tradnl"/>
        </w:rPr>
        <w:t xml:space="preserve">Se facilitará una </w:t>
      </w:r>
      <w:r w:rsidR="00863231" w:rsidRPr="00863231">
        <w:rPr>
          <w:lang w:val="es-ES_tradnl"/>
        </w:rPr>
        <w:t xml:space="preserve">lista </w:t>
      </w:r>
      <w:r>
        <w:rPr>
          <w:lang w:val="es-ES_tradnl"/>
        </w:rPr>
        <w:t xml:space="preserve">de correo electrónico que se incluirá como </w:t>
      </w:r>
      <w:r w:rsidR="00863231" w:rsidRPr="00863231">
        <w:rPr>
          <w:lang w:val="es-ES_tradnl"/>
        </w:rPr>
        <w:t>enlace en esa página web.</w:t>
      </w:r>
    </w:p>
    <w:p w:rsidR="003B438E" w:rsidRPr="003605AF" w:rsidRDefault="003605AF" w:rsidP="003605AF">
      <w:pPr>
        <w:rPr>
          <w:lang w:val="es-ES_tradnl"/>
        </w:rPr>
      </w:pPr>
      <w:r w:rsidRPr="003605AF">
        <w:rPr>
          <w:lang w:val="es-ES_tradnl"/>
        </w:rPr>
        <w:t>3</w:t>
      </w:r>
      <w:r w:rsidRPr="003605AF">
        <w:rPr>
          <w:lang w:val="es-ES_tradnl"/>
        </w:rPr>
        <w:tab/>
        <w:t xml:space="preserve">En el </w:t>
      </w:r>
      <w:r w:rsidRPr="003605AF">
        <w:rPr>
          <w:b/>
          <w:bCs/>
          <w:lang w:val="es-ES_tradnl"/>
        </w:rPr>
        <w:t>Anexo 1</w:t>
      </w:r>
      <w:r w:rsidRPr="003605AF">
        <w:rPr>
          <w:lang w:val="es-ES_tradnl"/>
        </w:rPr>
        <w:t xml:space="preserve"> figura el mandato del GRI</w:t>
      </w:r>
      <w:r w:rsidR="003B438E" w:rsidRPr="003605AF">
        <w:rPr>
          <w:lang w:val="es-ES_tradnl"/>
        </w:rPr>
        <w:t>-AVQ</w:t>
      </w:r>
      <w:r w:rsidRPr="003605AF">
        <w:rPr>
          <w:lang w:val="es-ES_tradnl"/>
        </w:rPr>
        <w:t>A</w:t>
      </w:r>
      <w:r>
        <w:rPr>
          <w:lang w:val="es-ES_tradnl"/>
        </w:rPr>
        <w:t xml:space="preserve">. </w:t>
      </w:r>
    </w:p>
    <w:p w:rsidR="003B438E" w:rsidRPr="003605AF" w:rsidRDefault="003B438E" w:rsidP="00E412BD">
      <w:pPr>
        <w:rPr>
          <w:lang w:val="es-ES_tradnl"/>
        </w:rPr>
      </w:pPr>
      <w:r w:rsidRPr="003605AF">
        <w:rPr>
          <w:lang w:val="es-ES_tradnl"/>
        </w:rPr>
        <w:t>4</w:t>
      </w:r>
      <w:r w:rsidRPr="003605AF">
        <w:rPr>
          <w:lang w:val="es-ES_tradnl"/>
        </w:rPr>
        <w:tab/>
      </w:r>
      <w:r w:rsidR="003605AF" w:rsidRPr="003605AF">
        <w:rPr>
          <w:lang w:val="es-ES_tradnl"/>
        </w:rPr>
        <w:t xml:space="preserve">Este GRI está regulado por las disposiciones aplicables a los Grupos de Relator que figuran en la Resolución UIT-R 1-6 y en la Recomendación UIT-T A.1 </w:t>
      </w:r>
      <w:r w:rsidR="003605AF">
        <w:rPr>
          <w:lang w:val="es-ES_tradnl"/>
        </w:rPr>
        <w:t xml:space="preserve">(cláusula 2.3, en particular). Los métodos de trabajo electrónicos del Grupo se describirán brevemente en la página web correspondiente al GRI. </w:t>
      </w:r>
      <w:r w:rsidR="00E412BD" w:rsidRPr="00E412BD">
        <w:rPr>
          <w:lang w:val="es-ES_tradnl"/>
        </w:rPr>
        <w:t>Los debates se celebrarán exclusivamente en inglés</w:t>
      </w:r>
      <w:r w:rsidR="003605AF">
        <w:rPr>
          <w:lang w:val="es-ES_tradnl"/>
        </w:rPr>
        <w:t xml:space="preserve">. </w:t>
      </w:r>
    </w:p>
    <w:p w:rsidR="003605AF" w:rsidRPr="003605AF" w:rsidRDefault="003B438E" w:rsidP="006C36CB">
      <w:pPr>
        <w:rPr>
          <w:lang w:val="es-ES_tradnl"/>
        </w:rPr>
      </w:pPr>
      <w:r w:rsidRPr="006C36CB">
        <w:rPr>
          <w:lang w:val="es-ES_tradnl"/>
        </w:rPr>
        <w:t>5</w:t>
      </w:r>
      <w:r w:rsidRPr="006C36CB">
        <w:rPr>
          <w:lang w:val="es-ES_tradnl"/>
        </w:rPr>
        <w:tab/>
      </w:r>
      <w:r w:rsidR="006C36CB" w:rsidRPr="006C36CB">
        <w:rPr>
          <w:lang w:val="es-ES_tradnl"/>
        </w:rPr>
        <w:t>L</w:t>
      </w:r>
      <w:r w:rsidR="003605AF" w:rsidRPr="003605AF">
        <w:rPr>
          <w:lang w:val="es-ES_tradnl"/>
        </w:rPr>
        <w:t>a primera reunión del GRI-AVQA est</w:t>
      </w:r>
      <w:r w:rsidR="003605AF">
        <w:rPr>
          <w:lang w:val="es-ES_tradnl"/>
        </w:rPr>
        <w:t xml:space="preserve">á prevista en Boulder, Colorado (EE.UU.) del 21 al 24 de enero de 2014. </w:t>
      </w:r>
      <w:r w:rsidR="006C36CB">
        <w:rPr>
          <w:lang w:val="es-ES_tradnl"/>
        </w:rPr>
        <w:t>En la página web del GRI se facilitará una información actualizada.</w:t>
      </w:r>
    </w:p>
    <w:p w:rsidR="003B438E" w:rsidRPr="006C36CB" w:rsidRDefault="006C36CB" w:rsidP="006C36CB">
      <w:pPr>
        <w:rPr>
          <w:lang w:val="es-ES_tradnl"/>
        </w:rPr>
      </w:pPr>
      <w:r w:rsidRPr="006C36CB">
        <w:rPr>
          <w:lang w:val="es-ES_tradnl"/>
        </w:rPr>
        <w:t xml:space="preserve">Para mayor comodidad de los participantes, la celebración de esta primera reunión coincidirá con la reunión del </w:t>
      </w:r>
      <w:r w:rsidR="00BF12FC">
        <w:fldChar w:fldCharType="begin"/>
      </w:r>
      <w:r w:rsidR="00BF12FC" w:rsidRPr="00BF12FC">
        <w:rPr>
          <w:lang w:val="es-ES_tradnl"/>
        </w:rPr>
        <w:instrText xml:space="preserve"> HYPERLINK "http://www.i</w:instrText>
      </w:r>
      <w:r w:rsidR="00BF12FC" w:rsidRPr="00BF12FC">
        <w:rPr>
          <w:lang w:val="es-ES_tradnl"/>
        </w:rPr>
        <w:instrText xml:space="preserve">ts.bldrdoc.gov/vqeg/meetings/boulder,-co,-usa-january-21-25,-2014.aspx" </w:instrText>
      </w:r>
      <w:r w:rsidR="00BF12FC">
        <w:fldChar w:fldCharType="separate"/>
      </w:r>
      <w:r w:rsidR="003B438E" w:rsidRPr="006C36CB">
        <w:rPr>
          <w:rStyle w:val="Hyperlink"/>
          <w:lang w:val="es-ES_tradnl"/>
        </w:rPr>
        <w:t>VQEG</w:t>
      </w:r>
      <w:r w:rsidR="00BF12FC">
        <w:rPr>
          <w:rStyle w:val="Hyperlink"/>
          <w:lang w:val="es-ES_tradnl"/>
        </w:rPr>
        <w:fldChar w:fldCharType="end"/>
      </w:r>
      <w:r w:rsidR="003B438E" w:rsidRPr="006C36CB">
        <w:rPr>
          <w:lang w:val="es-ES_tradnl"/>
        </w:rPr>
        <w:t>.</w:t>
      </w:r>
    </w:p>
    <w:p w:rsidR="003B438E" w:rsidRPr="00E412BD" w:rsidRDefault="003B438E" w:rsidP="00E412BD">
      <w:pPr>
        <w:rPr>
          <w:lang w:val="es-ES_tradnl"/>
        </w:rPr>
      </w:pPr>
      <w:r w:rsidRPr="00E412BD">
        <w:rPr>
          <w:lang w:val="es-ES_tradnl"/>
        </w:rPr>
        <w:t>6</w:t>
      </w:r>
      <w:r w:rsidRPr="00E412BD">
        <w:rPr>
          <w:lang w:val="es-ES_tradnl"/>
        </w:rPr>
        <w:tab/>
      </w:r>
      <w:r w:rsidR="00E412BD" w:rsidRPr="00E412BD">
        <w:rPr>
          <w:lang w:val="es-ES_tradnl"/>
        </w:rPr>
        <w:t xml:space="preserve">Se posibilitará la participación a distancia en la reunión. En la página web del </w:t>
      </w:r>
      <w:r w:rsidR="00E412BD">
        <w:rPr>
          <w:lang w:val="es-ES_tradnl"/>
        </w:rPr>
        <w:t>GRI</w:t>
      </w:r>
      <w:r w:rsidR="00E412BD" w:rsidRPr="00E412BD">
        <w:rPr>
          <w:lang w:val="es-ES_tradnl"/>
        </w:rPr>
        <w:t xml:space="preserve"> se pub</w:t>
      </w:r>
      <w:r w:rsidR="00E412BD">
        <w:rPr>
          <w:lang w:val="es-ES_tradnl"/>
        </w:rPr>
        <w:t>licará más información al respecto.</w:t>
      </w:r>
    </w:p>
    <w:p w:rsidR="00E412BD" w:rsidRPr="00E412BD" w:rsidRDefault="003B438E" w:rsidP="00F02B48">
      <w:pPr>
        <w:rPr>
          <w:lang w:val="es-ES_tradnl"/>
        </w:rPr>
      </w:pPr>
      <w:r w:rsidRPr="00F02B48">
        <w:rPr>
          <w:lang w:val="es-ES_tradnl"/>
        </w:rPr>
        <w:t>7</w:t>
      </w:r>
      <w:r w:rsidRPr="00F02B48">
        <w:rPr>
          <w:lang w:val="es-ES_tradnl"/>
        </w:rPr>
        <w:tab/>
      </w:r>
      <w:r w:rsidR="00E412BD" w:rsidRPr="00E412BD">
        <w:rPr>
          <w:lang w:val="es-ES_tradnl"/>
        </w:rPr>
        <w:t>Los temas de debate de la reunión se publicarán en la página web del G</w:t>
      </w:r>
      <w:r w:rsidR="00E412BD">
        <w:rPr>
          <w:lang w:val="es-ES_tradnl"/>
        </w:rPr>
        <w:t xml:space="preserve">RI-AVQA, </w:t>
      </w:r>
      <w:r w:rsidR="00E412BD" w:rsidRPr="00E412BD">
        <w:rPr>
          <w:lang w:val="es-ES_tradnl"/>
        </w:rPr>
        <w:t xml:space="preserve">junto con información </w:t>
      </w:r>
      <w:r w:rsidR="00E412BD">
        <w:rPr>
          <w:lang w:val="es-ES_tradnl"/>
        </w:rPr>
        <w:t xml:space="preserve">sobre </w:t>
      </w:r>
      <w:r w:rsidR="00E412BD" w:rsidRPr="00E412BD">
        <w:rPr>
          <w:lang w:val="es-ES_tradnl"/>
        </w:rPr>
        <w:t>la reunión, el proyecto de orden del día y las contribuciones recibidas</w:t>
      </w:r>
      <w:r w:rsidR="00E412BD">
        <w:rPr>
          <w:lang w:val="es-ES_tradnl"/>
        </w:rPr>
        <w:t xml:space="preserve">. Las instrucciones relativas a la preparación y presentación de documentos también </w:t>
      </w:r>
      <w:r w:rsidR="00F02B48">
        <w:rPr>
          <w:lang w:val="es-ES_tradnl"/>
        </w:rPr>
        <w:t>figurarán detalladamente en la página web del GRI-AVQA.</w:t>
      </w:r>
    </w:p>
    <w:p w:rsidR="003B438E" w:rsidRPr="00E412BD" w:rsidRDefault="003B438E" w:rsidP="003B438E">
      <w:pPr>
        <w:rPr>
          <w:lang w:val="es-ES_tradnl"/>
        </w:rPr>
      </w:pPr>
    </w:p>
    <w:p w:rsidR="003B438E" w:rsidRDefault="00CD1A90" w:rsidP="00F02B48">
      <w:pPr>
        <w:rPr>
          <w:lang w:val="es-ES_tradnl"/>
        </w:rPr>
      </w:pPr>
      <w:r w:rsidRPr="00CD1A90">
        <w:rPr>
          <w:lang w:val="es-ES_tradnl"/>
        </w:rPr>
        <w:t>Atentamente.</w:t>
      </w:r>
      <w:r w:rsidR="00F02B48" w:rsidRPr="00CD1A90">
        <w:rPr>
          <w:lang w:val="es-ES_tradnl"/>
        </w:rPr>
        <w:t xml:space="preserve"> </w:t>
      </w:r>
    </w:p>
    <w:p w:rsidR="00796AD3" w:rsidRPr="00CD1A90" w:rsidRDefault="00796AD3" w:rsidP="00F02B48">
      <w:pPr>
        <w:rPr>
          <w:lang w:val="es-ES_tradnl"/>
        </w:rPr>
      </w:pPr>
    </w:p>
    <w:p w:rsidR="003B438E" w:rsidRDefault="003B438E" w:rsidP="003B438E">
      <w:pPr>
        <w:rPr>
          <w:lang w:val="es-ES_tradnl"/>
        </w:rPr>
      </w:pPr>
    </w:p>
    <w:p w:rsidR="00796AD3" w:rsidRDefault="00796AD3" w:rsidP="00796AD3">
      <w:pPr>
        <w:jc w:val="center"/>
        <w:rPr>
          <w:lang w:val="es-ES_tradnl"/>
        </w:rPr>
        <w:sectPr w:rsidR="00796AD3" w:rsidSect="003B438E">
          <w:headerReference w:type="default" r:id="rId12"/>
          <w:footerReference w:type="first" r:id="rId13"/>
          <w:pgSz w:w="11907" w:h="16840" w:code="9"/>
          <w:pgMar w:top="993" w:right="1134" w:bottom="993" w:left="1134" w:header="567" w:footer="567" w:gutter="0"/>
          <w:paperSrc w:first="15" w:other="15"/>
          <w:pgNumType w:fmt="numberInDash"/>
          <w:cols w:space="720"/>
          <w:titlePg/>
          <w:docGrid w:linePitch="326"/>
        </w:sectPr>
      </w:pPr>
    </w:p>
    <w:p w:rsidR="00796AD3" w:rsidRPr="00F02B48" w:rsidRDefault="00796AD3" w:rsidP="00796AD3">
      <w:pPr>
        <w:jc w:val="center"/>
        <w:rPr>
          <w:lang w:val="es-ES_tradnl"/>
        </w:rPr>
      </w:pPr>
      <w:r w:rsidRPr="00F02B48">
        <w:rPr>
          <w:lang w:val="es-ES_tradnl"/>
        </w:rPr>
        <w:lastRenderedPageBreak/>
        <w:t>Malcolm Johnson</w:t>
      </w:r>
    </w:p>
    <w:p w:rsidR="00CD1A90" w:rsidRPr="00CD1A90" w:rsidRDefault="00796AD3" w:rsidP="00796AD3">
      <w:pPr>
        <w:jc w:val="center"/>
        <w:rPr>
          <w:lang w:val="es-ES_tradnl"/>
        </w:rPr>
      </w:pPr>
      <w:r w:rsidRPr="00F02B48">
        <w:rPr>
          <w:lang w:val="es-ES_tradnl"/>
        </w:rPr>
        <w:t>Director,</w:t>
      </w:r>
      <w:r w:rsidRPr="00F02B48">
        <w:rPr>
          <w:lang w:val="es-ES_tradnl"/>
        </w:rPr>
        <w:br/>
        <w:t>Oficina de Normalización de las Telecomunicaciones</w:t>
      </w:r>
    </w:p>
    <w:p w:rsidR="00796AD3" w:rsidRDefault="00796AD3" w:rsidP="00796AD3">
      <w:pPr>
        <w:jc w:val="center"/>
        <w:rPr>
          <w:lang w:val="es-ES_tradnl"/>
        </w:rPr>
      </w:pPr>
    </w:p>
    <w:p w:rsidR="00796AD3" w:rsidRPr="00CD1A90" w:rsidRDefault="00796AD3" w:rsidP="00796AD3">
      <w:pPr>
        <w:jc w:val="center"/>
        <w:rPr>
          <w:lang w:val="es-ES_tradnl"/>
        </w:rPr>
      </w:pPr>
      <w:r w:rsidRPr="00CD1A90">
        <w:rPr>
          <w:lang w:val="es-ES_tradnl"/>
        </w:rPr>
        <w:lastRenderedPageBreak/>
        <w:t>François Rancy</w:t>
      </w:r>
    </w:p>
    <w:p w:rsidR="003B438E" w:rsidRDefault="00796AD3" w:rsidP="00796AD3">
      <w:pPr>
        <w:jc w:val="center"/>
        <w:rPr>
          <w:lang w:val="es-ES_tradnl"/>
        </w:rPr>
      </w:pPr>
      <w:r w:rsidRPr="00CD1A90">
        <w:rPr>
          <w:lang w:val="es-ES_tradnl"/>
        </w:rPr>
        <w:t>Director,</w:t>
      </w:r>
      <w:r w:rsidRPr="00CD1A90">
        <w:rPr>
          <w:lang w:val="es-ES_tradnl"/>
        </w:rPr>
        <w:br/>
        <w:t>Oficina de Radiocomunicaciones</w:t>
      </w:r>
    </w:p>
    <w:p w:rsidR="00796AD3" w:rsidRDefault="00796AD3" w:rsidP="003B438E">
      <w:pPr>
        <w:rPr>
          <w:lang w:val="es-ES_tradnl"/>
        </w:rPr>
        <w:sectPr w:rsidR="00796AD3" w:rsidSect="00796AD3">
          <w:type w:val="continuous"/>
          <w:pgSz w:w="11907" w:h="16840" w:code="9"/>
          <w:pgMar w:top="993" w:right="1134" w:bottom="993" w:left="1134" w:header="567" w:footer="567" w:gutter="0"/>
          <w:paperSrc w:first="15" w:other="15"/>
          <w:pgNumType w:fmt="numberInDash"/>
          <w:cols w:num="2" w:space="720"/>
          <w:titlePg/>
          <w:docGrid w:linePitch="326"/>
        </w:sectPr>
      </w:pPr>
    </w:p>
    <w:p w:rsidR="00796AD3" w:rsidRPr="00CD1A90" w:rsidRDefault="00796AD3" w:rsidP="003B438E">
      <w:pPr>
        <w:rPr>
          <w:lang w:val="es-ES_tradnl"/>
        </w:rPr>
      </w:pPr>
    </w:p>
    <w:p w:rsidR="003B438E" w:rsidRPr="00CD1A90" w:rsidRDefault="00F02B48" w:rsidP="00F02B48">
      <w:pPr>
        <w:rPr>
          <w:lang w:val="es-ES_tradnl"/>
        </w:rPr>
      </w:pPr>
      <w:r w:rsidRPr="00CD1A90">
        <w:rPr>
          <w:lang w:val="es-ES_tradnl"/>
        </w:rPr>
        <w:t>Anexo</w:t>
      </w:r>
      <w:r w:rsidR="003B438E" w:rsidRPr="00CD1A90">
        <w:rPr>
          <w:lang w:val="es-ES_tradnl"/>
        </w:rPr>
        <w:t>: 1</w:t>
      </w:r>
    </w:p>
    <w:p w:rsidR="003B438E" w:rsidRPr="005B33EF" w:rsidRDefault="003B438E" w:rsidP="005B33EF">
      <w:pPr>
        <w:pStyle w:val="AnnexNotitle"/>
        <w:spacing w:before="240"/>
        <w:rPr>
          <w:lang w:val="es-ES_tradnl"/>
        </w:rPr>
      </w:pPr>
      <w:r w:rsidRPr="005B33EF">
        <w:rPr>
          <w:lang w:val="es-ES_tradnl"/>
        </w:rPr>
        <w:br w:type="page"/>
      </w:r>
      <w:r w:rsidR="00266387" w:rsidRPr="005B33EF">
        <w:rPr>
          <w:lang w:val="es-ES_tradnl"/>
        </w:rPr>
        <w:lastRenderedPageBreak/>
        <w:t>A</w:t>
      </w:r>
      <w:r w:rsidRPr="005B33EF">
        <w:rPr>
          <w:lang w:val="es-ES_tradnl"/>
        </w:rPr>
        <w:t>NEX</w:t>
      </w:r>
      <w:r w:rsidR="00266387" w:rsidRPr="005B33EF">
        <w:rPr>
          <w:lang w:val="es-ES_tradnl"/>
        </w:rPr>
        <w:t>O</w:t>
      </w:r>
      <w:r w:rsidRPr="005B33EF">
        <w:rPr>
          <w:lang w:val="es-ES_tradnl"/>
        </w:rPr>
        <w:t xml:space="preserve"> 1</w:t>
      </w:r>
      <w:r w:rsidRPr="005B33EF">
        <w:rPr>
          <w:lang w:val="es-ES_tradnl"/>
        </w:rPr>
        <w:br/>
        <w:t>(</w:t>
      </w:r>
      <w:r w:rsidR="00266387" w:rsidRPr="005B33EF">
        <w:rPr>
          <w:lang w:val="es-ES_tradnl"/>
        </w:rPr>
        <w:t>a la Circular</w:t>
      </w:r>
      <w:r w:rsidRPr="005B33EF">
        <w:rPr>
          <w:lang w:val="es-ES_tradnl"/>
        </w:rPr>
        <w:t xml:space="preserve"> TSB 74/</w:t>
      </w:r>
      <w:r w:rsidR="00266387" w:rsidRPr="005B33EF">
        <w:rPr>
          <w:lang w:val="es-ES_tradnl"/>
        </w:rPr>
        <w:t xml:space="preserve">Circular </w:t>
      </w:r>
      <w:r w:rsidRPr="005B33EF">
        <w:rPr>
          <w:bCs/>
          <w:lang w:val="es-ES_tradnl"/>
        </w:rPr>
        <w:t>BR CACE/</w:t>
      </w:r>
      <w:r w:rsidRPr="005B33EF">
        <w:rPr>
          <w:lang w:val="es-ES_tradnl"/>
        </w:rPr>
        <w:t>655)</w:t>
      </w:r>
      <w:r w:rsidRPr="005B33EF">
        <w:rPr>
          <w:lang w:val="es-ES_tradnl"/>
        </w:rPr>
        <w:br/>
      </w:r>
      <w:r w:rsidRPr="005B33EF">
        <w:rPr>
          <w:lang w:val="es-ES_tradnl"/>
        </w:rPr>
        <w:br/>
      </w:r>
      <w:r w:rsidR="005B33EF" w:rsidRPr="005B33EF">
        <w:rPr>
          <w:lang w:val="es-ES_tradnl"/>
        </w:rPr>
        <w:t xml:space="preserve">Mandato del </w:t>
      </w:r>
      <w:r w:rsidR="005B33EF" w:rsidRPr="005B33EF">
        <w:rPr>
          <w:bCs/>
          <w:lang w:val="es-ES_tradnl"/>
        </w:rPr>
        <w:t xml:space="preserve">Grupo de Relator Intersectorial de la UIT sobre </w:t>
      </w:r>
      <w:r w:rsidR="00005BDE">
        <w:rPr>
          <w:bCs/>
          <w:lang w:val="es-ES_tradnl"/>
        </w:rPr>
        <w:br/>
      </w:r>
      <w:r w:rsidR="005B33EF" w:rsidRPr="005B33EF">
        <w:rPr>
          <w:bCs/>
          <w:lang w:val="es-ES_tradnl"/>
        </w:rPr>
        <w:t>evaluación de la calidad audiovisual (GRI-AVQA</w:t>
      </w:r>
      <w:r w:rsidR="005B33EF">
        <w:rPr>
          <w:bCs/>
          <w:lang w:val="es-ES_tradnl"/>
        </w:rPr>
        <w:t>)</w:t>
      </w:r>
      <w:r w:rsidR="005B33EF" w:rsidRPr="005B33EF">
        <w:rPr>
          <w:lang w:val="es-ES_tradnl"/>
        </w:rPr>
        <w:t xml:space="preserve"> </w:t>
      </w:r>
    </w:p>
    <w:p w:rsidR="003B438E" w:rsidRPr="00ED48D5" w:rsidRDefault="003B438E" w:rsidP="00081221">
      <w:pPr>
        <w:pStyle w:val="Headingb"/>
        <w:rPr>
          <w:lang w:val="es-ES_tradnl"/>
        </w:rPr>
      </w:pPr>
      <w:r w:rsidRPr="00ED48D5">
        <w:rPr>
          <w:lang w:val="es-ES_tradnl"/>
        </w:rPr>
        <w:t>1</w:t>
      </w:r>
      <w:r w:rsidRPr="00ED48D5">
        <w:rPr>
          <w:lang w:val="es-ES_tradnl"/>
        </w:rPr>
        <w:tab/>
      </w:r>
      <w:r w:rsidR="00081221" w:rsidRPr="00ED48D5">
        <w:rPr>
          <w:lang w:val="es-ES_tradnl"/>
        </w:rPr>
        <w:t xml:space="preserve">Alcance </w:t>
      </w:r>
    </w:p>
    <w:p w:rsidR="003B438E" w:rsidRPr="00ED48D5" w:rsidRDefault="00ED48D5" w:rsidP="00922756">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ED48D5">
        <w:rPr>
          <w:szCs w:val="24"/>
          <w:lang w:val="es-ES_tradnl" w:eastAsia="zh-CN"/>
        </w:rPr>
        <w:t xml:space="preserve">El Grupo de Relator Intersectorial sobre evaluación de la calidad audiovisual (GRI-AVQA), creado de conformidad con el Anexo C de la Resolución 18 de la AMNT-12 y las disposiciones correspondientes de la Resolución (en consonancia con las conclusiones del Grupo Asesor de Radiocomunicaciones (GAR) adoptadas en su reunión del 22-24 de mayo de 2013, ref. punto 5 del orden del día en </w:t>
      </w:r>
      <w:r w:rsidR="00BF12FC">
        <w:fldChar w:fldCharType="begin"/>
      </w:r>
      <w:r w:rsidR="00BF12FC" w:rsidRPr="00BF12FC">
        <w:rPr>
          <w:lang w:val="es-ES_tradnl"/>
        </w:rPr>
        <w:instrText xml:space="preserve"> HYPERLINK "http://itu.int/en/ITU-R/conferences/rag/Documents/SUMOFCONCLFINAL.docx" </w:instrText>
      </w:r>
      <w:r w:rsidR="00BF12FC">
        <w:fldChar w:fldCharType="separate"/>
      </w:r>
      <w:r w:rsidR="003B438E" w:rsidRPr="00ED48D5">
        <w:rPr>
          <w:rStyle w:val="Hyperlink"/>
          <w:lang w:val="es-ES_tradnl"/>
        </w:rPr>
        <w:t>http://itu.int/en/ITU-R/conferences/rag/Documents/SUMOFCONCLFINAL.docx</w:t>
      </w:r>
      <w:r w:rsidR="00BF12FC">
        <w:rPr>
          <w:rStyle w:val="Hyperlink"/>
          <w:lang w:val="es-ES_tradnl"/>
        </w:rPr>
        <w:fldChar w:fldCharType="end"/>
      </w:r>
      <w:r w:rsidR="003B438E" w:rsidRPr="00ED48D5">
        <w:rPr>
          <w:szCs w:val="24"/>
          <w:lang w:val="es-ES_tradnl" w:eastAsia="zh-CN"/>
        </w:rPr>
        <w:t xml:space="preserve">), </w:t>
      </w:r>
      <w:r>
        <w:rPr>
          <w:szCs w:val="24"/>
          <w:lang w:val="es-ES_tradnl" w:eastAsia="zh-CN"/>
        </w:rPr>
        <w:t xml:space="preserve">tiene </w:t>
      </w:r>
      <w:r w:rsidR="00922756">
        <w:rPr>
          <w:szCs w:val="24"/>
          <w:lang w:val="es-ES_tradnl" w:eastAsia="zh-CN"/>
        </w:rPr>
        <w:t>por finalidad</w:t>
      </w:r>
      <w:r>
        <w:rPr>
          <w:szCs w:val="24"/>
          <w:lang w:val="es-ES_tradnl" w:eastAsia="zh-CN"/>
        </w:rPr>
        <w:t>:</w:t>
      </w:r>
    </w:p>
    <w:p w:rsidR="003B438E" w:rsidRPr="00ED48D5" w:rsidRDefault="00ED48D5" w:rsidP="00ED48D5">
      <w:pPr>
        <w:pStyle w:val="ListBullet"/>
        <w:numPr>
          <w:ilvl w:val="0"/>
          <w:numId w:val="2"/>
        </w:numPr>
        <w:tabs>
          <w:tab w:val="clear" w:pos="720"/>
        </w:tabs>
        <w:ind w:left="567" w:hanging="567"/>
        <w:rPr>
          <w:lang w:val="es-ES_tradnl" w:eastAsia="zh-CN"/>
        </w:rPr>
      </w:pPr>
      <w:r w:rsidRPr="00ED48D5">
        <w:rPr>
          <w:lang w:val="es-ES_tradnl" w:eastAsia="zh-CN"/>
        </w:rPr>
        <w:t>coordinar el avance de temas específicos de interés mutuo relativos al ámbito de la evaluación de la calidad audiovisual y video, subjetiva y objetiva</w:t>
      </w:r>
      <w:r w:rsidR="003B438E" w:rsidRPr="00ED48D5">
        <w:rPr>
          <w:lang w:val="es-ES_tradnl" w:eastAsia="ja-JP"/>
        </w:rPr>
        <w:t>;</w:t>
      </w:r>
    </w:p>
    <w:p w:rsidR="003B438E" w:rsidRPr="00922756" w:rsidRDefault="00922756" w:rsidP="00922756">
      <w:pPr>
        <w:pStyle w:val="ListBullet"/>
        <w:numPr>
          <w:ilvl w:val="0"/>
          <w:numId w:val="2"/>
        </w:numPr>
        <w:tabs>
          <w:tab w:val="clear" w:pos="720"/>
        </w:tabs>
        <w:ind w:left="567" w:hanging="567"/>
        <w:rPr>
          <w:lang w:val="es-ES_tradnl" w:eastAsia="zh-CN"/>
        </w:rPr>
      </w:pPr>
      <w:r w:rsidRPr="00922756">
        <w:rPr>
          <w:lang w:val="es-ES_tradnl" w:eastAsia="zh-CN"/>
        </w:rPr>
        <w:t>identificar posibles temas de estudio que podrían dar lugar a Recomendaciones de textos comunes</w:t>
      </w:r>
      <w:r w:rsidR="003B438E" w:rsidRPr="00922756">
        <w:rPr>
          <w:lang w:val="es-ES_tradnl" w:eastAsia="zh-CN"/>
        </w:rPr>
        <w:t xml:space="preserve">; </w:t>
      </w:r>
    </w:p>
    <w:p w:rsidR="003B438E" w:rsidRPr="00922756" w:rsidRDefault="00922756" w:rsidP="00922756">
      <w:pPr>
        <w:pStyle w:val="ListBullet"/>
        <w:numPr>
          <w:ilvl w:val="0"/>
          <w:numId w:val="2"/>
        </w:numPr>
        <w:tabs>
          <w:tab w:val="clear" w:pos="720"/>
        </w:tabs>
        <w:ind w:left="567" w:hanging="567"/>
        <w:rPr>
          <w:lang w:val="es-ES_tradnl" w:eastAsia="zh-CN"/>
        </w:rPr>
      </w:pPr>
      <w:r w:rsidRPr="00922756">
        <w:rPr>
          <w:lang w:val="es-ES_tradnl" w:eastAsia="zh-CN"/>
        </w:rPr>
        <w:t>aprovechar las ventajas de reunirse en el mismo lugar que se celebran las reuniones del Grupo de Expertos sobre calidad video (VQEG), en el marco de las cuales los expertos en calidad vídeo/audiovisual llevan a cabo trabajos técnicos</w:t>
      </w:r>
      <w:r w:rsidR="003B438E" w:rsidRPr="00922756">
        <w:rPr>
          <w:lang w:val="es-ES_tradnl" w:eastAsia="zh-CN"/>
        </w:rPr>
        <w:t>;</w:t>
      </w:r>
    </w:p>
    <w:p w:rsidR="00D82251" w:rsidRDefault="00922756" w:rsidP="00D82251">
      <w:pPr>
        <w:pStyle w:val="ListBullet"/>
        <w:numPr>
          <w:ilvl w:val="0"/>
          <w:numId w:val="2"/>
        </w:numPr>
        <w:tabs>
          <w:tab w:val="clear" w:pos="720"/>
        </w:tabs>
        <w:spacing w:before="100" w:after="100" w:line="240" w:lineRule="atLeast"/>
        <w:ind w:left="567" w:hanging="567"/>
        <w:rPr>
          <w:lang w:val="es-ES_tradnl" w:eastAsia="zh-CN"/>
        </w:rPr>
      </w:pPr>
      <w:r w:rsidRPr="00922756">
        <w:rPr>
          <w:lang w:val="es-ES_tradnl" w:eastAsia="zh-CN"/>
        </w:rPr>
        <w:t>fomentar la cooperación entre la CE9 del UIT-T, la CE12 del UIT-T y la CE6 del UIT</w:t>
      </w:r>
      <w:r w:rsidRPr="00922756">
        <w:rPr>
          <w:lang w:val="es-ES_tradnl" w:eastAsia="zh-CN"/>
        </w:rPr>
        <w:noBreakHyphen/>
        <w:t>R sobre temas de estudio específicos para cada Comisión de Estudi</w:t>
      </w:r>
      <w:r>
        <w:rPr>
          <w:lang w:val="es-ES_tradnl" w:eastAsia="zh-CN"/>
        </w:rPr>
        <w:t>o.</w:t>
      </w:r>
      <w:r w:rsidR="00D82251">
        <w:rPr>
          <w:lang w:val="es-ES_tradnl" w:eastAsia="zh-CN"/>
        </w:rPr>
        <w:t xml:space="preserve"> </w:t>
      </w:r>
    </w:p>
    <w:p w:rsidR="00ED48D5" w:rsidRPr="00ED48D5" w:rsidRDefault="00B759B1" w:rsidP="00005BDE">
      <w:pPr>
        <w:rPr>
          <w:lang w:val="es-ES_tradnl" w:eastAsia="zh-CN"/>
        </w:rPr>
      </w:pPr>
      <w:r>
        <w:rPr>
          <w:lang w:val="es-ES_tradnl" w:eastAsia="zh-CN"/>
        </w:rPr>
        <w:t>El GRI</w:t>
      </w:r>
      <w:r w:rsidR="00ED48D5" w:rsidRPr="00ED48D5">
        <w:rPr>
          <w:lang w:val="es-ES_tradnl" w:eastAsia="zh-CN"/>
        </w:rPr>
        <w:t xml:space="preserve">-AVQA colaborará con otras organizaciones de normalización, </w:t>
      </w:r>
      <w:r>
        <w:rPr>
          <w:lang w:val="es-ES_tradnl" w:eastAsia="zh-CN"/>
        </w:rPr>
        <w:t xml:space="preserve">llegado el caso, y </w:t>
      </w:r>
      <w:r w:rsidR="00D05D4D">
        <w:rPr>
          <w:lang w:val="es-ES_tradnl" w:eastAsia="zh-CN"/>
        </w:rPr>
        <w:t xml:space="preserve">con otras </w:t>
      </w:r>
      <w:r>
        <w:rPr>
          <w:lang w:val="es-ES_tradnl" w:eastAsia="zh-CN"/>
        </w:rPr>
        <w:t>c</w:t>
      </w:r>
      <w:r w:rsidR="00ED48D5" w:rsidRPr="00ED48D5">
        <w:rPr>
          <w:lang w:val="es-ES_tradnl" w:eastAsia="zh-CN"/>
        </w:rPr>
        <w:t xml:space="preserve">omunidades </w:t>
      </w:r>
      <w:r w:rsidR="00D05D4D">
        <w:rPr>
          <w:lang w:val="es-ES_tradnl" w:eastAsia="zh-CN"/>
        </w:rPr>
        <w:t xml:space="preserve">consagradas a la </w:t>
      </w:r>
      <w:r w:rsidR="00ED48D5" w:rsidRPr="00ED48D5">
        <w:rPr>
          <w:lang w:val="es-ES_tradnl" w:eastAsia="zh-CN"/>
        </w:rPr>
        <w:t xml:space="preserve">evaluación de la calidad (por ejemplo, foros y consorcios, institutos de investigación </w:t>
      </w:r>
      <w:r>
        <w:rPr>
          <w:lang w:val="es-ES_tradnl" w:eastAsia="zh-CN"/>
        </w:rPr>
        <w:t>e instituciones</w:t>
      </w:r>
      <w:r w:rsidR="00ED48D5" w:rsidRPr="00ED48D5">
        <w:rPr>
          <w:lang w:val="es-ES_tradnl" w:eastAsia="zh-CN"/>
        </w:rPr>
        <w:t xml:space="preserve"> académic</w:t>
      </w:r>
      <w:r>
        <w:rPr>
          <w:lang w:val="es-ES_tradnl" w:eastAsia="zh-CN"/>
        </w:rPr>
        <w:t>a</w:t>
      </w:r>
      <w:r w:rsidR="00ED48D5" w:rsidRPr="00ED48D5">
        <w:rPr>
          <w:lang w:val="es-ES_tradnl" w:eastAsia="zh-CN"/>
        </w:rPr>
        <w:t>s).</w:t>
      </w:r>
    </w:p>
    <w:p w:rsidR="003B438E" w:rsidRPr="00D22166" w:rsidRDefault="003B438E" w:rsidP="00081221">
      <w:pPr>
        <w:pStyle w:val="Headingb"/>
        <w:rPr>
          <w:lang w:val="es-ES_tradnl"/>
        </w:rPr>
      </w:pPr>
      <w:r w:rsidRPr="00D22166">
        <w:rPr>
          <w:lang w:val="es-ES_tradnl"/>
        </w:rPr>
        <w:t>2</w:t>
      </w:r>
      <w:r w:rsidRPr="00D22166">
        <w:rPr>
          <w:lang w:val="es-ES_tradnl"/>
        </w:rPr>
        <w:tab/>
      </w:r>
      <w:r w:rsidR="00081221" w:rsidRPr="00D22166">
        <w:rPr>
          <w:lang w:val="es-ES_tradnl"/>
        </w:rPr>
        <w:t xml:space="preserve">Antecedentes </w:t>
      </w:r>
    </w:p>
    <w:p w:rsidR="007F16FC" w:rsidRPr="007F16FC" w:rsidRDefault="007F16FC" w:rsidP="00D22166">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sidRPr="007F16FC">
        <w:rPr>
          <w:szCs w:val="24"/>
          <w:lang w:val="es-ES_tradnl" w:eastAsia="ja-JP"/>
        </w:rPr>
        <w:t>Durante los últimos ocho años</w:t>
      </w:r>
      <w:r w:rsidR="009B1080">
        <w:rPr>
          <w:szCs w:val="24"/>
          <w:lang w:val="es-ES_tradnl" w:eastAsia="ja-JP"/>
        </w:rPr>
        <w:t>, la CE9 y la CE12 del U</w:t>
      </w:r>
      <w:r w:rsidRPr="007F16FC">
        <w:rPr>
          <w:szCs w:val="24"/>
          <w:lang w:val="es-ES_tradnl" w:eastAsia="ja-JP"/>
        </w:rPr>
        <w:t xml:space="preserve">IT-T </w:t>
      </w:r>
      <w:r w:rsidR="009B1080">
        <w:rPr>
          <w:szCs w:val="24"/>
          <w:lang w:val="es-ES_tradnl" w:eastAsia="ja-JP"/>
        </w:rPr>
        <w:t>h</w:t>
      </w:r>
      <w:r w:rsidRPr="007F16FC">
        <w:rPr>
          <w:szCs w:val="24"/>
          <w:lang w:val="es-ES_tradnl" w:eastAsia="ja-JP"/>
        </w:rPr>
        <w:t>an coordinado</w:t>
      </w:r>
      <w:r w:rsidR="009B1080">
        <w:rPr>
          <w:szCs w:val="24"/>
          <w:lang w:val="es-ES_tradnl" w:eastAsia="ja-JP"/>
        </w:rPr>
        <w:t xml:space="preserve"> su</w:t>
      </w:r>
      <w:r w:rsidR="00D22166">
        <w:rPr>
          <w:szCs w:val="24"/>
          <w:lang w:val="es-ES_tradnl" w:eastAsia="ja-JP"/>
        </w:rPr>
        <w:t xml:space="preserve">s actividades </w:t>
      </w:r>
      <w:r w:rsidRPr="007F16FC">
        <w:rPr>
          <w:szCs w:val="24"/>
          <w:lang w:val="es-ES_tradnl" w:eastAsia="ja-JP"/>
        </w:rPr>
        <w:t xml:space="preserve">a través del </w:t>
      </w:r>
      <w:r w:rsidR="009B1080" w:rsidRPr="009B1080">
        <w:rPr>
          <w:szCs w:val="24"/>
          <w:lang w:val="es-ES_tradnl" w:eastAsia="ja-JP"/>
        </w:rPr>
        <w:t>Grupo Mixto de Relator sobre evaluación de la calidad multimedios (</w:t>
      </w:r>
      <w:r w:rsidR="009B1080">
        <w:rPr>
          <w:szCs w:val="24"/>
          <w:lang w:val="es-ES_tradnl" w:eastAsia="ja-JP"/>
        </w:rPr>
        <w:t>GMR</w:t>
      </w:r>
      <w:r w:rsidR="009B1080" w:rsidRPr="009B1080">
        <w:rPr>
          <w:szCs w:val="24"/>
          <w:lang w:val="es-ES_tradnl" w:eastAsia="ja-JP"/>
        </w:rPr>
        <w:t>-MMQA)</w:t>
      </w:r>
      <w:r w:rsidRPr="007F16FC">
        <w:rPr>
          <w:szCs w:val="24"/>
          <w:lang w:val="es-ES_tradnl" w:eastAsia="ja-JP"/>
        </w:rPr>
        <w:t>). Esta coordinación ha sido de beneficio mutuo para amb</w:t>
      </w:r>
      <w:r w:rsidR="009B1080">
        <w:rPr>
          <w:szCs w:val="24"/>
          <w:lang w:val="es-ES_tradnl" w:eastAsia="ja-JP"/>
        </w:rPr>
        <w:t>a</w:t>
      </w:r>
      <w:r w:rsidRPr="007F16FC">
        <w:rPr>
          <w:szCs w:val="24"/>
          <w:lang w:val="es-ES_tradnl" w:eastAsia="ja-JP"/>
        </w:rPr>
        <w:t xml:space="preserve">s </w:t>
      </w:r>
      <w:r w:rsidR="009B1080">
        <w:rPr>
          <w:szCs w:val="24"/>
          <w:lang w:val="es-ES_tradnl" w:eastAsia="ja-JP"/>
        </w:rPr>
        <w:t>Comisiones de E</w:t>
      </w:r>
      <w:r w:rsidRPr="007F16FC">
        <w:rPr>
          <w:szCs w:val="24"/>
          <w:lang w:val="es-ES_tradnl" w:eastAsia="ja-JP"/>
        </w:rPr>
        <w:t>studio. La mayor</w:t>
      </w:r>
      <w:r w:rsidR="00355794">
        <w:rPr>
          <w:szCs w:val="24"/>
          <w:lang w:val="es-ES_tradnl" w:eastAsia="ja-JP"/>
        </w:rPr>
        <w:t xml:space="preserve">ía </w:t>
      </w:r>
      <w:r w:rsidRPr="007F16FC">
        <w:rPr>
          <w:szCs w:val="24"/>
          <w:lang w:val="es-ES_tradnl" w:eastAsia="ja-JP"/>
        </w:rPr>
        <w:t xml:space="preserve">de las reuniones de este </w:t>
      </w:r>
      <w:r w:rsidR="00355794">
        <w:rPr>
          <w:szCs w:val="24"/>
          <w:lang w:val="es-ES_tradnl" w:eastAsia="ja-JP"/>
        </w:rPr>
        <w:t xml:space="preserve">GMR se celebraron en el mismo lugar que las reuniones del </w:t>
      </w:r>
      <w:r w:rsidRPr="007F16FC">
        <w:rPr>
          <w:szCs w:val="24"/>
          <w:lang w:val="es-ES_tradnl" w:eastAsia="ja-JP"/>
        </w:rPr>
        <w:t>VQEG. Durante ese tiempo</w:t>
      </w:r>
      <w:r w:rsidR="00355794">
        <w:rPr>
          <w:szCs w:val="24"/>
          <w:lang w:val="es-ES_tradnl" w:eastAsia="ja-JP"/>
        </w:rPr>
        <w:t>,</w:t>
      </w:r>
      <w:r w:rsidRPr="007F16FC">
        <w:rPr>
          <w:szCs w:val="24"/>
          <w:lang w:val="es-ES_tradnl" w:eastAsia="ja-JP"/>
        </w:rPr>
        <w:t xml:space="preserve"> los expertos en calidad </w:t>
      </w:r>
      <w:r w:rsidR="00355794">
        <w:rPr>
          <w:szCs w:val="24"/>
          <w:lang w:val="es-ES_tradnl" w:eastAsia="ja-JP"/>
        </w:rPr>
        <w:t>ví</w:t>
      </w:r>
      <w:r w:rsidRPr="007F16FC">
        <w:rPr>
          <w:szCs w:val="24"/>
          <w:lang w:val="es-ES_tradnl" w:eastAsia="ja-JP"/>
        </w:rPr>
        <w:t>deo de</w:t>
      </w:r>
      <w:r w:rsidR="00355794">
        <w:rPr>
          <w:szCs w:val="24"/>
          <w:lang w:val="es-ES_tradnl" w:eastAsia="ja-JP"/>
        </w:rPr>
        <w:t xml:space="preserve">l GT6C del </w:t>
      </w:r>
      <w:r w:rsidRPr="007F16FC">
        <w:rPr>
          <w:szCs w:val="24"/>
          <w:lang w:val="es-ES_tradnl" w:eastAsia="ja-JP"/>
        </w:rPr>
        <w:t xml:space="preserve">UIT-R no pudieron participar </w:t>
      </w:r>
      <w:r w:rsidR="00355794">
        <w:rPr>
          <w:szCs w:val="24"/>
          <w:lang w:val="es-ES_tradnl" w:eastAsia="ja-JP"/>
        </w:rPr>
        <w:t xml:space="preserve">en pie de igualdad </w:t>
      </w:r>
      <w:r w:rsidRPr="007F16FC">
        <w:rPr>
          <w:szCs w:val="24"/>
          <w:lang w:val="es-ES_tradnl" w:eastAsia="ja-JP"/>
        </w:rPr>
        <w:t>(desde el punto de vista de la UIT) con sus colegas del UIT-T. E</w:t>
      </w:r>
      <w:r w:rsidR="00355794">
        <w:rPr>
          <w:szCs w:val="24"/>
          <w:lang w:val="es-ES_tradnl" w:eastAsia="ja-JP"/>
        </w:rPr>
        <w:t xml:space="preserve">n la AMNT-12 celebrada en </w:t>
      </w:r>
      <w:proofErr w:type="spellStart"/>
      <w:r w:rsidR="00355794">
        <w:rPr>
          <w:szCs w:val="24"/>
          <w:lang w:val="es-ES_tradnl" w:eastAsia="ja-JP"/>
        </w:rPr>
        <w:t>Dubai</w:t>
      </w:r>
      <w:proofErr w:type="spellEnd"/>
      <w:r w:rsidR="00355794">
        <w:rPr>
          <w:szCs w:val="24"/>
          <w:lang w:val="es-ES_tradnl" w:eastAsia="ja-JP"/>
        </w:rPr>
        <w:t xml:space="preserve"> se revisó la Resolución 18 </w:t>
      </w:r>
      <w:r w:rsidRPr="007F16FC">
        <w:rPr>
          <w:szCs w:val="24"/>
          <w:lang w:val="es-ES_tradnl" w:eastAsia="ja-JP"/>
        </w:rPr>
        <w:t xml:space="preserve">para </w:t>
      </w:r>
      <w:r w:rsidR="00355794">
        <w:rPr>
          <w:szCs w:val="24"/>
          <w:lang w:val="es-ES_tradnl" w:eastAsia="ja-JP"/>
        </w:rPr>
        <w:t xml:space="preserve">que </w:t>
      </w:r>
      <w:r w:rsidRPr="007F16FC">
        <w:rPr>
          <w:szCs w:val="24"/>
          <w:lang w:val="es-ES_tradnl" w:eastAsia="ja-JP"/>
        </w:rPr>
        <w:t>los expertos del UIT-R par</w:t>
      </w:r>
      <w:r w:rsidR="00355794">
        <w:rPr>
          <w:szCs w:val="24"/>
          <w:lang w:val="es-ES_tradnl" w:eastAsia="ja-JP"/>
        </w:rPr>
        <w:t>ticiparan en la labor conjunta</w:t>
      </w:r>
      <w:r w:rsidRPr="007F16FC">
        <w:rPr>
          <w:szCs w:val="24"/>
          <w:lang w:val="es-ES_tradnl" w:eastAsia="ja-JP"/>
        </w:rPr>
        <w:t xml:space="preserve"> con expertos del UIT-T. Est</w:t>
      </w:r>
      <w:r w:rsidR="00355794">
        <w:rPr>
          <w:szCs w:val="24"/>
          <w:lang w:val="es-ES_tradnl" w:eastAsia="ja-JP"/>
        </w:rPr>
        <w:t>e GRI examinará</w:t>
      </w:r>
      <w:r w:rsidRPr="007F16FC">
        <w:rPr>
          <w:szCs w:val="24"/>
          <w:lang w:val="es-ES_tradnl" w:eastAsia="ja-JP"/>
        </w:rPr>
        <w:t xml:space="preserve"> </w:t>
      </w:r>
      <w:r w:rsidR="00355794">
        <w:rPr>
          <w:szCs w:val="24"/>
          <w:lang w:val="es-ES_tradnl" w:eastAsia="ja-JP"/>
        </w:rPr>
        <w:t>la cuestión de la eva</w:t>
      </w:r>
      <w:r w:rsidRPr="007F16FC">
        <w:rPr>
          <w:szCs w:val="24"/>
          <w:lang w:val="es-ES_tradnl" w:eastAsia="ja-JP"/>
        </w:rPr>
        <w:t>luación</w:t>
      </w:r>
      <w:r w:rsidR="00355794">
        <w:rPr>
          <w:szCs w:val="24"/>
          <w:lang w:val="es-ES_tradnl" w:eastAsia="ja-JP"/>
        </w:rPr>
        <w:t xml:space="preserve"> de la calidad</w:t>
      </w:r>
      <w:r w:rsidRPr="007F16FC">
        <w:rPr>
          <w:szCs w:val="24"/>
          <w:lang w:val="es-ES_tradnl" w:eastAsia="ja-JP"/>
        </w:rPr>
        <w:t xml:space="preserve"> </w:t>
      </w:r>
      <w:r w:rsidR="00355794">
        <w:rPr>
          <w:szCs w:val="24"/>
          <w:lang w:val="es-ES_tradnl" w:eastAsia="ja-JP"/>
        </w:rPr>
        <w:t xml:space="preserve">audiovisual y </w:t>
      </w:r>
      <w:r w:rsidRPr="007F16FC">
        <w:rPr>
          <w:szCs w:val="24"/>
          <w:lang w:val="es-ES_tradnl" w:eastAsia="ja-JP"/>
        </w:rPr>
        <w:t>vídeo</w:t>
      </w:r>
      <w:r w:rsidR="00355794">
        <w:rPr>
          <w:szCs w:val="24"/>
          <w:lang w:val="es-ES_tradnl" w:eastAsia="ja-JP"/>
        </w:rPr>
        <w:t xml:space="preserve">. </w:t>
      </w:r>
      <w:r w:rsidRPr="007F16FC">
        <w:rPr>
          <w:szCs w:val="24"/>
          <w:lang w:val="es-ES_tradnl" w:eastAsia="ja-JP"/>
        </w:rPr>
        <w:t xml:space="preserve">Por </w:t>
      </w:r>
      <w:r w:rsidR="00355794">
        <w:rPr>
          <w:szCs w:val="24"/>
          <w:lang w:val="es-ES_tradnl" w:eastAsia="ja-JP"/>
        </w:rPr>
        <w:t xml:space="preserve">consiguiente, este GRI </w:t>
      </w:r>
      <w:r w:rsidR="00355794" w:rsidRPr="00355794">
        <w:rPr>
          <w:szCs w:val="24"/>
          <w:lang w:val="es-ES_tradnl" w:eastAsia="ja-JP"/>
        </w:rPr>
        <w:t>proseguirá y ampliará la labor de coordinación del GMR</w:t>
      </w:r>
      <w:r w:rsidR="00355794" w:rsidRPr="00355794">
        <w:rPr>
          <w:szCs w:val="24"/>
          <w:lang w:val="es-ES_tradnl" w:eastAsia="ja-JP"/>
        </w:rPr>
        <w:noBreakHyphen/>
        <w:t>MMQA e incluirá al mismo tiempo a los expertos del GT6C del UIT-R en un plano de igualdad</w:t>
      </w:r>
      <w:r w:rsidRPr="007F16FC">
        <w:rPr>
          <w:szCs w:val="24"/>
          <w:lang w:val="es-ES_tradnl" w:eastAsia="ja-JP"/>
        </w:rPr>
        <w:t>.</w:t>
      </w:r>
    </w:p>
    <w:p w:rsidR="007F16FC" w:rsidRDefault="00D22166" w:rsidP="00D22166">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sidRPr="00D22166">
        <w:rPr>
          <w:szCs w:val="24"/>
          <w:lang w:val="es-ES_tradnl" w:eastAsia="ja-JP"/>
        </w:rPr>
        <w:t>El objetivo principal de este nuevo GRI es contribuir a la elaboración de futuras Recomendaciones UIT-T e UIT-R mundialmente únicas sobre evaluación de la calidad audiovisual y vídeo</w:t>
      </w:r>
      <w:r w:rsidR="007F16FC" w:rsidRPr="007F16FC">
        <w:rPr>
          <w:szCs w:val="24"/>
          <w:lang w:val="es-ES_tradnl" w:eastAsia="ja-JP"/>
        </w:rPr>
        <w:t xml:space="preserve">, incluida la evaluación de la calidad de las señales </w:t>
      </w:r>
      <w:r>
        <w:rPr>
          <w:szCs w:val="24"/>
          <w:lang w:val="es-ES_tradnl" w:eastAsia="ja-JP"/>
        </w:rPr>
        <w:t xml:space="preserve">presentadas y recibidas </w:t>
      </w:r>
      <w:r w:rsidR="007F16FC" w:rsidRPr="007F16FC">
        <w:rPr>
          <w:szCs w:val="24"/>
          <w:lang w:val="es-ES_tradnl" w:eastAsia="ja-JP"/>
        </w:rPr>
        <w:t xml:space="preserve">en dispositivos móviles, pantallas de </w:t>
      </w:r>
      <w:r>
        <w:rPr>
          <w:szCs w:val="24"/>
          <w:lang w:val="es-ES_tradnl" w:eastAsia="ja-JP"/>
        </w:rPr>
        <w:t xml:space="preserve">computadora, </w:t>
      </w:r>
      <w:r>
        <w:rPr>
          <w:i/>
          <w:iCs/>
          <w:szCs w:val="24"/>
          <w:lang w:val="es-ES_tradnl" w:eastAsia="ja-JP"/>
        </w:rPr>
        <w:t>home cinema,</w:t>
      </w:r>
      <w:r w:rsidR="007F16FC" w:rsidRPr="007F16FC">
        <w:rPr>
          <w:szCs w:val="24"/>
          <w:lang w:val="es-ES_tradnl" w:eastAsia="ja-JP"/>
        </w:rPr>
        <w:t xml:space="preserve"> etc.</w:t>
      </w:r>
      <w:r>
        <w:rPr>
          <w:szCs w:val="24"/>
          <w:lang w:val="es-ES_tradnl" w:eastAsia="ja-JP"/>
        </w:rPr>
        <w:t xml:space="preserve">, que utilizan todo tipo de </w:t>
      </w:r>
      <w:r w:rsidR="007F16FC" w:rsidRPr="007F16FC">
        <w:rPr>
          <w:szCs w:val="24"/>
          <w:lang w:val="es-ES_tradnl" w:eastAsia="ja-JP"/>
        </w:rPr>
        <w:t xml:space="preserve">resolución </w:t>
      </w:r>
      <w:r>
        <w:rPr>
          <w:szCs w:val="24"/>
          <w:lang w:val="es-ES_tradnl" w:eastAsia="ja-JP"/>
        </w:rPr>
        <w:t xml:space="preserve">como, </w:t>
      </w:r>
      <w:r w:rsidR="007F16FC" w:rsidRPr="007F16FC">
        <w:rPr>
          <w:szCs w:val="24"/>
          <w:lang w:val="es-ES_tradnl" w:eastAsia="ja-JP"/>
        </w:rPr>
        <w:t xml:space="preserve">por ejemplo, QCIF, CIF, VGA, </w:t>
      </w:r>
      <w:r>
        <w:rPr>
          <w:szCs w:val="24"/>
          <w:lang w:val="es-ES_tradnl" w:eastAsia="ja-JP"/>
        </w:rPr>
        <w:t>TVDN</w:t>
      </w:r>
      <w:r w:rsidR="007F16FC" w:rsidRPr="007F16FC">
        <w:rPr>
          <w:szCs w:val="24"/>
          <w:lang w:val="es-ES_tradnl" w:eastAsia="ja-JP"/>
        </w:rPr>
        <w:t xml:space="preserve">, </w:t>
      </w:r>
      <w:r>
        <w:rPr>
          <w:szCs w:val="24"/>
          <w:lang w:val="es-ES_tradnl" w:eastAsia="ja-JP"/>
        </w:rPr>
        <w:t>TVAD</w:t>
      </w:r>
      <w:r w:rsidR="007F16FC" w:rsidRPr="007F16FC">
        <w:rPr>
          <w:szCs w:val="24"/>
          <w:lang w:val="es-ES_tradnl" w:eastAsia="ja-JP"/>
        </w:rPr>
        <w:t xml:space="preserve">, </w:t>
      </w:r>
      <w:r>
        <w:rPr>
          <w:szCs w:val="24"/>
          <w:lang w:val="es-ES_tradnl" w:eastAsia="ja-JP"/>
        </w:rPr>
        <w:t>TV</w:t>
      </w:r>
      <w:r w:rsidR="007F16FC" w:rsidRPr="007F16FC">
        <w:rPr>
          <w:szCs w:val="24"/>
          <w:lang w:val="es-ES_tradnl" w:eastAsia="ja-JP"/>
        </w:rPr>
        <w:t xml:space="preserve">3D, </w:t>
      </w:r>
      <w:r>
        <w:rPr>
          <w:szCs w:val="24"/>
          <w:lang w:val="es-ES_tradnl" w:eastAsia="ja-JP"/>
        </w:rPr>
        <w:t xml:space="preserve">TVEAD </w:t>
      </w:r>
      <w:r w:rsidR="007F16FC" w:rsidRPr="007F16FC">
        <w:rPr>
          <w:szCs w:val="24"/>
          <w:lang w:val="es-ES_tradnl" w:eastAsia="ja-JP"/>
        </w:rPr>
        <w:t>con o sin acompañamiento audio.</w:t>
      </w:r>
    </w:p>
    <w:p w:rsidR="003B438E" w:rsidRPr="00F858B3" w:rsidRDefault="003B438E" w:rsidP="00F858B3">
      <w:pPr>
        <w:pStyle w:val="Headingb"/>
        <w:rPr>
          <w:lang w:val="es-ES_tradnl"/>
        </w:rPr>
      </w:pPr>
      <w:r w:rsidRPr="00F858B3">
        <w:rPr>
          <w:lang w:val="es-ES_tradnl"/>
        </w:rPr>
        <w:t>3</w:t>
      </w:r>
      <w:r w:rsidRPr="00F858B3">
        <w:rPr>
          <w:lang w:val="es-ES_tradnl"/>
        </w:rPr>
        <w:tab/>
        <w:t>Rela</w:t>
      </w:r>
      <w:r w:rsidR="00F858B3" w:rsidRPr="00F858B3">
        <w:rPr>
          <w:lang w:val="es-ES_tradnl"/>
        </w:rPr>
        <w:t xml:space="preserve">ción dentro y fuera del UIT-T </w:t>
      </w:r>
    </w:p>
    <w:p w:rsidR="00F858B3" w:rsidRPr="00F858B3" w:rsidRDefault="00F858B3" w:rsidP="00F858B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Pr>
          <w:szCs w:val="24"/>
          <w:lang w:val="es-ES_tradnl" w:eastAsia="ja-JP"/>
        </w:rPr>
        <w:t xml:space="preserve">Aunque </w:t>
      </w:r>
      <w:r w:rsidRPr="00F858B3">
        <w:rPr>
          <w:szCs w:val="24"/>
          <w:lang w:val="es-ES_tradnl" w:eastAsia="ja-JP"/>
        </w:rPr>
        <w:t xml:space="preserve">el objetivo principal de este </w:t>
      </w:r>
      <w:r>
        <w:rPr>
          <w:szCs w:val="24"/>
          <w:lang w:val="es-ES_tradnl" w:eastAsia="ja-JP"/>
        </w:rPr>
        <w:t>GRI</w:t>
      </w:r>
      <w:r w:rsidRPr="00F858B3">
        <w:rPr>
          <w:szCs w:val="24"/>
          <w:lang w:val="es-ES_tradnl" w:eastAsia="ja-JP"/>
        </w:rPr>
        <w:t xml:space="preserve"> </w:t>
      </w:r>
      <w:r>
        <w:rPr>
          <w:szCs w:val="24"/>
          <w:lang w:val="es-ES_tradnl" w:eastAsia="ja-JP"/>
        </w:rPr>
        <w:t xml:space="preserve">consiste en fomentar </w:t>
      </w:r>
      <w:r w:rsidRPr="00F858B3">
        <w:rPr>
          <w:szCs w:val="24"/>
          <w:lang w:val="es-ES_tradnl" w:eastAsia="ja-JP"/>
        </w:rPr>
        <w:t>la coordinación y cooperación entre la CE9 del UIT-T</w:t>
      </w:r>
      <w:r>
        <w:rPr>
          <w:szCs w:val="24"/>
          <w:lang w:val="es-ES_tradnl" w:eastAsia="ja-JP"/>
        </w:rPr>
        <w:t xml:space="preserve">, </w:t>
      </w:r>
      <w:r w:rsidRPr="00F858B3">
        <w:rPr>
          <w:szCs w:val="24"/>
          <w:lang w:val="es-ES_tradnl" w:eastAsia="ja-JP"/>
        </w:rPr>
        <w:t>la CE12 del UIT-T</w:t>
      </w:r>
      <w:r>
        <w:rPr>
          <w:szCs w:val="24"/>
          <w:lang w:val="es-ES_tradnl" w:eastAsia="ja-JP"/>
        </w:rPr>
        <w:t>, el GT6C del UIT-R</w:t>
      </w:r>
      <w:r w:rsidRPr="00F858B3">
        <w:rPr>
          <w:szCs w:val="24"/>
          <w:lang w:val="es-ES_tradnl" w:eastAsia="ja-JP"/>
        </w:rPr>
        <w:t xml:space="preserve"> y </w:t>
      </w:r>
      <w:r>
        <w:rPr>
          <w:szCs w:val="24"/>
          <w:lang w:val="es-ES_tradnl" w:eastAsia="ja-JP"/>
        </w:rPr>
        <w:t xml:space="preserve">el </w:t>
      </w:r>
      <w:r w:rsidRPr="00F858B3">
        <w:rPr>
          <w:szCs w:val="24"/>
          <w:lang w:val="es-ES_tradnl" w:eastAsia="ja-JP"/>
        </w:rPr>
        <w:t xml:space="preserve">VQEG, </w:t>
      </w:r>
      <w:r>
        <w:rPr>
          <w:szCs w:val="24"/>
          <w:lang w:val="es-ES_tradnl" w:eastAsia="ja-JP"/>
        </w:rPr>
        <w:t>también se alienta la colaboración con cualquier otra Comisión de E</w:t>
      </w:r>
      <w:r w:rsidRPr="00F858B3">
        <w:rPr>
          <w:szCs w:val="24"/>
          <w:lang w:val="es-ES_tradnl" w:eastAsia="ja-JP"/>
        </w:rPr>
        <w:t xml:space="preserve">studio o </w:t>
      </w:r>
      <w:r>
        <w:rPr>
          <w:szCs w:val="24"/>
          <w:lang w:val="es-ES_tradnl" w:eastAsia="ja-JP"/>
        </w:rPr>
        <w:t>cualquier otro G</w:t>
      </w:r>
      <w:r w:rsidRPr="00F858B3">
        <w:rPr>
          <w:szCs w:val="24"/>
          <w:lang w:val="es-ES_tradnl" w:eastAsia="ja-JP"/>
        </w:rPr>
        <w:t>rupo.</w:t>
      </w:r>
    </w:p>
    <w:p w:rsidR="00F858B3" w:rsidRPr="00F858B3" w:rsidRDefault="00121545" w:rsidP="0012154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Pr>
          <w:szCs w:val="24"/>
          <w:lang w:val="es-ES_tradnl" w:eastAsia="ja-JP"/>
        </w:rPr>
        <w:t xml:space="preserve">Las Comisiones de Estudio y los Grupos de Trabajos de la UIT enumerados a continuación guardan particular importancia para este GRI: </w:t>
      </w:r>
    </w:p>
    <w:p w:rsidR="003B438E" w:rsidRPr="00E71181" w:rsidRDefault="00E71181" w:rsidP="00E71181">
      <w:pPr>
        <w:pStyle w:val="ListBullet"/>
        <w:numPr>
          <w:ilvl w:val="0"/>
          <w:numId w:val="2"/>
        </w:numPr>
        <w:tabs>
          <w:tab w:val="clear" w:pos="720"/>
        </w:tabs>
        <w:ind w:left="567" w:hanging="567"/>
        <w:rPr>
          <w:lang w:val="es-ES_tradnl" w:eastAsia="zh-CN"/>
        </w:rPr>
      </w:pPr>
      <w:r w:rsidRPr="00E71181">
        <w:rPr>
          <w:lang w:val="es-ES_tradnl" w:eastAsia="zh-CN"/>
        </w:rPr>
        <w:lastRenderedPageBreak/>
        <w:t>Comisión de Estudio 16 del UIT-T sobre codificación vídeo, aplicaciones TVIP y accesibilidad (incluid</w:t>
      </w:r>
      <w:r>
        <w:rPr>
          <w:lang w:val="es-ES_tradnl" w:eastAsia="zh-CN"/>
        </w:rPr>
        <w:t>a</w:t>
      </w:r>
      <w:r w:rsidRPr="00E71181">
        <w:rPr>
          <w:lang w:val="es-ES_tradnl" w:eastAsia="zh-CN"/>
        </w:rPr>
        <w:t xml:space="preserve">s </w:t>
      </w:r>
      <w:r w:rsidR="00005BDE">
        <w:rPr>
          <w:lang w:val="es-ES_tradnl" w:eastAsia="zh-CN"/>
        </w:rPr>
        <w:t>la JCA-AHF y el GT-AVA).</w:t>
      </w:r>
    </w:p>
    <w:p w:rsidR="003B438E" w:rsidRPr="003B2DB1" w:rsidRDefault="00E71181" w:rsidP="003B438E">
      <w:pPr>
        <w:pStyle w:val="ListBullet"/>
        <w:numPr>
          <w:ilvl w:val="0"/>
          <w:numId w:val="2"/>
        </w:numPr>
        <w:tabs>
          <w:tab w:val="clear" w:pos="720"/>
        </w:tabs>
        <w:ind w:left="567" w:hanging="567"/>
        <w:rPr>
          <w:lang w:val="es-ES_tradnl" w:eastAsia="zh-CN"/>
        </w:rPr>
      </w:pPr>
      <w:r w:rsidRPr="003B2DB1">
        <w:rPr>
          <w:lang w:val="es-ES_tradnl" w:eastAsia="zh-CN"/>
        </w:rPr>
        <w:t xml:space="preserve">Grupo de Trabajo 6A (GT6A) del UIT-R - </w:t>
      </w:r>
      <w:r w:rsidR="003B2DB1" w:rsidRPr="003B2DB1">
        <w:rPr>
          <w:lang w:val="es-ES_tradnl" w:eastAsia="zh-CN"/>
        </w:rPr>
        <w:t>Prestación de servicios de radiodifusi</w:t>
      </w:r>
      <w:r w:rsidR="00005BDE">
        <w:rPr>
          <w:lang w:val="es-ES_tradnl" w:eastAsia="zh-CN"/>
        </w:rPr>
        <w:t>ón terrenal.</w:t>
      </w:r>
    </w:p>
    <w:p w:rsidR="003B438E" w:rsidRPr="003B2DB1" w:rsidRDefault="003B2DB1" w:rsidP="006632AC">
      <w:pPr>
        <w:pStyle w:val="ListBullet"/>
        <w:numPr>
          <w:ilvl w:val="0"/>
          <w:numId w:val="2"/>
        </w:numPr>
        <w:tabs>
          <w:tab w:val="clear" w:pos="720"/>
        </w:tabs>
        <w:ind w:left="567" w:hanging="567"/>
        <w:rPr>
          <w:lang w:val="es-ES_tradnl" w:eastAsia="zh-CN"/>
        </w:rPr>
      </w:pPr>
      <w:r w:rsidRPr="003B2DB1">
        <w:rPr>
          <w:lang w:val="es-ES_tradnl" w:eastAsia="zh-CN"/>
        </w:rPr>
        <w:t>Grupo de Trabajo 6</w:t>
      </w:r>
      <w:r>
        <w:rPr>
          <w:lang w:val="es-ES_tradnl" w:eastAsia="zh-CN"/>
        </w:rPr>
        <w:t>B</w:t>
      </w:r>
      <w:r w:rsidRPr="003B2DB1">
        <w:rPr>
          <w:lang w:val="es-ES_tradnl" w:eastAsia="zh-CN"/>
        </w:rPr>
        <w:t xml:space="preserve"> (GT6</w:t>
      </w:r>
      <w:r>
        <w:rPr>
          <w:lang w:val="es-ES_tradnl" w:eastAsia="zh-CN"/>
        </w:rPr>
        <w:t>B</w:t>
      </w:r>
      <w:r w:rsidRPr="003B2DB1">
        <w:rPr>
          <w:lang w:val="es-ES_tradnl" w:eastAsia="zh-CN"/>
        </w:rPr>
        <w:t>) del UIT-R</w:t>
      </w:r>
      <w:r w:rsidR="003B438E" w:rsidRPr="003B2DB1">
        <w:rPr>
          <w:lang w:val="es-ES_tradnl" w:eastAsia="zh-CN"/>
        </w:rPr>
        <w:t xml:space="preserve"> - </w:t>
      </w:r>
      <w:r w:rsidRPr="003B2DB1">
        <w:rPr>
          <w:lang w:val="es-ES_tradnl" w:eastAsia="zh-CN"/>
        </w:rPr>
        <w:t>Ensamblado y acceso al servicio de radiodifusi</w:t>
      </w:r>
      <w:r>
        <w:rPr>
          <w:lang w:val="es-ES_tradnl" w:eastAsia="zh-CN"/>
        </w:rPr>
        <w:t xml:space="preserve">ón. </w:t>
      </w:r>
    </w:p>
    <w:p w:rsidR="001C01E8" w:rsidRPr="00EE6766" w:rsidRDefault="00EE6766" w:rsidP="00EE6766">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EE6766">
        <w:rPr>
          <w:szCs w:val="24"/>
          <w:lang w:val="es-ES_tradnl" w:eastAsia="zh-CN"/>
        </w:rPr>
        <w:t>Se tendrá especialmente en cuenta la posible colaboraci</w:t>
      </w:r>
      <w:r>
        <w:rPr>
          <w:szCs w:val="24"/>
          <w:lang w:val="es-ES_tradnl" w:eastAsia="zh-CN"/>
        </w:rPr>
        <w:t xml:space="preserve">ón con otras organizaciones de normalización (en particular, </w:t>
      </w:r>
      <w:r w:rsidRPr="00EE6766">
        <w:rPr>
          <w:szCs w:val="24"/>
          <w:lang w:val="es-ES_tradnl" w:eastAsia="zh-CN"/>
        </w:rPr>
        <w:t xml:space="preserve">SCTE, DVB, 3D </w:t>
      </w:r>
      <w:proofErr w:type="spellStart"/>
      <w:r w:rsidRPr="00EE6766">
        <w:rPr>
          <w:szCs w:val="24"/>
          <w:lang w:val="es-ES_tradnl" w:eastAsia="zh-CN"/>
        </w:rPr>
        <w:t>Society</w:t>
      </w:r>
      <w:proofErr w:type="spellEnd"/>
      <w:r w:rsidRPr="00EE6766">
        <w:rPr>
          <w:szCs w:val="24"/>
          <w:lang w:val="es-ES_tradnl" w:eastAsia="zh-CN"/>
        </w:rPr>
        <w:t xml:space="preserve"> &amp; 3D@Home </w:t>
      </w:r>
      <w:proofErr w:type="spellStart"/>
      <w:r w:rsidRPr="00EE6766">
        <w:rPr>
          <w:szCs w:val="24"/>
          <w:lang w:val="es-ES_tradnl" w:eastAsia="zh-CN"/>
        </w:rPr>
        <w:t>Consortium</w:t>
      </w:r>
      <w:proofErr w:type="spellEnd"/>
      <w:r w:rsidRPr="00EE6766">
        <w:rPr>
          <w:szCs w:val="24"/>
          <w:lang w:val="es-ES_tradnl" w:eastAsia="zh-CN"/>
        </w:rPr>
        <w:t>, EBU</w:t>
      </w:r>
      <w:r>
        <w:rPr>
          <w:szCs w:val="24"/>
          <w:lang w:val="es-ES_tradnl" w:eastAsia="zh-CN"/>
        </w:rPr>
        <w:t xml:space="preserve"> e</w:t>
      </w:r>
      <w:r w:rsidRPr="00EE6766">
        <w:rPr>
          <w:szCs w:val="24"/>
          <w:lang w:val="es-ES_tradnl" w:eastAsia="zh-CN"/>
        </w:rPr>
        <w:t xml:space="preserve"> IETF</w:t>
      </w:r>
      <w:r>
        <w:rPr>
          <w:szCs w:val="24"/>
          <w:lang w:val="es-ES_tradnl" w:eastAsia="zh-CN"/>
        </w:rPr>
        <w:t xml:space="preserve">). Podrían identificarse otras organizaciones de normalización u otros grupos en el futuro. </w:t>
      </w:r>
    </w:p>
    <w:p w:rsidR="003B438E" w:rsidRPr="00EE6766" w:rsidRDefault="003B438E" w:rsidP="00EA524A">
      <w:pPr>
        <w:pStyle w:val="Headingb"/>
        <w:rPr>
          <w:lang w:val="es-ES_tradnl"/>
        </w:rPr>
      </w:pPr>
      <w:r w:rsidRPr="00EE6766">
        <w:rPr>
          <w:lang w:val="es-ES_tradnl"/>
        </w:rPr>
        <w:t>4</w:t>
      </w:r>
      <w:r w:rsidRPr="00EE6766">
        <w:rPr>
          <w:lang w:val="es-ES_tradnl"/>
        </w:rPr>
        <w:tab/>
      </w:r>
      <w:r w:rsidR="00EA524A">
        <w:rPr>
          <w:lang w:val="es-ES_tradnl"/>
        </w:rPr>
        <w:t xml:space="preserve">Comisiones rectoras </w:t>
      </w:r>
    </w:p>
    <w:p w:rsidR="00EA524A" w:rsidRPr="00EE6766" w:rsidRDefault="00EA524A" w:rsidP="003B438E">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Pr>
          <w:szCs w:val="24"/>
          <w:lang w:val="es-ES_tradnl" w:eastAsia="zh-CN"/>
        </w:rPr>
        <w:t>Las Comisiones rectoras son la Comisión de Estudio 9 del UIT-T, la Comisión de Estudio 12 del UIT-T y la Comisión de Estudio 6 del UIT-R.</w:t>
      </w:r>
    </w:p>
    <w:p w:rsidR="003B438E" w:rsidRPr="00EE6766" w:rsidRDefault="003B438E" w:rsidP="00A80326">
      <w:pPr>
        <w:pStyle w:val="Headingb"/>
        <w:rPr>
          <w:lang w:val="es-ES_tradnl"/>
        </w:rPr>
      </w:pPr>
      <w:r w:rsidRPr="00EE6766">
        <w:rPr>
          <w:lang w:val="es-ES_tradnl"/>
        </w:rPr>
        <w:t>5</w:t>
      </w:r>
      <w:r w:rsidRPr="00EE6766">
        <w:rPr>
          <w:lang w:val="es-ES_tradnl"/>
        </w:rPr>
        <w:tab/>
        <w:t>Particip</w:t>
      </w:r>
      <w:r w:rsidR="00A80326">
        <w:rPr>
          <w:lang w:val="es-ES_tradnl"/>
        </w:rPr>
        <w:t xml:space="preserve">ación </w:t>
      </w:r>
    </w:p>
    <w:p w:rsidR="00A80326" w:rsidRPr="00A80326" w:rsidRDefault="00A80326" w:rsidP="003B438E">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rPr>
      </w:pPr>
      <w:r w:rsidRPr="00A80326">
        <w:rPr>
          <w:szCs w:val="24"/>
          <w:lang w:val="es-ES_tradnl"/>
        </w:rPr>
        <w:t>La participación está limit</w:t>
      </w:r>
      <w:r>
        <w:rPr>
          <w:szCs w:val="24"/>
          <w:lang w:val="es-ES_tradnl"/>
        </w:rPr>
        <w:t>ada a miembros del UIT-T y del U</w:t>
      </w:r>
      <w:r w:rsidRPr="00A80326">
        <w:rPr>
          <w:szCs w:val="24"/>
          <w:lang w:val="es-ES_tradnl"/>
        </w:rPr>
        <w:t xml:space="preserve">IT-R. </w:t>
      </w:r>
      <w:r>
        <w:rPr>
          <w:szCs w:val="24"/>
          <w:lang w:val="es-ES_tradnl"/>
        </w:rPr>
        <w:t>El Presidente o los Presidentes del GRI-AVQA podrían invitar a determinados expertos, llegado el caso.</w:t>
      </w:r>
    </w:p>
    <w:p w:rsidR="00A80326" w:rsidRPr="00A80326" w:rsidRDefault="00A80326" w:rsidP="003B438E">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A80326">
        <w:rPr>
          <w:szCs w:val="24"/>
          <w:lang w:val="es-ES_tradnl" w:eastAsia="zh-CN"/>
        </w:rPr>
        <w:t>A título de referencia, se mantendr</w:t>
      </w:r>
      <w:r>
        <w:rPr>
          <w:szCs w:val="24"/>
          <w:lang w:val="es-ES_tradnl" w:eastAsia="zh-CN"/>
        </w:rPr>
        <w:t>á una lista de participantes que se transmitirá a las Comisiones rectoras como texto adjunto al informe de cada reunión (véase la cláusula 8).</w:t>
      </w:r>
    </w:p>
    <w:p w:rsidR="003B438E" w:rsidRPr="00EF1DB2" w:rsidRDefault="003B438E" w:rsidP="00A80326">
      <w:pPr>
        <w:pStyle w:val="Headingb"/>
        <w:rPr>
          <w:lang w:val="es-ES_tradnl"/>
        </w:rPr>
      </w:pPr>
      <w:r w:rsidRPr="00EF1DB2">
        <w:rPr>
          <w:lang w:val="es-ES_tradnl"/>
        </w:rPr>
        <w:t>6</w:t>
      </w:r>
      <w:r w:rsidRPr="00EF1DB2">
        <w:rPr>
          <w:lang w:val="es-ES_tradnl"/>
        </w:rPr>
        <w:tab/>
      </w:r>
      <w:r w:rsidR="00A80326" w:rsidRPr="00EF1DB2">
        <w:rPr>
          <w:lang w:val="es-ES_tradnl"/>
        </w:rPr>
        <w:t xml:space="preserve">Resultados </w:t>
      </w:r>
    </w:p>
    <w:p w:rsidR="00A80326" w:rsidRPr="00A80326" w:rsidRDefault="00A80326" w:rsidP="00EF1DB2">
      <w:pPr>
        <w:rPr>
          <w:szCs w:val="24"/>
          <w:lang w:val="es-ES_tradnl"/>
        </w:rPr>
      </w:pPr>
      <w:r>
        <w:rPr>
          <w:szCs w:val="24"/>
          <w:lang w:val="es-ES_tradnl"/>
        </w:rPr>
        <w:t xml:space="preserve">Un GRI </w:t>
      </w:r>
      <w:r w:rsidRPr="00A80326">
        <w:rPr>
          <w:szCs w:val="24"/>
          <w:lang w:val="es-ES_tradnl"/>
        </w:rPr>
        <w:t>podrá elaborar proyectos de nuevas Recomendaciones o proyectos de revisión de Recomendaciones, así como proyectos de informes técnicos, que presentará</w:t>
      </w:r>
      <w:r w:rsidR="00EF1DB2">
        <w:rPr>
          <w:szCs w:val="24"/>
          <w:lang w:val="es-ES_tradnl"/>
        </w:rPr>
        <w:t xml:space="preserve"> a sus Comisiones de Estudio rectoras para su posterio</w:t>
      </w:r>
      <w:r w:rsidR="00005BDE">
        <w:rPr>
          <w:szCs w:val="24"/>
          <w:lang w:val="es-ES_tradnl"/>
        </w:rPr>
        <w:t>r tratamiento, llegado el caso.</w:t>
      </w:r>
      <w:r w:rsidRPr="00A80326">
        <w:rPr>
          <w:szCs w:val="24"/>
          <w:lang w:val="es-ES_tradnl"/>
        </w:rPr>
        <w:t xml:space="preserve"> </w:t>
      </w:r>
      <w:r w:rsidR="00EF1DB2">
        <w:rPr>
          <w:szCs w:val="24"/>
          <w:lang w:val="es-ES_tradnl"/>
        </w:rPr>
        <w:t xml:space="preserve">El </w:t>
      </w:r>
      <w:r w:rsidRPr="00A80326">
        <w:rPr>
          <w:szCs w:val="24"/>
          <w:lang w:val="es-ES_tradnl"/>
        </w:rPr>
        <w:t xml:space="preserve">GRI-AVQA identificará </w:t>
      </w:r>
      <w:r w:rsidR="00EF1DB2">
        <w:rPr>
          <w:szCs w:val="24"/>
          <w:lang w:val="es-ES_tradnl"/>
        </w:rPr>
        <w:t xml:space="preserve">esos resultados </w:t>
      </w:r>
      <w:r w:rsidRPr="00A80326">
        <w:rPr>
          <w:szCs w:val="24"/>
          <w:lang w:val="es-ES_tradnl"/>
        </w:rPr>
        <w:t xml:space="preserve">y </w:t>
      </w:r>
      <w:r w:rsidR="00EF1DB2">
        <w:rPr>
          <w:szCs w:val="24"/>
          <w:lang w:val="es-ES_tradnl"/>
        </w:rPr>
        <w:t>formulará un</w:t>
      </w:r>
      <w:r w:rsidRPr="00A80326">
        <w:rPr>
          <w:szCs w:val="24"/>
          <w:lang w:val="es-ES_tradnl"/>
        </w:rPr>
        <w:t xml:space="preserve">a propuesta a </w:t>
      </w:r>
      <w:r w:rsidR="00EF1DB2">
        <w:rPr>
          <w:szCs w:val="24"/>
          <w:lang w:val="es-ES_tradnl"/>
        </w:rPr>
        <w:t>sus Comisiones de E</w:t>
      </w:r>
      <w:r w:rsidRPr="00A80326">
        <w:rPr>
          <w:szCs w:val="24"/>
          <w:lang w:val="es-ES_tradnl"/>
        </w:rPr>
        <w:t xml:space="preserve">studio </w:t>
      </w:r>
      <w:r w:rsidR="00EF1DB2">
        <w:rPr>
          <w:szCs w:val="24"/>
          <w:lang w:val="es-ES_tradnl"/>
        </w:rPr>
        <w:t xml:space="preserve">rectoras </w:t>
      </w:r>
      <w:r w:rsidRPr="00A80326">
        <w:rPr>
          <w:szCs w:val="24"/>
          <w:lang w:val="es-ES_tradnl"/>
        </w:rPr>
        <w:t>(véase la cláusula 8).</w:t>
      </w:r>
    </w:p>
    <w:p w:rsidR="00A80326" w:rsidRPr="00A80326" w:rsidRDefault="00A80326" w:rsidP="007F4559">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A80326">
        <w:rPr>
          <w:szCs w:val="24"/>
          <w:lang w:val="es-ES_tradnl" w:eastAsia="zh-CN"/>
        </w:rPr>
        <w:t>Cada</w:t>
      </w:r>
      <w:r w:rsidR="00EF1DB2">
        <w:rPr>
          <w:szCs w:val="24"/>
          <w:lang w:val="es-ES_tradnl" w:eastAsia="zh-CN"/>
        </w:rPr>
        <w:t xml:space="preserve"> Comisión de E</w:t>
      </w:r>
      <w:r w:rsidRPr="00A80326">
        <w:rPr>
          <w:szCs w:val="24"/>
          <w:lang w:val="es-ES_tradnl" w:eastAsia="zh-CN"/>
        </w:rPr>
        <w:t>studio s</w:t>
      </w:r>
      <w:r w:rsidR="00EF1DB2">
        <w:rPr>
          <w:szCs w:val="24"/>
          <w:lang w:val="es-ES_tradnl" w:eastAsia="zh-CN"/>
        </w:rPr>
        <w:t>erá responsable de sus propias R</w:t>
      </w:r>
      <w:r w:rsidRPr="00A80326">
        <w:rPr>
          <w:szCs w:val="24"/>
          <w:lang w:val="es-ES_tradnl" w:eastAsia="zh-CN"/>
        </w:rPr>
        <w:t xml:space="preserve">ecomendaciones. </w:t>
      </w:r>
      <w:r w:rsidR="00EF1DB2">
        <w:rPr>
          <w:szCs w:val="24"/>
          <w:lang w:val="es-ES_tradnl" w:eastAsia="zh-CN"/>
        </w:rPr>
        <w:t>Todas las Recomendaciones de texto</w:t>
      </w:r>
      <w:r w:rsidR="007F4559">
        <w:rPr>
          <w:szCs w:val="24"/>
          <w:lang w:val="es-ES_tradnl" w:eastAsia="zh-CN"/>
        </w:rPr>
        <w:t>s</w:t>
      </w:r>
      <w:r w:rsidR="00EF1DB2">
        <w:rPr>
          <w:szCs w:val="24"/>
          <w:lang w:val="es-ES_tradnl" w:eastAsia="zh-CN"/>
        </w:rPr>
        <w:t xml:space="preserve"> com</w:t>
      </w:r>
      <w:r w:rsidR="007F4559">
        <w:rPr>
          <w:szCs w:val="24"/>
          <w:lang w:val="es-ES_tradnl" w:eastAsia="zh-CN"/>
        </w:rPr>
        <w:t>unes</w:t>
      </w:r>
      <w:r w:rsidR="00EF1DB2">
        <w:rPr>
          <w:szCs w:val="24"/>
          <w:lang w:val="es-ES_tradnl" w:eastAsia="zh-CN"/>
        </w:rPr>
        <w:t xml:space="preserve"> serán aprobadas por toda</w:t>
      </w:r>
      <w:r w:rsidRPr="00A80326">
        <w:rPr>
          <w:szCs w:val="24"/>
          <w:lang w:val="es-ES_tradnl" w:eastAsia="zh-CN"/>
        </w:rPr>
        <w:t>s l</w:t>
      </w:r>
      <w:r w:rsidR="00EF1DB2">
        <w:rPr>
          <w:szCs w:val="24"/>
          <w:lang w:val="es-ES_tradnl" w:eastAsia="zh-CN"/>
        </w:rPr>
        <w:t>a</w:t>
      </w:r>
      <w:r w:rsidRPr="00A80326">
        <w:rPr>
          <w:szCs w:val="24"/>
          <w:lang w:val="es-ES_tradnl" w:eastAsia="zh-CN"/>
        </w:rPr>
        <w:t xml:space="preserve">s </w:t>
      </w:r>
      <w:r w:rsidR="00EF1DB2">
        <w:rPr>
          <w:szCs w:val="24"/>
          <w:lang w:val="es-ES_tradnl" w:eastAsia="zh-CN"/>
        </w:rPr>
        <w:t>Comisiones de E</w:t>
      </w:r>
      <w:r w:rsidRPr="00A80326">
        <w:rPr>
          <w:szCs w:val="24"/>
          <w:lang w:val="es-ES_tradnl" w:eastAsia="zh-CN"/>
        </w:rPr>
        <w:t>studio.</w:t>
      </w:r>
    </w:p>
    <w:p w:rsidR="00A80326" w:rsidRPr="00A80326" w:rsidRDefault="00A80326" w:rsidP="007F4559">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A80326">
        <w:rPr>
          <w:szCs w:val="24"/>
          <w:lang w:val="es-ES_tradnl" w:eastAsia="zh-CN"/>
        </w:rPr>
        <w:t>Los resultados de l</w:t>
      </w:r>
      <w:r w:rsidR="007F4559">
        <w:rPr>
          <w:szCs w:val="24"/>
          <w:lang w:val="es-ES_tradnl" w:eastAsia="zh-CN"/>
        </w:rPr>
        <w:t>a labor de</w:t>
      </w:r>
      <w:r w:rsidRPr="00A80326">
        <w:rPr>
          <w:szCs w:val="24"/>
          <w:lang w:val="es-ES_tradnl" w:eastAsia="zh-CN"/>
        </w:rPr>
        <w:t xml:space="preserve"> un GRI </w:t>
      </w:r>
      <w:r w:rsidR="007F4559">
        <w:rPr>
          <w:szCs w:val="24"/>
          <w:lang w:val="es-ES_tradnl" w:eastAsia="zh-CN"/>
        </w:rPr>
        <w:t>r</w:t>
      </w:r>
      <w:r w:rsidRPr="00A80326">
        <w:rPr>
          <w:szCs w:val="24"/>
          <w:lang w:val="es-ES_tradnl" w:eastAsia="zh-CN"/>
        </w:rPr>
        <w:t>epresenta</w:t>
      </w:r>
      <w:r w:rsidR="007F4559">
        <w:rPr>
          <w:szCs w:val="24"/>
          <w:lang w:val="es-ES_tradnl" w:eastAsia="zh-CN"/>
        </w:rPr>
        <w:t>rán</w:t>
      </w:r>
      <w:r w:rsidRPr="00A80326">
        <w:rPr>
          <w:szCs w:val="24"/>
          <w:lang w:val="es-ES_tradnl" w:eastAsia="zh-CN"/>
        </w:rPr>
        <w:t xml:space="preserve"> el consenso </w:t>
      </w:r>
      <w:r w:rsidR="007F4559">
        <w:rPr>
          <w:szCs w:val="24"/>
          <w:lang w:val="es-ES_tradnl" w:eastAsia="zh-CN"/>
        </w:rPr>
        <w:t xml:space="preserve">acordado </w:t>
      </w:r>
      <w:r w:rsidRPr="00A80326">
        <w:rPr>
          <w:szCs w:val="24"/>
          <w:lang w:val="es-ES_tradnl" w:eastAsia="zh-CN"/>
        </w:rPr>
        <w:t>de</w:t>
      </w:r>
      <w:r w:rsidR="007F4559">
        <w:rPr>
          <w:szCs w:val="24"/>
          <w:lang w:val="es-ES_tradnl" w:eastAsia="zh-CN"/>
        </w:rPr>
        <w:t>l GRI o reflejarán</w:t>
      </w:r>
      <w:r w:rsidRPr="00A80326">
        <w:rPr>
          <w:szCs w:val="24"/>
          <w:lang w:val="es-ES_tradnl" w:eastAsia="zh-CN"/>
        </w:rPr>
        <w:t xml:space="preserve"> la diversidad de </w:t>
      </w:r>
      <w:r w:rsidR="007F4559">
        <w:rPr>
          <w:szCs w:val="24"/>
          <w:lang w:val="es-ES_tradnl" w:eastAsia="zh-CN"/>
        </w:rPr>
        <w:t xml:space="preserve">los </w:t>
      </w:r>
      <w:r w:rsidRPr="00A80326">
        <w:rPr>
          <w:szCs w:val="24"/>
          <w:lang w:val="es-ES_tradnl" w:eastAsia="zh-CN"/>
        </w:rPr>
        <w:t xml:space="preserve">puntos de vista de los participantes en </w:t>
      </w:r>
      <w:r w:rsidR="007F4559">
        <w:rPr>
          <w:szCs w:val="24"/>
          <w:lang w:val="es-ES_tradnl" w:eastAsia="zh-CN"/>
        </w:rPr>
        <w:t xml:space="preserve">dicho Grupo. </w:t>
      </w:r>
    </w:p>
    <w:p w:rsidR="003B438E" w:rsidRPr="00845AD9" w:rsidRDefault="003B438E" w:rsidP="00A80326">
      <w:pPr>
        <w:pStyle w:val="Headingb"/>
        <w:rPr>
          <w:lang w:val="es-ES_tradnl"/>
        </w:rPr>
      </w:pPr>
      <w:r w:rsidRPr="00845AD9">
        <w:rPr>
          <w:lang w:val="es-ES_tradnl"/>
        </w:rPr>
        <w:t>7</w:t>
      </w:r>
      <w:r w:rsidRPr="00845AD9">
        <w:rPr>
          <w:lang w:val="es-ES_tradnl"/>
        </w:rPr>
        <w:tab/>
      </w:r>
      <w:r w:rsidR="00A80326" w:rsidRPr="00845AD9">
        <w:rPr>
          <w:lang w:val="es-ES_tradnl"/>
        </w:rPr>
        <w:t xml:space="preserve">Reuniones </w:t>
      </w:r>
    </w:p>
    <w:p w:rsidR="007F4559" w:rsidRDefault="007F4559" w:rsidP="0057710D">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7F4559">
        <w:rPr>
          <w:szCs w:val="24"/>
          <w:lang w:val="es-ES_tradnl" w:eastAsia="zh-CN"/>
        </w:rPr>
        <w:t>La frecuencia y</w:t>
      </w:r>
      <w:r>
        <w:rPr>
          <w:szCs w:val="24"/>
          <w:lang w:val="es-ES_tradnl" w:eastAsia="zh-CN"/>
        </w:rPr>
        <w:t xml:space="preserve"> el</w:t>
      </w:r>
      <w:r w:rsidRPr="007F4559">
        <w:rPr>
          <w:szCs w:val="24"/>
          <w:lang w:val="es-ES_tradnl" w:eastAsia="zh-CN"/>
        </w:rPr>
        <w:t xml:space="preserve"> lugar de celebraci</w:t>
      </w:r>
      <w:r>
        <w:rPr>
          <w:szCs w:val="24"/>
          <w:lang w:val="es-ES_tradnl" w:eastAsia="zh-CN"/>
        </w:rPr>
        <w:t>ón de las reuniones serán determinados por el GRI</w:t>
      </w:r>
      <w:r w:rsidR="0057710D">
        <w:rPr>
          <w:szCs w:val="24"/>
          <w:lang w:val="es-ES_tradnl" w:eastAsia="zh-CN"/>
        </w:rPr>
        <w:t xml:space="preserve">, que anunciará cuanto antes </w:t>
      </w:r>
      <w:r>
        <w:rPr>
          <w:szCs w:val="24"/>
          <w:lang w:val="es-ES_tradnl" w:eastAsia="zh-CN"/>
        </w:rPr>
        <w:t>el plan general de reuniones</w:t>
      </w:r>
      <w:r w:rsidR="0057710D">
        <w:rPr>
          <w:szCs w:val="24"/>
          <w:lang w:val="es-ES_tradnl" w:eastAsia="zh-CN"/>
        </w:rPr>
        <w:t xml:space="preserve">. </w:t>
      </w:r>
      <w:r>
        <w:rPr>
          <w:szCs w:val="24"/>
          <w:lang w:val="es-ES_tradnl" w:eastAsia="zh-CN"/>
        </w:rPr>
        <w:t xml:space="preserve">En la medida de lo posible, el GRI utilizará medios de colaboración a distancia y celebrará sus reuniones en </w:t>
      </w:r>
      <w:r w:rsidRPr="007F4559">
        <w:rPr>
          <w:szCs w:val="24"/>
          <w:lang w:val="es-ES_tradnl" w:eastAsia="zh-CN"/>
        </w:rPr>
        <w:t>el mismo lugar que</w:t>
      </w:r>
      <w:r>
        <w:rPr>
          <w:szCs w:val="24"/>
          <w:lang w:val="es-ES_tradnl" w:eastAsia="zh-CN"/>
        </w:rPr>
        <w:t xml:space="preserve"> otras</w:t>
      </w:r>
      <w:r w:rsidRPr="007F4559">
        <w:rPr>
          <w:szCs w:val="24"/>
          <w:lang w:val="es-ES_tradnl" w:eastAsia="zh-CN"/>
        </w:rPr>
        <w:t xml:space="preserve"> reuniones </w:t>
      </w:r>
      <w:r>
        <w:rPr>
          <w:szCs w:val="24"/>
          <w:lang w:val="es-ES_tradnl" w:eastAsia="zh-CN"/>
        </w:rPr>
        <w:t xml:space="preserve">(por ejemplo, </w:t>
      </w:r>
      <w:r w:rsidR="000339CB">
        <w:rPr>
          <w:szCs w:val="24"/>
          <w:lang w:val="es-ES_tradnl" w:eastAsia="zh-CN"/>
        </w:rPr>
        <w:t xml:space="preserve">reuniones </w:t>
      </w:r>
      <w:r>
        <w:rPr>
          <w:szCs w:val="24"/>
          <w:lang w:val="es-ES_tradnl" w:eastAsia="zh-CN"/>
        </w:rPr>
        <w:t xml:space="preserve">de Comisiones de Estudio o del </w:t>
      </w:r>
      <w:r w:rsidRPr="007F4559">
        <w:rPr>
          <w:szCs w:val="24"/>
          <w:lang w:val="es-ES_tradnl" w:eastAsia="zh-CN"/>
        </w:rPr>
        <w:t>VQEG</w:t>
      </w:r>
      <w:r>
        <w:rPr>
          <w:szCs w:val="24"/>
          <w:lang w:val="es-ES_tradnl" w:eastAsia="zh-CN"/>
        </w:rPr>
        <w:t>).</w:t>
      </w:r>
    </w:p>
    <w:p w:rsidR="007F4559" w:rsidRPr="007F4559" w:rsidRDefault="007F4559" w:rsidP="007F4559">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Pr>
          <w:szCs w:val="24"/>
          <w:lang w:val="es-ES_tradnl" w:eastAsia="zh-CN"/>
        </w:rPr>
        <w:t>Las reuniones se anunciarán por medios electrónicos (por ejemplo, correo electrónico y páginas web) con dos meses de anticipación, como mínimo.</w:t>
      </w:r>
    </w:p>
    <w:p w:rsidR="003B438E" w:rsidRPr="000D4425" w:rsidRDefault="003B438E" w:rsidP="00A80326">
      <w:pPr>
        <w:pStyle w:val="Headingb"/>
        <w:rPr>
          <w:lang w:val="es-ES_tradnl"/>
        </w:rPr>
      </w:pPr>
      <w:r w:rsidRPr="000D4425">
        <w:rPr>
          <w:lang w:val="es-ES_tradnl"/>
        </w:rPr>
        <w:t>8</w:t>
      </w:r>
      <w:r w:rsidRPr="000D4425">
        <w:rPr>
          <w:lang w:val="es-ES_tradnl"/>
        </w:rPr>
        <w:tab/>
      </w:r>
      <w:r w:rsidR="00A80326" w:rsidRPr="000D4425">
        <w:rPr>
          <w:lang w:val="es-ES_tradnl"/>
        </w:rPr>
        <w:t xml:space="preserve">Informes de las reuniones </w:t>
      </w:r>
    </w:p>
    <w:p w:rsidR="000D4425" w:rsidRPr="000D4425" w:rsidRDefault="000D4425" w:rsidP="00F13114">
      <w:pPr>
        <w:rPr>
          <w:lang w:val="es-ES_tradnl" w:eastAsia="zh-CN"/>
        </w:rPr>
      </w:pPr>
      <w:r w:rsidRPr="000D4425">
        <w:rPr>
          <w:sz w:val="23"/>
          <w:szCs w:val="23"/>
          <w:lang w:val="es-ES_tradnl"/>
        </w:rPr>
        <w:t>El GRI-AVQA preparará informes sobre sus actividades que se</w:t>
      </w:r>
      <w:r w:rsidR="00F13114">
        <w:rPr>
          <w:sz w:val="23"/>
          <w:szCs w:val="23"/>
          <w:lang w:val="es-ES_tradnl"/>
        </w:rPr>
        <w:t>rán</w:t>
      </w:r>
      <w:r w:rsidRPr="000D4425">
        <w:rPr>
          <w:sz w:val="23"/>
          <w:szCs w:val="23"/>
          <w:lang w:val="es-ES_tradnl"/>
        </w:rPr>
        <w:t xml:space="preserve"> presenta</w:t>
      </w:r>
      <w:r w:rsidR="00F13114">
        <w:rPr>
          <w:sz w:val="23"/>
          <w:szCs w:val="23"/>
          <w:lang w:val="es-ES_tradnl"/>
        </w:rPr>
        <w:t>dos</w:t>
      </w:r>
      <w:r>
        <w:rPr>
          <w:sz w:val="23"/>
          <w:szCs w:val="23"/>
          <w:lang w:val="es-ES_tradnl"/>
        </w:rPr>
        <w:t xml:space="preserve"> en cada reunión de sus Comisiones de Estudio rectoras.</w:t>
      </w:r>
    </w:p>
    <w:p w:rsidR="003B438E" w:rsidRPr="000D4425" w:rsidRDefault="003B438E" w:rsidP="000D4425">
      <w:pPr>
        <w:pStyle w:val="Headingb"/>
        <w:rPr>
          <w:lang w:val="es-ES_tradnl"/>
        </w:rPr>
      </w:pPr>
      <w:r w:rsidRPr="000D4425">
        <w:rPr>
          <w:lang w:val="es-ES_tradnl"/>
        </w:rPr>
        <w:t>9</w:t>
      </w:r>
      <w:r w:rsidRPr="000D4425">
        <w:rPr>
          <w:lang w:val="es-ES_tradnl"/>
        </w:rPr>
        <w:tab/>
      </w:r>
      <w:r w:rsidR="000D4425" w:rsidRPr="000D4425">
        <w:rPr>
          <w:lang w:val="es-ES_tradnl"/>
        </w:rPr>
        <w:t xml:space="preserve">Idioma de trabajo </w:t>
      </w:r>
    </w:p>
    <w:p w:rsidR="003B438E" w:rsidRPr="000D4425" w:rsidRDefault="000D4425" w:rsidP="000D442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0D4425">
        <w:rPr>
          <w:szCs w:val="24"/>
          <w:lang w:val="es-ES_tradnl" w:eastAsia="zh-CN"/>
        </w:rPr>
        <w:t>E</w:t>
      </w:r>
      <w:r>
        <w:rPr>
          <w:szCs w:val="24"/>
          <w:lang w:val="es-ES_tradnl" w:eastAsia="zh-CN"/>
        </w:rPr>
        <w:t>l inglés será e</w:t>
      </w:r>
      <w:r w:rsidRPr="000D4425">
        <w:rPr>
          <w:szCs w:val="24"/>
          <w:lang w:val="es-ES_tradnl" w:eastAsia="zh-CN"/>
        </w:rPr>
        <w:t xml:space="preserve">l idioma de trabajo </w:t>
      </w:r>
      <w:r>
        <w:rPr>
          <w:szCs w:val="24"/>
          <w:lang w:val="es-ES_tradnl" w:eastAsia="zh-CN"/>
        </w:rPr>
        <w:t xml:space="preserve">de este Grupo.  </w:t>
      </w:r>
    </w:p>
    <w:p w:rsidR="003B438E" w:rsidRPr="001B1A99" w:rsidRDefault="003B438E" w:rsidP="001B1A99">
      <w:pPr>
        <w:pStyle w:val="Headingb"/>
        <w:rPr>
          <w:lang w:val="es-ES_tradnl"/>
        </w:rPr>
      </w:pPr>
      <w:r w:rsidRPr="001B1A99">
        <w:rPr>
          <w:lang w:val="es-ES_tradnl"/>
        </w:rPr>
        <w:t>10</w:t>
      </w:r>
      <w:r w:rsidRPr="001B1A99">
        <w:rPr>
          <w:lang w:val="es-ES_tradnl"/>
        </w:rPr>
        <w:tab/>
      </w:r>
      <w:r w:rsidR="001B1A99" w:rsidRPr="001B1A99">
        <w:rPr>
          <w:lang w:val="es-ES_tradnl"/>
        </w:rPr>
        <w:t xml:space="preserve">Directrices de trabajo </w:t>
      </w:r>
    </w:p>
    <w:p w:rsidR="003B438E" w:rsidRPr="001B1A99" w:rsidRDefault="001B1A99" w:rsidP="001B1A99">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sidRPr="001B1A99">
        <w:rPr>
          <w:sz w:val="23"/>
          <w:szCs w:val="23"/>
          <w:lang w:val="es-ES_tradnl"/>
        </w:rPr>
        <w:t>El GRI-AVQA está regulado por las disposiciones aplicables a los Grupos de Relator que figuran en la Resolución UIT-R 1-6 y en la Recomendación UIT-T A.1 (véase también el Manual del UIT</w:t>
      </w:r>
      <w:r w:rsidRPr="001B1A99">
        <w:rPr>
          <w:sz w:val="23"/>
          <w:szCs w:val="23"/>
          <w:lang w:val="es-ES_tradnl"/>
        </w:rPr>
        <w:noBreakHyphen/>
        <w:t xml:space="preserve">T para Relatores y Editores en </w:t>
      </w:r>
      <w:hyperlink r:id="rId14" w:history="1">
        <w:r w:rsidR="003B438E" w:rsidRPr="001B1A99">
          <w:rPr>
            <w:rStyle w:val="Hyperlink"/>
            <w:szCs w:val="24"/>
            <w:lang w:val="es-ES_tradnl" w:eastAsia="ja-JP"/>
          </w:rPr>
          <w:t>http://www.itu.int/oth/T0A0F000006/en</w:t>
        </w:r>
      </w:hyperlink>
      <w:r w:rsidR="003B438E" w:rsidRPr="001B1A99">
        <w:rPr>
          <w:szCs w:val="24"/>
          <w:lang w:val="es-ES_tradnl" w:eastAsia="ja-JP"/>
        </w:rPr>
        <w:t>).</w:t>
      </w:r>
    </w:p>
    <w:p w:rsidR="001B1A99" w:rsidRPr="00E314E9" w:rsidRDefault="001B1A99" w:rsidP="001B1A99">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E314E9">
        <w:rPr>
          <w:szCs w:val="24"/>
          <w:lang w:val="es-ES_tradnl" w:eastAsia="zh-CN"/>
        </w:rPr>
        <w:t>Asimismo, el GRI seguirá las directrices descritas en el Anexo C de la Resolución 18 de la AMNT</w:t>
      </w:r>
      <w:r w:rsidRPr="00E314E9">
        <w:rPr>
          <w:szCs w:val="24"/>
          <w:lang w:val="es-ES_tradnl" w:eastAsia="zh-CN"/>
        </w:rPr>
        <w:noBreakHyphen/>
        <w:t>12 y en las correspondientes disposiciones de la Resolución UIT-R 6 (en consonancia con las conclusiones del Grupo Asesor de Radiocomunicaciones (GAR) adoptadas en su reunión del 22</w:t>
      </w:r>
      <w:r w:rsidRPr="00E314E9">
        <w:rPr>
          <w:szCs w:val="24"/>
          <w:lang w:val="es-ES_tradnl" w:eastAsia="zh-CN"/>
        </w:rPr>
        <w:noBreakHyphen/>
        <w:t>24 de mayo de 2013).</w:t>
      </w:r>
    </w:p>
    <w:p w:rsidR="003B438E" w:rsidRPr="00E314E9" w:rsidRDefault="003B438E" w:rsidP="00BF4313">
      <w:pPr>
        <w:pStyle w:val="Headingb"/>
        <w:rPr>
          <w:szCs w:val="24"/>
          <w:lang w:val="es-ES_tradnl"/>
        </w:rPr>
      </w:pPr>
      <w:r w:rsidRPr="00E314E9">
        <w:rPr>
          <w:szCs w:val="24"/>
          <w:lang w:val="es-ES_tradnl"/>
        </w:rPr>
        <w:lastRenderedPageBreak/>
        <w:t>11</w:t>
      </w:r>
      <w:r w:rsidRPr="00E314E9">
        <w:rPr>
          <w:szCs w:val="24"/>
          <w:lang w:val="es-ES_tradnl"/>
        </w:rPr>
        <w:tab/>
        <w:t>P</w:t>
      </w:r>
      <w:r w:rsidR="001B1A99" w:rsidRPr="00E314E9">
        <w:rPr>
          <w:szCs w:val="24"/>
          <w:lang w:val="es-ES_tradnl"/>
        </w:rPr>
        <w:t>olítica</w:t>
      </w:r>
      <w:r w:rsidR="00BF4313" w:rsidRPr="00E314E9">
        <w:rPr>
          <w:szCs w:val="24"/>
          <w:lang w:val="es-ES_tradnl"/>
        </w:rPr>
        <w:t xml:space="preserve"> sobre </w:t>
      </w:r>
      <w:r w:rsidR="001B1A99" w:rsidRPr="00E314E9">
        <w:rPr>
          <w:szCs w:val="24"/>
          <w:lang w:val="es-ES_tradnl"/>
        </w:rPr>
        <w:t>patente</w:t>
      </w:r>
      <w:r w:rsidR="00BF4313" w:rsidRPr="00E314E9">
        <w:rPr>
          <w:szCs w:val="24"/>
          <w:lang w:val="es-ES_tradnl"/>
        </w:rPr>
        <w:t>s</w:t>
      </w:r>
      <w:r w:rsidR="001B1A99" w:rsidRPr="00E314E9">
        <w:rPr>
          <w:szCs w:val="24"/>
          <w:lang w:val="es-ES_tradnl"/>
        </w:rPr>
        <w:t xml:space="preserve"> </w:t>
      </w:r>
    </w:p>
    <w:p w:rsidR="00BF4313" w:rsidRPr="00E314E9" w:rsidRDefault="00BF4313" w:rsidP="00BF4313">
      <w:pPr>
        <w:tabs>
          <w:tab w:val="clear" w:pos="794"/>
          <w:tab w:val="clear" w:pos="1191"/>
          <w:tab w:val="clear" w:pos="1588"/>
          <w:tab w:val="clear" w:pos="1985"/>
        </w:tabs>
        <w:overflowPunct/>
        <w:spacing w:before="0"/>
        <w:textAlignment w:val="auto"/>
        <w:rPr>
          <w:szCs w:val="24"/>
          <w:lang w:val="es-ES_tradnl"/>
        </w:rPr>
      </w:pPr>
      <w:r w:rsidRPr="00E314E9">
        <w:rPr>
          <w:szCs w:val="24"/>
          <w:lang w:val="es-ES_tradnl"/>
        </w:rPr>
        <w:t>Se aplicará la Política común sobre patentes de la UIT-T/UIT-R/ISO/CEI.</w:t>
      </w:r>
    </w:p>
    <w:p w:rsidR="003B438E" w:rsidRPr="00E314E9" w:rsidRDefault="003B438E" w:rsidP="00E314E9">
      <w:pPr>
        <w:pStyle w:val="Headingb"/>
        <w:rPr>
          <w:szCs w:val="24"/>
          <w:lang w:val="es-ES_tradnl"/>
        </w:rPr>
      </w:pPr>
      <w:r w:rsidRPr="00E314E9">
        <w:rPr>
          <w:szCs w:val="24"/>
          <w:lang w:val="es-ES_tradnl"/>
        </w:rPr>
        <w:t>12</w:t>
      </w:r>
      <w:r w:rsidRPr="00E314E9">
        <w:rPr>
          <w:szCs w:val="24"/>
          <w:lang w:val="es-ES_tradnl"/>
        </w:rPr>
        <w:tab/>
      </w:r>
      <w:r w:rsidR="00E314E9" w:rsidRPr="00E314E9">
        <w:rPr>
          <w:szCs w:val="24"/>
          <w:lang w:val="es-ES_tradnl"/>
        </w:rPr>
        <w:t xml:space="preserve">Dirección </w:t>
      </w:r>
    </w:p>
    <w:p w:rsidR="00E314E9" w:rsidRPr="00E314E9" w:rsidRDefault="00E314E9" w:rsidP="00E314E9">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Pr>
          <w:szCs w:val="24"/>
          <w:lang w:val="es-ES_tradnl" w:eastAsia="ja-JP"/>
        </w:rPr>
        <w:t xml:space="preserve">Véase el punto c del </w:t>
      </w:r>
      <w:r w:rsidRPr="00E314E9">
        <w:rPr>
          <w:szCs w:val="24"/>
          <w:lang w:val="es-ES_tradnl" w:eastAsia="ja-JP"/>
        </w:rPr>
        <w:t>Anexo C de la Resolución 18 de la AMNT</w:t>
      </w:r>
      <w:r w:rsidRPr="00E314E9">
        <w:rPr>
          <w:szCs w:val="24"/>
          <w:lang w:val="es-ES_tradnl" w:eastAsia="ja-JP"/>
        </w:rPr>
        <w:noBreakHyphen/>
        <w:t>12 y las correspondientes disposiciones de la Resolución UIT-R 6 (en consonancia con las conclusiones del Grupo Asesor de Radiocomunicaciones (GAR) adoptadas en su reunión del 22</w:t>
      </w:r>
      <w:r w:rsidRPr="00E314E9">
        <w:rPr>
          <w:szCs w:val="24"/>
          <w:lang w:val="es-ES_tradnl" w:eastAsia="ja-JP"/>
        </w:rPr>
        <w:noBreakHyphen/>
        <w:t>24 de mayo de 2013)</w:t>
      </w:r>
      <w:r>
        <w:rPr>
          <w:szCs w:val="24"/>
          <w:lang w:val="es-ES_tradnl" w:eastAsia="ja-JP"/>
        </w:rPr>
        <w:t>.</w:t>
      </w:r>
    </w:p>
    <w:p w:rsidR="003B438E" w:rsidRPr="000B17E7" w:rsidRDefault="003B438E" w:rsidP="00E314E9">
      <w:pPr>
        <w:pStyle w:val="Headingb"/>
        <w:rPr>
          <w:szCs w:val="24"/>
          <w:lang w:val="es-ES_tradnl"/>
        </w:rPr>
      </w:pPr>
      <w:r w:rsidRPr="000B17E7">
        <w:rPr>
          <w:szCs w:val="24"/>
          <w:lang w:val="es-ES_tradnl"/>
        </w:rPr>
        <w:t>13</w:t>
      </w:r>
      <w:r w:rsidRPr="000B17E7">
        <w:rPr>
          <w:szCs w:val="24"/>
          <w:lang w:val="es-ES_tradnl"/>
        </w:rPr>
        <w:tab/>
        <w:t>Termina</w:t>
      </w:r>
      <w:r w:rsidR="00E314E9" w:rsidRPr="000B17E7">
        <w:rPr>
          <w:szCs w:val="24"/>
          <w:lang w:val="es-ES_tradnl"/>
        </w:rPr>
        <w:t>ción de las actividades del GRI</w:t>
      </w:r>
      <w:r w:rsidRPr="000B17E7">
        <w:rPr>
          <w:szCs w:val="24"/>
          <w:lang w:val="es-ES_tradnl"/>
        </w:rPr>
        <w:t>-A</w:t>
      </w:r>
      <w:r w:rsidRPr="000B17E7">
        <w:rPr>
          <w:rFonts w:hint="eastAsia"/>
          <w:szCs w:val="24"/>
          <w:lang w:val="es-ES_tradnl"/>
        </w:rPr>
        <w:t>V</w:t>
      </w:r>
      <w:r w:rsidRPr="000B17E7">
        <w:rPr>
          <w:szCs w:val="24"/>
          <w:lang w:val="es-ES_tradnl"/>
        </w:rPr>
        <w:t>QA</w:t>
      </w:r>
    </w:p>
    <w:p w:rsidR="000B17E7" w:rsidRPr="000B17E7" w:rsidRDefault="000B17E7" w:rsidP="000B17E7">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sidRPr="000B17E7">
        <w:rPr>
          <w:szCs w:val="24"/>
          <w:lang w:val="es-ES_tradnl" w:eastAsia="ja-JP"/>
        </w:rPr>
        <w:t>Las actividades del GRI-AVQA proseguir</w:t>
      </w:r>
      <w:r>
        <w:rPr>
          <w:szCs w:val="24"/>
          <w:lang w:val="es-ES_tradnl" w:eastAsia="ja-JP"/>
        </w:rPr>
        <w:t xml:space="preserve">án hasta el final del actual periodo de estudios del UIT-T (2013-2016). Se podría prolongar su mandato por mutuo acuerdo de las tres Comisiones de Estudio. </w:t>
      </w:r>
    </w:p>
    <w:p w:rsidR="003B438E" w:rsidRPr="00F15390" w:rsidRDefault="003B438E" w:rsidP="003B438E">
      <w:pPr>
        <w:tabs>
          <w:tab w:val="clear" w:pos="794"/>
          <w:tab w:val="clear" w:pos="1191"/>
          <w:tab w:val="clear" w:pos="1588"/>
          <w:tab w:val="clear" w:pos="1985"/>
        </w:tabs>
        <w:overflowPunct/>
        <w:autoSpaceDE/>
        <w:autoSpaceDN/>
        <w:adjustRightInd/>
        <w:spacing w:before="100" w:after="100" w:line="240" w:lineRule="atLeast"/>
        <w:jc w:val="center"/>
        <w:textAlignment w:val="auto"/>
      </w:pPr>
      <w:r>
        <w:rPr>
          <w:rFonts w:ascii="Verdana" w:hAnsi="Verdana"/>
          <w:sz w:val="18"/>
          <w:szCs w:val="18"/>
          <w:lang w:val="en-US" w:eastAsia="zh-CN"/>
        </w:rPr>
        <w:t>__________</w:t>
      </w:r>
    </w:p>
    <w:p w:rsidR="00984951" w:rsidRDefault="00984951"/>
    <w:sectPr w:rsidR="00984951" w:rsidSect="00796AD3">
      <w:footerReference w:type="default" r:id="rId15"/>
      <w:type w:val="continuous"/>
      <w:pgSz w:w="11907" w:h="16840" w:code="9"/>
      <w:pgMar w:top="993" w:right="1134" w:bottom="993"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68" w:rsidRDefault="00083768" w:rsidP="00D53316">
      <w:pPr>
        <w:spacing w:before="0"/>
      </w:pPr>
      <w:r>
        <w:separator/>
      </w:r>
    </w:p>
  </w:endnote>
  <w:endnote w:type="continuationSeparator" w:id="0">
    <w:p w:rsidR="00083768" w:rsidRDefault="00083768" w:rsidP="00D5331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B1" w:rsidRPr="008023FB" w:rsidRDefault="008023FB" w:rsidP="003735A7">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s-ES_tradnl"/>
      </w:rPr>
    </w:pPr>
    <w:r w:rsidRPr="008023FB">
      <w:rPr>
        <w:rFonts w:ascii="Calibri" w:hAnsi="Calibri" w:cs="Calibri"/>
        <w:sz w:val="18"/>
        <w:szCs w:val="18"/>
        <w:lang w:val="es-ES_tradnl"/>
      </w:rPr>
      <w:t xml:space="preserve">Unión </w:t>
    </w:r>
    <w:r w:rsidR="009A38F6" w:rsidRPr="008023FB">
      <w:rPr>
        <w:rFonts w:ascii="Calibri" w:hAnsi="Calibri" w:cs="Calibri"/>
        <w:sz w:val="18"/>
        <w:szCs w:val="18"/>
        <w:lang w:val="es-ES_tradnl"/>
      </w:rPr>
      <w:t>Interna</w:t>
    </w:r>
    <w:r w:rsidRPr="008023FB">
      <w:rPr>
        <w:rFonts w:ascii="Calibri" w:hAnsi="Calibri" w:cs="Calibri"/>
        <w:sz w:val="18"/>
        <w:szCs w:val="18"/>
        <w:lang w:val="es-ES_tradnl"/>
      </w:rPr>
      <w:t>c</w:t>
    </w:r>
    <w:r w:rsidR="009A38F6" w:rsidRPr="008023FB">
      <w:rPr>
        <w:rFonts w:ascii="Calibri" w:hAnsi="Calibri" w:cs="Calibri"/>
        <w:sz w:val="18"/>
        <w:szCs w:val="18"/>
        <w:lang w:val="es-ES_tradnl"/>
      </w:rPr>
      <w:t xml:space="preserve">ional </w:t>
    </w:r>
    <w:r w:rsidRPr="008023FB">
      <w:rPr>
        <w:rFonts w:ascii="Calibri" w:hAnsi="Calibri" w:cs="Calibri"/>
        <w:sz w:val="18"/>
        <w:szCs w:val="18"/>
        <w:lang w:val="es-ES_tradnl"/>
      </w:rPr>
      <w:t xml:space="preserve">de </w:t>
    </w:r>
    <w:r w:rsidR="009A38F6" w:rsidRPr="008023FB">
      <w:rPr>
        <w:rFonts w:ascii="Calibri" w:hAnsi="Calibri" w:cs="Calibri"/>
        <w:sz w:val="18"/>
        <w:szCs w:val="18"/>
        <w:lang w:val="es-ES_tradnl"/>
      </w:rPr>
      <w:t>Telecomunica</w:t>
    </w:r>
    <w:r w:rsidRPr="008023FB">
      <w:rPr>
        <w:rFonts w:ascii="Calibri" w:hAnsi="Calibri" w:cs="Calibri"/>
        <w:sz w:val="18"/>
        <w:szCs w:val="18"/>
        <w:lang w:val="es-ES_tradnl"/>
      </w:rPr>
      <w:t xml:space="preserve">ciones </w:t>
    </w:r>
    <w:r w:rsidR="009A38F6" w:rsidRPr="008023FB">
      <w:rPr>
        <w:rFonts w:ascii="Calibri" w:hAnsi="Calibri" w:cs="Calibri"/>
        <w:sz w:val="18"/>
        <w:szCs w:val="18"/>
        <w:lang w:val="es-ES_tradnl"/>
      </w:rPr>
      <w:t xml:space="preserve">• Place des </w:t>
    </w:r>
    <w:proofErr w:type="spellStart"/>
    <w:r w:rsidR="009A38F6" w:rsidRPr="008023FB">
      <w:rPr>
        <w:rFonts w:ascii="Calibri" w:hAnsi="Calibri" w:cs="Calibri"/>
        <w:sz w:val="18"/>
        <w:szCs w:val="18"/>
        <w:lang w:val="es-ES_tradnl"/>
      </w:rPr>
      <w:t>Nations</w:t>
    </w:r>
    <w:proofErr w:type="spellEnd"/>
    <w:r w:rsidR="009A38F6" w:rsidRPr="008023FB">
      <w:rPr>
        <w:rFonts w:ascii="Calibri" w:hAnsi="Calibri" w:cs="Calibri"/>
        <w:sz w:val="18"/>
        <w:szCs w:val="18"/>
        <w:lang w:val="es-ES_tradnl"/>
      </w:rPr>
      <w:t xml:space="preserve"> • CH</w:t>
    </w:r>
    <w:r w:rsidR="009A38F6" w:rsidRPr="008023FB">
      <w:rPr>
        <w:rFonts w:ascii="Calibri" w:hAnsi="Calibri" w:cs="Calibri"/>
        <w:sz w:val="18"/>
        <w:szCs w:val="18"/>
        <w:lang w:val="es-ES_tradnl"/>
      </w:rPr>
      <w:noBreakHyphen/>
      <w:t>1211 G</w:t>
    </w:r>
    <w:r>
      <w:rPr>
        <w:rFonts w:ascii="Calibri" w:hAnsi="Calibri" w:cs="Calibri"/>
        <w:sz w:val="18"/>
        <w:szCs w:val="18"/>
        <w:lang w:val="es-ES_tradnl"/>
      </w:rPr>
      <w:t>inebra</w:t>
    </w:r>
    <w:r w:rsidR="009A38F6" w:rsidRPr="008023FB">
      <w:rPr>
        <w:rFonts w:ascii="Calibri" w:hAnsi="Calibri" w:cs="Calibri"/>
        <w:sz w:val="18"/>
        <w:szCs w:val="18"/>
        <w:lang w:val="es-ES_tradnl"/>
      </w:rPr>
      <w:t xml:space="preserve"> 20 • S</w:t>
    </w:r>
    <w:r>
      <w:rPr>
        <w:rFonts w:ascii="Calibri" w:hAnsi="Calibri" w:cs="Calibri"/>
        <w:sz w:val="18"/>
        <w:szCs w:val="18"/>
        <w:lang w:val="es-ES_tradnl"/>
      </w:rPr>
      <w:t>uiza</w:t>
    </w:r>
    <w:r w:rsidR="009A38F6" w:rsidRPr="008023FB">
      <w:rPr>
        <w:rFonts w:ascii="Calibri" w:hAnsi="Calibri" w:cs="Calibri"/>
        <w:sz w:val="18"/>
        <w:szCs w:val="18"/>
        <w:lang w:val="es-ES_tradnl"/>
      </w:rPr>
      <w:t xml:space="preserve"> </w:t>
    </w:r>
    <w:r w:rsidR="009A38F6" w:rsidRPr="008023FB">
      <w:rPr>
        <w:rFonts w:ascii="Calibri" w:hAnsi="Calibri" w:cs="Calibri"/>
        <w:sz w:val="18"/>
        <w:szCs w:val="18"/>
        <w:lang w:val="es-ES_tradnl"/>
      </w:rPr>
      <w:br/>
      <w:t xml:space="preserve">Tel: +41 22 730 </w:t>
    </w:r>
    <w:r w:rsidR="003735A7">
      <w:rPr>
        <w:rFonts w:ascii="Calibri" w:hAnsi="Calibri" w:cs="Calibri"/>
        <w:sz w:val="18"/>
        <w:szCs w:val="18"/>
        <w:lang w:val="es-ES_tradnl"/>
      </w:rPr>
      <w:t>5111 • Fax: +41 22 733 7256 • correo-e</w:t>
    </w:r>
    <w:r w:rsidR="009A38F6" w:rsidRPr="008023FB">
      <w:rPr>
        <w:rFonts w:ascii="Calibri" w:hAnsi="Calibri" w:cs="Calibri"/>
        <w:sz w:val="18"/>
        <w:szCs w:val="18"/>
        <w:lang w:val="es-ES_tradnl"/>
      </w:rPr>
      <w:t xml:space="preserve">: </w:t>
    </w:r>
    <w:hyperlink r:id="rId1" w:history="1">
      <w:r w:rsidR="009A38F6" w:rsidRPr="008023FB">
        <w:rPr>
          <w:rFonts w:ascii="Calibri" w:hAnsi="Calibri" w:cs="Calibri"/>
          <w:color w:val="0000FF"/>
          <w:sz w:val="18"/>
          <w:szCs w:val="18"/>
          <w:u w:val="single"/>
          <w:lang w:val="es-ES_tradnl"/>
        </w:rPr>
        <w:t>itumail@itu.int</w:t>
      </w:r>
    </w:hyperlink>
    <w:r w:rsidR="009A38F6" w:rsidRPr="008023FB">
      <w:rPr>
        <w:rFonts w:ascii="Calibri" w:hAnsi="Calibri" w:cs="Calibri"/>
        <w:sz w:val="18"/>
        <w:szCs w:val="18"/>
        <w:lang w:val="es-ES_tradnl"/>
      </w:rPr>
      <w:t xml:space="preserve"> • </w:t>
    </w:r>
    <w:hyperlink r:id="rId2" w:history="1">
      <w:r w:rsidR="009A38F6" w:rsidRPr="008023FB">
        <w:rPr>
          <w:rFonts w:ascii="Calibri" w:hAnsi="Calibri" w:cs="Calibri"/>
          <w:color w:val="0000FF"/>
          <w:sz w:val="18"/>
          <w:szCs w:val="18"/>
          <w:u w:val="single"/>
          <w:lang w:val="es-ES_tradnl"/>
        </w:rPr>
        <w:t>www.itu.int</w:t>
      </w:r>
    </w:hyperlink>
    <w:r w:rsidR="009A38F6" w:rsidRPr="008023FB">
      <w:rPr>
        <w:rFonts w:ascii="Calibri" w:hAnsi="Calibri" w:cs="Calibri"/>
        <w:sz w:val="18"/>
        <w:szCs w:val="18"/>
        <w:lang w:val="es-ES_tradnl"/>
      </w:rPr>
      <w:t xml:space="preserve"> •</w:t>
    </w:r>
  </w:p>
  <w:p w:rsidR="00D53316" w:rsidRPr="008023FB" w:rsidRDefault="00D53316" w:rsidP="000731B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FC" w:rsidRPr="00BF12FC" w:rsidRDefault="00BF12FC" w:rsidP="00BF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68" w:rsidRDefault="00083768" w:rsidP="00D53316">
      <w:pPr>
        <w:spacing w:before="0"/>
      </w:pPr>
      <w:r>
        <w:separator/>
      </w:r>
    </w:p>
  </w:footnote>
  <w:footnote w:type="continuationSeparator" w:id="0">
    <w:p w:rsidR="00083768" w:rsidRDefault="00083768" w:rsidP="00D5331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E8" w:rsidRDefault="009A38F6" w:rsidP="00060952">
    <w:pPr>
      <w:pStyle w:val="Header"/>
    </w:pPr>
    <w:r>
      <w:fldChar w:fldCharType="begin"/>
    </w:r>
    <w:r>
      <w:instrText>PAGE</w:instrText>
    </w:r>
    <w:r>
      <w:fldChar w:fldCharType="separate"/>
    </w:r>
    <w:r w:rsidR="00BF12FC">
      <w:rPr>
        <w:noProof/>
      </w:rPr>
      <w:t>- 5 -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DC20B0"/>
    <w:lvl w:ilvl="0">
      <w:start w:val="1"/>
      <w:numFmt w:val="bullet"/>
      <w:pStyle w:val="ListBullet"/>
      <w:lvlText w:val=""/>
      <w:lvlJc w:val="left"/>
      <w:pPr>
        <w:ind w:left="988" w:hanging="420"/>
      </w:pPr>
      <w:rPr>
        <w:rFonts w:ascii="Symbol" w:hAnsi="Symbol" w:hint="default"/>
      </w:rPr>
    </w:lvl>
  </w:abstractNum>
  <w:abstractNum w:abstractNumId="1">
    <w:nsid w:val="1F066D97"/>
    <w:multiLevelType w:val="hybridMultilevel"/>
    <w:tmpl w:val="F2E8317E"/>
    <w:lvl w:ilvl="0" w:tplc="88861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8E"/>
    <w:rsid w:val="00005BDE"/>
    <w:rsid w:val="000339CB"/>
    <w:rsid w:val="00051C5F"/>
    <w:rsid w:val="00081221"/>
    <w:rsid w:val="00083768"/>
    <w:rsid w:val="000B17E7"/>
    <w:rsid w:val="000D4425"/>
    <w:rsid w:val="00121545"/>
    <w:rsid w:val="001B1A99"/>
    <w:rsid w:val="001C01E8"/>
    <w:rsid w:val="00243EE5"/>
    <w:rsid w:val="00266387"/>
    <w:rsid w:val="00287FDB"/>
    <w:rsid w:val="00352761"/>
    <w:rsid w:val="00355794"/>
    <w:rsid w:val="003605AF"/>
    <w:rsid w:val="003735A7"/>
    <w:rsid w:val="003B2DB1"/>
    <w:rsid w:val="003B438E"/>
    <w:rsid w:val="00454B66"/>
    <w:rsid w:val="00497ADD"/>
    <w:rsid w:val="0057710D"/>
    <w:rsid w:val="005A6AF1"/>
    <w:rsid w:val="005B33EF"/>
    <w:rsid w:val="00602D36"/>
    <w:rsid w:val="0063250C"/>
    <w:rsid w:val="00647FD8"/>
    <w:rsid w:val="006632AC"/>
    <w:rsid w:val="00677844"/>
    <w:rsid w:val="006C0653"/>
    <w:rsid w:val="006C36CB"/>
    <w:rsid w:val="006D416E"/>
    <w:rsid w:val="00796AD3"/>
    <w:rsid w:val="007F16FC"/>
    <w:rsid w:val="007F4559"/>
    <w:rsid w:val="008023FB"/>
    <w:rsid w:val="008067A5"/>
    <w:rsid w:val="00807FCB"/>
    <w:rsid w:val="00837EEF"/>
    <w:rsid w:val="00845AD9"/>
    <w:rsid w:val="00863231"/>
    <w:rsid w:val="008729B1"/>
    <w:rsid w:val="00894893"/>
    <w:rsid w:val="008A4D89"/>
    <w:rsid w:val="00914BA8"/>
    <w:rsid w:val="00922756"/>
    <w:rsid w:val="00984951"/>
    <w:rsid w:val="009A38F6"/>
    <w:rsid w:val="009B1080"/>
    <w:rsid w:val="00A156F2"/>
    <w:rsid w:val="00A80326"/>
    <w:rsid w:val="00B759B1"/>
    <w:rsid w:val="00BF12FC"/>
    <w:rsid w:val="00BF4313"/>
    <w:rsid w:val="00C2345E"/>
    <w:rsid w:val="00CD1A90"/>
    <w:rsid w:val="00D05D4D"/>
    <w:rsid w:val="00D22166"/>
    <w:rsid w:val="00D407B7"/>
    <w:rsid w:val="00D53316"/>
    <w:rsid w:val="00D72B54"/>
    <w:rsid w:val="00D82251"/>
    <w:rsid w:val="00E314E9"/>
    <w:rsid w:val="00E336D1"/>
    <w:rsid w:val="00E412BD"/>
    <w:rsid w:val="00E71181"/>
    <w:rsid w:val="00EA524A"/>
    <w:rsid w:val="00ED48D5"/>
    <w:rsid w:val="00EE6766"/>
    <w:rsid w:val="00EF1DB2"/>
    <w:rsid w:val="00F02B48"/>
    <w:rsid w:val="00F13114"/>
    <w:rsid w:val="00F207B0"/>
    <w:rsid w:val="00F43986"/>
    <w:rsid w:val="00F6525E"/>
    <w:rsid w:val="00F858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8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3B438E"/>
  </w:style>
  <w:style w:type="paragraph" w:styleId="Footer">
    <w:name w:val="footer"/>
    <w:basedOn w:val="Normal"/>
    <w:link w:val="FooterChar"/>
    <w:rsid w:val="003B438E"/>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3B438E"/>
    <w:rPr>
      <w:rFonts w:ascii="Times New Roman" w:eastAsia="Times New Roman" w:hAnsi="Times New Roman" w:cs="Times New Roman"/>
      <w:caps/>
      <w:sz w:val="18"/>
      <w:szCs w:val="20"/>
      <w:lang w:val="en-GB" w:eastAsia="en-US"/>
    </w:rPr>
  </w:style>
  <w:style w:type="paragraph" w:styleId="Header">
    <w:name w:val="header"/>
    <w:basedOn w:val="Normal"/>
    <w:link w:val="HeaderChar"/>
    <w:rsid w:val="003B438E"/>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rsid w:val="003B438E"/>
    <w:rPr>
      <w:rFonts w:ascii="Times New Roman" w:eastAsia="Times New Roman" w:hAnsi="Times New Roman" w:cs="Times New Roman"/>
      <w:szCs w:val="20"/>
      <w:lang w:val="en-GB" w:eastAsia="en-US"/>
    </w:rPr>
  </w:style>
  <w:style w:type="character" w:styleId="Hyperlink">
    <w:name w:val="Hyperlink"/>
    <w:rsid w:val="003B438E"/>
    <w:rPr>
      <w:color w:val="0000FF"/>
      <w:u w:val="single"/>
    </w:rPr>
  </w:style>
  <w:style w:type="paragraph" w:customStyle="1" w:styleId="AnnexNotitle">
    <w:name w:val="Annex_No &amp; title"/>
    <w:basedOn w:val="Normal"/>
    <w:next w:val="Normal"/>
    <w:rsid w:val="003B438E"/>
    <w:pPr>
      <w:keepNext/>
      <w:keepLines/>
      <w:spacing w:before="480"/>
      <w:jc w:val="center"/>
    </w:pPr>
    <w:rPr>
      <w:b/>
      <w:sz w:val="28"/>
    </w:rPr>
  </w:style>
  <w:style w:type="paragraph" w:customStyle="1" w:styleId="Headingb">
    <w:name w:val="Heading_b"/>
    <w:basedOn w:val="Normal"/>
    <w:next w:val="Normal"/>
    <w:rsid w:val="003B438E"/>
    <w:pPr>
      <w:keepNext/>
      <w:spacing w:before="160"/>
    </w:pPr>
    <w:rPr>
      <w:b/>
    </w:rPr>
  </w:style>
  <w:style w:type="paragraph" w:styleId="ListBullet">
    <w:name w:val="List Bullet"/>
    <w:basedOn w:val="Normal"/>
    <w:rsid w:val="003B438E"/>
    <w:pPr>
      <w:numPr>
        <w:numId w:val="1"/>
      </w:numPr>
      <w:tabs>
        <w:tab w:val="clear" w:pos="794"/>
        <w:tab w:val="clear" w:pos="1191"/>
        <w:tab w:val="clear" w:pos="1588"/>
        <w:tab w:val="clear" w:pos="1985"/>
        <w:tab w:val="left" w:pos="720"/>
      </w:tabs>
      <w:contextualSpacing/>
    </w:pPr>
    <w:rPr>
      <w:rFonts w:eastAsia="MS Mincho"/>
    </w:rPr>
  </w:style>
  <w:style w:type="paragraph" w:styleId="BalloonText">
    <w:name w:val="Balloon Text"/>
    <w:basedOn w:val="Normal"/>
    <w:link w:val="BalloonTextChar"/>
    <w:uiPriority w:val="99"/>
    <w:semiHidden/>
    <w:unhideWhenUsed/>
    <w:rsid w:val="00BF12F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FC"/>
    <w:rPr>
      <w:rFonts w:ascii="Tahoma" w:eastAsia="Times New Roma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8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3B438E"/>
  </w:style>
  <w:style w:type="paragraph" w:styleId="Footer">
    <w:name w:val="footer"/>
    <w:basedOn w:val="Normal"/>
    <w:link w:val="FooterChar"/>
    <w:rsid w:val="003B438E"/>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3B438E"/>
    <w:rPr>
      <w:rFonts w:ascii="Times New Roman" w:eastAsia="Times New Roman" w:hAnsi="Times New Roman" w:cs="Times New Roman"/>
      <w:caps/>
      <w:sz w:val="18"/>
      <w:szCs w:val="20"/>
      <w:lang w:val="en-GB" w:eastAsia="en-US"/>
    </w:rPr>
  </w:style>
  <w:style w:type="paragraph" w:styleId="Header">
    <w:name w:val="header"/>
    <w:basedOn w:val="Normal"/>
    <w:link w:val="HeaderChar"/>
    <w:rsid w:val="003B438E"/>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rsid w:val="003B438E"/>
    <w:rPr>
      <w:rFonts w:ascii="Times New Roman" w:eastAsia="Times New Roman" w:hAnsi="Times New Roman" w:cs="Times New Roman"/>
      <w:szCs w:val="20"/>
      <w:lang w:val="en-GB" w:eastAsia="en-US"/>
    </w:rPr>
  </w:style>
  <w:style w:type="character" w:styleId="Hyperlink">
    <w:name w:val="Hyperlink"/>
    <w:rsid w:val="003B438E"/>
    <w:rPr>
      <w:color w:val="0000FF"/>
      <w:u w:val="single"/>
    </w:rPr>
  </w:style>
  <w:style w:type="paragraph" w:customStyle="1" w:styleId="AnnexNotitle">
    <w:name w:val="Annex_No &amp; title"/>
    <w:basedOn w:val="Normal"/>
    <w:next w:val="Normal"/>
    <w:rsid w:val="003B438E"/>
    <w:pPr>
      <w:keepNext/>
      <w:keepLines/>
      <w:spacing w:before="480"/>
      <w:jc w:val="center"/>
    </w:pPr>
    <w:rPr>
      <w:b/>
      <w:sz w:val="28"/>
    </w:rPr>
  </w:style>
  <w:style w:type="paragraph" w:customStyle="1" w:styleId="Headingb">
    <w:name w:val="Heading_b"/>
    <w:basedOn w:val="Normal"/>
    <w:next w:val="Normal"/>
    <w:rsid w:val="003B438E"/>
    <w:pPr>
      <w:keepNext/>
      <w:spacing w:before="160"/>
    </w:pPr>
    <w:rPr>
      <w:b/>
    </w:rPr>
  </w:style>
  <w:style w:type="paragraph" w:styleId="ListBullet">
    <w:name w:val="List Bullet"/>
    <w:basedOn w:val="Normal"/>
    <w:rsid w:val="003B438E"/>
    <w:pPr>
      <w:numPr>
        <w:numId w:val="1"/>
      </w:numPr>
      <w:tabs>
        <w:tab w:val="clear" w:pos="794"/>
        <w:tab w:val="clear" w:pos="1191"/>
        <w:tab w:val="clear" w:pos="1588"/>
        <w:tab w:val="clear" w:pos="1985"/>
        <w:tab w:val="left" w:pos="720"/>
      </w:tabs>
      <w:contextualSpacing/>
    </w:pPr>
    <w:rPr>
      <w:rFonts w:eastAsia="MS Mincho"/>
    </w:rPr>
  </w:style>
  <w:style w:type="paragraph" w:styleId="BalloonText">
    <w:name w:val="Balloon Text"/>
    <w:basedOn w:val="Normal"/>
    <w:link w:val="BalloonTextChar"/>
    <w:uiPriority w:val="99"/>
    <w:semiHidden/>
    <w:unhideWhenUsed/>
    <w:rsid w:val="00BF12F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FC"/>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3814">
      <w:bodyDiv w:val="1"/>
      <w:marLeft w:val="0"/>
      <w:marRight w:val="0"/>
      <w:marTop w:val="0"/>
      <w:marBottom w:val="0"/>
      <w:divBdr>
        <w:top w:val="none" w:sz="0" w:space="0" w:color="auto"/>
        <w:left w:val="none" w:sz="0" w:space="0" w:color="auto"/>
        <w:bottom w:val="none" w:sz="0" w:space="0" w:color="auto"/>
        <w:right w:val="none" w:sz="0" w:space="0" w:color="auto"/>
      </w:divBdr>
      <w:divsChild>
        <w:div w:id="58209841">
          <w:marLeft w:val="0"/>
          <w:marRight w:val="0"/>
          <w:marTop w:val="0"/>
          <w:marBottom w:val="0"/>
          <w:divBdr>
            <w:top w:val="none" w:sz="0" w:space="0" w:color="auto"/>
            <w:left w:val="none" w:sz="0" w:space="0" w:color="auto"/>
            <w:bottom w:val="none" w:sz="0" w:space="0" w:color="auto"/>
            <w:right w:val="none" w:sz="0" w:space="0" w:color="auto"/>
          </w:divBdr>
        </w:div>
      </w:divsChild>
    </w:div>
    <w:div w:id="1055858687">
      <w:bodyDiv w:val="1"/>
      <w:marLeft w:val="0"/>
      <w:marRight w:val="0"/>
      <w:marTop w:val="0"/>
      <w:marBottom w:val="0"/>
      <w:divBdr>
        <w:top w:val="none" w:sz="0" w:space="0" w:color="auto"/>
        <w:left w:val="none" w:sz="0" w:space="0" w:color="auto"/>
        <w:bottom w:val="none" w:sz="0" w:space="0" w:color="auto"/>
        <w:right w:val="none" w:sz="0" w:space="0" w:color="auto"/>
      </w:divBdr>
      <w:divsChild>
        <w:div w:id="1390693853">
          <w:marLeft w:val="0"/>
          <w:marRight w:val="0"/>
          <w:marTop w:val="0"/>
          <w:marBottom w:val="0"/>
          <w:divBdr>
            <w:top w:val="none" w:sz="0" w:space="0" w:color="auto"/>
            <w:left w:val="none" w:sz="0" w:space="0" w:color="auto"/>
            <w:bottom w:val="none" w:sz="0" w:space="0" w:color="auto"/>
            <w:right w:val="none" w:sz="0" w:space="0" w:color="auto"/>
          </w:divBdr>
        </w:div>
      </w:divsChild>
    </w:div>
    <w:div w:id="1225406265">
      <w:bodyDiv w:val="1"/>
      <w:marLeft w:val="0"/>
      <w:marRight w:val="0"/>
      <w:marTop w:val="0"/>
      <w:marBottom w:val="0"/>
      <w:divBdr>
        <w:top w:val="none" w:sz="0" w:space="0" w:color="auto"/>
        <w:left w:val="none" w:sz="0" w:space="0" w:color="auto"/>
        <w:bottom w:val="none" w:sz="0" w:space="0" w:color="auto"/>
        <w:right w:val="none" w:sz="0" w:space="0" w:color="auto"/>
      </w:divBdr>
      <w:divsChild>
        <w:div w:id="481388516">
          <w:marLeft w:val="0"/>
          <w:marRight w:val="0"/>
          <w:marTop w:val="0"/>
          <w:marBottom w:val="0"/>
          <w:divBdr>
            <w:top w:val="none" w:sz="0" w:space="0" w:color="auto"/>
            <w:left w:val="none" w:sz="0" w:space="0" w:color="auto"/>
            <w:bottom w:val="none" w:sz="0" w:space="0" w:color="auto"/>
            <w:right w:val="none" w:sz="0" w:space="0" w:color="auto"/>
          </w:divBdr>
        </w:div>
      </w:divsChild>
    </w:div>
    <w:div w:id="1943224329">
      <w:bodyDiv w:val="1"/>
      <w:marLeft w:val="0"/>
      <w:marRight w:val="0"/>
      <w:marTop w:val="0"/>
      <w:marBottom w:val="0"/>
      <w:divBdr>
        <w:top w:val="none" w:sz="0" w:space="0" w:color="auto"/>
        <w:left w:val="none" w:sz="0" w:space="0" w:color="auto"/>
        <w:bottom w:val="none" w:sz="0" w:space="0" w:color="auto"/>
        <w:right w:val="none" w:sz="0" w:space="0" w:color="auto"/>
      </w:divBdr>
      <w:divsChild>
        <w:div w:id="1657101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9@itu.in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tu.int/oth/T0A0F000006/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30EB-329C-4C39-BE6C-DCC31866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 Rodriguez, Susana</dc:creator>
  <cp:lastModifiedBy>Mostyn-Jones, Elizabeth</cp:lastModifiedBy>
  <cp:revision>4</cp:revision>
  <cp:lastPrinted>2014-01-21T16:15:00Z</cp:lastPrinted>
  <dcterms:created xsi:type="dcterms:W3CDTF">2014-01-21T09:14:00Z</dcterms:created>
  <dcterms:modified xsi:type="dcterms:W3CDTF">2014-01-21T16:15:00Z</dcterms:modified>
</cp:coreProperties>
</file>