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86" w:rsidRPr="006D4AF6" w:rsidRDefault="00D27786" w:rsidP="00F15390">
      <w:pPr>
        <w:spacing w:before="0"/>
      </w:pPr>
    </w:p>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3828"/>
        <w:gridCol w:w="2693"/>
        <w:gridCol w:w="3260"/>
      </w:tblGrid>
      <w:tr w:rsidR="00CC14AD" w:rsidRPr="006D4AF6" w:rsidTr="009105A0">
        <w:trPr>
          <w:cantSplit/>
        </w:trPr>
        <w:tc>
          <w:tcPr>
            <w:tcW w:w="3828" w:type="dxa"/>
            <w:vAlign w:val="center"/>
          </w:tcPr>
          <w:p w:rsidR="00CC14AD" w:rsidRPr="004E0991" w:rsidRDefault="001C79B6" w:rsidP="001C79B6">
            <w:pPr>
              <w:tabs>
                <w:tab w:val="right" w:pos="8732"/>
              </w:tabs>
              <w:spacing w:before="0"/>
              <w:ind w:left="397"/>
              <w:rPr>
                <w:rFonts w:asciiTheme="minorHAnsi" w:hAnsiTheme="minorHAnsi"/>
                <w:b/>
                <w:bCs/>
                <w:iCs/>
                <w:color w:val="FFFFFF"/>
                <w:sz w:val="28"/>
                <w:szCs w:val="28"/>
                <w:lang w:eastAsia="zh-CN"/>
              </w:rPr>
            </w:pPr>
            <w:r w:rsidRPr="00B73F4D">
              <w:rPr>
                <w:rFonts w:ascii="SimSun" w:hAnsi="SimSun" w:hint="eastAsia"/>
                <w:b/>
                <w:bCs/>
                <w:sz w:val="28"/>
                <w:szCs w:val="28"/>
                <w:lang w:eastAsia="zh-CN"/>
              </w:rPr>
              <w:t>电信标准化局</w:t>
            </w:r>
            <w:r>
              <w:rPr>
                <w:rFonts w:ascii="SimSun" w:hAnsi="SimSun" w:hint="eastAsia"/>
                <w:b/>
                <w:bCs/>
                <w:sz w:val="28"/>
                <w:szCs w:val="28"/>
                <w:lang w:eastAsia="zh-CN"/>
              </w:rPr>
              <w:t>（</w:t>
            </w:r>
            <w:r w:rsidR="004E0991">
              <w:rPr>
                <w:rFonts w:asciiTheme="minorHAnsi" w:hAnsiTheme="minorHAnsi"/>
                <w:b/>
                <w:bCs/>
                <w:sz w:val="28"/>
                <w:szCs w:val="28"/>
                <w:lang w:eastAsia="zh-CN"/>
              </w:rPr>
              <w:t>TSB</w:t>
            </w:r>
            <w:r>
              <w:rPr>
                <w:rFonts w:asciiTheme="minorHAnsi" w:hAnsiTheme="minorHAnsi" w:hint="eastAsia"/>
                <w:b/>
                <w:bCs/>
                <w:sz w:val="28"/>
                <w:szCs w:val="28"/>
                <w:lang w:eastAsia="zh-CN"/>
              </w:rPr>
              <w:t>）</w:t>
            </w:r>
          </w:p>
        </w:tc>
        <w:tc>
          <w:tcPr>
            <w:tcW w:w="2693" w:type="dxa"/>
            <w:vAlign w:val="center"/>
          </w:tcPr>
          <w:p w:rsidR="00CC14AD" w:rsidRPr="00F15390" w:rsidRDefault="004E0991" w:rsidP="009105A0">
            <w:pPr>
              <w:tabs>
                <w:tab w:val="right" w:pos="8732"/>
              </w:tabs>
              <w:spacing w:before="0"/>
              <w:ind w:left="720"/>
              <w:rPr>
                <w:rFonts w:ascii="Verdana" w:hAnsi="Verdana"/>
                <w:b/>
                <w:bCs/>
                <w:iCs/>
                <w:color w:val="FFFFFF"/>
                <w:sz w:val="26"/>
                <w:szCs w:val="26"/>
                <w:lang w:eastAsia="zh-CN"/>
              </w:rPr>
            </w:pPr>
            <w:r>
              <w:rPr>
                <w:b/>
                <w:bCs/>
                <w:noProof/>
                <w:lang w:val="en-US" w:eastAsia="zh-CN"/>
              </w:rPr>
              <w:drawing>
                <wp:anchor distT="0" distB="0" distL="114300" distR="114300" simplePos="0" relativeHeight="251658240" behindDoc="1" locked="0" layoutInCell="1" allowOverlap="1" wp14:anchorId="165F282C" wp14:editId="5B94DBC7">
                  <wp:simplePos x="0" y="0"/>
                  <wp:positionH relativeFrom="column">
                    <wp:posOffset>399415</wp:posOffset>
                  </wp:positionH>
                  <wp:positionV relativeFrom="paragraph">
                    <wp:posOffset>-2540</wp:posOffset>
                  </wp:positionV>
                  <wp:extent cx="638175" cy="72390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7239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3260" w:type="dxa"/>
            <w:vAlign w:val="center"/>
          </w:tcPr>
          <w:p w:rsidR="00CC14AD" w:rsidRPr="004E0991" w:rsidRDefault="001C79B6" w:rsidP="001C79B6">
            <w:pPr>
              <w:spacing w:before="0"/>
              <w:rPr>
                <w:rFonts w:asciiTheme="minorHAnsi" w:hAnsiTheme="minorHAnsi"/>
                <w:sz w:val="28"/>
                <w:szCs w:val="28"/>
                <w:lang w:eastAsia="zh-CN"/>
              </w:rPr>
            </w:pPr>
            <w:bookmarkStart w:id="0" w:name="ditulogo"/>
            <w:bookmarkEnd w:id="0"/>
            <w:r>
              <w:rPr>
                <w:rFonts w:asciiTheme="minorHAnsi" w:hAnsiTheme="minorHAnsi" w:hint="eastAsia"/>
                <w:b/>
                <w:bCs/>
                <w:sz w:val="28"/>
                <w:szCs w:val="28"/>
                <w:lang w:eastAsia="zh-CN"/>
              </w:rPr>
              <w:t>无线电通信局（</w:t>
            </w:r>
            <w:r w:rsidR="004E0991">
              <w:rPr>
                <w:rFonts w:asciiTheme="minorHAnsi" w:hAnsiTheme="minorHAnsi"/>
                <w:b/>
                <w:bCs/>
                <w:sz w:val="28"/>
                <w:szCs w:val="28"/>
                <w:lang w:eastAsia="zh-CN"/>
              </w:rPr>
              <w:t>BR</w:t>
            </w:r>
            <w:r>
              <w:rPr>
                <w:rFonts w:asciiTheme="minorHAnsi" w:hAnsiTheme="minorHAnsi" w:hint="eastAsia"/>
                <w:b/>
                <w:bCs/>
                <w:sz w:val="28"/>
                <w:szCs w:val="28"/>
                <w:lang w:eastAsia="zh-CN"/>
              </w:rPr>
              <w:t>）</w:t>
            </w:r>
          </w:p>
        </w:tc>
      </w:tr>
      <w:tr w:rsidR="00D27786" w:rsidRPr="00F15390" w:rsidTr="009105A0">
        <w:trPr>
          <w:cantSplit/>
          <w:trHeight w:val="112"/>
        </w:trPr>
        <w:tc>
          <w:tcPr>
            <w:tcW w:w="6521" w:type="dxa"/>
            <w:gridSpan w:val="2"/>
            <w:vAlign w:val="center"/>
          </w:tcPr>
          <w:p w:rsidR="00D27786" w:rsidRPr="00F15390" w:rsidRDefault="00D27786" w:rsidP="00F15390">
            <w:pPr>
              <w:spacing w:before="0"/>
              <w:rPr>
                <w:lang w:eastAsia="zh-CN"/>
              </w:rPr>
            </w:pPr>
          </w:p>
        </w:tc>
        <w:tc>
          <w:tcPr>
            <w:tcW w:w="3260" w:type="dxa"/>
            <w:vAlign w:val="center"/>
          </w:tcPr>
          <w:p w:rsidR="00D27786" w:rsidRPr="00F15390" w:rsidRDefault="00D27786" w:rsidP="00F15390">
            <w:pPr>
              <w:spacing w:before="0"/>
              <w:rPr>
                <w:lang w:eastAsia="zh-CN"/>
              </w:rPr>
            </w:pPr>
          </w:p>
        </w:tc>
      </w:tr>
    </w:tbl>
    <w:tbl>
      <w:tblPr>
        <w:tblW w:w="5000" w:type="pct"/>
        <w:tblInd w:w="-8" w:type="dxa"/>
        <w:tblCellMar>
          <w:left w:w="0" w:type="dxa"/>
          <w:right w:w="0" w:type="dxa"/>
        </w:tblCellMar>
        <w:tblLook w:val="0000" w:firstRow="0" w:lastRow="0" w:firstColumn="0" w:lastColumn="0" w:noHBand="0" w:noVBand="0"/>
      </w:tblPr>
      <w:tblGrid>
        <w:gridCol w:w="7"/>
        <w:gridCol w:w="1276"/>
        <w:gridCol w:w="3403"/>
        <w:gridCol w:w="752"/>
        <w:gridCol w:w="4201"/>
      </w:tblGrid>
      <w:tr w:rsidR="009105A0" w:rsidRPr="006D4AF6" w:rsidTr="002F4FAA">
        <w:trPr>
          <w:gridBefore w:val="1"/>
          <w:wBefore w:w="4" w:type="pct"/>
          <w:cantSplit/>
          <w:trHeight w:val="3672"/>
        </w:trPr>
        <w:tc>
          <w:tcPr>
            <w:tcW w:w="662" w:type="pct"/>
          </w:tcPr>
          <w:p w:rsidR="00F147C6" w:rsidRDefault="00F147C6" w:rsidP="009105A0">
            <w:pPr>
              <w:tabs>
                <w:tab w:val="left" w:pos="4111"/>
              </w:tabs>
              <w:spacing w:before="0"/>
              <w:rPr>
                <w:szCs w:val="24"/>
                <w:lang w:eastAsia="zh-CN"/>
              </w:rPr>
            </w:pPr>
            <w:bookmarkStart w:id="1" w:name="StartTyping_E"/>
            <w:bookmarkStart w:id="2" w:name="Addressee_E"/>
            <w:bookmarkEnd w:id="1"/>
            <w:bookmarkEnd w:id="2"/>
          </w:p>
          <w:p w:rsidR="00DE5E88" w:rsidRPr="00BF484A" w:rsidRDefault="001C79B6" w:rsidP="009105A0">
            <w:pPr>
              <w:tabs>
                <w:tab w:val="left" w:pos="4111"/>
              </w:tabs>
              <w:spacing w:before="0"/>
              <w:rPr>
                <w:szCs w:val="24"/>
                <w:lang w:eastAsia="zh-CN"/>
              </w:rPr>
            </w:pPr>
            <w:r>
              <w:rPr>
                <w:szCs w:val="24"/>
                <w:lang w:eastAsia="zh-CN"/>
              </w:rPr>
              <w:t>文号：</w:t>
            </w:r>
          </w:p>
          <w:p w:rsidR="009105A0" w:rsidRPr="00BF484A" w:rsidRDefault="001C79B6" w:rsidP="009105A0">
            <w:pPr>
              <w:tabs>
                <w:tab w:val="left" w:pos="4111"/>
              </w:tabs>
              <w:spacing w:before="0"/>
              <w:rPr>
                <w:szCs w:val="24"/>
                <w:lang w:eastAsia="zh-CN"/>
              </w:rPr>
            </w:pPr>
            <w:r>
              <w:rPr>
                <w:szCs w:val="24"/>
                <w:lang w:eastAsia="zh-CN"/>
              </w:rPr>
              <w:t>电话：</w:t>
            </w:r>
          </w:p>
          <w:p w:rsidR="009105A0" w:rsidRPr="00BF484A" w:rsidRDefault="001C79B6" w:rsidP="009105A0">
            <w:pPr>
              <w:tabs>
                <w:tab w:val="left" w:pos="4111"/>
              </w:tabs>
              <w:spacing w:before="0"/>
              <w:rPr>
                <w:szCs w:val="24"/>
                <w:lang w:eastAsia="zh-CN"/>
              </w:rPr>
            </w:pPr>
            <w:r>
              <w:rPr>
                <w:szCs w:val="24"/>
                <w:lang w:eastAsia="zh-CN"/>
              </w:rPr>
              <w:t>传真：</w:t>
            </w:r>
          </w:p>
          <w:p w:rsidR="009105A0" w:rsidRPr="00BF484A" w:rsidRDefault="001C79B6" w:rsidP="009105A0">
            <w:pPr>
              <w:tabs>
                <w:tab w:val="left" w:pos="4111"/>
              </w:tabs>
              <w:spacing w:before="0"/>
              <w:rPr>
                <w:szCs w:val="24"/>
                <w:lang w:eastAsia="zh-CN"/>
              </w:rPr>
            </w:pPr>
            <w:r>
              <w:rPr>
                <w:szCs w:val="24"/>
                <w:lang w:eastAsia="zh-CN"/>
              </w:rPr>
              <w:t>电子邮件：</w:t>
            </w:r>
          </w:p>
          <w:p w:rsidR="009105A0" w:rsidRPr="00BF484A" w:rsidRDefault="009105A0" w:rsidP="009105A0">
            <w:pPr>
              <w:tabs>
                <w:tab w:val="left" w:pos="4111"/>
              </w:tabs>
              <w:spacing w:before="0"/>
              <w:rPr>
                <w:szCs w:val="24"/>
                <w:lang w:eastAsia="zh-CN"/>
              </w:rPr>
            </w:pPr>
          </w:p>
          <w:p w:rsidR="009105A0" w:rsidRPr="00BF484A" w:rsidRDefault="009105A0" w:rsidP="009105A0">
            <w:pPr>
              <w:tabs>
                <w:tab w:val="left" w:pos="4111"/>
              </w:tabs>
              <w:spacing w:before="0"/>
              <w:rPr>
                <w:szCs w:val="24"/>
                <w:lang w:eastAsia="zh-CN"/>
              </w:rPr>
            </w:pPr>
          </w:p>
          <w:p w:rsidR="009105A0" w:rsidRPr="00BF484A" w:rsidRDefault="009105A0" w:rsidP="009105A0">
            <w:pPr>
              <w:tabs>
                <w:tab w:val="left" w:pos="4111"/>
              </w:tabs>
              <w:spacing w:before="0"/>
              <w:rPr>
                <w:szCs w:val="24"/>
                <w:lang w:eastAsia="zh-CN"/>
              </w:rPr>
            </w:pPr>
          </w:p>
          <w:p w:rsidR="009105A0" w:rsidRPr="00BF484A" w:rsidRDefault="001C79B6" w:rsidP="009105A0">
            <w:pPr>
              <w:tabs>
                <w:tab w:val="left" w:pos="4111"/>
              </w:tabs>
              <w:spacing w:before="0"/>
              <w:rPr>
                <w:szCs w:val="24"/>
                <w:lang w:eastAsia="zh-CN"/>
              </w:rPr>
            </w:pPr>
            <w:r>
              <w:rPr>
                <w:szCs w:val="24"/>
                <w:lang w:eastAsia="zh-CN"/>
              </w:rPr>
              <w:t>文号：</w:t>
            </w:r>
          </w:p>
          <w:p w:rsidR="009105A0" w:rsidRPr="00BF484A" w:rsidRDefault="001C79B6" w:rsidP="009105A0">
            <w:pPr>
              <w:tabs>
                <w:tab w:val="left" w:pos="4111"/>
              </w:tabs>
              <w:spacing w:before="0"/>
              <w:rPr>
                <w:szCs w:val="24"/>
                <w:lang w:eastAsia="zh-CN"/>
              </w:rPr>
            </w:pPr>
            <w:r>
              <w:rPr>
                <w:szCs w:val="24"/>
                <w:lang w:eastAsia="zh-CN"/>
              </w:rPr>
              <w:t>电话：</w:t>
            </w:r>
          </w:p>
          <w:p w:rsidR="009105A0" w:rsidRPr="00BF484A" w:rsidRDefault="001C79B6" w:rsidP="009105A0">
            <w:pPr>
              <w:tabs>
                <w:tab w:val="left" w:pos="4111"/>
              </w:tabs>
              <w:spacing w:before="0"/>
              <w:rPr>
                <w:szCs w:val="24"/>
                <w:lang w:eastAsia="zh-CN"/>
              </w:rPr>
            </w:pPr>
            <w:r>
              <w:rPr>
                <w:szCs w:val="24"/>
                <w:lang w:eastAsia="zh-CN"/>
              </w:rPr>
              <w:t>传真：</w:t>
            </w:r>
          </w:p>
          <w:p w:rsidR="009105A0" w:rsidRPr="00BF484A" w:rsidRDefault="001C79B6" w:rsidP="009105A0">
            <w:pPr>
              <w:tabs>
                <w:tab w:val="left" w:pos="4111"/>
              </w:tabs>
              <w:spacing w:before="0"/>
              <w:rPr>
                <w:szCs w:val="24"/>
                <w:lang w:eastAsia="zh-CN"/>
              </w:rPr>
            </w:pPr>
            <w:r>
              <w:rPr>
                <w:szCs w:val="24"/>
                <w:lang w:eastAsia="zh-CN"/>
              </w:rPr>
              <w:t>电子邮件：</w:t>
            </w:r>
            <w:r w:rsidR="009105A0" w:rsidRPr="00BF484A">
              <w:rPr>
                <w:szCs w:val="24"/>
                <w:lang w:eastAsia="zh-CN"/>
              </w:rPr>
              <w:t xml:space="preserve"> </w:t>
            </w:r>
          </w:p>
        </w:tc>
        <w:tc>
          <w:tcPr>
            <w:tcW w:w="1765" w:type="pct"/>
          </w:tcPr>
          <w:p w:rsidR="00F147C6" w:rsidRDefault="00F147C6" w:rsidP="009105A0">
            <w:pPr>
              <w:tabs>
                <w:tab w:val="left" w:pos="4111"/>
              </w:tabs>
              <w:spacing w:before="0"/>
              <w:rPr>
                <w:b/>
                <w:bCs/>
                <w:szCs w:val="24"/>
                <w:lang w:val="es-ES_tradnl" w:eastAsia="zh-CN"/>
              </w:rPr>
            </w:pPr>
          </w:p>
          <w:p w:rsidR="00DE5E88" w:rsidRPr="00BF484A" w:rsidRDefault="001C79B6" w:rsidP="000D3FAD">
            <w:pPr>
              <w:tabs>
                <w:tab w:val="left" w:pos="4111"/>
              </w:tabs>
              <w:spacing w:before="0"/>
              <w:rPr>
                <w:b/>
                <w:bCs/>
                <w:szCs w:val="24"/>
                <w:lang w:val="es-ES_tradnl" w:eastAsia="zh-CN"/>
              </w:rPr>
            </w:pPr>
            <w:r>
              <w:rPr>
                <w:rFonts w:hint="eastAsia"/>
                <w:b/>
                <w:bCs/>
                <w:szCs w:val="24"/>
                <w:lang w:val="es-ES_tradnl" w:eastAsia="zh-CN"/>
              </w:rPr>
              <w:t>电信标准化局</w:t>
            </w:r>
            <w:r w:rsidR="00BF484A" w:rsidRPr="00BF484A">
              <w:rPr>
                <w:b/>
                <w:bCs/>
                <w:szCs w:val="24"/>
                <w:lang w:val="es-ES_tradnl" w:eastAsia="zh-CN"/>
              </w:rPr>
              <w:t>7</w:t>
            </w:r>
            <w:r w:rsidR="000D3FAD">
              <w:rPr>
                <w:b/>
                <w:bCs/>
                <w:szCs w:val="24"/>
                <w:lang w:val="es-ES_tradnl" w:eastAsia="zh-CN"/>
              </w:rPr>
              <w:t>4</w:t>
            </w:r>
            <w:r>
              <w:rPr>
                <w:rFonts w:hint="eastAsia"/>
                <w:b/>
                <w:bCs/>
                <w:szCs w:val="24"/>
                <w:lang w:val="es-ES_tradnl" w:eastAsia="zh-CN"/>
              </w:rPr>
              <w:t>号通函</w:t>
            </w:r>
          </w:p>
          <w:p w:rsidR="009105A0" w:rsidRPr="00BF484A" w:rsidRDefault="009105A0" w:rsidP="000D3FAD">
            <w:pPr>
              <w:tabs>
                <w:tab w:val="left" w:pos="4111"/>
              </w:tabs>
              <w:spacing w:before="0"/>
              <w:rPr>
                <w:szCs w:val="24"/>
                <w:lang w:val="es-ES_tradnl" w:eastAsia="zh-CN"/>
              </w:rPr>
            </w:pPr>
            <w:r w:rsidRPr="00BF484A">
              <w:rPr>
                <w:szCs w:val="24"/>
                <w:lang w:val="es-ES_tradnl" w:eastAsia="zh-CN"/>
              </w:rPr>
              <w:t xml:space="preserve">+41 22 730 </w:t>
            </w:r>
            <w:r w:rsidR="000D3FAD">
              <w:rPr>
                <w:szCs w:val="24"/>
                <w:lang w:val="es-ES_tradnl" w:eastAsia="zh-CN"/>
              </w:rPr>
              <w:t>5858</w:t>
            </w:r>
            <w:r w:rsidRPr="00BF484A">
              <w:rPr>
                <w:szCs w:val="24"/>
                <w:lang w:val="es-ES_tradnl" w:eastAsia="zh-CN"/>
              </w:rPr>
              <w:br/>
              <w:t>+41 22 730 5853</w:t>
            </w:r>
          </w:p>
          <w:p w:rsidR="009105A0" w:rsidRPr="00BF484A" w:rsidRDefault="00DC7F66" w:rsidP="00197437">
            <w:pPr>
              <w:tabs>
                <w:tab w:val="left" w:pos="4111"/>
              </w:tabs>
              <w:spacing w:before="80"/>
              <w:rPr>
                <w:rStyle w:val="Hyperlink"/>
                <w:szCs w:val="24"/>
                <w:lang w:val="es-ES_tradnl" w:eastAsia="zh-CN"/>
              </w:rPr>
            </w:pPr>
            <w:hyperlink r:id="rId10" w:history="1">
              <w:r w:rsidR="000D3FAD" w:rsidRPr="003413D3">
                <w:rPr>
                  <w:rStyle w:val="Hyperlink"/>
                  <w:lang w:eastAsia="zh-CN"/>
                </w:rPr>
                <w:t>tsbsg9@itu.int</w:t>
              </w:r>
            </w:hyperlink>
          </w:p>
          <w:p w:rsidR="009105A0" w:rsidRPr="00BF484A" w:rsidRDefault="009105A0" w:rsidP="009105A0">
            <w:pPr>
              <w:tabs>
                <w:tab w:val="left" w:pos="4111"/>
              </w:tabs>
              <w:spacing w:before="0"/>
              <w:rPr>
                <w:rStyle w:val="Hyperlink"/>
                <w:b/>
                <w:bCs/>
                <w:color w:val="auto"/>
                <w:szCs w:val="24"/>
                <w:u w:val="none"/>
                <w:lang w:val="es-ES_tradnl" w:eastAsia="zh-CN"/>
              </w:rPr>
            </w:pPr>
          </w:p>
          <w:p w:rsidR="009105A0" w:rsidRDefault="009105A0" w:rsidP="009105A0">
            <w:pPr>
              <w:tabs>
                <w:tab w:val="left" w:pos="4111"/>
              </w:tabs>
              <w:spacing w:before="0"/>
              <w:rPr>
                <w:rStyle w:val="Hyperlink"/>
                <w:b/>
                <w:bCs/>
                <w:color w:val="auto"/>
                <w:szCs w:val="24"/>
                <w:u w:val="none"/>
                <w:lang w:val="es-ES_tradnl" w:eastAsia="zh-CN"/>
              </w:rPr>
            </w:pPr>
          </w:p>
          <w:p w:rsidR="002F4FAA" w:rsidRDefault="002F4FAA" w:rsidP="009105A0">
            <w:pPr>
              <w:tabs>
                <w:tab w:val="left" w:pos="4111"/>
              </w:tabs>
              <w:spacing w:before="0"/>
              <w:rPr>
                <w:rStyle w:val="Hyperlink"/>
                <w:b/>
                <w:bCs/>
                <w:color w:val="auto"/>
                <w:szCs w:val="24"/>
                <w:u w:val="none"/>
                <w:lang w:val="es-ES_tradnl" w:eastAsia="zh-CN"/>
              </w:rPr>
            </w:pPr>
          </w:p>
          <w:p w:rsidR="009105A0" w:rsidRPr="00BF484A" w:rsidRDefault="001C79B6" w:rsidP="000D3FAD">
            <w:pPr>
              <w:tabs>
                <w:tab w:val="left" w:pos="4111"/>
              </w:tabs>
              <w:spacing w:before="0"/>
              <w:rPr>
                <w:rStyle w:val="Hyperlink"/>
                <w:b/>
                <w:bCs/>
                <w:color w:val="auto"/>
                <w:szCs w:val="24"/>
                <w:u w:val="none"/>
                <w:lang w:val="es-ES_tradnl" w:eastAsia="zh-CN"/>
              </w:rPr>
            </w:pPr>
            <w:r>
              <w:rPr>
                <w:rStyle w:val="Hyperlink"/>
                <w:rFonts w:hint="eastAsia"/>
                <w:b/>
                <w:bCs/>
                <w:color w:val="auto"/>
                <w:szCs w:val="24"/>
                <w:u w:val="none"/>
                <w:lang w:val="es-ES_tradnl" w:eastAsia="zh-CN"/>
              </w:rPr>
              <w:t>无线电通信局</w:t>
            </w:r>
            <w:r w:rsidR="009105A0" w:rsidRPr="00BF484A">
              <w:rPr>
                <w:rStyle w:val="Hyperlink"/>
                <w:b/>
                <w:bCs/>
                <w:color w:val="auto"/>
                <w:szCs w:val="24"/>
                <w:u w:val="none"/>
                <w:lang w:val="es-ES_tradnl" w:eastAsia="zh-CN"/>
              </w:rPr>
              <w:t>CACE/65</w:t>
            </w:r>
            <w:r w:rsidR="000D3FAD">
              <w:rPr>
                <w:rStyle w:val="Hyperlink"/>
                <w:b/>
                <w:bCs/>
                <w:color w:val="auto"/>
                <w:szCs w:val="24"/>
                <w:u w:val="none"/>
                <w:lang w:val="es-ES_tradnl" w:eastAsia="zh-CN"/>
              </w:rPr>
              <w:t>5</w:t>
            </w:r>
            <w:r>
              <w:rPr>
                <w:rStyle w:val="Hyperlink"/>
                <w:rFonts w:hint="eastAsia"/>
                <w:b/>
                <w:bCs/>
                <w:color w:val="auto"/>
                <w:szCs w:val="24"/>
                <w:u w:val="none"/>
                <w:lang w:val="es-ES_tradnl" w:eastAsia="zh-CN"/>
              </w:rPr>
              <w:t>号通函</w:t>
            </w:r>
          </w:p>
          <w:p w:rsidR="009105A0" w:rsidRPr="00BF484A" w:rsidRDefault="000D3FAD" w:rsidP="009105A0">
            <w:pPr>
              <w:tabs>
                <w:tab w:val="left" w:pos="4111"/>
              </w:tabs>
              <w:spacing w:before="0"/>
              <w:rPr>
                <w:rStyle w:val="Hyperlink"/>
                <w:color w:val="auto"/>
                <w:szCs w:val="24"/>
                <w:u w:val="none"/>
              </w:rPr>
            </w:pPr>
            <w:r>
              <w:rPr>
                <w:rStyle w:val="Hyperlink"/>
                <w:color w:val="auto"/>
                <w:szCs w:val="24"/>
                <w:u w:val="none"/>
              </w:rPr>
              <w:t>+41 22 730 58</w:t>
            </w:r>
            <w:r w:rsidR="009105A0" w:rsidRPr="00BF484A">
              <w:rPr>
                <w:rStyle w:val="Hyperlink"/>
                <w:color w:val="auto"/>
                <w:szCs w:val="24"/>
                <w:u w:val="none"/>
              </w:rPr>
              <w:t>03</w:t>
            </w:r>
          </w:p>
          <w:p w:rsidR="009105A0" w:rsidRPr="00BF484A" w:rsidRDefault="000D3FAD" w:rsidP="009105A0">
            <w:pPr>
              <w:tabs>
                <w:tab w:val="left" w:pos="4111"/>
              </w:tabs>
              <w:spacing w:before="0"/>
              <w:rPr>
                <w:rStyle w:val="Hyperlink"/>
                <w:color w:val="auto"/>
                <w:szCs w:val="24"/>
                <w:u w:val="none"/>
              </w:rPr>
            </w:pPr>
            <w:r>
              <w:rPr>
                <w:rStyle w:val="Hyperlink"/>
                <w:color w:val="auto"/>
                <w:szCs w:val="24"/>
                <w:u w:val="none"/>
              </w:rPr>
              <w:t>+41 22 730 58</w:t>
            </w:r>
            <w:r w:rsidR="009105A0" w:rsidRPr="00BF484A">
              <w:rPr>
                <w:rStyle w:val="Hyperlink"/>
                <w:color w:val="auto"/>
                <w:szCs w:val="24"/>
                <w:u w:val="none"/>
              </w:rPr>
              <w:t>06</w:t>
            </w:r>
          </w:p>
          <w:p w:rsidR="009105A0" w:rsidRPr="00BF484A" w:rsidRDefault="00DC7F66" w:rsidP="00197437">
            <w:pPr>
              <w:tabs>
                <w:tab w:val="left" w:pos="4111"/>
              </w:tabs>
              <w:rPr>
                <w:rStyle w:val="Hyperlink"/>
                <w:b/>
                <w:bCs/>
                <w:color w:val="auto"/>
                <w:szCs w:val="24"/>
                <w:u w:val="none"/>
              </w:rPr>
            </w:pPr>
            <w:hyperlink r:id="rId11" w:history="1">
              <w:r w:rsidR="009105A0" w:rsidRPr="00BF484A">
                <w:rPr>
                  <w:rStyle w:val="Hyperlink"/>
                  <w:szCs w:val="24"/>
                </w:rPr>
                <w:t>rsg6@itu.int</w:t>
              </w:r>
            </w:hyperlink>
          </w:p>
          <w:p w:rsidR="009105A0" w:rsidRPr="00BF484A" w:rsidRDefault="009105A0" w:rsidP="009105A0">
            <w:pPr>
              <w:tabs>
                <w:tab w:val="left" w:pos="4111"/>
              </w:tabs>
              <w:spacing w:before="0"/>
              <w:rPr>
                <w:rStyle w:val="Hyperlink"/>
                <w:szCs w:val="24"/>
              </w:rPr>
            </w:pPr>
          </w:p>
          <w:p w:rsidR="009105A0" w:rsidRPr="00BF484A" w:rsidRDefault="009105A0" w:rsidP="009105A0">
            <w:pPr>
              <w:tabs>
                <w:tab w:val="left" w:pos="4111"/>
              </w:tabs>
              <w:spacing w:before="0"/>
              <w:rPr>
                <w:b/>
                <w:bCs/>
                <w:szCs w:val="24"/>
              </w:rPr>
            </w:pPr>
          </w:p>
        </w:tc>
        <w:tc>
          <w:tcPr>
            <w:tcW w:w="390" w:type="pct"/>
          </w:tcPr>
          <w:p w:rsidR="009105A0" w:rsidRPr="006D4AF6" w:rsidRDefault="009105A0" w:rsidP="00917086">
            <w:pPr>
              <w:tabs>
                <w:tab w:val="clear" w:pos="794"/>
                <w:tab w:val="left" w:pos="141"/>
                <w:tab w:val="left" w:pos="4111"/>
              </w:tabs>
              <w:spacing w:before="0"/>
            </w:pPr>
          </w:p>
        </w:tc>
        <w:tc>
          <w:tcPr>
            <w:tcW w:w="2179" w:type="pct"/>
          </w:tcPr>
          <w:p w:rsidR="00BF484A" w:rsidRPr="006D4AF6" w:rsidRDefault="00BF484A" w:rsidP="000D3FAD">
            <w:pPr>
              <w:pStyle w:val="Index1"/>
              <w:tabs>
                <w:tab w:val="clear" w:pos="794"/>
                <w:tab w:val="clear" w:pos="1191"/>
                <w:tab w:val="clear" w:pos="1588"/>
                <w:tab w:val="clear" w:pos="1985"/>
                <w:tab w:val="left" w:pos="5387"/>
              </w:tabs>
              <w:spacing w:before="240"/>
              <w:rPr>
                <w:lang w:eastAsia="zh-CN"/>
              </w:rPr>
            </w:pPr>
            <w:r w:rsidRPr="006D4AF6">
              <w:rPr>
                <w:lang w:eastAsia="zh-CN"/>
              </w:rPr>
              <w:t>2013</w:t>
            </w:r>
            <w:r w:rsidR="001C79B6">
              <w:rPr>
                <w:rFonts w:hint="eastAsia"/>
                <w:lang w:eastAsia="zh-CN"/>
              </w:rPr>
              <w:t>年</w:t>
            </w:r>
            <w:r w:rsidR="001C79B6">
              <w:rPr>
                <w:rFonts w:hint="eastAsia"/>
                <w:lang w:eastAsia="zh-CN"/>
              </w:rPr>
              <w:t>12</w:t>
            </w:r>
            <w:r w:rsidR="001C79B6">
              <w:rPr>
                <w:rFonts w:hint="eastAsia"/>
                <w:lang w:eastAsia="zh-CN"/>
              </w:rPr>
              <w:t>月</w:t>
            </w:r>
            <w:r w:rsidR="000D3FAD">
              <w:rPr>
                <w:lang w:eastAsia="zh-CN"/>
              </w:rPr>
              <w:t>20</w:t>
            </w:r>
            <w:r w:rsidR="001C79B6">
              <w:rPr>
                <w:rFonts w:hint="eastAsia"/>
                <w:lang w:eastAsia="zh-CN"/>
              </w:rPr>
              <w:t>日，日内瓦</w:t>
            </w:r>
          </w:p>
          <w:p w:rsidR="009105A0" w:rsidRDefault="009105A0" w:rsidP="00917086">
            <w:pPr>
              <w:tabs>
                <w:tab w:val="clear" w:pos="794"/>
                <w:tab w:val="left" w:pos="141"/>
                <w:tab w:val="left" w:pos="4111"/>
              </w:tabs>
              <w:rPr>
                <w:lang w:eastAsia="zh-CN"/>
              </w:rPr>
            </w:pPr>
          </w:p>
          <w:p w:rsidR="009105A0" w:rsidRPr="006D4AF6" w:rsidRDefault="009105A0" w:rsidP="00742A89">
            <w:pPr>
              <w:tabs>
                <w:tab w:val="clear" w:pos="794"/>
                <w:tab w:val="left" w:pos="141"/>
                <w:tab w:val="left" w:pos="4111"/>
              </w:tabs>
              <w:rPr>
                <w:lang w:eastAsia="zh-CN"/>
              </w:rPr>
            </w:pPr>
            <w:r w:rsidRPr="006D4AF6">
              <w:rPr>
                <w:lang w:eastAsia="zh-CN"/>
              </w:rPr>
              <w:t xml:space="preserve">- </w:t>
            </w:r>
            <w:r w:rsidR="00742A89">
              <w:rPr>
                <w:rFonts w:hint="eastAsia"/>
                <w:lang w:eastAsia="zh-CN"/>
              </w:rPr>
              <w:t>致国际电联</w:t>
            </w:r>
            <w:r w:rsidR="008B7902">
              <w:rPr>
                <w:rFonts w:hint="eastAsia"/>
                <w:lang w:eastAsia="zh-CN"/>
              </w:rPr>
              <w:t>各</w:t>
            </w:r>
            <w:r w:rsidR="00742A89">
              <w:rPr>
                <w:rFonts w:hint="eastAsia"/>
                <w:lang w:eastAsia="zh-CN"/>
              </w:rPr>
              <w:t>成员国主管部门</w:t>
            </w:r>
            <w:r w:rsidR="008B7902">
              <w:rPr>
                <w:rFonts w:hint="eastAsia"/>
                <w:lang w:eastAsia="zh-CN"/>
              </w:rPr>
              <w:t>；</w:t>
            </w:r>
          </w:p>
          <w:p w:rsidR="009105A0" w:rsidRPr="00F15390" w:rsidRDefault="009105A0" w:rsidP="008B7902">
            <w:pPr>
              <w:tabs>
                <w:tab w:val="clear" w:pos="794"/>
                <w:tab w:val="left" w:pos="141"/>
                <w:tab w:val="left" w:pos="4111"/>
              </w:tabs>
              <w:spacing w:before="0"/>
            </w:pPr>
            <w:r w:rsidRPr="00F15390">
              <w:t xml:space="preserve">- </w:t>
            </w:r>
            <w:r w:rsidR="008B7902">
              <w:rPr>
                <w:rFonts w:hint="eastAsia"/>
                <w:lang w:eastAsia="zh-CN"/>
              </w:rPr>
              <w:t>致</w:t>
            </w:r>
            <w:r w:rsidRPr="00F15390">
              <w:t>ITU-T</w:t>
            </w:r>
            <w:r w:rsidR="008B7902">
              <w:rPr>
                <w:rFonts w:hint="eastAsia"/>
                <w:lang w:eastAsia="zh-CN"/>
              </w:rPr>
              <w:t>和</w:t>
            </w:r>
            <w:r w:rsidRPr="00F15390">
              <w:t>ITU-R</w:t>
            </w:r>
            <w:r w:rsidR="008B7902">
              <w:rPr>
                <w:rFonts w:hint="eastAsia"/>
                <w:lang w:eastAsia="zh-CN"/>
              </w:rPr>
              <w:t>部门成员；</w:t>
            </w:r>
          </w:p>
          <w:p w:rsidR="009105A0" w:rsidRPr="00F15390" w:rsidRDefault="009105A0" w:rsidP="008B7902">
            <w:pPr>
              <w:tabs>
                <w:tab w:val="clear" w:pos="794"/>
                <w:tab w:val="clear" w:pos="1191"/>
                <w:tab w:val="clear" w:pos="1588"/>
                <w:tab w:val="clear" w:pos="1985"/>
                <w:tab w:val="left" w:pos="284"/>
              </w:tabs>
              <w:spacing w:before="0"/>
              <w:ind w:left="284" w:hanging="284"/>
            </w:pPr>
            <w:r w:rsidRPr="00F15390">
              <w:t xml:space="preserve">- </w:t>
            </w:r>
            <w:r w:rsidR="008B7902">
              <w:rPr>
                <w:rFonts w:hint="eastAsia"/>
                <w:lang w:eastAsia="zh-CN"/>
              </w:rPr>
              <w:t>致</w:t>
            </w:r>
            <w:r w:rsidRPr="00F15390">
              <w:t>ITU-T</w:t>
            </w:r>
            <w:r w:rsidR="008B7902">
              <w:rPr>
                <w:rFonts w:hint="eastAsia"/>
                <w:lang w:eastAsia="zh-CN"/>
              </w:rPr>
              <w:t>和</w:t>
            </w:r>
            <w:r w:rsidRPr="00F15390">
              <w:t>ITU-R</w:t>
            </w:r>
            <w:r w:rsidR="008B7902">
              <w:rPr>
                <w:rFonts w:hint="eastAsia"/>
                <w:lang w:eastAsia="zh-CN"/>
              </w:rPr>
              <w:t>部门准成员；</w:t>
            </w:r>
          </w:p>
          <w:p w:rsidR="009105A0" w:rsidRPr="00F15390" w:rsidRDefault="009105A0" w:rsidP="008B7902">
            <w:pPr>
              <w:tabs>
                <w:tab w:val="clear" w:pos="794"/>
                <w:tab w:val="clear" w:pos="1191"/>
                <w:tab w:val="clear" w:pos="1588"/>
                <w:tab w:val="clear" w:pos="1985"/>
                <w:tab w:val="left" w:pos="284"/>
              </w:tabs>
              <w:spacing w:before="0"/>
              <w:ind w:left="284" w:hanging="284"/>
            </w:pPr>
            <w:r w:rsidRPr="00F15390">
              <w:t xml:space="preserve">- </w:t>
            </w:r>
            <w:r w:rsidR="008B7902">
              <w:rPr>
                <w:rFonts w:hint="eastAsia"/>
                <w:lang w:eastAsia="zh-CN"/>
              </w:rPr>
              <w:t>致</w:t>
            </w:r>
            <w:r w:rsidRPr="00F15390">
              <w:t>ITU-T</w:t>
            </w:r>
            <w:r w:rsidR="008B7902">
              <w:rPr>
                <w:rFonts w:hint="eastAsia"/>
                <w:lang w:eastAsia="zh-CN"/>
              </w:rPr>
              <w:t>和</w:t>
            </w:r>
            <w:r w:rsidRPr="00F15390">
              <w:t>ITU-R</w:t>
            </w:r>
            <w:r w:rsidR="008B7902">
              <w:rPr>
                <w:rFonts w:hint="eastAsia"/>
                <w:lang w:eastAsia="zh-CN"/>
              </w:rPr>
              <w:t>学术成员</w:t>
            </w:r>
          </w:p>
          <w:p w:rsidR="009105A0" w:rsidRPr="002A73F7" w:rsidRDefault="009105A0" w:rsidP="00917086">
            <w:pPr>
              <w:spacing w:before="0"/>
            </w:pPr>
          </w:p>
          <w:p w:rsidR="009105A0" w:rsidRPr="006D4AF6" w:rsidRDefault="008B7902" w:rsidP="008B7902">
            <w:pPr>
              <w:tabs>
                <w:tab w:val="clear" w:pos="794"/>
                <w:tab w:val="clear" w:pos="1191"/>
                <w:tab w:val="clear" w:pos="1588"/>
                <w:tab w:val="clear" w:pos="1985"/>
                <w:tab w:val="left" w:pos="284"/>
              </w:tabs>
              <w:spacing w:before="0"/>
              <w:rPr>
                <w:b/>
                <w:bCs/>
              </w:rPr>
            </w:pPr>
            <w:r>
              <w:rPr>
                <w:rFonts w:hint="eastAsia"/>
                <w:b/>
                <w:bCs/>
                <w:lang w:eastAsia="zh-CN"/>
              </w:rPr>
              <w:t>抄送：</w:t>
            </w:r>
          </w:p>
          <w:p w:rsidR="009105A0" w:rsidRPr="006D4AF6" w:rsidRDefault="009105A0" w:rsidP="008B7902">
            <w:pPr>
              <w:spacing w:before="0"/>
              <w:ind w:left="284" w:hanging="284"/>
            </w:pPr>
            <w:r w:rsidRPr="006D4AF6">
              <w:t>-</w:t>
            </w:r>
            <w:r w:rsidRPr="006D4AF6">
              <w:tab/>
              <w:t>ITU-T</w:t>
            </w:r>
            <w:r w:rsidR="008B7902">
              <w:rPr>
                <w:rFonts w:hint="eastAsia"/>
                <w:lang w:eastAsia="zh-CN"/>
              </w:rPr>
              <w:t>和</w:t>
            </w:r>
            <w:r w:rsidRPr="006D4AF6">
              <w:t>ITU</w:t>
            </w:r>
            <w:r>
              <w:noBreakHyphen/>
            </w:r>
            <w:r w:rsidRPr="006D4AF6">
              <w:t>R</w:t>
            </w:r>
            <w:r w:rsidR="008B7902">
              <w:rPr>
                <w:rFonts w:hint="eastAsia"/>
                <w:lang w:eastAsia="zh-CN"/>
              </w:rPr>
              <w:t>各研究组正副主席；</w:t>
            </w:r>
          </w:p>
          <w:p w:rsidR="009105A0" w:rsidRPr="006D4AF6" w:rsidRDefault="009105A0" w:rsidP="008B7902">
            <w:pPr>
              <w:spacing w:before="0" w:after="120"/>
              <w:ind w:left="284" w:hanging="284"/>
            </w:pPr>
            <w:r w:rsidRPr="006D4AF6">
              <w:t>-</w:t>
            </w:r>
            <w:r w:rsidRPr="006D4AF6">
              <w:tab/>
            </w:r>
            <w:r w:rsidR="008B7902">
              <w:rPr>
                <w:rFonts w:hint="eastAsia"/>
                <w:lang w:eastAsia="zh-CN"/>
              </w:rPr>
              <w:t>电信发展局主任；</w:t>
            </w:r>
          </w:p>
        </w:tc>
      </w:tr>
      <w:tr w:rsidR="009105A0" w:rsidRPr="006D4AF6" w:rsidTr="002F4FAA">
        <w:trPr>
          <w:gridBefore w:val="1"/>
          <w:wBefore w:w="4" w:type="pct"/>
          <w:cantSplit/>
          <w:trHeight w:val="423"/>
        </w:trPr>
        <w:tc>
          <w:tcPr>
            <w:tcW w:w="2427" w:type="pct"/>
            <w:gridSpan w:val="2"/>
          </w:tcPr>
          <w:p w:rsidR="009105A0" w:rsidRPr="006D4AF6" w:rsidRDefault="009105A0" w:rsidP="006D4AF6">
            <w:pPr>
              <w:tabs>
                <w:tab w:val="clear" w:pos="794"/>
                <w:tab w:val="left" w:pos="141"/>
                <w:tab w:val="left" w:pos="4111"/>
              </w:tabs>
              <w:spacing w:before="0"/>
            </w:pPr>
          </w:p>
        </w:tc>
        <w:tc>
          <w:tcPr>
            <w:tcW w:w="2569" w:type="pct"/>
            <w:gridSpan w:val="2"/>
          </w:tcPr>
          <w:p w:rsidR="009105A0" w:rsidRPr="006D4AF6" w:rsidRDefault="009105A0" w:rsidP="002A7870">
            <w:pPr>
              <w:spacing w:before="0" w:after="120"/>
              <w:ind w:left="284" w:hanging="284"/>
            </w:pPr>
          </w:p>
        </w:tc>
      </w:tr>
      <w:tr w:rsidR="009105A0" w:rsidRPr="006D4AF6" w:rsidTr="002F4FAA">
        <w:tblPrEx>
          <w:tblCellMar>
            <w:left w:w="107" w:type="dxa"/>
            <w:right w:w="107" w:type="dxa"/>
          </w:tblCellMar>
        </w:tblPrEx>
        <w:trPr>
          <w:cantSplit/>
        </w:trPr>
        <w:tc>
          <w:tcPr>
            <w:tcW w:w="666" w:type="pct"/>
            <w:gridSpan w:val="2"/>
          </w:tcPr>
          <w:p w:rsidR="009105A0" w:rsidRPr="002A73F7" w:rsidRDefault="008B7902" w:rsidP="008B7902">
            <w:pPr>
              <w:tabs>
                <w:tab w:val="left" w:pos="4111"/>
              </w:tabs>
            </w:pPr>
            <w:r>
              <w:rPr>
                <w:rFonts w:hint="eastAsia"/>
                <w:lang w:eastAsia="zh-CN"/>
              </w:rPr>
              <w:t>事由：</w:t>
            </w:r>
          </w:p>
        </w:tc>
        <w:tc>
          <w:tcPr>
            <w:tcW w:w="4334" w:type="pct"/>
            <w:gridSpan w:val="3"/>
          </w:tcPr>
          <w:p w:rsidR="000D3FAD" w:rsidRPr="002A73F7" w:rsidRDefault="000D3FAD" w:rsidP="00197437">
            <w:pPr>
              <w:tabs>
                <w:tab w:val="clear" w:pos="794"/>
                <w:tab w:val="left" w:pos="4111"/>
              </w:tabs>
              <w:rPr>
                <w:b/>
                <w:bCs/>
                <w:lang w:eastAsia="zh-CN"/>
              </w:rPr>
            </w:pPr>
            <w:r>
              <w:rPr>
                <w:rFonts w:hint="eastAsia"/>
                <w:b/>
                <w:bCs/>
                <w:lang w:eastAsia="zh-CN"/>
              </w:rPr>
              <w:t>成立新的</w:t>
            </w:r>
            <w:r w:rsidRPr="00CD2F4A">
              <w:rPr>
                <w:rFonts w:hint="eastAsia"/>
                <w:b/>
                <w:bCs/>
                <w:lang w:eastAsia="zh-CN"/>
              </w:rPr>
              <w:t>国际电联跨部门音视频质量评估报告人组（</w:t>
            </w:r>
            <w:r w:rsidRPr="00CD2F4A">
              <w:rPr>
                <w:rFonts w:eastAsia="Times New Roman"/>
                <w:b/>
                <w:bCs/>
                <w:lang w:eastAsia="zh-CN"/>
              </w:rPr>
              <w:t>IRG-AVQA</w:t>
            </w:r>
            <w:r w:rsidRPr="00CD2F4A">
              <w:rPr>
                <w:rFonts w:hint="eastAsia"/>
                <w:b/>
                <w:bCs/>
                <w:lang w:eastAsia="zh-CN"/>
              </w:rPr>
              <w:t>）</w:t>
            </w:r>
            <w:r w:rsidR="00197437">
              <w:rPr>
                <w:b/>
                <w:bCs/>
                <w:lang w:eastAsia="zh-CN"/>
              </w:rPr>
              <w:br/>
            </w:r>
            <w:r>
              <w:rPr>
                <w:rFonts w:hint="eastAsia"/>
                <w:b/>
                <w:bCs/>
                <w:lang w:eastAsia="zh-CN"/>
              </w:rPr>
              <w:t>及其</w:t>
            </w:r>
            <w:r>
              <w:rPr>
                <w:rFonts w:hint="eastAsia"/>
                <w:b/>
                <w:bCs/>
                <w:lang w:eastAsia="zh-CN"/>
              </w:rPr>
              <w:t>2014</w:t>
            </w:r>
            <w:r>
              <w:rPr>
                <w:rFonts w:hint="eastAsia"/>
                <w:b/>
                <w:bCs/>
                <w:lang w:eastAsia="zh-CN"/>
              </w:rPr>
              <w:t>年</w:t>
            </w:r>
            <w:r>
              <w:rPr>
                <w:rFonts w:hint="eastAsia"/>
                <w:b/>
                <w:bCs/>
                <w:lang w:eastAsia="zh-CN"/>
              </w:rPr>
              <w:t>1</w:t>
            </w:r>
            <w:r>
              <w:rPr>
                <w:rFonts w:hint="eastAsia"/>
                <w:b/>
                <w:bCs/>
                <w:lang w:eastAsia="zh-CN"/>
              </w:rPr>
              <w:t>月</w:t>
            </w:r>
            <w:r>
              <w:rPr>
                <w:rFonts w:hint="eastAsia"/>
                <w:b/>
                <w:bCs/>
                <w:lang w:eastAsia="zh-CN"/>
              </w:rPr>
              <w:t>21-24</w:t>
            </w:r>
            <w:r>
              <w:rPr>
                <w:rFonts w:hint="eastAsia"/>
                <w:b/>
                <w:bCs/>
                <w:lang w:eastAsia="zh-CN"/>
              </w:rPr>
              <w:t>日在</w:t>
            </w:r>
            <w:r w:rsidRPr="00F41647">
              <w:rPr>
                <w:rFonts w:hint="eastAsia"/>
                <w:b/>
                <w:bCs/>
                <w:lang w:eastAsia="zh-CN"/>
              </w:rPr>
              <w:t>美国科罗拉多州博得</w:t>
            </w:r>
            <w:r>
              <w:rPr>
                <w:rFonts w:hint="eastAsia"/>
                <w:b/>
                <w:bCs/>
                <w:lang w:eastAsia="zh-CN"/>
              </w:rPr>
              <w:t>举行首次会议</w:t>
            </w:r>
          </w:p>
        </w:tc>
      </w:tr>
    </w:tbl>
    <w:p w:rsidR="00CC14AD" w:rsidRDefault="00CC14AD" w:rsidP="005E54DF">
      <w:pPr>
        <w:spacing w:before="0"/>
        <w:rPr>
          <w:lang w:eastAsia="zh-CN"/>
        </w:rPr>
      </w:pPr>
    </w:p>
    <w:p w:rsidR="000D3FAD" w:rsidRPr="0025429D" w:rsidRDefault="000D3FAD" w:rsidP="000D3FAD">
      <w:pPr>
        <w:spacing w:before="360" w:after="20"/>
        <w:rPr>
          <w:rFonts w:asciiTheme="majorBidi" w:hAnsiTheme="majorBidi" w:cstheme="majorBidi"/>
          <w:lang w:eastAsia="zh-CN"/>
        </w:rPr>
      </w:pPr>
      <w:r w:rsidRPr="0025429D">
        <w:rPr>
          <w:rFonts w:asciiTheme="majorBidi" w:hAnsiTheme="majorBidi" w:cstheme="majorBidi"/>
          <w:lang w:eastAsia="zh-CN"/>
        </w:rPr>
        <w:t>尊敬的先生</w:t>
      </w:r>
      <w:r w:rsidRPr="0025429D">
        <w:rPr>
          <w:rFonts w:asciiTheme="majorBidi" w:hAnsiTheme="majorBidi" w:cstheme="majorBidi"/>
          <w:lang w:eastAsia="zh-CN"/>
        </w:rPr>
        <w:t>/</w:t>
      </w:r>
      <w:r w:rsidRPr="0025429D">
        <w:rPr>
          <w:rFonts w:asciiTheme="majorBidi" w:hAnsiTheme="majorBidi" w:cstheme="majorBidi"/>
          <w:lang w:eastAsia="zh-CN"/>
        </w:rPr>
        <w:t>女士，</w:t>
      </w:r>
    </w:p>
    <w:p w:rsidR="000D3FAD" w:rsidRPr="0025429D" w:rsidRDefault="000D3FAD" w:rsidP="000D3FAD">
      <w:pPr>
        <w:spacing w:before="240"/>
        <w:rPr>
          <w:rFonts w:asciiTheme="majorBidi" w:hAnsiTheme="majorBidi" w:cstheme="majorBidi"/>
          <w:lang w:eastAsia="zh-CN"/>
        </w:rPr>
      </w:pPr>
      <w:bookmarkStart w:id="3" w:name="suitetext"/>
      <w:bookmarkStart w:id="4" w:name="text"/>
      <w:bookmarkEnd w:id="3"/>
      <w:bookmarkEnd w:id="4"/>
      <w:r w:rsidRPr="0025429D">
        <w:rPr>
          <w:rFonts w:asciiTheme="majorBidi" w:hAnsiTheme="majorBidi" w:cstheme="majorBidi"/>
          <w:lang w:eastAsia="zh-CN"/>
        </w:rPr>
        <w:t>1</w:t>
      </w:r>
      <w:r w:rsidRPr="0025429D">
        <w:rPr>
          <w:rFonts w:asciiTheme="majorBidi" w:hAnsiTheme="majorBidi" w:cstheme="majorBidi"/>
          <w:lang w:eastAsia="zh-CN"/>
        </w:rPr>
        <w:tab/>
      </w:r>
      <w:r w:rsidRPr="0025429D">
        <w:rPr>
          <w:rFonts w:asciiTheme="majorBidi" w:hAnsiTheme="majorBidi" w:cstheme="majorBidi"/>
          <w:bCs/>
          <w:lang w:eastAsia="zh-CN"/>
        </w:rPr>
        <w:t>我高兴地宣布，根据</w:t>
      </w:r>
      <w:r w:rsidRPr="0025429D">
        <w:rPr>
          <w:rFonts w:asciiTheme="majorBidi" w:hAnsiTheme="majorBidi" w:cstheme="majorBidi"/>
          <w:bCs/>
          <w:lang w:eastAsia="zh-CN"/>
        </w:rPr>
        <w:t>ITU-T</w:t>
      </w:r>
      <w:r w:rsidRPr="0025429D">
        <w:rPr>
          <w:rFonts w:asciiTheme="majorBidi" w:hAnsiTheme="majorBidi" w:cstheme="majorBidi"/>
          <w:bCs/>
          <w:lang w:eastAsia="zh-CN"/>
        </w:rPr>
        <w:t>第</w:t>
      </w:r>
      <w:r w:rsidRPr="0025429D">
        <w:rPr>
          <w:rFonts w:asciiTheme="majorBidi" w:hAnsiTheme="majorBidi" w:cstheme="majorBidi"/>
          <w:bCs/>
          <w:lang w:eastAsia="zh-CN"/>
        </w:rPr>
        <w:t>9</w:t>
      </w:r>
      <w:r w:rsidRPr="0025429D">
        <w:rPr>
          <w:rFonts w:asciiTheme="majorBidi" w:hAnsiTheme="majorBidi" w:cstheme="majorBidi"/>
          <w:bCs/>
          <w:lang w:eastAsia="zh-CN"/>
        </w:rPr>
        <w:t>研究组</w:t>
      </w:r>
      <w:r w:rsidRPr="0025429D">
        <w:rPr>
          <w:rFonts w:asciiTheme="majorBidi" w:hAnsiTheme="majorBidi" w:cstheme="majorBidi"/>
          <w:lang w:eastAsia="zh-CN"/>
        </w:rPr>
        <w:t>2013</w:t>
      </w:r>
      <w:r w:rsidRPr="0025429D">
        <w:rPr>
          <w:rFonts w:asciiTheme="majorBidi" w:hAnsiTheme="majorBidi" w:cstheme="majorBidi"/>
          <w:lang w:eastAsia="zh-CN"/>
        </w:rPr>
        <w:t>年</w:t>
      </w:r>
      <w:r w:rsidRPr="0025429D">
        <w:rPr>
          <w:rFonts w:asciiTheme="majorBidi" w:hAnsiTheme="majorBidi" w:cstheme="majorBidi"/>
          <w:lang w:eastAsia="zh-CN"/>
        </w:rPr>
        <w:t>1</w:t>
      </w:r>
      <w:r w:rsidRPr="0025429D">
        <w:rPr>
          <w:rFonts w:asciiTheme="majorBidi" w:hAnsiTheme="majorBidi" w:cstheme="majorBidi"/>
          <w:lang w:eastAsia="zh-CN"/>
        </w:rPr>
        <w:t>月</w:t>
      </w:r>
      <w:r w:rsidRPr="0025429D">
        <w:rPr>
          <w:rFonts w:asciiTheme="majorBidi" w:hAnsiTheme="majorBidi" w:cstheme="majorBidi"/>
          <w:lang w:eastAsia="zh-CN"/>
        </w:rPr>
        <w:t>18</w:t>
      </w:r>
      <w:r w:rsidRPr="0025429D">
        <w:rPr>
          <w:rFonts w:asciiTheme="majorBidi" w:hAnsiTheme="majorBidi" w:cstheme="majorBidi"/>
          <w:lang w:eastAsia="zh-CN"/>
        </w:rPr>
        <w:t>日、</w:t>
      </w:r>
      <w:r w:rsidRPr="0025429D">
        <w:rPr>
          <w:rFonts w:asciiTheme="majorBidi" w:hAnsiTheme="majorBidi" w:cstheme="majorBidi"/>
          <w:bCs/>
          <w:lang w:eastAsia="zh-CN"/>
        </w:rPr>
        <w:t>ITU-T</w:t>
      </w:r>
      <w:r w:rsidRPr="0025429D">
        <w:rPr>
          <w:rFonts w:asciiTheme="majorBidi" w:hAnsiTheme="majorBidi" w:cstheme="majorBidi"/>
          <w:bCs/>
          <w:lang w:eastAsia="zh-CN"/>
        </w:rPr>
        <w:t>第</w:t>
      </w:r>
      <w:r w:rsidRPr="0025429D">
        <w:rPr>
          <w:rFonts w:asciiTheme="majorBidi" w:hAnsiTheme="majorBidi" w:cstheme="majorBidi"/>
          <w:bCs/>
          <w:lang w:eastAsia="zh-CN"/>
        </w:rPr>
        <w:t>12</w:t>
      </w:r>
      <w:r w:rsidRPr="0025429D">
        <w:rPr>
          <w:rFonts w:asciiTheme="majorBidi" w:hAnsiTheme="majorBidi" w:cstheme="majorBidi"/>
          <w:bCs/>
          <w:lang w:eastAsia="zh-CN"/>
        </w:rPr>
        <w:t>研究组</w:t>
      </w:r>
      <w:r w:rsidRPr="0025429D">
        <w:rPr>
          <w:rFonts w:asciiTheme="majorBidi" w:hAnsiTheme="majorBidi" w:cstheme="majorBidi"/>
          <w:lang w:eastAsia="zh-CN"/>
        </w:rPr>
        <w:t>2013</w:t>
      </w:r>
      <w:r w:rsidRPr="0025429D">
        <w:rPr>
          <w:rFonts w:asciiTheme="majorBidi" w:hAnsiTheme="majorBidi" w:cstheme="majorBidi"/>
          <w:lang w:eastAsia="zh-CN"/>
        </w:rPr>
        <w:t>年</w:t>
      </w:r>
      <w:r w:rsidRPr="0025429D">
        <w:rPr>
          <w:rFonts w:asciiTheme="majorBidi" w:hAnsiTheme="majorBidi" w:cstheme="majorBidi"/>
          <w:lang w:eastAsia="zh-CN"/>
        </w:rPr>
        <w:t>3</w:t>
      </w:r>
      <w:r w:rsidRPr="0025429D">
        <w:rPr>
          <w:rFonts w:asciiTheme="majorBidi" w:hAnsiTheme="majorBidi" w:cstheme="majorBidi"/>
          <w:lang w:eastAsia="zh-CN"/>
        </w:rPr>
        <w:t>月</w:t>
      </w:r>
      <w:r w:rsidRPr="0025429D">
        <w:rPr>
          <w:rFonts w:asciiTheme="majorBidi" w:hAnsiTheme="majorBidi" w:cstheme="majorBidi"/>
          <w:lang w:eastAsia="zh-CN"/>
        </w:rPr>
        <w:t>28</w:t>
      </w:r>
      <w:r w:rsidRPr="0025429D">
        <w:rPr>
          <w:rFonts w:asciiTheme="majorBidi" w:hAnsiTheme="majorBidi" w:cstheme="majorBidi"/>
          <w:lang w:eastAsia="zh-CN"/>
        </w:rPr>
        <w:t>日和</w:t>
      </w:r>
      <w:r w:rsidRPr="0025429D">
        <w:rPr>
          <w:rFonts w:asciiTheme="majorBidi" w:hAnsiTheme="majorBidi" w:cstheme="majorBidi"/>
          <w:bCs/>
          <w:lang w:eastAsia="zh-CN"/>
        </w:rPr>
        <w:t>ITU-R</w:t>
      </w:r>
      <w:r w:rsidRPr="0025429D">
        <w:rPr>
          <w:rFonts w:asciiTheme="majorBidi" w:hAnsiTheme="majorBidi" w:cstheme="majorBidi"/>
          <w:bCs/>
          <w:lang w:eastAsia="zh-CN"/>
        </w:rPr>
        <w:t>第</w:t>
      </w:r>
      <w:r w:rsidRPr="0025429D">
        <w:rPr>
          <w:rFonts w:asciiTheme="majorBidi" w:hAnsiTheme="majorBidi" w:cstheme="majorBidi"/>
          <w:bCs/>
          <w:lang w:eastAsia="zh-CN"/>
        </w:rPr>
        <w:t>6</w:t>
      </w:r>
      <w:r w:rsidRPr="0025429D">
        <w:rPr>
          <w:rFonts w:asciiTheme="majorBidi" w:hAnsiTheme="majorBidi" w:cstheme="majorBidi"/>
          <w:bCs/>
          <w:lang w:eastAsia="zh-CN"/>
        </w:rPr>
        <w:t>研究组</w:t>
      </w:r>
      <w:r w:rsidRPr="0025429D">
        <w:rPr>
          <w:rFonts w:asciiTheme="majorBidi" w:hAnsiTheme="majorBidi" w:cstheme="majorBidi"/>
          <w:lang w:eastAsia="zh-CN"/>
        </w:rPr>
        <w:t>2013</w:t>
      </w:r>
      <w:r w:rsidRPr="0025429D">
        <w:rPr>
          <w:rFonts w:asciiTheme="majorBidi" w:hAnsiTheme="majorBidi" w:cstheme="majorBidi"/>
          <w:lang w:eastAsia="zh-CN"/>
        </w:rPr>
        <w:t>年</w:t>
      </w:r>
      <w:r w:rsidRPr="0025429D">
        <w:rPr>
          <w:rFonts w:asciiTheme="majorBidi" w:hAnsiTheme="majorBidi" w:cstheme="majorBidi"/>
          <w:lang w:eastAsia="zh-CN"/>
        </w:rPr>
        <w:t>11</w:t>
      </w:r>
      <w:r w:rsidRPr="0025429D">
        <w:rPr>
          <w:rFonts w:asciiTheme="majorBidi" w:hAnsiTheme="majorBidi" w:cstheme="majorBidi"/>
          <w:lang w:eastAsia="zh-CN"/>
        </w:rPr>
        <w:t>月</w:t>
      </w:r>
      <w:r w:rsidRPr="0025429D">
        <w:rPr>
          <w:rFonts w:asciiTheme="majorBidi" w:hAnsiTheme="majorBidi" w:cstheme="majorBidi"/>
          <w:lang w:eastAsia="zh-CN"/>
        </w:rPr>
        <w:t>22</w:t>
      </w:r>
      <w:r w:rsidRPr="0025429D">
        <w:rPr>
          <w:rFonts w:asciiTheme="majorBidi" w:hAnsiTheme="majorBidi" w:cstheme="majorBidi"/>
          <w:lang w:eastAsia="zh-CN"/>
        </w:rPr>
        <w:t>日会议达成的共识，成立</w:t>
      </w:r>
      <w:r w:rsidRPr="0025429D">
        <w:rPr>
          <w:rFonts w:asciiTheme="majorBidi" w:hAnsiTheme="majorBidi" w:cstheme="majorBidi"/>
          <w:b/>
          <w:bCs/>
          <w:lang w:eastAsia="zh-CN"/>
        </w:rPr>
        <w:t>国际电联跨部门音视频质量评估报告人组（</w:t>
      </w:r>
      <w:r w:rsidRPr="0025429D">
        <w:rPr>
          <w:rFonts w:asciiTheme="majorBidi" w:hAnsiTheme="majorBidi" w:cstheme="majorBidi"/>
          <w:b/>
          <w:bCs/>
          <w:lang w:eastAsia="zh-CN"/>
        </w:rPr>
        <w:t>IRG-AVQA</w:t>
      </w:r>
      <w:r w:rsidRPr="0025429D">
        <w:rPr>
          <w:rFonts w:asciiTheme="majorBidi" w:hAnsiTheme="majorBidi" w:cstheme="majorBidi"/>
          <w:b/>
          <w:bCs/>
          <w:lang w:eastAsia="zh-CN"/>
        </w:rPr>
        <w:t>）</w:t>
      </w:r>
      <w:r w:rsidRPr="0025429D">
        <w:rPr>
          <w:rFonts w:asciiTheme="majorBidi" w:hAnsiTheme="majorBidi" w:cstheme="majorBidi"/>
          <w:lang w:eastAsia="zh-CN"/>
        </w:rPr>
        <w:t>。</w:t>
      </w:r>
    </w:p>
    <w:p w:rsidR="000D3FAD" w:rsidRPr="0025429D" w:rsidRDefault="000D3FAD" w:rsidP="000D3FAD">
      <w:pPr>
        <w:spacing w:after="120"/>
        <w:rPr>
          <w:rFonts w:asciiTheme="majorBidi" w:hAnsiTheme="majorBidi" w:cstheme="majorBidi"/>
          <w:lang w:eastAsia="zh-CN"/>
        </w:rPr>
      </w:pPr>
      <w:r w:rsidRPr="0025429D">
        <w:rPr>
          <w:rFonts w:asciiTheme="majorBidi" w:hAnsiTheme="majorBidi" w:cstheme="majorBidi"/>
          <w:lang w:eastAsia="zh-CN"/>
        </w:rPr>
        <w:t>2</w:t>
      </w:r>
      <w:r w:rsidRPr="0025429D">
        <w:rPr>
          <w:rFonts w:asciiTheme="majorBidi" w:hAnsiTheme="majorBidi" w:cstheme="majorBidi"/>
          <w:lang w:eastAsia="zh-CN"/>
        </w:rPr>
        <w:tab/>
        <w:t>IRG-AVQA</w:t>
      </w:r>
      <w:r w:rsidRPr="0025429D">
        <w:rPr>
          <w:rFonts w:asciiTheme="majorBidi" w:hAnsiTheme="majorBidi" w:cstheme="majorBidi"/>
          <w:lang w:eastAsia="zh-CN"/>
        </w:rPr>
        <w:t>将在</w:t>
      </w:r>
      <w:r w:rsidRPr="0025429D">
        <w:rPr>
          <w:rFonts w:asciiTheme="majorBidi" w:hAnsiTheme="majorBidi" w:cstheme="majorBidi"/>
          <w:bCs/>
          <w:lang w:eastAsia="zh-CN"/>
        </w:rPr>
        <w:t>ITU-R</w:t>
      </w:r>
      <w:r w:rsidRPr="0025429D">
        <w:rPr>
          <w:rFonts w:asciiTheme="majorBidi" w:hAnsiTheme="majorBidi" w:cstheme="majorBidi"/>
          <w:bCs/>
          <w:lang w:eastAsia="zh-CN"/>
        </w:rPr>
        <w:t>第</w:t>
      </w:r>
      <w:r w:rsidRPr="0025429D">
        <w:rPr>
          <w:rFonts w:asciiTheme="majorBidi" w:hAnsiTheme="majorBidi" w:cstheme="majorBidi"/>
          <w:bCs/>
          <w:lang w:eastAsia="zh-CN"/>
        </w:rPr>
        <w:t>6</w:t>
      </w:r>
      <w:r w:rsidRPr="0025429D">
        <w:rPr>
          <w:rFonts w:asciiTheme="majorBidi" w:hAnsiTheme="majorBidi" w:cstheme="majorBidi"/>
          <w:bCs/>
          <w:lang w:eastAsia="zh-CN"/>
        </w:rPr>
        <w:t>、</w:t>
      </w:r>
      <w:r w:rsidRPr="0025429D">
        <w:rPr>
          <w:rFonts w:asciiTheme="majorBidi" w:hAnsiTheme="majorBidi" w:cstheme="majorBidi"/>
          <w:bCs/>
          <w:lang w:eastAsia="zh-CN"/>
        </w:rPr>
        <w:t>ITU-T</w:t>
      </w:r>
      <w:r w:rsidRPr="0025429D">
        <w:rPr>
          <w:rFonts w:asciiTheme="majorBidi" w:hAnsiTheme="majorBidi" w:cstheme="majorBidi"/>
          <w:bCs/>
          <w:lang w:eastAsia="zh-CN"/>
        </w:rPr>
        <w:t>第</w:t>
      </w:r>
      <w:r w:rsidRPr="0025429D">
        <w:rPr>
          <w:rFonts w:asciiTheme="majorBidi" w:hAnsiTheme="majorBidi" w:cstheme="majorBidi"/>
          <w:bCs/>
          <w:lang w:eastAsia="zh-CN"/>
        </w:rPr>
        <w:t>9</w:t>
      </w:r>
      <w:r w:rsidRPr="0025429D">
        <w:rPr>
          <w:rFonts w:asciiTheme="majorBidi" w:hAnsiTheme="majorBidi" w:cstheme="majorBidi"/>
          <w:bCs/>
          <w:lang w:eastAsia="zh-CN"/>
        </w:rPr>
        <w:t>和第</w:t>
      </w:r>
      <w:r w:rsidRPr="0025429D">
        <w:rPr>
          <w:rFonts w:asciiTheme="majorBidi" w:hAnsiTheme="majorBidi" w:cstheme="majorBidi"/>
          <w:bCs/>
          <w:lang w:eastAsia="zh-CN"/>
        </w:rPr>
        <w:t>12</w:t>
      </w:r>
      <w:r w:rsidRPr="0025429D">
        <w:rPr>
          <w:rFonts w:asciiTheme="majorBidi" w:hAnsiTheme="majorBidi" w:cstheme="majorBidi"/>
          <w:bCs/>
          <w:lang w:eastAsia="zh-CN"/>
        </w:rPr>
        <w:t>研究组之间开展有关视频和音视频质量评估的研究，旨在</w:t>
      </w:r>
    </w:p>
    <w:p w:rsidR="000D3FAD" w:rsidRPr="0025429D" w:rsidRDefault="00197437" w:rsidP="00197437">
      <w:pPr>
        <w:pStyle w:val="enumlev1"/>
        <w:rPr>
          <w:lang w:val="en-US" w:eastAsia="zh-CN"/>
        </w:rPr>
      </w:pPr>
      <w:r w:rsidRPr="00197437">
        <w:rPr>
          <w:lang w:val="en-US" w:eastAsia="zh-CN"/>
        </w:rPr>
        <w:t>–</w:t>
      </w:r>
      <w:r>
        <w:rPr>
          <w:lang w:val="en-US" w:eastAsia="zh-CN"/>
        </w:rPr>
        <w:tab/>
      </w:r>
      <w:r w:rsidR="000D3FAD" w:rsidRPr="0025429D">
        <w:rPr>
          <w:lang w:val="en-US" w:eastAsia="zh-CN"/>
        </w:rPr>
        <w:t>协调三个研究组的工作；</w:t>
      </w:r>
    </w:p>
    <w:p w:rsidR="000D3FAD" w:rsidRPr="0025429D" w:rsidRDefault="00197437" w:rsidP="00197437">
      <w:pPr>
        <w:pStyle w:val="enumlev1"/>
        <w:rPr>
          <w:lang w:val="en-US" w:eastAsia="zh-CN"/>
        </w:rPr>
      </w:pPr>
      <w:r w:rsidRPr="00197437">
        <w:rPr>
          <w:lang w:val="en-US" w:eastAsia="zh-CN"/>
        </w:rPr>
        <w:t>–</w:t>
      </w:r>
      <w:r>
        <w:rPr>
          <w:lang w:val="en-US" w:eastAsia="zh-CN"/>
        </w:rPr>
        <w:tab/>
      </w:r>
      <w:r w:rsidR="000D3FAD" w:rsidRPr="0025429D">
        <w:rPr>
          <w:lang w:val="en-US" w:eastAsia="zh-CN"/>
        </w:rPr>
        <w:t>采集和传播信息；</w:t>
      </w:r>
    </w:p>
    <w:p w:rsidR="000D3FAD" w:rsidRPr="0025429D" w:rsidRDefault="00197437" w:rsidP="00197437">
      <w:pPr>
        <w:pStyle w:val="enumlev1"/>
        <w:rPr>
          <w:lang w:val="en-US" w:eastAsia="zh-CN"/>
        </w:rPr>
      </w:pPr>
      <w:r w:rsidRPr="00197437">
        <w:rPr>
          <w:lang w:val="en-US" w:eastAsia="zh-CN"/>
        </w:rPr>
        <w:t>–</w:t>
      </w:r>
      <w:r>
        <w:rPr>
          <w:lang w:val="en-US" w:eastAsia="zh-CN"/>
        </w:rPr>
        <w:tab/>
      </w:r>
      <w:r w:rsidR="000D3FAD" w:rsidRPr="0025429D">
        <w:rPr>
          <w:lang w:val="en-US" w:eastAsia="zh-CN"/>
        </w:rPr>
        <w:t>起草共同案文建议书；</w:t>
      </w:r>
    </w:p>
    <w:p w:rsidR="000D3FAD" w:rsidRPr="0025429D" w:rsidRDefault="00197437" w:rsidP="00197437">
      <w:pPr>
        <w:pStyle w:val="enumlev1"/>
        <w:rPr>
          <w:lang w:eastAsia="zh-CN"/>
        </w:rPr>
      </w:pPr>
      <w:r w:rsidRPr="00197437">
        <w:rPr>
          <w:lang w:val="en-US" w:eastAsia="zh-CN"/>
        </w:rPr>
        <w:t>–</w:t>
      </w:r>
      <w:r>
        <w:rPr>
          <w:lang w:val="en-US" w:eastAsia="zh-CN"/>
        </w:rPr>
        <w:tab/>
      </w:r>
      <w:r w:rsidR="000D3FAD" w:rsidRPr="0025429D">
        <w:rPr>
          <w:lang w:val="en-US" w:eastAsia="zh-CN"/>
        </w:rPr>
        <w:t>为视频质量专家组（</w:t>
      </w:r>
      <w:r w:rsidR="000D3FAD" w:rsidRPr="0025429D">
        <w:rPr>
          <w:lang w:val="en-US" w:eastAsia="zh-CN"/>
        </w:rPr>
        <w:t>VQEG</w:t>
      </w:r>
      <w:r w:rsidR="000D3FAD" w:rsidRPr="0025429D">
        <w:rPr>
          <w:lang w:val="en-US" w:eastAsia="zh-CN"/>
        </w:rPr>
        <w:t>）提供联系人。</w:t>
      </w:r>
    </w:p>
    <w:p w:rsidR="000D3FAD" w:rsidRPr="0025429D" w:rsidRDefault="000D3FAD" w:rsidP="00197437">
      <w:pPr>
        <w:rPr>
          <w:lang w:eastAsia="zh-CN"/>
        </w:rPr>
      </w:pPr>
      <w:r w:rsidRPr="0025429D">
        <w:rPr>
          <w:lang w:eastAsia="zh-CN"/>
        </w:rPr>
        <w:t>IRG-AVQA</w:t>
      </w:r>
      <w:r w:rsidRPr="0025429D">
        <w:rPr>
          <w:lang w:eastAsia="zh-CN"/>
        </w:rPr>
        <w:t>便于报告人：</w:t>
      </w:r>
    </w:p>
    <w:p w:rsidR="000D3FAD" w:rsidRPr="0025429D" w:rsidRDefault="00197437" w:rsidP="00197437">
      <w:pPr>
        <w:pStyle w:val="enumlev1"/>
        <w:rPr>
          <w:lang w:val="en-US" w:eastAsia="zh-CN"/>
        </w:rPr>
      </w:pPr>
      <w:r w:rsidRPr="00197437">
        <w:rPr>
          <w:lang w:val="en-US" w:eastAsia="zh-CN"/>
        </w:rPr>
        <w:t>–</w:t>
      </w:r>
      <w:r>
        <w:rPr>
          <w:lang w:val="en-US" w:eastAsia="zh-CN"/>
        </w:rPr>
        <w:tab/>
      </w:r>
      <w:r w:rsidR="000D3FAD" w:rsidRPr="0025429D">
        <w:rPr>
          <w:lang w:eastAsia="zh-CN"/>
        </w:rPr>
        <w:t>利用电子邮件和联席会议加快信息交换；</w:t>
      </w:r>
    </w:p>
    <w:p w:rsidR="000D3FAD" w:rsidRPr="0025429D" w:rsidRDefault="00197437" w:rsidP="00197437">
      <w:pPr>
        <w:pStyle w:val="enumlev1"/>
        <w:rPr>
          <w:lang w:val="en-US" w:eastAsia="zh-CN"/>
        </w:rPr>
      </w:pPr>
      <w:r w:rsidRPr="00197437">
        <w:rPr>
          <w:lang w:val="en-US" w:eastAsia="zh-CN"/>
        </w:rPr>
        <w:t>–</w:t>
      </w:r>
      <w:r>
        <w:rPr>
          <w:lang w:val="en-US" w:eastAsia="zh-CN"/>
        </w:rPr>
        <w:tab/>
      </w:r>
      <w:r w:rsidR="000D3FAD" w:rsidRPr="0025429D">
        <w:rPr>
          <w:lang w:val="en-US" w:eastAsia="zh-CN"/>
        </w:rPr>
        <w:t>争取更广泛的国际电联成员参与；</w:t>
      </w:r>
    </w:p>
    <w:p w:rsidR="000D3FAD" w:rsidRPr="0025429D" w:rsidRDefault="00197437" w:rsidP="00197437">
      <w:pPr>
        <w:pStyle w:val="enumlev1"/>
        <w:rPr>
          <w:lang w:val="en-US" w:eastAsia="zh-CN"/>
        </w:rPr>
      </w:pPr>
      <w:r w:rsidRPr="00197437">
        <w:rPr>
          <w:lang w:val="en-US" w:eastAsia="zh-CN"/>
        </w:rPr>
        <w:t>–</w:t>
      </w:r>
      <w:r>
        <w:rPr>
          <w:lang w:val="en-US" w:eastAsia="zh-CN"/>
        </w:rPr>
        <w:tab/>
      </w:r>
      <w:r w:rsidR="000D3FAD" w:rsidRPr="0025429D">
        <w:rPr>
          <w:lang w:val="en-US" w:eastAsia="zh-CN"/>
        </w:rPr>
        <w:t>征求非成员专家（如学术机构）的意见；</w:t>
      </w:r>
    </w:p>
    <w:p w:rsidR="000D3FAD" w:rsidRPr="0025429D" w:rsidRDefault="00197437" w:rsidP="00197437">
      <w:pPr>
        <w:pStyle w:val="enumlev1"/>
        <w:rPr>
          <w:lang w:val="en-US" w:eastAsia="zh-CN"/>
        </w:rPr>
      </w:pPr>
      <w:r w:rsidRPr="00197437">
        <w:rPr>
          <w:lang w:val="en-US" w:eastAsia="zh-CN"/>
        </w:rPr>
        <w:t>–</w:t>
      </w:r>
      <w:r>
        <w:rPr>
          <w:lang w:val="en-US" w:eastAsia="zh-CN"/>
        </w:rPr>
        <w:tab/>
      </w:r>
      <w:r w:rsidR="000D3FAD" w:rsidRPr="0025429D">
        <w:rPr>
          <w:lang w:eastAsia="zh-CN"/>
        </w:rPr>
        <w:t>自研究工作伊始就向公众发布信息；</w:t>
      </w:r>
    </w:p>
    <w:p w:rsidR="000D3FAD" w:rsidRPr="0025429D" w:rsidRDefault="00197437" w:rsidP="00197437">
      <w:pPr>
        <w:pStyle w:val="enumlev1"/>
        <w:rPr>
          <w:lang w:val="en-US" w:eastAsia="zh-CN"/>
        </w:rPr>
      </w:pPr>
      <w:r w:rsidRPr="00197437">
        <w:rPr>
          <w:lang w:val="en-US" w:eastAsia="zh-CN"/>
        </w:rPr>
        <w:t>–</w:t>
      </w:r>
      <w:r>
        <w:rPr>
          <w:lang w:val="en-US" w:eastAsia="zh-CN"/>
        </w:rPr>
        <w:tab/>
      </w:r>
      <w:r w:rsidR="000D3FAD" w:rsidRPr="0025429D">
        <w:rPr>
          <w:lang w:eastAsia="zh-CN"/>
        </w:rPr>
        <w:t>就建议书安排联席编辑会议；</w:t>
      </w:r>
    </w:p>
    <w:p w:rsidR="000D3FAD" w:rsidRPr="0025429D" w:rsidRDefault="00197437" w:rsidP="00197437">
      <w:pPr>
        <w:pStyle w:val="enumlev1"/>
        <w:rPr>
          <w:lang w:val="en-US" w:eastAsia="zh-CN"/>
        </w:rPr>
      </w:pPr>
      <w:r w:rsidRPr="00197437">
        <w:rPr>
          <w:lang w:val="en-US" w:eastAsia="zh-CN"/>
        </w:rPr>
        <w:t>–</w:t>
      </w:r>
      <w:r>
        <w:rPr>
          <w:lang w:val="en-US" w:eastAsia="zh-CN"/>
        </w:rPr>
        <w:tab/>
      </w:r>
      <w:r w:rsidR="000D3FAD" w:rsidRPr="0025429D">
        <w:rPr>
          <w:lang w:val="en-US" w:eastAsia="zh-CN"/>
        </w:rPr>
        <w:t>使接近成熟的工作项目社会化。</w:t>
      </w:r>
    </w:p>
    <w:p w:rsidR="000D3FAD" w:rsidRPr="0025429D" w:rsidRDefault="000D3FAD" w:rsidP="007D579A">
      <w:pPr>
        <w:ind w:firstLine="504"/>
        <w:rPr>
          <w:lang w:eastAsia="zh-CN"/>
        </w:rPr>
      </w:pPr>
      <w:r w:rsidRPr="0025429D">
        <w:rPr>
          <w:lang w:eastAsia="zh-CN"/>
        </w:rPr>
        <w:t>邀请并鼓励提供技术建议的与会者参与该组工作。</w:t>
      </w:r>
    </w:p>
    <w:p w:rsidR="000D3FAD" w:rsidRPr="0025429D" w:rsidRDefault="000D3FAD" w:rsidP="000D3FAD">
      <w:pPr>
        <w:ind w:firstLineChars="200" w:firstLine="480"/>
        <w:rPr>
          <w:rFonts w:asciiTheme="majorBidi" w:hAnsiTheme="majorBidi" w:cstheme="majorBidi"/>
          <w:color w:val="222222"/>
          <w:lang w:eastAsia="zh-CN"/>
        </w:rPr>
      </w:pPr>
      <w:r w:rsidRPr="0025429D">
        <w:rPr>
          <w:rFonts w:asciiTheme="majorBidi" w:hAnsiTheme="majorBidi" w:cstheme="majorBidi"/>
          <w:lang w:val="en-US" w:eastAsia="zh-CN"/>
        </w:rPr>
        <w:lastRenderedPageBreak/>
        <w:t>IRG-AVQA</w:t>
      </w:r>
      <w:r w:rsidRPr="0025429D">
        <w:rPr>
          <w:rFonts w:asciiTheme="majorBidi" w:hAnsiTheme="majorBidi" w:cstheme="majorBidi"/>
          <w:color w:val="222222"/>
          <w:lang w:eastAsia="zh-CN"/>
        </w:rPr>
        <w:t>旨在重点推动远程与会和多会并行（例如同时同地召开研究组会议、临时报告人组会议或</w:t>
      </w:r>
      <w:r w:rsidRPr="0025429D">
        <w:rPr>
          <w:rFonts w:asciiTheme="majorBidi" w:hAnsiTheme="majorBidi" w:cstheme="majorBidi"/>
          <w:color w:val="222222"/>
          <w:lang w:eastAsia="zh-CN"/>
        </w:rPr>
        <w:t>VQEG</w:t>
      </w:r>
      <w:r w:rsidRPr="0025429D">
        <w:rPr>
          <w:rFonts w:asciiTheme="majorBidi" w:hAnsiTheme="majorBidi" w:cstheme="majorBidi"/>
          <w:color w:val="222222"/>
          <w:lang w:eastAsia="zh-CN"/>
        </w:rPr>
        <w:t>会议），还力争通过开短会，尽量减少对与会者时间安排的影响。</w:t>
      </w:r>
    </w:p>
    <w:p w:rsidR="000D3FAD" w:rsidRPr="0025429D" w:rsidRDefault="000D3FAD" w:rsidP="000D3FAD">
      <w:pPr>
        <w:ind w:firstLineChars="200" w:firstLine="480"/>
        <w:rPr>
          <w:rFonts w:asciiTheme="majorBidi" w:hAnsiTheme="majorBidi" w:cstheme="majorBidi"/>
          <w:color w:val="222222"/>
          <w:lang w:eastAsia="zh-CN"/>
        </w:rPr>
      </w:pPr>
      <w:r w:rsidRPr="0025429D">
        <w:rPr>
          <w:rFonts w:asciiTheme="majorBidi" w:hAnsiTheme="majorBidi" w:cstheme="majorBidi"/>
          <w:lang w:val="en-US" w:eastAsia="zh-CN"/>
        </w:rPr>
        <w:t>ITU-T</w:t>
      </w:r>
      <w:r w:rsidRPr="0025429D">
        <w:rPr>
          <w:rFonts w:asciiTheme="majorBidi" w:hAnsiTheme="majorBidi" w:cstheme="majorBidi"/>
          <w:lang w:val="en-US" w:eastAsia="zh-CN"/>
        </w:rPr>
        <w:t>第</w:t>
      </w:r>
      <w:r w:rsidRPr="0025429D">
        <w:rPr>
          <w:rFonts w:asciiTheme="majorBidi" w:hAnsiTheme="majorBidi" w:cstheme="majorBidi"/>
          <w:lang w:val="en-US" w:eastAsia="zh-CN"/>
        </w:rPr>
        <w:t>9</w:t>
      </w:r>
      <w:r w:rsidRPr="0025429D">
        <w:rPr>
          <w:rFonts w:asciiTheme="majorBidi" w:hAnsiTheme="majorBidi" w:cstheme="majorBidi"/>
          <w:lang w:val="en-US" w:eastAsia="zh-CN"/>
        </w:rPr>
        <w:t>第</w:t>
      </w:r>
      <w:r w:rsidRPr="0025429D">
        <w:rPr>
          <w:rFonts w:asciiTheme="majorBidi" w:hAnsiTheme="majorBidi" w:cstheme="majorBidi"/>
          <w:lang w:val="en-US" w:eastAsia="zh-CN"/>
        </w:rPr>
        <w:t>12</w:t>
      </w:r>
      <w:r w:rsidRPr="0025429D">
        <w:rPr>
          <w:rFonts w:asciiTheme="majorBidi" w:hAnsiTheme="majorBidi" w:cstheme="majorBidi"/>
          <w:lang w:val="en-US" w:eastAsia="zh-CN"/>
        </w:rPr>
        <w:t>研究组的多媒体质量评估报告人组（</w:t>
      </w:r>
      <w:r w:rsidRPr="0025429D">
        <w:rPr>
          <w:rFonts w:asciiTheme="majorBidi" w:hAnsiTheme="majorBidi" w:cstheme="majorBidi"/>
          <w:color w:val="222222"/>
          <w:lang w:eastAsia="zh-CN"/>
        </w:rPr>
        <w:t>JRG</w:t>
      </w:r>
      <w:r w:rsidRPr="0025429D">
        <w:rPr>
          <w:rStyle w:val="atn"/>
          <w:rFonts w:asciiTheme="majorBidi" w:hAnsiTheme="majorBidi" w:cstheme="majorBidi"/>
          <w:color w:val="222222"/>
          <w:lang w:eastAsia="zh-CN"/>
        </w:rPr>
        <w:t>-</w:t>
      </w:r>
      <w:r w:rsidRPr="0025429D">
        <w:rPr>
          <w:rFonts w:asciiTheme="majorBidi" w:hAnsiTheme="majorBidi" w:cstheme="majorBidi"/>
          <w:color w:val="222222"/>
          <w:lang w:eastAsia="zh-CN"/>
        </w:rPr>
        <w:t>MMQA</w:t>
      </w:r>
      <w:r w:rsidRPr="0025429D">
        <w:rPr>
          <w:rFonts w:asciiTheme="majorBidi" w:hAnsiTheme="majorBidi" w:cstheme="majorBidi"/>
          <w:lang w:val="en-US" w:eastAsia="zh-CN"/>
        </w:rPr>
        <w:t>），在</w:t>
      </w:r>
      <w:r w:rsidRPr="0025429D">
        <w:rPr>
          <w:rFonts w:asciiTheme="majorBidi" w:hAnsiTheme="majorBidi" w:cstheme="majorBidi"/>
          <w:color w:val="222222"/>
          <w:lang w:eastAsia="zh-CN"/>
        </w:rPr>
        <w:t>IRG</w:t>
      </w:r>
      <w:r w:rsidRPr="0025429D">
        <w:rPr>
          <w:rStyle w:val="atn"/>
          <w:rFonts w:asciiTheme="majorBidi" w:hAnsiTheme="majorBidi" w:cstheme="majorBidi"/>
          <w:color w:val="222222"/>
          <w:lang w:eastAsia="zh-CN"/>
        </w:rPr>
        <w:t>-</w:t>
      </w:r>
      <w:r w:rsidRPr="0025429D">
        <w:rPr>
          <w:rFonts w:asciiTheme="majorBidi" w:hAnsiTheme="majorBidi" w:cstheme="majorBidi"/>
          <w:color w:val="222222"/>
          <w:lang w:eastAsia="zh-CN"/>
        </w:rPr>
        <w:t>AVQA</w:t>
      </w:r>
      <w:r w:rsidRPr="0025429D">
        <w:rPr>
          <w:rFonts w:asciiTheme="majorBidi" w:hAnsiTheme="majorBidi" w:cstheme="majorBidi"/>
          <w:color w:val="222222"/>
          <w:lang w:eastAsia="zh-CN"/>
        </w:rPr>
        <w:t>成立后正式终止工作。</w:t>
      </w:r>
      <w:r w:rsidRPr="0025429D">
        <w:rPr>
          <w:rFonts w:asciiTheme="majorBidi" w:hAnsiTheme="majorBidi" w:cstheme="majorBidi"/>
          <w:lang w:val="en-US" w:eastAsia="zh-CN"/>
        </w:rPr>
        <w:t>IRG-AVQA</w:t>
      </w:r>
      <w:r w:rsidRPr="0025429D">
        <w:rPr>
          <w:rFonts w:asciiTheme="majorBidi" w:hAnsiTheme="majorBidi" w:cstheme="majorBidi"/>
          <w:color w:val="222222"/>
          <w:lang w:eastAsia="zh-CN"/>
        </w:rPr>
        <w:t>将在延续</w:t>
      </w:r>
      <w:r w:rsidRPr="0025429D">
        <w:rPr>
          <w:rFonts w:asciiTheme="majorBidi" w:hAnsiTheme="majorBidi" w:cstheme="majorBidi"/>
          <w:color w:val="222222"/>
          <w:lang w:eastAsia="zh-CN"/>
        </w:rPr>
        <w:t>JRG</w:t>
      </w:r>
      <w:r w:rsidRPr="0025429D">
        <w:rPr>
          <w:rStyle w:val="atn"/>
          <w:rFonts w:asciiTheme="majorBidi" w:hAnsiTheme="majorBidi" w:cstheme="majorBidi"/>
          <w:color w:val="222222"/>
          <w:lang w:eastAsia="zh-CN"/>
        </w:rPr>
        <w:t>-</w:t>
      </w:r>
      <w:r w:rsidRPr="0025429D">
        <w:rPr>
          <w:rFonts w:asciiTheme="majorBidi" w:hAnsiTheme="majorBidi" w:cstheme="majorBidi"/>
          <w:color w:val="222222"/>
          <w:lang w:eastAsia="zh-CN"/>
        </w:rPr>
        <w:t>MMQA</w:t>
      </w:r>
      <w:r w:rsidRPr="0025429D">
        <w:rPr>
          <w:rFonts w:asciiTheme="majorBidi" w:hAnsiTheme="majorBidi" w:cstheme="majorBidi"/>
          <w:color w:val="222222"/>
          <w:lang w:eastAsia="zh-CN"/>
        </w:rPr>
        <w:t>协调工作的同时，在对等的基础上接纳</w:t>
      </w:r>
      <w:r w:rsidRPr="0025429D">
        <w:rPr>
          <w:rFonts w:asciiTheme="majorBidi" w:hAnsiTheme="majorBidi" w:cstheme="majorBidi"/>
          <w:color w:val="222222"/>
          <w:lang w:eastAsia="zh-CN"/>
        </w:rPr>
        <w:t>ITU-R</w:t>
      </w:r>
      <w:r w:rsidRPr="0025429D">
        <w:rPr>
          <w:rStyle w:val="hps"/>
          <w:rFonts w:asciiTheme="majorBidi" w:hAnsiTheme="majorBidi" w:cstheme="majorBidi"/>
          <w:color w:val="222222"/>
          <w:lang w:eastAsia="zh-CN"/>
        </w:rPr>
        <w:t>第</w:t>
      </w:r>
      <w:r w:rsidRPr="0025429D">
        <w:rPr>
          <w:rStyle w:val="hps"/>
          <w:rFonts w:asciiTheme="majorBidi" w:hAnsiTheme="majorBidi" w:cstheme="majorBidi"/>
          <w:color w:val="222222"/>
          <w:lang w:eastAsia="zh-CN"/>
        </w:rPr>
        <w:t>6</w:t>
      </w:r>
      <w:r w:rsidRPr="0025429D">
        <w:rPr>
          <w:rStyle w:val="hps"/>
          <w:rFonts w:asciiTheme="majorBidi" w:hAnsiTheme="majorBidi" w:cstheme="majorBidi"/>
          <w:color w:val="222222"/>
          <w:lang w:eastAsia="zh-CN"/>
        </w:rPr>
        <w:t>工作组的</w:t>
      </w:r>
      <w:r w:rsidRPr="0025429D">
        <w:rPr>
          <w:rFonts w:asciiTheme="majorBidi" w:hAnsiTheme="majorBidi" w:cstheme="majorBidi"/>
          <w:color w:val="222222"/>
          <w:lang w:eastAsia="zh-CN"/>
        </w:rPr>
        <w:t>专家参与。</w:t>
      </w:r>
    </w:p>
    <w:p w:rsidR="000D3FAD" w:rsidRPr="0025429D" w:rsidRDefault="000D3FAD" w:rsidP="000D3FAD">
      <w:pPr>
        <w:ind w:firstLineChars="200" w:firstLine="480"/>
        <w:rPr>
          <w:rFonts w:asciiTheme="majorBidi" w:hAnsiTheme="majorBidi" w:cstheme="majorBidi"/>
          <w:lang w:val="en-US" w:eastAsia="zh-CN"/>
        </w:rPr>
      </w:pPr>
      <w:r w:rsidRPr="0025429D">
        <w:rPr>
          <w:rFonts w:asciiTheme="majorBidi" w:hAnsiTheme="majorBidi" w:cstheme="majorBidi"/>
          <w:color w:val="222222"/>
          <w:lang w:eastAsia="zh-CN"/>
        </w:rPr>
        <w:t>这个新</w:t>
      </w:r>
      <w:r w:rsidRPr="0025429D">
        <w:rPr>
          <w:rFonts w:asciiTheme="majorBidi" w:hAnsiTheme="majorBidi" w:cstheme="majorBidi"/>
          <w:color w:val="222222"/>
          <w:lang w:eastAsia="zh-CN"/>
        </w:rPr>
        <w:t>IRG</w:t>
      </w:r>
      <w:r w:rsidRPr="0025429D">
        <w:rPr>
          <w:rFonts w:asciiTheme="majorBidi" w:hAnsiTheme="majorBidi" w:cstheme="majorBidi"/>
          <w:color w:val="222222"/>
          <w:lang w:eastAsia="zh-CN"/>
        </w:rPr>
        <w:t>的主要目的是协助起草</w:t>
      </w:r>
      <w:r w:rsidRPr="0025429D">
        <w:rPr>
          <w:rFonts w:asciiTheme="majorBidi" w:hAnsiTheme="majorBidi" w:cstheme="majorBidi"/>
          <w:bCs/>
          <w:lang w:eastAsia="zh-CN"/>
        </w:rPr>
        <w:t>有关视频和音视频质量评估的</w:t>
      </w:r>
      <w:r w:rsidRPr="0025429D">
        <w:rPr>
          <w:rStyle w:val="atn"/>
          <w:rFonts w:asciiTheme="majorBidi" w:hAnsiTheme="majorBidi" w:cstheme="majorBidi"/>
          <w:color w:val="222222"/>
          <w:lang w:eastAsia="zh-CN"/>
        </w:rPr>
        <w:t>ITU-</w:t>
      </w:r>
      <w:r w:rsidRPr="0025429D">
        <w:rPr>
          <w:rFonts w:asciiTheme="majorBidi" w:hAnsiTheme="majorBidi" w:cstheme="majorBidi"/>
          <w:color w:val="222222"/>
          <w:lang w:eastAsia="zh-CN"/>
        </w:rPr>
        <w:t>T</w:t>
      </w:r>
      <w:r w:rsidRPr="0025429D">
        <w:rPr>
          <w:rFonts w:asciiTheme="majorBidi" w:hAnsiTheme="majorBidi" w:cstheme="majorBidi"/>
          <w:color w:val="222222"/>
          <w:lang w:eastAsia="zh-CN"/>
        </w:rPr>
        <w:t>和</w:t>
      </w:r>
      <w:r w:rsidRPr="0025429D">
        <w:rPr>
          <w:rFonts w:asciiTheme="majorBidi" w:hAnsiTheme="majorBidi" w:cstheme="majorBidi"/>
          <w:color w:val="222222"/>
          <w:lang w:eastAsia="zh-CN"/>
        </w:rPr>
        <w:t>ITU</w:t>
      </w:r>
      <w:r w:rsidRPr="0025429D">
        <w:rPr>
          <w:rStyle w:val="atn"/>
          <w:rFonts w:asciiTheme="majorBidi" w:hAnsiTheme="majorBidi" w:cstheme="majorBidi"/>
          <w:color w:val="222222"/>
          <w:lang w:eastAsia="zh-CN"/>
        </w:rPr>
        <w:t>-</w:t>
      </w:r>
      <w:r w:rsidRPr="0025429D">
        <w:rPr>
          <w:rFonts w:asciiTheme="majorBidi" w:hAnsiTheme="majorBidi" w:cstheme="majorBidi"/>
          <w:color w:val="222222"/>
          <w:lang w:eastAsia="zh-CN"/>
        </w:rPr>
        <w:t>R</w:t>
      </w:r>
      <w:r w:rsidRPr="0025429D">
        <w:rPr>
          <w:rFonts w:asciiTheme="majorBidi" w:hAnsiTheme="majorBidi" w:cstheme="majorBidi"/>
          <w:color w:val="222222"/>
          <w:lang w:eastAsia="zh-CN"/>
        </w:rPr>
        <w:t>建议书。</w:t>
      </w:r>
      <w:r w:rsidRPr="0025429D">
        <w:rPr>
          <w:rStyle w:val="hps"/>
          <w:rFonts w:asciiTheme="majorBidi" w:hAnsiTheme="majorBidi" w:cstheme="majorBidi"/>
          <w:color w:val="222222"/>
          <w:lang w:eastAsia="zh-CN"/>
        </w:rPr>
        <w:t>IRG</w:t>
      </w:r>
      <w:r w:rsidRPr="0025429D">
        <w:rPr>
          <w:rStyle w:val="atn"/>
          <w:rFonts w:asciiTheme="majorBidi" w:hAnsiTheme="majorBidi" w:cstheme="majorBidi"/>
          <w:color w:val="222222"/>
          <w:lang w:eastAsia="zh-CN"/>
        </w:rPr>
        <w:t>-</w:t>
      </w:r>
      <w:r w:rsidRPr="0025429D">
        <w:rPr>
          <w:rFonts w:asciiTheme="majorBidi" w:hAnsiTheme="majorBidi" w:cstheme="majorBidi"/>
          <w:color w:val="222222"/>
          <w:lang w:eastAsia="zh-CN"/>
        </w:rPr>
        <w:t>AVQA</w:t>
      </w:r>
      <w:r w:rsidRPr="0025429D">
        <w:rPr>
          <w:rFonts w:asciiTheme="majorBidi" w:hAnsiTheme="majorBidi" w:cstheme="majorBidi"/>
          <w:color w:val="222222"/>
          <w:lang w:eastAsia="zh-CN"/>
        </w:rPr>
        <w:t>网页见</w:t>
      </w:r>
      <w:hyperlink r:id="rId12" w:history="1">
        <w:r w:rsidRPr="0025429D">
          <w:rPr>
            <w:rStyle w:val="Hyperlink"/>
            <w:rFonts w:asciiTheme="majorBidi" w:hAnsiTheme="majorBidi" w:cstheme="majorBidi"/>
            <w:lang w:eastAsia="zh-CN"/>
          </w:rPr>
          <w:t>http://itu.int/en/irg/avqa</w:t>
        </w:r>
      </w:hyperlink>
      <w:r w:rsidRPr="0025429D">
        <w:rPr>
          <w:rFonts w:asciiTheme="majorBidi" w:hAnsiTheme="majorBidi" w:cstheme="majorBidi"/>
          <w:color w:val="222222"/>
          <w:lang w:eastAsia="zh-CN"/>
        </w:rPr>
        <w:t>。即将提供的电子邮件列表将作为链接纳入本网页。</w:t>
      </w:r>
    </w:p>
    <w:p w:rsidR="000D3FAD" w:rsidRPr="0025429D" w:rsidRDefault="000D3FAD" w:rsidP="000D3FAD">
      <w:pPr>
        <w:rPr>
          <w:rFonts w:asciiTheme="majorBidi" w:hAnsiTheme="majorBidi" w:cstheme="majorBidi"/>
          <w:lang w:eastAsia="zh-CN"/>
        </w:rPr>
      </w:pPr>
      <w:r w:rsidRPr="0025429D">
        <w:rPr>
          <w:rFonts w:asciiTheme="majorBidi" w:hAnsiTheme="majorBidi" w:cstheme="majorBidi"/>
          <w:lang w:eastAsia="zh-CN"/>
        </w:rPr>
        <w:t>3</w:t>
      </w:r>
      <w:r w:rsidRPr="0025429D">
        <w:rPr>
          <w:rFonts w:asciiTheme="majorBidi" w:hAnsiTheme="majorBidi" w:cstheme="majorBidi"/>
          <w:lang w:eastAsia="zh-CN"/>
        </w:rPr>
        <w:tab/>
      </w:r>
      <w:r w:rsidRPr="0025429D">
        <w:rPr>
          <w:rFonts w:asciiTheme="majorBidi" w:hAnsiTheme="majorBidi" w:cstheme="majorBidi"/>
          <w:lang w:eastAsia="zh-CN"/>
        </w:rPr>
        <w:t>达成共识的</w:t>
      </w:r>
      <w:r w:rsidRPr="0025429D">
        <w:rPr>
          <w:rFonts w:asciiTheme="majorBidi" w:hAnsiTheme="majorBidi" w:cstheme="majorBidi"/>
          <w:lang w:eastAsia="zh-CN"/>
        </w:rPr>
        <w:t>IRG-AVQA</w:t>
      </w:r>
      <w:r w:rsidRPr="0025429D">
        <w:rPr>
          <w:rFonts w:asciiTheme="majorBidi" w:hAnsiTheme="majorBidi" w:cstheme="majorBidi"/>
          <w:lang w:eastAsia="zh-CN"/>
        </w:rPr>
        <w:t>职责范围见</w:t>
      </w:r>
      <w:r w:rsidRPr="0025429D">
        <w:rPr>
          <w:rFonts w:asciiTheme="majorBidi" w:hAnsiTheme="majorBidi" w:cstheme="majorBidi"/>
          <w:b/>
          <w:bCs/>
          <w:lang w:eastAsia="zh-CN"/>
        </w:rPr>
        <w:t>附件</w:t>
      </w:r>
      <w:r w:rsidRPr="0025429D">
        <w:rPr>
          <w:rFonts w:asciiTheme="majorBidi" w:hAnsiTheme="majorBidi" w:cstheme="majorBidi"/>
          <w:b/>
          <w:bCs/>
          <w:lang w:eastAsia="zh-CN"/>
        </w:rPr>
        <w:t>1</w:t>
      </w:r>
      <w:r w:rsidRPr="0025429D">
        <w:rPr>
          <w:rFonts w:asciiTheme="majorBidi" w:hAnsiTheme="majorBidi" w:cstheme="majorBidi"/>
          <w:lang w:eastAsia="zh-CN"/>
        </w:rPr>
        <w:t>。</w:t>
      </w:r>
    </w:p>
    <w:p w:rsidR="000D3FAD" w:rsidRPr="0025429D" w:rsidRDefault="000D3FAD" w:rsidP="000D3FAD">
      <w:pPr>
        <w:rPr>
          <w:rFonts w:asciiTheme="majorBidi" w:hAnsiTheme="majorBidi" w:cstheme="majorBidi"/>
          <w:lang w:eastAsia="zh-CN"/>
        </w:rPr>
      </w:pPr>
      <w:r w:rsidRPr="0025429D">
        <w:rPr>
          <w:rFonts w:asciiTheme="majorBidi" w:hAnsiTheme="majorBidi" w:cstheme="majorBidi"/>
          <w:lang w:eastAsia="zh-CN"/>
        </w:rPr>
        <w:t>4</w:t>
      </w:r>
      <w:r w:rsidRPr="0025429D">
        <w:rPr>
          <w:rFonts w:asciiTheme="majorBidi" w:hAnsiTheme="majorBidi" w:cstheme="majorBidi"/>
          <w:lang w:eastAsia="zh-CN"/>
        </w:rPr>
        <w:tab/>
      </w:r>
      <w:r w:rsidRPr="0025429D">
        <w:rPr>
          <w:rFonts w:asciiTheme="majorBidi" w:hAnsiTheme="majorBidi" w:cstheme="majorBidi"/>
          <w:lang w:val="en-US" w:eastAsia="zh-CN"/>
        </w:rPr>
        <w:t>IRG</w:t>
      </w:r>
      <w:r w:rsidRPr="0025429D">
        <w:rPr>
          <w:rFonts w:asciiTheme="majorBidi" w:hAnsiTheme="majorBidi" w:cstheme="majorBidi"/>
          <w:lang w:val="en-US" w:eastAsia="zh-CN"/>
        </w:rPr>
        <w:t>须根据</w:t>
      </w:r>
      <w:r w:rsidRPr="0025429D">
        <w:rPr>
          <w:rFonts w:asciiTheme="majorBidi" w:hAnsiTheme="majorBidi" w:cstheme="majorBidi"/>
          <w:lang w:val="en-US" w:eastAsia="zh-CN"/>
        </w:rPr>
        <w:t>ITU-R</w:t>
      </w:r>
      <w:r w:rsidRPr="0025429D">
        <w:rPr>
          <w:rFonts w:asciiTheme="majorBidi" w:hAnsiTheme="majorBidi" w:cstheme="majorBidi"/>
          <w:lang w:val="en-US" w:eastAsia="zh-CN"/>
        </w:rPr>
        <w:t>第</w:t>
      </w:r>
      <w:r w:rsidRPr="0025429D">
        <w:rPr>
          <w:rFonts w:asciiTheme="majorBidi" w:hAnsiTheme="majorBidi" w:cstheme="majorBidi"/>
          <w:lang w:val="en-US" w:eastAsia="zh-CN"/>
        </w:rPr>
        <w:t>1-6</w:t>
      </w:r>
      <w:r w:rsidRPr="0025429D">
        <w:rPr>
          <w:rFonts w:asciiTheme="majorBidi" w:hAnsiTheme="majorBidi" w:cstheme="majorBidi"/>
          <w:lang w:val="en-US" w:eastAsia="zh-CN"/>
        </w:rPr>
        <w:t>号决议和</w:t>
      </w:r>
      <w:r w:rsidRPr="0025429D">
        <w:rPr>
          <w:rFonts w:asciiTheme="majorBidi" w:hAnsiTheme="majorBidi" w:cstheme="majorBidi"/>
          <w:lang w:val="en-US" w:eastAsia="zh-CN"/>
        </w:rPr>
        <w:t xml:space="preserve">ITU-T </w:t>
      </w:r>
      <w:r w:rsidRPr="0025429D">
        <w:rPr>
          <w:rFonts w:asciiTheme="majorBidi" w:hAnsiTheme="majorBidi" w:cstheme="majorBidi"/>
          <w:szCs w:val="24"/>
          <w:lang w:val="en-US" w:eastAsia="it-IT"/>
        </w:rPr>
        <w:t>A.1</w:t>
      </w:r>
      <w:r w:rsidRPr="0025429D">
        <w:rPr>
          <w:rFonts w:asciiTheme="majorBidi" w:hAnsiTheme="majorBidi" w:cstheme="majorBidi"/>
          <w:lang w:val="en-US" w:eastAsia="zh-CN"/>
        </w:rPr>
        <w:t>建议书（尤其是第</w:t>
      </w:r>
      <w:r w:rsidRPr="0025429D">
        <w:rPr>
          <w:rFonts w:asciiTheme="majorBidi" w:hAnsiTheme="majorBidi" w:cstheme="majorBidi"/>
          <w:lang w:eastAsia="zh-CN"/>
        </w:rPr>
        <w:t>2.3</w:t>
      </w:r>
      <w:r w:rsidRPr="0025429D">
        <w:rPr>
          <w:rFonts w:asciiTheme="majorBidi" w:hAnsiTheme="majorBidi" w:cstheme="majorBidi"/>
          <w:lang w:eastAsia="zh-CN"/>
        </w:rPr>
        <w:t>款</w:t>
      </w:r>
      <w:r w:rsidRPr="0025429D">
        <w:rPr>
          <w:rFonts w:asciiTheme="majorBidi" w:hAnsiTheme="majorBidi" w:cstheme="majorBidi"/>
          <w:lang w:val="en-US" w:eastAsia="zh-CN"/>
        </w:rPr>
        <w:t>）中适用于报告人组的条款开展工作。</w:t>
      </w:r>
      <w:r w:rsidR="00C42093">
        <w:rPr>
          <w:rFonts w:asciiTheme="majorBidi" w:hAnsiTheme="majorBidi" w:cstheme="majorBidi"/>
          <w:lang w:eastAsia="zh-CN"/>
        </w:rPr>
        <w:t>IRG</w:t>
      </w:r>
      <w:r w:rsidRPr="0025429D">
        <w:rPr>
          <w:rFonts w:asciiTheme="majorBidi" w:hAnsiTheme="majorBidi" w:cstheme="majorBidi"/>
          <w:lang w:eastAsia="zh-CN"/>
        </w:rPr>
        <w:t>网页将很快对该组的电子工作方式作出说明。讨论将仅以英文进行。</w:t>
      </w:r>
    </w:p>
    <w:p w:rsidR="000D3FAD" w:rsidRPr="0025429D" w:rsidRDefault="000D3FAD" w:rsidP="000D3FAD">
      <w:pPr>
        <w:rPr>
          <w:rFonts w:asciiTheme="majorBidi" w:hAnsiTheme="majorBidi" w:cstheme="majorBidi"/>
          <w:lang w:eastAsia="zh-CN"/>
        </w:rPr>
      </w:pPr>
      <w:r w:rsidRPr="0025429D">
        <w:rPr>
          <w:rFonts w:asciiTheme="majorBidi" w:hAnsiTheme="majorBidi" w:cstheme="majorBidi"/>
          <w:lang w:eastAsia="zh-CN"/>
        </w:rPr>
        <w:t>5</w:t>
      </w:r>
      <w:r w:rsidRPr="0025429D">
        <w:rPr>
          <w:rFonts w:asciiTheme="majorBidi" w:hAnsiTheme="majorBidi" w:cstheme="majorBidi"/>
          <w:lang w:eastAsia="zh-CN"/>
        </w:rPr>
        <w:tab/>
        <w:t>IRG-AVQA</w:t>
      </w:r>
      <w:r w:rsidRPr="0025429D">
        <w:rPr>
          <w:rFonts w:asciiTheme="majorBidi" w:hAnsiTheme="majorBidi" w:cstheme="majorBidi"/>
          <w:lang w:eastAsia="zh-CN"/>
        </w:rPr>
        <w:t>的首次会议计划于</w:t>
      </w:r>
      <w:r w:rsidRPr="0025429D">
        <w:rPr>
          <w:rFonts w:asciiTheme="majorBidi" w:hAnsiTheme="majorBidi" w:cstheme="majorBidi"/>
          <w:lang w:eastAsia="zh-CN"/>
        </w:rPr>
        <w:t>2014</w:t>
      </w:r>
      <w:r w:rsidRPr="0025429D">
        <w:rPr>
          <w:rFonts w:asciiTheme="majorBidi" w:hAnsiTheme="majorBidi" w:cstheme="majorBidi"/>
          <w:lang w:eastAsia="zh-CN"/>
        </w:rPr>
        <w:t>年</w:t>
      </w:r>
      <w:r w:rsidRPr="0025429D">
        <w:rPr>
          <w:rFonts w:asciiTheme="majorBidi" w:hAnsiTheme="majorBidi" w:cstheme="majorBidi"/>
          <w:lang w:eastAsia="zh-CN"/>
        </w:rPr>
        <w:t>1</w:t>
      </w:r>
      <w:r w:rsidRPr="0025429D">
        <w:rPr>
          <w:rFonts w:asciiTheme="majorBidi" w:hAnsiTheme="majorBidi" w:cstheme="majorBidi"/>
          <w:lang w:eastAsia="zh-CN"/>
        </w:rPr>
        <w:t>月</w:t>
      </w:r>
      <w:r w:rsidRPr="0025429D">
        <w:rPr>
          <w:rFonts w:asciiTheme="majorBidi" w:hAnsiTheme="majorBidi" w:cstheme="majorBidi"/>
          <w:lang w:eastAsia="zh-CN"/>
        </w:rPr>
        <w:t>21-24</w:t>
      </w:r>
      <w:r w:rsidRPr="0025429D">
        <w:rPr>
          <w:rFonts w:asciiTheme="majorBidi" w:hAnsiTheme="majorBidi" w:cstheme="majorBidi"/>
          <w:lang w:eastAsia="zh-CN"/>
        </w:rPr>
        <w:t>日在美国科罗拉多州博得举行。</w:t>
      </w:r>
      <w:r w:rsidRPr="0025429D">
        <w:rPr>
          <w:rFonts w:asciiTheme="majorBidi" w:hAnsiTheme="majorBidi" w:cstheme="majorBidi"/>
          <w:lang w:eastAsia="zh-CN"/>
        </w:rPr>
        <w:t>IRG</w:t>
      </w:r>
      <w:r w:rsidRPr="0025429D">
        <w:rPr>
          <w:rFonts w:asciiTheme="majorBidi" w:hAnsiTheme="majorBidi" w:cstheme="majorBidi"/>
          <w:lang w:eastAsia="zh-CN"/>
        </w:rPr>
        <w:t>网页将很快提供最新信息。</w:t>
      </w:r>
    </w:p>
    <w:p w:rsidR="000D3FAD" w:rsidRPr="0025429D" w:rsidRDefault="000D3FAD" w:rsidP="000D3FAD">
      <w:pPr>
        <w:ind w:firstLineChars="200" w:firstLine="480"/>
        <w:rPr>
          <w:rFonts w:asciiTheme="majorBidi" w:hAnsiTheme="majorBidi" w:cstheme="majorBidi"/>
          <w:lang w:eastAsia="zh-CN"/>
        </w:rPr>
      </w:pPr>
      <w:r w:rsidRPr="0025429D">
        <w:rPr>
          <w:rFonts w:asciiTheme="majorBidi" w:hAnsiTheme="majorBidi" w:cstheme="majorBidi"/>
          <w:lang w:eastAsia="zh-CN"/>
        </w:rPr>
        <w:t>为方便与会者，该首次会议将与</w:t>
      </w:r>
      <w:hyperlink r:id="rId13" w:history="1">
        <w:r w:rsidRPr="0025429D">
          <w:rPr>
            <w:rFonts w:asciiTheme="majorBidi" w:hAnsiTheme="majorBidi" w:cstheme="majorBidi"/>
            <w:color w:val="0000FF"/>
            <w:u w:val="single"/>
            <w:lang w:eastAsia="zh-CN"/>
          </w:rPr>
          <w:t>VQEG</w:t>
        </w:r>
      </w:hyperlink>
      <w:r w:rsidRPr="0025429D">
        <w:rPr>
          <w:rFonts w:asciiTheme="majorBidi" w:hAnsiTheme="majorBidi" w:cstheme="majorBidi"/>
          <w:lang w:eastAsia="zh-CN"/>
        </w:rPr>
        <w:t>会议同时同地举行。</w:t>
      </w:r>
    </w:p>
    <w:p w:rsidR="000D3FAD" w:rsidRPr="0025429D" w:rsidRDefault="000D3FAD" w:rsidP="000D3FAD">
      <w:pPr>
        <w:rPr>
          <w:rFonts w:asciiTheme="majorBidi" w:hAnsiTheme="majorBidi" w:cstheme="majorBidi"/>
          <w:lang w:eastAsia="zh-CN"/>
        </w:rPr>
      </w:pPr>
      <w:r w:rsidRPr="0025429D">
        <w:rPr>
          <w:rFonts w:asciiTheme="majorBidi" w:hAnsiTheme="majorBidi" w:cstheme="majorBidi"/>
          <w:lang w:eastAsia="zh-CN"/>
        </w:rPr>
        <w:t>6</w:t>
      </w:r>
      <w:r w:rsidRPr="0025429D">
        <w:rPr>
          <w:rFonts w:asciiTheme="majorBidi" w:hAnsiTheme="majorBidi" w:cstheme="majorBidi"/>
          <w:lang w:eastAsia="zh-CN"/>
        </w:rPr>
        <w:tab/>
      </w:r>
      <w:r w:rsidRPr="0025429D">
        <w:rPr>
          <w:rFonts w:asciiTheme="majorBidi" w:hAnsiTheme="majorBidi" w:cstheme="majorBidi"/>
          <w:lang w:eastAsia="zh-CN"/>
        </w:rPr>
        <w:t>此次会议提供远程参会方式。有关远程参会的更多信息，请参见</w:t>
      </w:r>
      <w:r w:rsidRPr="0025429D">
        <w:rPr>
          <w:rFonts w:asciiTheme="majorBidi" w:hAnsiTheme="majorBidi" w:cstheme="majorBidi"/>
          <w:lang w:eastAsia="zh-CN"/>
        </w:rPr>
        <w:t>IRG</w:t>
      </w:r>
      <w:r w:rsidRPr="0025429D">
        <w:rPr>
          <w:rFonts w:asciiTheme="majorBidi" w:hAnsiTheme="majorBidi" w:cstheme="majorBidi"/>
          <w:lang w:eastAsia="zh-CN"/>
        </w:rPr>
        <w:t>网页。</w:t>
      </w:r>
    </w:p>
    <w:p w:rsidR="000D3FAD" w:rsidRPr="0025429D" w:rsidRDefault="000D3FAD" w:rsidP="000D3FAD">
      <w:pPr>
        <w:rPr>
          <w:rFonts w:asciiTheme="majorBidi" w:hAnsiTheme="majorBidi" w:cstheme="majorBidi"/>
          <w:lang w:eastAsia="zh-CN"/>
        </w:rPr>
      </w:pPr>
      <w:r w:rsidRPr="0025429D">
        <w:rPr>
          <w:rFonts w:asciiTheme="majorBidi" w:hAnsiTheme="majorBidi" w:cstheme="majorBidi"/>
          <w:lang w:eastAsia="zh-CN"/>
        </w:rPr>
        <w:t>7</w:t>
      </w:r>
      <w:r w:rsidRPr="0025429D">
        <w:rPr>
          <w:rFonts w:asciiTheme="majorBidi" w:hAnsiTheme="majorBidi" w:cstheme="majorBidi"/>
          <w:lang w:eastAsia="zh-CN"/>
        </w:rPr>
        <w:tab/>
        <w:t>IRG-AVQA</w:t>
      </w:r>
      <w:r w:rsidRPr="0025429D">
        <w:rPr>
          <w:rFonts w:asciiTheme="majorBidi" w:hAnsiTheme="majorBidi" w:cstheme="majorBidi"/>
          <w:bCs/>
          <w:lang w:eastAsia="zh-CN"/>
        </w:rPr>
        <w:t>网页将发布会议的讨论议题以及有关</w:t>
      </w:r>
      <w:r w:rsidRPr="0025429D">
        <w:rPr>
          <w:rFonts w:asciiTheme="majorBidi" w:hAnsiTheme="majorBidi" w:cstheme="majorBidi"/>
          <w:lang w:eastAsia="zh-CN"/>
        </w:rPr>
        <w:t>会议、议程草案和已收到文稿的信息，并详细说明文件的起草和提交方式。</w:t>
      </w:r>
    </w:p>
    <w:p w:rsidR="000D3FAD" w:rsidRPr="0025429D" w:rsidRDefault="000D3FAD" w:rsidP="000D3FAD">
      <w:pPr>
        <w:rPr>
          <w:rFonts w:asciiTheme="majorBidi" w:hAnsiTheme="majorBidi" w:cstheme="majorBidi"/>
          <w:lang w:eastAsia="zh-CN"/>
        </w:rPr>
      </w:pPr>
    </w:p>
    <w:p w:rsidR="000D3FAD" w:rsidRPr="0025429D" w:rsidRDefault="000D3FAD" w:rsidP="000D3FAD">
      <w:pPr>
        <w:rPr>
          <w:rFonts w:asciiTheme="majorBidi" w:hAnsiTheme="majorBidi" w:cstheme="majorBidi"/>
        </w:rPr>
      </w:pPr>
      <w:r w:rsidRPr="0025429D">
        <w:rPr>
          <w:rFonts w:asciiTheme="majorBidi" w:hAnsiTheme="majorBidi" w:cstheme="majorBidi"/>
          <w:lang w:eastAsia="zh-CN"/>
        </w:rPr>
        <w:t>顺致敬意！</w:t>
      </w:r>
    </w:p>
    <w:p w:rsidR="000D3FAD" w:rsidRPr="0025429D" w:rsidRDefault="000D3FAD" w:rsidP="000D3FAD">
      <w:pPr>
        <w:rPr>
          <w:rFonts w:asciiTheme="majorBidi" w:hAnsiTheme="majorBidi" w:cstheme="majorBidi"/>
        </w:rPr>
      </w:pPr>
    </w:p>
    <w:p w:rsidR="000D3FAD" w:rsidRPr="0025429D" w:rsidRDefault="000D3FAD" w:rsidP="000D3FAD">
      <w:pPr>
        <w:rPr>
          <w:rFonts w:asciiTheme="majorBidi" w:hAnsiTheme="majorBidi" w:cstheme="majorBidi"/>
          <w:lang w:eastAsia="zh-CN"/>
        </w:rPr>
      </w:pPr>
    </w:p>
    <w:p w:rsidR="000D3FAD" w:rsidRPr="0025429D" w:rsidRDefault="000D3FAD" w:rsidP="000D3FAD">
      <w:pPr>
        <w:rPr>
          <w:rFonts w:asciiTheme="majorBidi" w:hAnsiTheme="majorBidi" w:cstheme="majorBidi"/>
          <w:lang w:eastAsia="zh-CN"/>
        </w:rPr>
      </w:pPr>
    </w:p>
    <w:tbl>
      <w:tblPr>
        <w:tblW w:w="0" w:type="auto"/>
        <w:tblLayout w:type="fixed"/>
        <w:tblLook w:val="0000" w:firstRow="0" w:lastRow="0" w:firstColumn="0" w:lastColumn="0" w:noHBand="0" w:noVBand="0"/>
      </w:tblPr>
      <w:tblGrid>
        <w:gridCol w:w="4972"/>
        <w:gridCol w:w="4973"/>
      </w:tblGrid>
      <w:tr w:rsidR="000D3FAD" w:rsidRPr="0025429D" w:rsidTr="00795978">
        <w:tc>
          <w:tcPr>
            <w:tcW w:w="4972" w:type="dxa"/>
            <w:tcBorders>
              <w:top w:val="nil"/>
              <w:left w:val="nil"/>
              <w:bottom w:val="nil"/>
              <w:right w:val="nil"/>
            </w:tcBorders>
            <w:shd w:val="clear" w:color="auto" w:fill="FFFFFF"/>
          </w:tcPr>
          <w:p w:rsidR="000D3FAD" w:rsidRPr="0025429D" w:rsidRDefault="000D3FAD" w:rsidP="00795978">
            <w:pPr>
              <w:jc w:val="center"/>
              <w:rPr>
                <w:rFonts w:asciiTheme="majorBidi" w:hAnsiTheme="majorBidi" w:cstheme="majorBidi"/>
                <w:lang w:eastAsia="zh-CN"/>
              </w:rPr>
            </w:pPr>
            <w:r w:rsidRPr="0025429D">
              <w:rPr>
                <w:rFonts w:asciiTheme="majorBidi" w:hAnsiTheme="majorBidi" w:cstheme="majorBidi"/>
                <w:lang w:eastAsia="zh-CN"/>
              </w:rPr>
              <w:t>电信标准化局主任</w:t>
            </w:r>
            <w:r w:rsidRPr="0025429D">
              <w:rPr>
                <w:rFonts w:asciiTheme="majorBidi" w:hAnsiTheme="majorBidi" w:cstheme="majorBidi"/>
                <w:lang w:eastAsia="zh-CN"/>
              </w:rPr>
              <w:br/>
            </w:r>
            <w:r w:rsidRPr="0025429D">
              <w:rPr>
                <w:rFonts w:asciiTheme="majorBidi" w:hAnsiTheme="majorBidi" w:cstheme="majorBidi"/>
                <w:lang w:eastAsia="zh-CN"/>
              </w:rPr>
              <w:t>马尔科姆</w:t>
            </w:r>
            <w:r w:rsidRPr="0025429D">
              <w:rPr>
                <w:rFonts w:asciiTheme="majorBidi" w:hAnsiTheme="majorBidi" w:cstheme="majorBidi"/>
                <w:sz w:val="20"/>
                <w:lang w:eastAsia="zh-CN"/>
              </w:rPr>
              <w:t>•</w:t>
            </w:r>
            <w:r w:rsidRPr="0025429D">
              <w:rPr>
                <w:rFonts w:asciiTheme="majorBidi" w:hAnsiTheme="majorBidi" w:cstheme="majorBidi"/>
                <w:lang w:eastAsia="zh-CN"/>
              </w:rPr>
              <w:t>琼森</w:t>
            </w:r>
          </w:p>
        </w:tc>
        <w:tc>
          <w:tcPr>
            <w:tcW w:w="4973" w:type="dxa"/>
            <w:tcBorders>
              <w:top w:val="nil"/>
              <w:left w:val="nil"/>
              <w:bottom w:val="nil"/>
              <w:right w:val="nil"/>
            </w:tcBorders>
            <w:shd w:val="clear" w:color="auto" w:fill="FFFFFF"/>
          </w:tcPr>
          <w:p w:rsidR="000D3FAD" w:rsidRPr="0025429D" w:rsidRDefault="000D3FAD" w:rsidP="00C42093">
            <w:pPr>
              <w:jc w:val="center"/>
              <w:rPr>
                <w:rFonts w:asciiTheme="majorBidi" w:hAnsiTheme="majorBidi" w:cstheme="majorBidi"/>
                <w:lang w:val="fr-CH" w:eastAsia="zh-CN"/>
              </w:rPr>
            </w:pPr>
            <w:r w:rsidRPr="0025429D">
              <w:rPr>
                <w:rFonts w:asciiTheme="majorBidi" w:hAnsiTheme="majorBidi" w:cstheme="majorBidi"/>
                <w:lang w:val="fr-CH" w:eastAsia="zh-CN"/>
              </w:rPr>
              <w:t>无线电通信局主任</w:t>
            </w:r>
            <w:r w:rsidR="00C42093">
              <w:rPr>
                <w:rFonts w:asciiTheme="majorBidi" w:hAnsiTheme="majorBidi" w:cstheme="majorBidi"/>
                <w:lang w:val="fr-CH" w:eastAsia="zh-CN"/>
              </w:rPr>
              <w:br/>
            </w:r>
            <w:r w:rsidRPr="0025429D">
              <w:rPr>
                <w:rFonts w:asciiTheme="majorBidi" w:hAnsiTheme="majorBidi" w:cstheme="majorBidi"/>
                <w:lang w:val="fr-CH" w:eastAsia="zh-CN"/>
              </w:rPr>
              <w:t>弗朗索瓦</w:t>
            </w:r>
            <w:r w:rsidRPr="0025429D">
              <w:rPr>
                <w:rFonts w:asciiTheme="majorBidi" w:hAnsiTheme="majorBidi" w:cstheme="majorBidi"/>
                <w:lang w:val="fr-CH" w:eastAsia="zh-CN"/>
              </w:rPr>
              <w:t>•</w:t>
            </w:r>
            <w:r w:rsidRPr="0025429D">
              <w:rPr>
                <w:rFonts w:asciiTheme="majorBidi" w:hAnsiTheme="majorBidi" w:cstheme="majorBidi"/>
                <w:lang w:val="fr-CH" w:eastAsia="zh-CN"/>
              </w:rPr>
              <w:t>朗西</w:t>
            </w:r>
            <w:r w:rsidRPr="0025429D">
              <w:rPr>
                <w:rFonts w:asciiTheme="majorBidi" w:hAnsiTheme="majorBidi" w:cstheme="majorBidi"/>
                <w:lang w:val="fr-CH" w:eastAsia="zh-CN"/>
              </w:rPr>
              <w:br/>
            </w:r>
          </w:p>
        </w:tc>
      </w:tr>
    </w:tbl>
    <w:p w:rsidR="000D3FAD" w:rsidRPr="0025429D" w:rsidRDefault="000D3FAD" w:rsidP="000D3FAD">
      <w:pPr>
        <w:rPr>
          <w:rFonts w:asciiTheme="majorBidi" w:hAnsiTheme="majorBidi" w:cstheme="majorBidi"/>
          <w:lang w:val="fr-CH" w:eastAsia="zh-CN"/>
        </w:rPr>
      </w:pPr>
    </w:p>
    <w:p w:rsidR="000D3FAD" w:rsidRPr="0025429D" w:rsidRDefault="000D3FAD" w:rsidP="000D3FAD">
      <w:pPr>
        <w:rPr>
          <w:rFonts w:asciiTheme="majorBidi" w:hAnsiTheme="majorBidi" w:cstheme="majorBidi"/>
          <w:lang w:eastAsia="zh-CN"/>
        </w:rPr>
      </w:pPr>
    </w:p>
    <w:p w:rsidR="000D3FAD" w:rsidRPr="0025429D" w:rsidRDefault="000D3FAD" w:rsidP="000D3FAD">
      <w:pPr>
        <w:tabs>
          <w:tab w:val="clear" w:pos="794"/>
          <w:tab w:val="clear" w:pos="1191"/>
          <w:tab w:val="clear" w:pos="1588"/>
          <w:tab w:val="clear" w:pos="1985"/>
        </w:tabs>
        <w:spacing w:before="0"/>
        <w:rPr>
          <w:rFonts w:asciiTheme="majorBidi" w:hAnsiTheme="majorBidi" w:cstheme="majorBidi"/>
          <w:lang w:eastAsia="zh-CN"/>
        </w:rPr>
      </w:pPr>
    </w:p>
    <w:p w:rsidR="000D3FAD" w:rsidRPr="0025429D" w:rsidRDefault="000D3FAD" w:rsidP="000D3FAD">
      <w:pPr>
        <w:tabs>
          <w:tab w:val="clear" w:pos="794"/>
          <w:tab w:val="clear" w:pos="1191"/>
          <w:tab w:val="clear" w:pos="1588"/>
          <w:tab w:val="clear" w:pos="1985"/>
        </w:tabs>
        <w:spacing w:before="0"/>
        <w:rPr>
          <w:rFonts w:asciiTheme="majorBidi" w:hAnsiTheme="majorBidi" w:cstheme="majorBidi"/>
          <w:lang w:eastAsia="zh-CN"/>
        </w:rPr>
      </w:pPr>
      <w:r w:rsidRPr="0025429D">
        <w:rPr>
          <w:rFonts w:asciiTheme="majorBidi" w:hAnsiTheme="majorBidi" w:cstheme="majorBidi"/>
          <w:lang w:eastAsia="zh-CN"/>
        </w:rPr>
        <w:t>附件：</w:t>
      </w:r>
      <w:r w:rsidRPr="0025429D">
        <w:rPr>
          <w:rFonts w:asciiTheme="majorBidi" w:hAnsiTheme="majorBidi" w:cstheme="majorBidi"/>
          <w:lang w:eastAsia="zh-CN"/>
        </w:rPr>
        <w:t>1</w:t>
      </w:r>
      <w:r w:rsidRPr="0025429D">
        <w:rPr>
          <w:rFonts w:asciiTheme="majorBidi" w:hAnsiTheme="majorBidi" w:cstheme="majorBidi"/>
          <w:lang w:eastAsia="zh-CN"/>
        </w:rPr>
        <w:t>件</w:t>
      </w:r>
    </w:p>
    <w:p w:rsidR="000D3FAD" w:rsidRPr="0025429D" w:rsidRDefault="000D3FAD" w:rsidP="000D3FAD">
      <w:pPr>
        <w:tabs>
          <w:tab w:val="clear" w:pos="794"/>
          <w:tab w:val="clear" w:pos="1191"/>
          <w:tab w:val="clear" w:pos="1588"/>
          <w:tab w:val="clear" w:pos="1985"/>
        </w:tabs>
        <w:spacing w:before="0"/>
        <w:rPr>
          <w:rFonts w:asciiTheme="majorBidi" w:hAnsiTheme="majorBidi" w:cstheme="majorBidi"/>
          <w:lang w:eastAsia="zh-CN"/>
        </w:rPr>
      </w:pPr>
      <w:r w:rsidRPr="0025429D">
        <w:rPr>
          <w:rFonts w:asciiTheme="majorBidi" w:hAnsiTheme="majorBidi" w:cstheme="majorBidi"/>
          <w:lang w:eastAsia="zh-CN"/>
        </w:rPr>
        <w:br w:type="page"/>
      </w:r>
    </w:p>
    <w:p w:rsidR="000D3FAD" w:rsidRPr="0025429D" w:rsidRDefault="000D3FAD" w:rsidP="000D3FAD">
      <w:pPr>
        <w:pStyle w:val="AnnexNotitle"/>
        <w:spacing w:before="240"/>
        <w:rPr>
          <w:rFonts w:asciiTheme="majorBidi" w:eastAsia="SimSun" w:hAnsiTheme="majorBidi" w:cstheme="majorBidi"/>
          <w:lang w:eastAsia="zh-CN"/>
        </w:rPr>
      </w:pPr>
      <w:r w:rsidRPr="0025429D">
        <w:rPr>
          <w:rFonts w:asciiTheme="majorBidi" w:eastAsia="SimSun" w:hAnsiTheme="majorBidi" w:cstheme="majorBidi"/>
          <w:lang w:eastAsia="zh-CN"/>
        </w:rPr>
        <w:lastRenderedPageBreak/>
        <w:t>（电信标准化局第</w:t>
      </w:r>
      <w:r w:rsidRPr="0025429D">
        <w:rPr>
          <w:rFonts w:asciiTheme="majorBidi" w:eastAsia="SimSun" w:hAnsiTheme="majorBidi" w:cstheme="majorBidi"/>
          <w:lang w:eastAsia="zh-CN"/>
        </w:rPr>
        <w:t>74</w:t>
      </w:r>
      <w:r w:rsidRPr="0025429D">
        <w:rPr>
          <w:rFonts w:asciiTheme="majorBidi" w:eastAsia="SimSun" w:hAnsiTheme="majorBidi" w:cstheme="majorBidi"/>
          <w:lang w:eastAsia="zh-CN"/>
        </w:rPr>
        <w:t>号通函</w:t>
      </w:r>
      <w:r w:rsidRPr="0025429D">
        <w:rPr>
          <w:rFonts w:asciiTheme="majorBidi" w:eastAsia="SimSun" w:hAnsiTheme="majorBidi" w:cstheme="majorBidi"/>
          <w:lang w:eastAsia="zh-CN"/>
        </w:rPr>
        <w:t>/</w:t>
      </w:r>
      <w:r w:rsidRPr="0025429D">
        <w:rPr>
          <w:rFonts w:asciiTheme="majorBidi" w:eastAsia="SimSun" w:hAnsiTheme="majorBidi" w:cstheme="majorBidi"/>
          <w:lang w:eastAsia="zh-CN"/>
        </w:rPr>
        <w:t>无线电通信局第</w:t>
      </w:r>
      <w:r w:rsidRPr="0025429D">
        <w:rPr>
          <w:rFonts w:asciiTheme="majorBidi" w:eastAsia="SimSun" w:hAnsiTheme="majorBidi" w:cstheme="majorBidi"/>
          <w:lang w:eastAsia="zh-CN"/>
        </w:rPr>
        <w:t>CACE/655</w:t>
      </w:r>
      <w:r w:rsidRPr="0025429D">
        <w:rPr>
          <w:rFonts w:asciiTheme="majorBidi" w:eastAsia="SimSun" w:hAnsiTheme="majorBidi" w:cstheme="majorBidi"/>
          <w:lang w:eastAsia="zh-CN"/>
        </w:rPr>
        <w:t>号通函）</w:t>
      </w:r>
      <w:r w:rsidRPr="0025429D">
        <w:rPr>
          <w:rFonts w:asciiTheme="majorBidi" w:eastAsia="SimSun" w:hAnsiTheme="majorBidi" w:cstheme="majorBidi"/>
          <w:lang w:eastAsia="zh-CN"/>
        </w:rPr>
        <w:br/>
      </w:r>
      <w:r w:rsidRPr="0025429D">
        <w:rPr>
          <w:rFonts w:asciiTheme="majorBidi" w:eastAsia="SimSun" w:hAnsiTheme="majorBidi" w:cstheme="majorBidi"/>
          <w:lang w:eastAsia="zh-CN"/>
        </w:rPr>
        <w:t>附件</w:t>
      </w:r>
      <w:r w:rsidRPr="0025429D">
        <w:rPr>
          <w:rFonts w:asciiTheme="majorBidi" w:eastAsia="SimSun" w:hAnsiTheme="majorBidi" w:cstheme="majorBidi"/>
          <w:lang w:eastAsia="zh-CN"/>
        </w:rPr>
        <w:t>1</w:t>
      </w:r>
      <w:r w:rsidRPr="0025429D">
        <w:rPr>
          <w:rFonts w:asciiTheme="majorBidi" w:eastAsia="SimSun" w:hAnsiTheme="majorBidi" w:cstheme="majorBidi"/>
          <w:lang w:eastAsia="zh-CN"/>
        </w:rPr>
        <w:br/>
      </w:r>
      <w:r w:rsidRPr="0025429D">
        <w:rPr>
          <w:rFonts w:asciiTheme="majorBidi" w:eastAsia="SimSun" w:hAnsiTheme="majorBidi" w:cstheme="majorBidi"/>
          <w:lang w:eastAsia="zh-CN"/>
        </w:rPr>
        <w:br/>
      </w:r>
      <w:r w:rsidRPr="0025429D">
        <w:rPr>
          <w:rFonts w:asciiTheme="majorBidi" w:eastAsia="SimSun" w:hAnsiTheme="majorBidi" w:cstheme="majorBidi"/>
          <w:lang w:eastAsia="zh-CN"/>
        </w:rPr>
        <w:t>国际电联跨部门音视频质量评估报告人组（</w:t>
      </w:r>
      <w:r w:rsidRPr="0025429D">
        <w:rPr>
          <w:rFonts w:asciiTheme="majorBidi" w:eastAsia="SimSun" w:hAnsiTheme="majorBidi" w:cstheme="majorBidi"/>
          <w:lang w:eastAsia="zh-CN"/>
        </w:rPr>
        <w:t>IRG-AVQA</w:t>
      </w:r>
      <w:r w:rsidRPr="0025429D">
        <w:rPr>
          <w:rFonts w:asciiTheme="majorBidi" w:eastAsia="SimSun" w:hAnsiTheme="majorBidi" w:cstheme="majorBidi"/>
          <w:lang w:eastAsia="zh-CN"/>
        </w:rPr>
        <w:t>）</w:t>
      </w:r>
      <w:r w:rsidR="00C42093">
        <w:rPr>
          <w:rFonts w:asciiTheme="majorBidi" w:eastAsia="SimSun" w:hAnsiTheme="majorBidi" w:cstheme="majorBidi"/>
          <w:lang w:eastAsia="zh-CN"/>
        </w:rPr>
        <w:br/>
      </w:r>
      <w:r w:rsidRPr="0025429D">
        <w:rPr>
          <w:rFonts w:asciiTheme="majorBidi" w:eastAsia="SimSun" w:hAnsiTheme="majorBidi" w:cstheme="majorBidi"/>
          <w:lang w:eastAsia="zh-CN"/>
        </w:rPr>
        <w:t>的职责范围</w:t>
      </w:r>
    </w:p>
    <w:p w:rsidR="000D3FAD" w:rsidRPr="0025429D" w:rsidRDefault="000D3FAD" w:rsidP="00C42093">
      <w:pPr>
        <w:pStyle w:val="Heading2"/>
        <w:rPr>
          <w:lang w:eastAsia="zh-CN"/>
        </w:rPr>
      </w:pPr>
      <w:r w:rsidRPr="0025429D">
        <w:rPr>
          <w:lang w:eastAsia="zh-CN"/>
        </w:rPr>
        <w:t>1</w:t>
      </w:r>
      <w:r w:rsidRPr="0025429D">
        <w:rPr>
          <w:lang w:eastAsia="zh-CN"/>
        </w:rPr>
        <w:tab/>
      </w:r>
      <w:r w:rsidRPr="0025429D">
        <w:rPr>
          <w:lang w:eastAsia="zh-CN"/>
        </w:rPr>
        <w:t>范围</w:t>
      </w:r>
    </w:p>
    <w:p w:rsidR="000D3FAD" w:rsidRPr="0025429D" w:rsidRDefault="000D3FAD" w:rsidP="000D3FAD">
      <w:pPr>
        <w:tabs>
          <w:tab w:val="clear" w:pos="794"/>
          <w:tab w:val="clear" w:pos="1191"/>
          <w:tab w:val="clear" w:pos="1588"/>
          <w:tab w:val="clear" w:pos="1985"/>
        </w:tabs>
        <w:overflowPunct/>
        <w:autoSpaceDE/>
        <w:autoSpaceDN/>
        <w:adjustRightInd/>
        <w:spacing w:before="100" w:after="100"/>
        <w:ind w:firstLineChars="200" w:firstLine="480"/>
        <w:textAlignment w:val="auto"/>
        <w:rPr>
          <w:rFonts w:asciiTheme="majorBidi" w:hAnsiTheme="majorBidi" w:cstheme="majorBidi"/>
          <w:szCs w:val="24"/>
          <w:lang w:val="en-US" w:eastAsia="zh-CN"/>
        </w:rPr>
      </w:pPr>
      <w:r w:rsidRPr="0025429D">
        <w:rPr>
          <w:rFonts w:asciiTheme="majorBidi" w:hAnsiTheme="majorBidi" w:cstheme="majorBidi"/>
          <w:szCs w:val="24"/>
          <w:lang w:val="en-US" w:eastAsia="zh-CN"/>
        </w:rPr>
        <w:t>将根据</w:t>
      </w:r>
      <w:r w:rsidRPr="0025429D">
        <w:rPr>
          <w:rFonts w:asciiTheme="majorBidi" w:hAnsiTheme="majorBidi" w:cstheme="majorBidi"/>
          <w:szCs w:val="24"/>
          <w:lang w:val="en-US" w:eastAsia="zh-CN"/>
        </w:rPr>
        <w:t>WTSA-12</w:t>
      </w:r>
      <w:r w:rsidRPr="0025429D">
        <w:rPr>
          <w:rFonts w:asciiTheme="majorBidi" w:hAnsiTheme="majorBidi" w:cstheme="majorBidi"/>
          <w:szCs w:val="24"/>
          <w:lang w:val="en-US" w:eastAsia="zh-CN"/>
        </w:rPr>
        <w:t>第</w:t>
      </w:r>
      <w:r w:rsidRPr="0025429D">
        <w:rPr>
          <w:rFonts w:asciiTheme="majorBidi" w:hAnsiTheme="majorBidi" w:cstheme="majorBidi"/>
          <w:szCs w:val="24"/>
          <w:lang w:val="en-US" w:eastAsia="zh-CN"/>
        </w:rPr>
        <w:t>18</w:t>
      </w:r>
      <w:r w:rsidRPr="0025429D">
        <w:rPr>
          <w:rFonts w:asciiTheme="majorBidi" w:hAnsiTheme="majorBidi" w:cstheme="majorBidi"/>
          <w:szCs w:val="24"/>
          <w:lang w:val="en-US" w:eastAsia="zh-CN"/>
        </w:rPr>
        <w:t>号决议和决议的相关条款（与无线电通信顾问组（</w:t>
      </w:r>
      <w:r w:rsidRPr="0025429D">
        <w:rPr>
          <w:rFonts w:asciiTheme="majorBidi" w:hAnsiTheme="majorBidi" w:cstheme="majorBidi"/>
          <w:lang w:eastAsia="zh-CN"/>
        </w:rPr>
        <w:t>RAG</w:t>
      </w:r>
      <w:r w:rsidRPr="0025429D">
        <w:rPr>
          <w:rFonts w:asciiTheme="majorBidi" w:hAnsiTheme="majorBidi" w:cstheme="majorBidi"/>
          <w:szCs w:val="24"/>
          <w:lang w:val="en-US" w:eastAsia="zh-CN"/>
        </w:rPr>
        <w:t>）</w:t>
      </w:r>
      <w:r w:rsidRPr="0025429D">
        <w:rPr>
          <w:rFonts w:asciiTheme="majorBidi" w:hAnsiTheme="majorBidi" w:cstheme="majorBidi"/>
          <w:szCs w:val="24"/>
          <w:lang w:val="en-US" w:eastAsia="zh-CN"/>
        </w:rPr>
        <w:t>2013</w:t>
      </w:r>
      <w:r w:rsidRPr="0025429D">
        <w:rPr>
          <w:rFonts w:asciiTheme="majorBidi" w:hAnsiTheme="majorBidi" w:cstheme="majorBidi"/>
          <w:szCs w:val="24"/>
          <w:lang w:val="en-US" w:eastAsia="zh-CN"/>
        </w:rPr>
        <w:t>年</w:t>
      </w:r>
      <w:r w:rsidRPr="0025429D">
        <w:rPr>
          <w:rFonts w:asciiTheme="majorBidi" w:hAnsiTheme="majorBidi" w:cstheme="majorBidi"/>
          <w:szCs w:val="24"/>
          <w:lang w:val="en-US" w:eastAsia="zh-CN"/>
        </w:rPr>
        <w:t>5</w:t>
      </w:r>
      <w:r w:rsidRPr="0025429D">
        <w:rPr>
          <w:rFonts w:asciiTheme="majorBidi" w:hAnsiTheme="majorBidi" w:cstheme="majorBidi"/>
          <w:szCs w:val="24"/>
          <w:lang w:val="en-US" w:eastAsia="zh-CN"/>
        </w:rPr>
        <w:t>月</w:t>
      </w:r>
      <w:r w:rsidRPr="0025429D">
        <w:rPr>
          <w:rFonts w:asciiTheme="majorBidi" w:hAnsiTheme="majorBidi" w:cstheme="majorBidi"/>
          <w:szCs w:val="24"/>
          <w:lang w:val="en-US" w:eastAsia="zh-CN"/>
        </w:rPr>
        <w:t>22-24</w:t>
      </w:r>
      <w:r w:rsidRPr="0025429D">
        <w:rPr>
          <w:rFonts w:asciiTheme="majorBidi" w:hAnsiTheme="majorBidi" w:cstheme="majorBidi"/>
          <w:szCs w:val="24"/>
          <w:lang w:val="en-US" w:eastAsia="zh-CN"/>
        </w:rPr>
        <w:t>日会议在所做结论相一致，参照</w:t>
      </w:r>
      <w:hyperlink r:id="rId14" w:history="1">
        <w:r w:rsidRPr="0025429D">
          <w:rPr>
            <w:rStyle w:val="Hyperlink"/>
            <w:rFonts w:asciiTheme="majorBidi" w:hAnsiTheme="majorBidi" w:cstheme="majorBidi"/>
            <w:lang w:eastAsia="zh-CN"/>
          </w:rPr>
          <w:t>http://itu.int/en/ITU-R/conferences/rag/Documents/SUMOFCONCLFINAL.docx</w:t>
        </w:r>
        <w:r w:rsidRPr="0025429D">
          <w:rPr>
            <w:rFonts w:asciiTheme="majorBidi" w:hAnsiTheme="majorBidi" w:cstheme="majorBidi"/>
            <w:szCs w:val="24"/>
            <w:lang w:val="en-US" w:eastAsia="zh-CN"/>
          </w:rPr>
          <w:t>的</w:t>
        </w:r>
        <w:r w:rsidRPr="0025429D">
          <w:rPr>
            <w:rFonts w:asciiTheme="majorBidi" w:hAnsiTheme="majorBidi" w:cstheme="majorBidi"/>
            <w:lang w:val="en-US" w:eastAsia="zh-CN"/>
          </w:rPr>
          <w:t>议项</w:t>
        </w:r>
        <w:r w:rsidRPr="0025429D">
          <w:rPr>
            <w:rFonts w:asciiTheme="majorBidi" w:hAnsiTheme="majorBidi" w:cstheme="majorBidi"/>
            <w:lang w:val="en-US" w:eastAsia="zh-CN"/>
          </w:rPr>
          <w:t>5</w:t>
        </w:r>
      </w:hyperlink>
      <w:r w:rsidRPr="0025429D">
        <w:rPr>
          <w:rFonts w:asciiTheme="majorBidi" w:hAnsiTheme="majorBidi" w:cstheme="majorBidi"/>
          <w:szCs w:val="24"/>
          <w:lang w:val="en-US" w:eastAsia="zh-CN"/>
        </w:rPr>
        <w:t>）建立的</w:t>
      </w:r>
      <w:r w:rsidRPr="0025429D">
        <w:rPr>
          <w:rFonts w:asciiTheme="majorBidi" w:hAnsiTheme="majorBidi" w:cstheme="majorBidi"/>
          <w:lang w:eastAsia="zh-CN"/>
        </w:rPr>
        <w:t>跨部门音视频质量评估报告人组（</w:t>
      </w:r>
      <w:r w:rsidRPr="0025429D">
        <w:rPr>
          <w:rFonts w:asciiTheme="majorBidi" w:hAnsiTheme="majorBidi" w:cstheme="majorBidi"/>
          <w:lang w:eastAsia="zh-CN"/>
        </w:rPr>
        <w:t>IRG-AVQA</w:t>
      </w:r>
      <w:r w:rsidRPr="0025429D">
        <w:rPr>
          <w:rFonts w:asciiTheme="majorBidi" w:hAnsiTheme="majorBidi" w:cstheme="majorBidi"/>
          <w:lang w:eastAsia="zh-CN"/>
        </w:rPr>
        <w:t>），旨在</w:t>
      </w:r>
    </w:p>
    <w:p w:rsidR="000D3FAD" w:rsidRPr="0025429D" w:rsidRDefault="00C42093" w:rsidP="00C42093">
      <w:pPr>
        <w:pStyle w:val="enumlev1"/>
        <w:rPr>
          <w:lang w:val="en-US" w:eastAsia="zh-CN"/>
        </w:rPr>
      </w:pPr>
      <w:r w:rsidRPr="00C42093">
        <w:rPr>
          <w:rStyle w:val="shorttext"/>
          <w:rFonts w:asciiTheme="majorBidi" w:hAnsiTheme="majorBidi" w:cstheme="majorBidi"/>
          <w:color w:val="222222"/>
          <w:lang w:eastAsia="zh-CN"/>
        </w:rPr>
        <w:t>–</w:t>
      </w:r>
      <w:r>
        <w:rPr>
          <w:rStyle w:val="shorttext"/>
          <w:rFonts w:asciiTheme="majorBidi" w:hAnsiTheme="majorBidi" w:cstheme="majorBidi"/>
          <w:color w:val="222222"/>
          <w:lang w:eastAsia="zh-CN"/>
        </w:rPr>
        <w:tab/>
      </w:r>
      <w:r w:rsidR="000D3FAD" w:rsidRPr="0025429D">
        <w:rPr>
          <w:rStyle w:val="shorttext"/>
          <w:rFonts w:asciiTheme="majorBidi" w:hAnsiTheme="majorBidi" w:cstheme="majorBidi"/>
          <w:color w:val="222222"/>
          <w:lang w:eastAsia="zh-CN"/>
        </w:rPr>
        <w:t>协调仅限于双方关注的主客观视频和音视频质量评估领域具体议题的进展；</w:t>
      </w:r>
    </w:p>
    <w:p w:rsidR="000D3FAD" w:rsidRPr="0025429D" w:rsidRDefault="00C42093" w:rsidP="00C42093">
      <w:pPr>
        <w:pStyle w:val="enumlev1"/>
        <w:rPr>
          <w:lang w:val="en-US" w:eastAsia="zh-CN"/>
        </w:rPr>
      </w:pPr>
      <w:r w:rsidRPr="00C42093">
        <w:rPr>
          <w:rStyle w:val="shorttext"/>
          <w:rFonts w:asciiTheme="majorBidi" w:hAnsiTheme="majorBidi" w:cstheme="majorBidi"/>
          <w:color w:val="222222"/>
          <w:lang w:eastAsia="zh-CN"/>
        </w:rPr>
        <w:t>–</w:t>
      </w:r>
      <w:r>
        <w:rPr>
          <w:rStyle w:val="shorttext"/>
          <w:rFonts w:asciiTheme="majorBidi" w:hAnsiTheme="majorBidi" w:cstheme="majorBidi"/>
          <w:color w:val="222222"/>
          <w:lang w:eastAsia="zh-CN"/>
        </w:rPr>
        <w:tab/>
      </w:r>
      <w:r w:rsidR="000D3FAD" w:rsidRPr="0025429D">
        <w:rPr>
          <w:lang w:val="en-US" w:eastAsia="zh-CN"/>
        </w:rPr>
        <w:t>确定可作为联合案文建议书推进的工作项目；</w:t>
      </w:r>
      <w:r w:rsidR="000D3FAD" w:rsidRPr="0025429D">
        <w:rPr>
          <w:lang w:val="en-US" w:eastAsia="zh-CN"/>
        </w:rPr>
        <w:t xml:space="preserve"> </w:t>
      </w:r>
    </w:p>
    <w:p w:rsidR="000D3FAD" w:rsidRPr="0025429D" w:rsidRDefault="00C42093" w:rsidP="00C42093">
      <w:pPr>
        <w:pStyle w:val="enumlev1"/>
        <w:rPr>
          <w:lang w:val="en-US" w:eastAsia="zh-CN"/>
        </w:rPr>
      </w:pPr>
      <w:r w:rsidRPr="00C42093">
        <w:rPr>
          <w:rStyle w:val="shorttext"/>
          <w:rFonts w:asciiTheme="majorBidi" w:hAnsiTheme="majorBidi" w:cstheme="majorBidi"/>
          <w:color w:val="222222"/>
          <w:lang w:eastAsia="zh-CN"/>
        </w:rPr>
        <w:t>–</w:t>
      </w:r>
      <w:r>
        <w:rPr>
          <w:rStyle w:val="shorttext"/>
          <w:rFonts w:asciiTheme="majorBidi" w:hAnsiTheme="majorBidi" w:cstheme="majorBidi"/>
          <w:color w:val="222222"/>
          <w:lang w:eastAsia="zh-CN"/>
        </w:rPr>
        <w:tab/>
      </w:r>
      <w:r w:rsidR="000D3FAD" w:rsidRPr="0025429D">
        <w:rPr>
          <w:rStyle w:val="shorttext"/>
          <w:rFonts w:asciiTheme="majorBidi" w:hAnsiTheme="majorBidi" w:cstheme="majorBidi"/>
          <w:color w:val="222222"/>
          <w:lang w:eastAsia="zh-CN"/>
        </w:rPr>
        <w:t>受益于可供视频</w:t>
      </w:r>
      <w:r w:rsidR="000D3FAD" w:rsidRPr="0025429D">
        <w:rPr>
          <w:rStyle w:val="shorttext"/>
          <w:rFonts w:asciiTheme="majorBidi" w:hAnsiTheme="majorBidi" w:cstheme="majorBidi"/>
          <w:color w:val="222222"/>
          <w:lang w:eastAsia="zh-CN"/>
        </w:rPr>
        <w:t>/</w:t>
      </w:r>
      <w:r w:rsidR="000D3FAD" w:rsidRPr="0025429D">
        <w:rPr>
          <w:rStyle w:val="shorttext"/>
          <w:rFonts w:asciiTheme="majorBidi" w:hAnsiTheme="majorBidi" w:cstheme="majorBidi"/>
          <w:color w:val="222222"/>
          <w:lang w:eastAsia="zh-CN"/>
        </w:rPr>
        <w:t>音视频质量专家会晤并开展技术工作的视频质量专家组（</w:t>
      </w:r>
      <w:r w:rsidR="000D3FAD" w:rsidRPr="0025429D">
        <w:rPr>
          <w:rStyle w:val="shorttext"/>
          <w:rFonts w:asciiTheme="majorBidi" w:hAnsiTheme="majorBidi" w:cstheme="majorBidi"/>
          <w:color w:val="222222"/>
          <w:lang w:eastAsia="zh-CN"/>
        </w:rPr>
        <w:t>VQEG</w:t>
      </w:r>
      <w:r w:rsidR="000D3FAD" w:rsidRPr="0025429D">
        <w:rPr>
          <w:rStyle w:val="shorttext"/>
          <w:rFonts w:asciiTheme="majorBidi" w:hAnsiTheme="majorBidi" w:cstheme="majorBidi"/>
          <w:color w:val="222222"/>
          <w:lang w:eastAsia="zh-CN"/>
        </w:rPr>
        <w:t>）并行会议；</w:t>
      </w:r>
    </w:p>
    <w:p w:rsidR="000D3FAD" w:rsidRPr="0025429D" w:rsidRDefault="00C42093" w:rsidP="00C42093">
      <w:pPr>
        <w:pStyle w:val="enumlev1"/>
        <w:rPr>
          <w:lang w:val="en-US" w:eastAsia="zh-CN"/>
        </w:rPr>
      </w:pPr>
      <w:r w:rsidRPr="00C42093">
        <w:rPr>
          <w:rStyle w:val="shorttext"/>
          <w:rFonts w:asciiTheme="majorBidi" w:hAnsiTheme="majorBidi" w:cstheme="majorBidi"/>
          <w:color w:val="222222"/>
          <w:lang w:eastAsia="zh-CN"/>
        </w:rPr>
        <w:t>–</w:t>
      </w:r>
      <w:r>
        <w:rPr>
          <w:rStyle w:val="shorttext"/>
          <w:rFonts w:asciiTheme="majorBidi" w:hAnsiTheme="majorBidi" w:cstheme="majorBidi"/>
          <w:color w:val="222222"/>
          <w:lang w:eastAsia="zh-CN"/>
        </w:rPr>
        <w:tab/>
      </w:r>
      <w:r w:rsidR="000D3FAD" w:rsidRPr="0025429D">
        <w:rPr>
          <w:lang w:val="en-US" w:eastAsia="zh-CN"/>
        </w:rPr>
        <w:t>鼓励</w:t>
      </w:r>
      <w:r w:rsidR="000D3FAD" w:rsidRPr="0025429D">
        <w:rPr>
          <w:lang w:val="en-US" w:eastAsia="zh-CN"/>
        </w:rPr>
        <w:t>ITU-T</w:t>
      </w:r>
      <w:r w:rsidR="000D3FAD" w:rsidRPr="0025429D">
        <w:rPr>
          <w:lang w:val="en-US" w:eastAsia="zh-CN"/>
        </w:rPr>
        <w:t>第</w:t>
      </w:r>
      <w:r w:rsidR="000D3FAD" w:rsidRPr="0025429D">
        <w:rPr>
          <w:lang w:val="en-US" w:eastAsia="zh-CN"/>
        </w:rPr>
        <w:t>9</w:t>
      </w:r>
      <w:r w:rsidR="000D3FAD" w:rsidRPr="0025429D">
        <w:rPr>
          <w:lang w:val="en-US" w:eastAsia="zh-CN"/>
        </w:rPr>
        <w:t>和第</w:t>
      </w:r>
      <w:r w:rsidR="000D3FAD" w:rsidRPr="0025429D">
        <w:rPr>
          <w:lang w:val="en-US" w:eastAsia="zh-CN"/>
        </w:rPr>
        <w:t>12</w:t>
      </w:r>
      <w:r w:rsidR="000D3FAD" w:rsidRPr="0025429D">
        <w:rPr>
          <w:lang w:val="en-US" w:eastAsia="zh-CN"/>
        </w:rPr>
        <w:t>研究组以及</w:t>
      </w:r>
      <w:r w:rsidR="000D3FAD" w:rsidRPr="0025429D">
        <w:rPr>
          <w:lang w:val="en-US" w:eastAsia="zh-CN"/>
        </w:rPr>
        <w:t>ITU-R</w:t>
      </w:r>
      <w:r w:rsidR="000D3FAD" w:rsidRPr="0025429D">
        <w:rPr>
          <w:lang w:val="en-US" w:eastAsia="zh-CN"/>
        </w:rPr>
        <w:t>第</w:t>
      </w:r>
      <w:r w:rsidR="000D3FAD" w:rsidRPr="0025429D">
        <w:rPr>
          <w:lang w:val="en-US" w:eastAsia="zh-CN"/>
        </w:rPr>
        <w:t>6</w:t>
      </w:r>
      <w:r w:rsidR="000D3FAD" w:rsidRPr="0025429D">
        <w:rPr>
          <w:lang w:val="en-US" w:eastAsia="zh-CN"/>
        </w:rPr>
        <w:t>研究组就各研究组特有的工作项目开展协作；</w:t>
      </w:r>
    </w:p>
    <w:p w:rsidR="000D3FAD" w:rsidRPr="0025429D" w:rsidRDefault="000D3FAD" w:rsidP="000D3FAD">
      <w:pPr>
        <w:tabs>
          <w:tab w:val="clear" w:pos="794"/>
          <w:tab w:val="clear" w:pos="1191"/>
          <w:tab w:val="clear" w:pos="1588"/>
          <w:tab w:val="clear" w:pos="1985"/>
        </w:tabs>
        <w:overflowPunct/>
        <w:autoSpaceDE/>
        <w:autoSpaceDN/>
        <w:adjustRightInd/>
        <w:spacing w:before="100" w:after="100"/>
        <w:ind w:firstLineChars="200" w:firstLine="480"/>
        <w:textAlignment w:val="auto"/>
        <w:rPr>
          <w:rFonts w:asciiTheme="majorBidi" w:hAnsiTheme="majorBidi" w:cstheme="majorBidi"/>
          <w:color w:val="222222"/>
          <w:lang w:eastAsia="zh-CN"/>
        </w:rPr>
      </w:pPr>
      <w:r w:rsidRPr="0025429D">
        <w:rPr>
          <w:rFonts w:asciiTheme="majorBidi" w:hAnsiTheme="majorBidi" w:cstheme="majorBidi"/>
          <w:color w:val="222222"/>
          <w:lang w:eastAsia="zh-CN"/>
        </w:rPr>
        <w:t>IRG</w:t>
      </w:r>
      <w:r w:rsidR="00794835">
        <w:rPr>
          <w:rFonts w:asciiTheme="majorBidi" w:hAnsiTheme="majorBidi" w:cstheme="majorBidi"/>
          <w:color w:val="222222"/>
          <w:lang w:eastAsia="zh-CN"/>
        </w:rPr>
        <w:t>-</w:t>
      </w:r>
      <w:r w:rsidRPr="0025429D">
        <w:rPr>
          <w:rFonts w:asciiTheme="majorBidi" w:hAnsiTheme="majorBidi" w:cstheme="majorBidi"/>
          <w:color w:val="222222"/>
          <w:lang w:eastAsia="zh-CN"/>
        </w:rPr>
        <w:t>AVQA</w:t>
      </w:r>
      <w:r w:rsidRPr="0025429D">
        <w:rPr>
          <w:rFonts w:asciiTheme="majorBidi" w:hAnsiTheme="majorBidi" w:cstheme="majorBidi"/>
          <w:color w:val="222222"/>
          <w:lang w:eastAsia="zh-CN"/>
        </w:rPr>
        <w:t>将酌情与其他标准制定组织和其他质量评估团体（如论坛和企业集团、研究机构和学术界）进行合作。</w:t>
      </w:r>
    </w:p>
    <w:p w:rsidR="000D3FAD" w:rsidRPr="0025429D" w:rsidRDefault="000D3FAD" w:rsidP="00C42093">
      <w:pPr>
        <w:pStyle w:val="Heading2"/>
        <w:rPr>
          <w:color w:val="222222"/>
          <w:lang w:eastAsia="zh-CN"/>
        </w:rPr>
      </w:pPr>
      <w:r w:rsidRPr="0083175A">
        <w:rPr>
          <w:lang w:eastAsia="zh-CN"/>
        </w:rPr>
        <w:t>2</w:t>
      </w:r>
      <w:r>
        <w:rPr>
          <w:rFonts w:hint="eastAsia"/>
          <w:lang w:eastAsia="zh-CN"/>
        </w:rPr>
        <w:tab/>
      </w:r>
      <w:r w:rsidRPr="0083175A">
        <w:rPr>
          <w:lang w:eastAsia="zh-CN"/>
        </w:rPr>
        <w:t>理由</w:t>
      </w:r>
    </w:p>
    <w:p w:rsidR="000D3FAD" w:rsidRPr="0025429D" w:rsidRDefault="000D3FAD" w:rsidP="00A747CE">
      <w:pPr>
        <w:tabs>
          <w:tab w:val="clear" w:pos="794"/>
          <w:tab w:val="clear" w:pos="1191"/>
          <w:tab w:val="clear" w:pos="1588"/>
          <w:tab w:val="clear" w:pos="1985"/>
        </w:tabs>
        <w:overflowPunct/>
        <w:autoSpaceDE/>
        <w:autoSpaceDN/>
        <w:adjustRightInd/>
        <w:spacing w:before="100" w:after="100"/>
        <w:ind w:firstLineChars="200" w:firstLine="480"/>
        <w:textAlignment w:val="auto"/>
        <w:rPr>
          <w:rFonts w:asciiTheme="majorBidi" w:hAnsiTheme="majorBidi" w:cstheme="majorBidi"/>
          <w:color w:val="222222"/>
          <w:lang w:eastAsia="zh-CN"/>
        </w:rPr>
      </w:pPr>
      <w:r w:rsidRPr="0025429D">
        <w:rPr>
          <w:rFonts w:asciiTheme="majorBidi" w:hAnsiTheme="majorBidi" w:cstheme="majorBidi"/>
          <w:color w:val="222222"/>
          <w:lang w:eastAsia="zh-CN"/>
        </w:rPr>
        <w:t>在过去八年中，</w:t>
      </w:r>
      <w:r w:rsidRPr="0025429D">
        <w:rPr>
          <w:rFonts w:asciiTheme="majorBidi" w:hAnsiTheme="majorBidi" w:cstheme="majorBidi"/>
          <w:color w:val="222222"/>
          <w:lang w:eastAsia="zh-CN"/>
        </w:rPr>
        <w:t>ITU-T</w:t>
      </w:r>
      <w:r w:rsidRPr="0025429D">
        <w:rPr>
          <w:rFonts w:asciiTheme="majorBidi" w:hAnsiTheme="majorBidi" w:cstheme="majorBidi"/>
          <w:lang w:val="en-US" w:eastAsia="zh-CN"/>
        </w:rPr>
        <w:t>第</w:t>
      </w:r>
      <w:r w:rsidRPr="0025429D">
        <w:rPr>
          <w:rFonts w:asciiTheme="majorBidi" w:hAnsiTheme="majorBidi" w:cstheme="majorBidi"/>
          <w:lang w:val="en-US" w:eastAsia="zh-CN"/>
        </w:rPr>
        <w:t>9</w:t>
      </w:r>
      <w:r w:rsidRPr="0025429D">
        <w:rPr>
          <w:rFonts w:asciiTheme="majorBidi" w:hAnsiTheme="majorBidi" w:cstheme="majorBidi"/>
          <w:lang w:val="en-US" w:eastAsia="zh-CN"/>
        </w:rPr>
        <w:t>和第</w:t>
      </w:r>
      <w:r w:rsidRPr="0025429D">
        <w:rPr>
          <w:rFonts w:asciiTheme="majorBidi" w:hAnsiTheme="majorBidi" w:cstheme="majorBidi"/>
          <w:lang w:val="en-US" w:eastAsia="zh-CN"/>
        </w:rPr>
        <w:t>12</w:t>
      </w:r>
      <w:r w:rsidRPr="0025429D">
        <w:rPr>
          <w:rFonts w:asciiTheme="majorBidi" w:hAnsiTheme="majorBidi" w:cstheme="majorBidi"/>
          <w:lang w:val="en-US" w:eastAsia="zh-CN"/>
        </w:rPr>
        <w:t>研究组</w:t>
      </w:r>
      <w:r w:rsidRPr="0025429D">
        <w:rPr>
          <w:rFonts w:asciiTheme="majorBidi" w:hAnsiTheme="majorBidi" w:cstheme="majorBidi"/>
          <w:color w:val="222222"/>
          <w:lang w:eastAsia="zh-CN"/>
        </w:rPr>
        <w:t>通过</w:t>
      </w:r>
      <w:r w:rsidRPr="0025429D">
        <w:rPr>
          <w:rFonts w:asciiTheme="majorBidi" w:hAnsiTheme="majorBidi" w:cstheme="majorBidi"/>
          <w:lang w:val="en-US" w:eastAsia="zh-CN"/>
        </w:rPr>
        <w:t>多媒体质量评估联合报告人组</w:t>
      </w:r>
      <w:r w:rsidR="00794835">
        <w:rPr>
          <w:rFonts w:asciiTheme="majorBidi" w:hAnsiTheme="majorBidi" w:cstheme="majorBidi"/>
          <w:lang w:val="en-US" w:eastAsia="zh-CN"/>
        </w:rPr>
        <w:br/>
      </w:r>
      <w:r w:rsidRPr="0025429D">
        <w:rPr>
          <w:rFonts w:asciiTheme="majorBidi" w:hAnsiTheme="majorBidi" w:cstheme="majorBidi"/>
          <w:lang w:val="en-US" w:eastAsia="zh-CN"/>
        </w:rPr>
        <w:t>（</w:t>
      </w:r>
      <w:r w:rsidRPr="0025429D">
        <w:rPr>
          <w:rFonts w:asciiTheme="majorBidi" w:hAnsiTheme="majorBidi" w:cstheme="majorBidi"/>
          <w:color w:val="222222"/>
          <w:lang w:eastAsia="zh-CN"/>
        </w:rPr>
        <w:t>JRG</w:t>
      </w:r>
      <w:r w:rsidRPr="0025429D">
        <w:rPr>
          <w:rStyle w:val="atn"/>
          <w:rFonts w:asciiTheme="majorBidi" w:hAnsiTheme="majorBidi" w:cstheme="majorBidi"/>
          <w:color w:val="222222"/>
          <w:lang w:eastAsia="zh-CN"/>
        </w:rPr>
        <w:t>-</w:t>
      </w:r>
      <w:r w:rsidRPr="0025429D">
        <w:rPr>
          <w:rFonts w:asciiTheme="majorBidi" w:hAnsiTheme="majorBidi" w:cstheme="majorBidi"/>
          <w:color w:val="222222"/>
          <w:lang w:eastAsia="zh-CN"/>
        </w:rPr>
        <w:t>MMQA</w:t>
      </w:r>
      <w:r w:rsidRPr="0025429D">
        <w:rPr>
          <w:rFonts w:asciiTheme="majorBidi" w:hAnsiTheme="majorBidi" w:cstheme="majorBidi"/>
          <w:lang w:val="en-US" w:eastAsia="zh-CN"/>
        </w:rPr>
        <w:t>）开展过</w:t>
      </w:r>
      <w:r w:rsidRPr="0025429D">
        <w:rPr>
          <w:rFonts w:asciiTheme="majorBidi" w:hAnsiTheme="majorBidi" w:cstheme="majorBidi"/>
          <w:color w:val="222222"/>
          <w:lang w:eastAsia="zh-CN"/>
        </w:rPr>
        <w:t>协调，并身受其益。</w:t>
      </w:r>
      <w:r w:rsidRPr="0025429D">
        <w:rPr>
          <w:rFonts w:asciiTheme="majorBidi" w:hAnsiTheme="majorBidi" w:cstheme="majorBidi"/>
          <w:color w:val="222222"/>
          <w:lang w:eastAsia="zh-CN"/>
        </w:rPr>
        <w:t>JRG</w:t>
      </w:r>
      <w:r w:rsidRPr="0025429D">
        <w:rPr>
          <w:rFonts w:asciiTheme="majorBidi" w:hAnsiTheme="majorBidi" w:cstheme="majorBidi"/>
          <w:color w:val="222222"/>
          <w:lang w:eastAsia="zh-CN"/>
        </w:rPr>
        <w:t>的多数会议是与</w:t>
      </w:r>
      <w:r w:rsidRPr="0025429D">
        <w:rPr>
          <w:rFonts w:asciiTheme="majorBidi" w:hAnsiTheme="majorBidi" w:cstheme="majorBidi"/>
          <w:color w:val="222222"/>
          <w:lang w:eastAsia="zh-CN"/>
        </w:rPr>
        <w:t>VQEG</w:t>
      </w:r>
      <w:r w:rsidRPr="0025429D">
        <w:rPr>
          <w:rFonts w:asciiTheme="majorBidi" w:hAnsiTheme="majorBidi" w:cstheme="majorBidi"/>
          <w:color w:val="222222"/>
          <w:lang w:eastAsia="zh-CN"/>
        </w:rPr>
        <w:t>会议并行召开的。在此期间，</w:t>
      </w:r>
      <w:r w:rsidRPr="0025429D">
        <w:rPr>
          <w:rFonts w:asciiTheme="majorBidi" w:hAnsiTheme="majorBidi" w:cstheme="majorBidi"/>
          <w:color w:val="222222"/>
          <w:lang w:eastAsia="zh-CN"/>
        </w:rPr>
        <w:t>ITU-R</w:t>
      </w:r>
      <w:r w:rsidRPr="0025429D">
        <w:rPr>
          <w:rFonts w:asciiTheme="majorBidi" w:hAnsiTheme="majorBidi" w:cstheme="majorBidi"/>
          <w:color w:val="222222"/>
          <w:lang w:eastAsia="zh-CN"/>
        </w:rPr>
        <w:t>第</w:t>
      </w:r>
      <w:r w:rsidRPr="0025429D">
        <w:rPr>
          <w:rFonts w:asciiTheme="majorBidi" w:hAnsiTheme="majorBidi" w:cstheme="majorBidi"/>
          <w:color w:val="222222"/>
          <w:lang w:eastAsia="zh-CN"/>
        </w:rPr>
        <w:t>6C</w:t>
      </w:r>
      <w:r w:rsidRPr="0025429D">
        <w:rPr>
          <w:rFonts w:asciiTheme="majorBidi" w:hAnsiTheme="majorBidi" w:cstheme="majorBidi"/>
          <w:color w:val="222222"/>
          <w:lang w:eastAsia="zh-CN"/>
        </w:rPr>
        <w:t>工作组的视频质量专家（在国际电联看来）未能平等地与其</w:t>
      </w:r>
      <w:r w:rsidRPr="0025429D">
        <w:rPr>
          <w:rFonts w:asciiTheme="majorBidi" w:hAnsiTheme="majorBidi" w:cstheme="majorBidi"/>
          <w:color w:val="222222"/>
          <w:lang w:eastAsia="zh-CN"/>
        </w:rPr>
        <w:t>ITU-T</w:t>
      </w:r>
      <w:r w:rsidRPr="0025429D">
        <w:rPr>
          <w:rFonts w:asciiTheme="majorBidi" w:hAnsiTheme="majorBidi" w:cstheme="majorBidi"/>
          <w:color w:val="222222"/>
          <w:lang w:eastAsia="zh-CN"/>
        </w:rPr>
        <w:t>的同事共同参与工作。在迪拜举行的</w:t>
      </w:r>
      <w:r w:rsidRPr="0025429D">
        <w:rPr>
          <w:rFonts w:asciiTheme="majorBidi" w:hAnsiTheme="majorBidi" w:cstheme="majorBidi"/>
          <w:color w:val="222222"/>
          <w:lang w:eastAsia="zh-CN"/>
        </w:rPr>
        <w:t>WTSA</w:t>
      </w:r>
      <w:r w:rsidR="00A747CE">
        <w:rPr>
          <w:rFonts w:asciiTheme="majorBidi" w:hAnsiTheme="majorBidi" w:cstheme="majorBidi"/>
          <w:color w:val="222222"/>
          <w:lang w:eastAsia="zh-CN"/>
        </w:rPr>
        <w:t>-</w:t>
      </w:r>
      <w:r w:rsidRPr="0025429D">
        <w:rPr>
          <w:rFonts w:asciiTheme="majorBidi" w:hAnsiTheme="majorBidi" w:cstheme="majorBidi"/>
          <w:color w:val="222222"/>
          <w:lang w:eastAsia="zh-CN"/>
        </w:rPr>
        <w:t>12</w:t>
      </w:r>
      <w:r w:rsidRPr="0025429D">
        <w:rPr>
          <w:rFonts w:asciiTheme="majorBidi" w:hAnsiTheme="majorBidi" w:cstheme="majorBidi"/>
          <w:color w:val="222222"/>
          <w:lang w:eastAsia="zh-CN"/>
        </w:rPr>
        <w:t>通过对</w:t>
      </w:r>
      <w:r w:rsidRPr="0025429D">
        <w:rPr>
          <w:rFonts w:asciiTheme="majorBidi" w:hAnsiTheme="majorBidi" w:cstheme="majorBidi"/>
          <w:color w:val="222222"/>
          <w:lang w:eastAsia="zh-CN"/>
        </w:rPr>
        <w:t>WTSA</w:t>
      </w:r>
      <w:r w:rsidR="00D9014B">
        <w:rPr>
          <w:rFonts w:asciiTheme="majorBidi" w:hAnsiTheme="majorBidi" w:cstheme="majorBidi"/>
          <w:color w:val="222222"/>
          <w:lang w:eastAsia="zh-CN"/>
        </w:rPr>
        <w:t>-</w:t>
      </w:r>
      <w:r w:rsidRPr="0025429D">
        <w:rPr>
          <w:rFonts w:asciiTheme="majorBidi" w:hAnsiTheme="majorBidi" w:cstheme="majorBidi"/>
          <w:color w:val="222222"/>
          <w:lang w:eastAsia="zh-CN"/>
        </w:rPr>
        <w:t>12</w:t>
      </w:r>
      <w:r w:rsidRPr="0025429D">
        <w:rPr>
          <w:rFonts w:asciiTheme="majorBidi" w:hAnsiTheme="majorBidi" w:cstheme="majorBidi"/>
          <w:color w:val="222222"/>
          <w:lang w:eastAsia="zh-CN"/>
        </w:rPr>
        <w:t>第</w:t>
      </w:r>
      <w:r w:rsidRPr="0025429D">
        <w:rPr>
          <w:rFonts w:asciiTheme="majorBidi" w:hAnsiTheme="majorBidi" w:cstheme="majorBidi"/>
          <w:color w:val="222222"/>
          <w:lang w:eastAsia="zh-CN"/>
        </w:rPr>
        <w:t>18</w:t>
      </w:r>
      <w:r w:rsidRPr="0025429D">
        <w:rPr>
          <w:rFonts w:asciiTheme="majorBidi" w:hAnsiTheme="majorBidi" w:cstheme="majorBidi"/>
          <w:color w:val="222222"/>
          <w:lang w:eastAsia="zh-CN"/>
        </w:rPr>
        <w:t>号决议做出修订，使</w:t>
      </w:r>
      <w:r w:rsidRPr="0025429D">
        <w:rPr>
          <w:rFonts w:asciiTheme="majorBidi" w:hAnsiTheme="majorBidi" w:cstheme="majorBidi"/>
          <w:color w:val="222222"/>
          <w:lang w:eastAsia="zh-CN"/>
        </w:rPr>
        <w:t>ITU-R</w:t>
      </w:r>
      <w:r w:rsidRPr="0025429D">
        <w:rPr>
          <w:rFonts w:asciiTheme="majorBidi" w:hAnsiTheme="majorBidi" w:cstheme="majorBidi"/>
          <w:color w:val="222222"/>
          <w:lang w:eastAsia="zh-CN"/>
        </w:rPr>
        <w:t>专家得以参与</w:t>
      </w:r>
      <w:r w:rsidRPr="0025429D">
        <w:rPr>
          <w:rFonts w:asciiTheme="majorBidi" w:hAnsiTheme="majorBidi" w:cstheme="majorBidi"/>
          <w:color w:val="222222"/>
          <w:lang w:eastAsia="zh-CN"/>
        </w:rPr>
        <w:t>ITU-T</w:t>
      </w:r>
      <w:r w:rsidRPr="0025429D">
        <w:rPr>
          <w:rFonts w:asciiTheme="majorBidi" w:hAnsiTheme="majorBidi" w:cstheme="majorBidi"/>
          <w:color w:val="222222"/>
          <w:lang w:eastAsia="zh-CN"/>
        </w:rPr>
        <w:t>专家的工作。此</w:t>
      </w:r>
      <w:r w:rsidRPr="0025429D">
        <w:rPr>
          <w:rFonts w:asciiTheme="majorBidi" w:hAnsiTheme="majorBidi" w:cstheme="majorBidi"/>
          <w:color w:val="222222"/>
          <w:lang w:eastAsia="zh-CN"/>
        </w:rPr>
        <w:t>IRG</w:t>
      </w:r>
      <w:r w:rsidRPr="0025429D">
        <w:rPr>
          <w:rFonts w:asciiTheme="majorBidi" w:hAnsiTheme="majorBidi" w:cstheme="majorBidi"/>
          <w:color w:val="222222"/>
          <w:lang w:eastAsia="zh-CN"/>
        </w:rPr>
        <w:t>将研究解决视频和音视频质量评估问题，因此将在延续</w:t>
      </w:r>
      <w:r w:rsidR="00794835">
        <w:rPr>
          <w:rFonts w:asciiTheme="majorBidi" w:hAnsiTheme="majorBidi" w:cstheme="majorBidi"/>
          <w:color w:val="222222"/>
          <w:lang w:eastAsia="zh-CN"/>
        </w:rPr>
        <w:t>JRG-</w:t>
      </w:r>
      <w:r w:rsidRPr="0025429D">
        <w:rPr>
          <w:rFonts w:asciiTheme="majorBidi" w:hAnsiTheme="majorBidi" w:cstheme="majorBidi"/>
          <w:color w:val="222222"/>
          <w:lang w:eastAsia="zh-CN"/>
        </w:rPr>
        <w:t>MMQA</w:t>
      </w:r>
      <w:r w:rsidRPr="0025429D">
        <w:rPr>
          <w:rFonts w:asciiTheme="majorBidi" w:hAnsiTheme="majorBidi" w:cstheme="majorBidi"/>
          <w:color w:val="222222"/>
          <w:lang w:eastAsia="zh-CN"/>
        </w:rPr>
        <w:t>协调工作的同时，在对等的基础上接纳</w:t>
      </w:r>
      <w:r w:rsidRPr="0025429D">
        <w:rPr>
          <w:rFonts w:asciiTheme="majorBidi" w:hAnsiTheme="majorBidi" w:cstheme="majorBidi"/>
          <w:color w:val="222222"/>
          <w:lang w:eastAsia="zh-CN"/>
        </w:rPr>
        <w:t>ITU-R</w:t>
      </w:r>
      <w:r w:rsidRPr="0025429D">
        <w:rPr>
          <w:rStyle w:val="hps"/>
          <w:rFonts w:asciiTheme="majorBidi" w:hAnsiTheme="majorBidi" w:cstheme="majorBidi"/>
          <w:color w:val="222222"/>
          <w:lang w:eastAsia="zh-CN"/>
        </w:rPr>
        <w:t>第</w:t>
      </w:r>
      <w:r w:rsidRPr="0025429D">
        <w:rPr>
          <w:rStyle w:val="hps"/>
          <w:rFonts w:asciiTheme="majorBidi" w:hAnsiTheme="majorBidi" w:cstheme="majorBidi"/>
          <w:color w:val="222222"/>
          <w:lang w:eastAsia="zh-CN"/>
        </w:rPr>
        <w:t>6</w:t>
      </w:r>
      <w:r w:rsidR="00400D6F">
        <w:rPr>
          <w:rStyle w:val="hps"/>
          <w:rFonts w:asciiTheme="majorBidi" w:hAnsiTheme="majorBidi" w:cstheme="majorBidi"/>
          <w:color w:val="222222"/>
          <w:lang w:eastAsia="zh-CN"/>
        </w:rPr>
        <w:t>C</w:t>
      </w:r>
      <w:r w:rsidRPr="0025429D">
        <w:rPr>
          <w:rStyle w:val="hps"/>
          <w:rFonts w:asciiTheme="majorBidi" w:hAnsiTheme="majorBidi" w:cstheme="majorBidi"/>
          <w:color w:val="222222"/>
          <w:lang w:eastAsia="zh-CN"/>
        </w:rPr>
        <w:t>工作组</w:t>
      </w:r>
      <w:r w:rsidRPr="0025429D">
        <w:rPr>
          <w:rFonts w:asciiTheme="majorBidi" w:hAnsiTheme="majorBidi" w:cstheme="majorBidi"/>
          <w:color w:val="222222"/>
          <w:lang w:eastAsia="zh-CN"/>
        </w:rPr>
        <w:t>专家</w:t>
      </w:r>
      <w:r w:rsidRPr="0025429D">
        <w:rPr>
          <w:rStyle w:val="hps"/>
          <w:rFonts w:asciiTheme="majorBidi" w:hAnsiTheme="majorBidi" w:cstheme="majorBidi"/>
          <w:color w:val="222222"/>
          <w:lang w:eastAsia="zh-CN"/>
        </w:rPr>
        <w:t>的</w:t>
      </w:r>
      <w:r w:rsidRPr="0025429D">
        <w:rPr>
          <w:rFonts w:asciiTheme="majorBidi" w:hAnsiTheme="majorBidi" w:cstheme="majorBidi"/>
          <w:color w:val="222222"/>
          <w:lang w:eastAsia="zh-CN"/>
        </w:rPr>
        <w:t>参与。</w:t>
      </w:r>
    </w:p>
    <w:p w:rsidR="000D3FAD" w:rsidRPr="0025429D" w:rsidRDefault="000D3FAD" w:rsidP="000D3FAD">
      <w:pPr>
        <w:tabs>
          <w:tab w:val="clear" w:pos="794"/>
          <w:tab w:val="clear" w:pos="1191"/>
          <w:tab w:val="clear" w:pos="1588"/>
          <w:tab w:val="clear" w:pos="1985"/>
        </w:tabs>
        <w:overflowPunct/>
        <w:autoSpaceDE/>
        <w:autoSpaceDN/>
        <w:adjustRightInd/>
        <w:spacing w:before="100" w:after="100"/>
        <w:ind w:firstLineChars="200" w:firstLine="480"/>
        <w:textAlignment w:val="auto"/>
        <w:rPr>
          <w:rFonts w:asciiTheme="majorBidi" w:hAnsiTheme="majorBidi" w:cstheme="majorBidi"/>
          <w:szCs w:val="24"/>
          <w:lang w:val="en-US" w:eastAsia="zh-CN"/>
        </w:rPr>
      </w:pPr>
      <w:r w:rsidRPr="0025429D">
        <w:rPr>
          <w:rFonts w:asciiTheme="majorBidi" w:hAnsiTheme="majorBidi" w:cstheme="majorBidi"/>
          <w:color w:val="222222"/>
          <w:lang w:eastAsia="zh-CN"/>
        </w:rPr>
        <w:t>IRG</w:t>
      </w:r>
      <w:r w:rsidRPr="0025429D">
        <w:rPr>
          <w:rFonts w:asciiTheme="majorBidi" w:hAnsiTheme="majorBidi" w:cstheme="majorBidi"/>
          <w:color w:val="222222"/>
          <w:lang w:eastAsia="zh-CN"/>
        </w:rPr>
        <w:t>的主要目的是协助起草具有全面特色的未来</w:t>
      </w:r>
      <w:r w:rsidRPr="0025429D">
        <w:rPr>
          <w:rFonts w:asciiTheme="majorBidi" w:hAnsiTheme="majorBidi" w:cstheme="majorBidi"/>
          <w:color w:val="222222"/>
          <w:lang w:eastAsia="zh-CN"/>
        </w:rPr>
        <w:t>ITU-T</w:t>
      </w:r>
      <w:r w:rsidRPr="0025429D">
        <w:rPr>
          <w:rFonts w:asciiTheme="majorBidi" w:hAnsiTheme="majorBidi" w:cstheme="majorBidi"/>
          <w:color w:val="222222"/>
          <w:lang w:eastAsia="zh-CN"/>
        </w:rPr>
        <w:t>和</w:t>
      </w:r>
      <w:r w:rsidRPr="0025429D">
        <w:rPr>
          <w:rFonts w:asciiTheme="majorBidi" w:hAnsiTheme="majorBidi" w:cstheme="majorBidi"/>
          <w:color w:val="222222"/>
          <w:lang w:eastAsia="zh-CN"/>
        </w:rPr>
        <w:t>ITU-R</w:t>
      </w:r>
      <w:r w:rsidRPr="0025429D">
        <w:rPr>
          <w:rFonts w:asciiTheme="majorBidi" w:hAnsiTheme="majorBidi" w:cstheme="majorBidi"/>
          <w:color w:val="222222"/>
          <w:lang w:eastAsia="zh-CN"/>
        </w:rPr>
        <w:t>视频和音视频质量评估建议书，包括对在移动设备、电脑屏幕、家庭影院等显示和收听的信号质量以及使用的</w:t>
      </w:r>
      <w:r w:rsidRPr="0025429D">
        <w:rPr>
          <w:rFonts w:asciiTheme="majorBidi" w:hAnsiTheme="majorBidi" w:cstheme="majorBidi"/>
          <w:color w:val="222222"/>
          <w:lang w:eastAsia="zh-CN"/>
        </w:rPr>
        <w:t>QCIF</w:t>
      </w:r>
      <w:r w:rsidRPr="0025429D">
        <w:rPr>
          <w:rFonts w:asciiTheme="majorBidi" w:hAnsiTheme="majorBidi" w:cstheme="majorBidi"/>
          <w:color w:val="222222"/>
          <w:lang w:eastAsia="zh-CN"/>
        </w:rPr>
        <w:t>，</w:t>
      </w:r>
      <w:r w:rsidRPr="0025429D">
        <w:rPr>
          <w:rFonts w:asciiTheme="majorBidi" w:hAnsiTheme="majorBidi" w:cstheme="majorBidi"/>
          <w:color w:val="222222"/>
          <w:lang w:eastAsia="zh-CN"/>
        </w:rPr>
        <w:t>CIF</w:t>
      </w:r>
      <w:r w:rsidRPr="0025429D">
        <w:rPr>
          <w:rFonts w:asciiTheme="majorBidi" w:hAnsiTheme="majorBidi" w:cstheme="majorBidi"/>
          <w:color w:val="222222"/>
          <w:lang w:eastAsia="zh-CN"/>
        </w:rPr>
        <w:t>、</w:t>
      </w:r>
      <w:r w:rsidRPr="0025429D">
        <w:rPr>
          <w:rFonts w:asciiTheme="majorBidi" w:hAnsiTheme="majorBidi" w:cstheme="majorBidi"/>
          <w:color w:val="222222"/>
          <w:lang w:eastAsia="zh-CN"/>
        </w:rPr>
        <w:t>VGA</w:t>
      </w:r>
      <w:r w:rsidRPr="0025429D">
        <w:rPr>
          <w:rFonts w:asciiTheme="majorBidi" w:hAnsiTheme="majorBidi" w:cstheme="majorBidi"/>
          <w:color w:val="222222"/>
          <w:lang w:eastAsia="zh-CN"/>
        </w:rPr>
        <w:t>、</w:t>
      </w:r>
      <w:r w:rsidRPr="0025429D">
        <w:rPr>
          <w:rFonts w:asciiTheme="majorBidi" w:hAnsiTheme="majorBidi" w:cstheme="majorBidi"/>
          <w:color w:val="222222"/>
          <w:lang w:eastAsia="zh-CN"/>
        </w:rPr>
        <w:t>SDTV</w:t>
      </w:r>
      <w:r w:rsidRPr="0025429D">
        <w:rPr>
          <w:rFonts w:asciiTheme="majorBidi" w:hAnsiTheme="majorBidi" w:cstheme="majorBidi"/>
          <w:color w:val="222222"/>
          <w:lang w:eastAsia="zh-CN"/>
        </w:rPr>
        <w:t>、</w:t>
      </w:r>
      <w:r w:rsidRPr="0025429D">
        <w:rPr>
          <w:rFonts w:asciiTheme="majorBidi" w:hAnsiTheme="majorBidi" w:cstheme="majorBidi"/>
          <w:color w:val="222222"/>
          <w:lang w:eastAsia="zh-CN"/>
        </w:rPr>
        <w:t>HDTV</w:t>
      </w:r>
      <w:r w:rsidRPr="0025429D">
        <w:rPr>
          <w:rFonts w:asciiTheme="majorBidi" w:hAnsiTheme="majorBidi" w:cstheme="majorBidi"/>
          <w:color w:val="222222"/>
          <w:lang w:eastAsia="zh-CN"/>
        </w:rPr>
        <w:t>、</w:t>
      </w:r>
      <w:r w:rsidRPr="0025429D">
        <w:rPr>
          <w:rFonts w:asciiTheme="majorBidi" w:hAnsiTheme="majorBidi" w:cstheme="majorBidi"/>
          <w:color w:val="222222"/>
          <w:lang w:eastAsia="zh-CN"/>
        </w:rPr>
        <w:t>3DTV</w:t>
      </w:r>
      <w:r w:rsidRPr="0025429D">
        <w:rPr>
          <w:rFonts w:asciiTheme="majorBidi" w:hAnsiTheme="majorBidi" w:cstheme="majorBidi"/>
          <w:color w:val="222222"/>
          <w:lang w:eastAsia="zh-CN"/>
        </w:rPr>
        <w:t>、</w:t>
      </w:r>
      <w:r w:rsidRPr="0025429D">
        <w:rPr>
          <w:rFonts w:asciiTheme="majorBidi" w:hAnsiTheme="majorBidi" w:cstheme="majorBidi"/>
          <w:color w:val="222222"/>
          <w:lang w:eastAsia="zh-CN"/>
        </w:rPr>
        <w:t>UHDTV</w:t>
      </w:r>
      <w:r w:rsidRPr="0025429D">
        <w:rPr>
          <w:rFonts w:asciiTheme="majorBidi" w:hAnsiTheme="majorBidi" w:cstheme="majorBidi"/>
          <w:color w:val="222222"/>
          <w:lang w:eastAsia="zh-CN"/>
        </w:rPr>
        <w:t>等有或无伴音设备的各种清晰度的评估。</w:t>
      </w:r>
    </w:p>
    <w:p w:rsidR="000D3FAD" w:rsidRPr="0025429D" w:rsidRDefault="000D3FAD" w:rsidP="00C42093">
      <w:pPr>
        <w:pStyle w:val="Heading2"/>
        <w:rPr>
          <w:lang w:eastAsia="zh-CN"/>
        </w:rPr>
      </w:pPr>
      <w:r w:rsidRPr="0025429D">
        <w:rPr>
          <w:lang w:eastAsia="zh-CN"/>
        </w:rPr>
        <w:t>3</w:t>
      </w:r>
      <w:r w:rsidRPr="0025429D">
        <w:rPr>
          <w:lang w:eastAsia="zh-CN"/>
        </w:rPr>
        <w:tab/>
        <w:t>ITU-T</w:t>
      </w:r>
      <w:r w:rsidRPr="0025429D">
        <w:rPr>
          <w:lang w:eastAsia="zh-CN"/>
        </w:rPr>
        <w:t>的内外部关系</w:t>
      </w:r>
    </w:p>
    <w:p w:rsidR="000D3FAD" w:rsidRPr="0083175A" w:rsidRDefault="000D3FAD" w:rsidP="000D3FAD">
      <w:pPr>
        <w:tabs>
          <w:tab w:val="clear" w:pos="794"/>
          <w:tab w:val="clear" w:pos="1191"/>
          <w:tab w:val="clear" w:pos="1588"/>
          <w:tab w:val="clear" w:pos="1985"/>
        </w:tabs>
        <w:overflowPunct/>
        <w:autoSpaceDE/>
        <w:autoSpaceDN/>
        <w:adjustRightInd/>
        <w:spacing w:before="100" w:after="100"/>
        <w:ind w:firstLineChars="200" w:firstLine="480"/>
        <w:textAlignment w:val="auto"/>
        <w:rPr>
          <w:rFonts w:asciiTheme="majorBidi" w:hAnsiTheme="majorBidi" w:cstheme="majorBidi"/>
          <w:color w:val="222222"/>
          <w:szCs w:val="24"/>
          <w:lang w:eastAsia="zh-CN"/>
        </w:rPr>
      </w:pPr>
      <w:r w:rsidRPr="0083175A">
        <w:rPr>
          <w:rFonts w:asciiTheme="majorBidi" w:hAnsiTheme="majorBidi" w:cstheme="majorBidi"/>
          <w:color w:val="222222"/>
          <w:szCs w:val="24"/>
          <w:lang w:eastAsia="zh-CN"/>
        </w:rPr>
        <w:t>虽然</w:t>
      </w:r>
      <w:r w:rsidRPr="0083175A">
        <w:rPr>
          <w:rFonts w:asciiTheme="majorBidi" w:hAnsiTheme="majorBidi" w:cstheme="majorBidi"/>
          <w:color w:val="222222"/>
          <w:szCs w:val="24"/>
          <w:lang w:eastAsia="zh-CN"/>
        </w:rPr>
        <w:t>IRG</w:t>
      </w:r>
      <w:r w:rsidRPr="0083175A">
        <w:rPr>
          <w:rFonts w:asciiTheme="majorBidi" w:hAnsiTheme="majorBidi" w:cstheme="majorBidi"/>
          <w:color w:val="222222"/>
          <w:szCs w:val="24"/>
          <w:lang w:eastAsia="zh-CN"/>
        </w:rPr>
        <w:t>的主旨是促进</w:t>
      </w:r>
      <w:r w:rsidRPr="0083175A">
        <w:rPr>
          <w:rFonts w:asciiTheme="majorBidi" w:hAnsiTheme="majorBidi" w:cstheme="majorBidi"/>
          <w:szCs w:val="24"/>
          <w:lang w:val="en-US" w:eastAsia="zh-CN"/>
        </w:rPr>
        <w:t>ITU-T</w:t>
      </w:r>
      <w:r w:rsidRPr="0083175A">
        <w:rPr>
          <w:rFonts w:asciiTheme="majorBidi" w:hAnsiTheme="majorBidi" w:cstheme="majorBidi"/>
          <w:szCs w:val="24"/>
          <w:lang w:val="en-US" w:eastAsia="zh-CN"/>
        </w:rPr>
        <w:t>第</w:t>
      </w:r>
      <w:r w:rsidRPr="0083175A">
        <w:rPr>
          <w:rFonts w:asciiTheme="majorBidi" w:hAnsiTheme="majorBidi" w:cstheme="majorBidi"/>
          <w:szCs w:val="24"/>
          <w:lang w:val="en-US" w:eastAsia="zh-CN"/>
        </w:rPr>
        <w:t>9</w:t>
      </w:r>
      <w:r w:rsidRPr="0083175A">
        <w:rPr>
          <w:rFonts w:asciiTheme="majorBidi" w:hAnsiTheme="majorBidi" w:cstheme="majorBidi"/>
          <w:szCs w:val="24"/>
          <w:lang w:val="en-US" w:eastAsia="zh-CN"/>
        </w:rPr>
        <w:t>和第</w:t>
      </w:r>
      <w:r w:rsidRPr="0083175A">
        <w:rPr>
          <w:rFonts w:asciiTheme="majorBidi" w:hAnsiTheme="majorBidi" w:cstheme="majorBidi"/>
          <w:szCs w:val="24"/>
          <w:lang w:val="en-US" w:eastAsia="zh-CN"/>
        </w:rPr>
        <w:t>12</w:t>
      </w:r>
      <w:r w:rsidRPr="0083175A">
        <w:rPr>
          <w:rFonts w:asciiTheme="majorBidi" w:hAnsiTheme="majorBidi" w:cstheme="majorBidi"/>
          <w:szCs w:val="24"/>
          <w:lang w:val="en-US" w:eastAsia="zh-CN"/>
        </w:rPr>
        <w:t>研究组以及</w:t>
      </w:r>
      <w:r w:rsidRPr="0083175A">
        <w:rPr>
          <w:rFonts w:asciiTheme="majorBidi" w:hAnsiTheme="majorBidi" w:cstheme="majorBidi"/>
          <w:szCs w:val="24"/>
          <w:lang w:val="en-US" w:eastAsia="zh-CN"/>
        </w:rPr>
        <w:t>ITU-R</w:t>
      </w:r>
      <w:r w:rsidRPr="0083175A">
        <w:rPr>
          <w:rFonts w:asciiTheme="majorBidi" w:hAnsiTheme="majorBidi" w:cstheme="majorBidi"/>
          <w:szCs w:val="24"/>
          <w:lang w:val="en-US" w:eastAsia="zh-CN"/>
        </w:rPr>
        <w:t>第</w:t>
      </w:r>
      <w:r w:rsidRPr="0083175A">
        <w:rPr>
          <w:rFonts w:asciiTheme="majorBidi" w:hAnsiTheme="majorBidi" w:cstheme="majorBidi"/>
          <w:szCs w:val="24"/>
          <w:lang w:val="en-US" w:eastAsia="zh-CN"/>
        </w:rPr>
        <w:t>6</w:t>
      </w:r>
      <w:r w:rsidRPr="0083175A">
        <w:rPr>
          <w:rFonts w:asciiTheme="majorBidi" w:hAnsiTheme="majorBidi" w:cstheme="majorBidi"/>
          <w:szCs w:val="24"/>
          <w:lang w:val="en-US" w:eastAsia="zh-CN"/>
        </w:rPr>
        <w:t>研究组</w:t>
      </w:r>
      <w:r w:rsidRPr="0083175A">
        <w:rPr>
          <w:rFonts w:asciiTheme="majorBidi" w:hAnsiTheme="majorBidi" w:cstheme="majorBidi"/>
          <w:color w:val="222222"/>
          <w:szCs w:val="24"/>
          <w:lang w:eastAsia="zh-CN"/>
        </w:rPr>
        <w:t>与</w:t>
      </w:r>
      <w:r w:rsidRPr="0083175A">
        <w:rPr>
          <w:rFonts w:asciiTheme="majorBidi" w:hAnsiTheme="majorBidi" w:cstheme="majorBidi"/>
          <w:color w:val="222222"/>
          <w:szCs w:val="24"/>
          <w:lang w:eastAsia="zh-CN"/>
        </w:rPr>
        <w:t>VQEG</w:t>
      </w:r>
      <w:r w:rsidRPr="0083175A">
        <w:rPr>
          <w:rFonts w:asciiTheme="majorBidi" w:hAnsiTheme="majorBidi" w:cstheme="majorBidi"/>
          <w:color w:val="222222"/>
          <w:szCs w:val="24"/>
          <w:lang w:eastAsia="zh-CN"/>
        </w:rPr>
        <w:t>之间的协调与合作，但我们鼓励与所有相关研究组或其他组进行合作。</w:t>
      </w:r>
    </w:p>
    <w:p w:rsidR="000D3FAD" w:rsidRPr="0083175A" w:rsidRDefault="000D3FAD" w:rsidP="000D3FAD">
      <w:pPr>
        <w:tabs>
          <w:tab w:val="clear" w:pos="794"/>
          <w:tab w:val="clear" w:pos="1191"/>
          <w:tab w:val="clear" w:pos="1588"/>
          <w:tab w:val="clear" w:pos="1985"/>
        </w:tabs>
        <w:overflowPunct/>
        <w:autoSpaceDE/>
        <w:autoSpaceDN/>
        <w:adjustRightInd/>
        <w:spacing w:before="100" w:after="100"/>
        <w:ind w:firstLineChars="200" w:firstLine="480"/>
        <w:textAlignment w:val="auto"/>
        <w:rPr>
          <w:rFonts w:asciiTheme="majorBidi" w:hAnsiTheme="majorBidi" w:cstheme="majorBidi"/>
          <w:szCs w:val="24"/>
          <w:lang w:val="en-US" w:eastAsia="ja-JP"/>
        </w:rPr>
      </w:pPr>
      <w:r w:rsidRPr="0083175A">
        <w:rPr>
          <w:rFonts w:asciiTheme="majorBidi" w:hAnsiTheme="majorBidi" w:cstheme="majorBidi"/>
          <w:color w:val="222222"/>
          <w:szCs w:val="24"/>
          <w:lang w:eastAsia="zh-CN"/>
        </w:rPr>
        <w:t>下列国际电联研究组和工作组与</w:t>
      </w:r>
      <w:r w:rsidRPr="0083175A">
        <w:rPr>
          <w:rFonts w:asciiTheme="majorBidi" w:hAnsiTheme="majorBidi" w:cstheme="majorBidi"/>
          <w:color w:val="222222"/>
          <w:szCs w:val="24"/>
          <w:lang w:eastAsia="zh-CN"/>
        </w:rPr>
        <w:t>IRG</w:t>
      </w:r>
      <w:r w:rsidRPr="0083175A">
        <w:rPr>
          <w:rFonts w:asciiTheme="majorBidi" w:hAnsiTheme="majorBidi" w:cstheme="majorBidi"/>
          <w:color w:val="222222"/>
          <w:szCs w:val="24"/>
          <w:lang w:eastAsia="zh-CN"/>
        </w:rPr>
        <w:t>关系密切：</w:t>
      </w:r>
    </w:p>
    <w:p w:rsidR="000D3FAD" w:rsidRPr="0083175A" w:rsidRDefault="000D3FAD" w:rsidP="000D3FAD">
      <w:pPr>
        <w:numPr>
          <w:ilvl w:val="0"/>
          <w:numId w:val="48"/>
        </w:numPr>
        <w:tabs>
          <w:tab w:val="clear" w:pos="794"/>
          <w:tab w:val="clear" w:pos="1191"/>
          <w:tab w:val="clear" w:pos="1588"/>
          <w:tab w:val="clear" w:pos="1985"/>
        </w:tabs>
        <w:spacing w:after="120"/>
        <w:ind w:left="567" w:hanging="567"/>
        <w:contextualSpacing/>
        <w:rPr>
          <w:rFonts w:asciiTheme="majorBidi" w:hAnsiTheme="majorBidi" w:cstheme="majorBidi"/>
          <w:szCs w:val="24"/>
          <w:lang w:val="en-US" w:eastAsia="zh-CN"/>
        </w:rPr>
      </w:pPr>
      <w:r w:rsidRPr="0083175A">
        <w:rPr>
          <w:rFonts w:asciiTheme="majorBidi" w:hAnsiTheme="majorBidi" w:cstheme="majorBidi"/>
          <w:szCs w:val="24"/>
          <w:lang w:val="en-US" w:eastAsia="zh-CN"/>
        </w:rPr>
        <w:t>负责视频编码、</w:t>
      </w:r>
      <w:r w:rsidRPr="0083175A">
        <w:rPr>
          <w:rFonts w:asciiTheme="majorBidi" w:hAnsiTheme="majorBidi" w:cstheme="majorBidi"/>
          <w:szCs w:val="24"/>
          <w:lang w:val="en-US" w:eastAsia="zh-CN"/>
        </w:rPr>
        <w:t>IPTV</w:t>
      </w:r>
      <w:r w:rsidRPr="0083175A">
        <w:rPr>
          <w:rFonts w:asciiTheme="majorBidi" w:hAnsiTheme="majorBidi" w:cstheme="majorBidi"/>
          <w:szCs w:val="24"/>
          <w:lang w:val="en-US" w:eastAsia="zh-CN"/>
        </w:rPr>
        <w:t>应用和无障碍获取的</w:t>
      </w:r>
      <w:r w:rsidRPr="0083175A">
        <w:rPr>
          <w:rFonts w:asciiTheme="majorBidi" w:hAnsiTheme="majorBidi" w:cstheme="majorBidi"/>
          <w:szCs w:val="24"/>
          <w:lang w:val="en-US" w:eastAsia="zh-CN"/>
        </w:rPr>
        <w:t>ITU-T</w:t>
      </w:r>
      <w:r w:rsidRPr="0083175A">
        <w:rPr>
          <w:rFonts w:asciiTheme="majorBidi" w:hAnsiTheme="majorBidi" w:cstheme="majorBidi"/>
          <w:szCs w:val="24"/>
          <w:lang w:val="en-US" w:eastAsia="zh-CN"/>
        </w:rPr>
        <w:t>第</w:t>
      </w:r>
      <w:r w:rsidRPr="0083175A">
        <w:rPr>
          <w:rFonts w:asciiTheme="majorBidi" w:hAnsiTheme="majorBidi" w:cstheme="majorBidi"/>
          <w:szCs w:val="24"/>
          <w:lang w:val="en-US" w:eastAsia="zh-CN"/>
        </w:rPr>
        <w:t>16</w:t>
      </w:r>
      <w:r w:rsidRPr="0083175A">
        <w:rPr>
          <w:rFonts w:asciiTheme="majorBidi" w:hAnsiTheme="majorBidi" w:cstheme="majorBidi"/>
          <w:szCs w:val="24"/>
          <w:lang w:val="en-US" w:eastAsia="zh-CN"/>
        </w:rPr>
        <w:t>研究组（包括</w:t>
      </w:r>
      <w:r w:rsidRPr="0083175A">
        <w:rPr>
          <w:rFonts w:asciiTheme="majorBidi" w:hAnsiTheme="majorBidi" w:cstheme="majorBidi"/>
          <w:szCs w:val="24"/>
          <w:lang w:val="en-US" w:eastAsia="zh-CN"/>
        </w:rPr>
        <w:t>JCA-AHF</w:t>
      </w:r>
      <w:r w:rsidRPr="0083175A">
        <w:rPr>
          <w:rFonts w:asciiTheme="majorBidi" w:hAnsiTheme="majorBidi" w:cstheme="majorBidi"/>
          <w:szCs w:val="24"/>
          <w:lang w:val="en-US" w:eastAsia="zh-CN"/>
        </w:rPr>
        <w:t>、</w:t>
      </w:r>
      <w:r w:rsidRPr="0083175A">
        <w:rPr>
          <w:rFonts w:asciiTheme="majorBidi" w:hAnsiTheme="majorBidi" w:cstheme="majorBidi"/>
          <w:szCs w:val="24"/>
          <w:lang w:val="en-US" w:eastAsia="zh-CN"/>
        </w:rPr>
        <w:t>FG-AVA</w:t>
      </w:r>
      <w:r w:rsidRPr="0083175A">
        <w:rPr>
          <w:rFonts w:asciiTheme="majorBidi" w:hAnsiTheme="majorBidi" w:cstheme="majorBidi"/>
          <w:szCs w:val="24"/>
          <w:lang w:val="en-US" w:eastAsia="zh-CN"/>
        </w:rPr>
        <w:t>）；</w:t>
      </w:r>
    </w:p>
    <w:p w:rsidR="000D3FAD" w:rsidRPr="0083175A" w:rsidRDefault="000D3FAD" w:rsidP="00794835">
      <w:pPr>
        <w:numPr>
          <w:ilvl w:val="0"/>
          <w:numId w:val="48"/>
        </w:numPr>
        <w:tabs>
          <w:tab w:val="clear" w:pos="794"/>
          <w:tab w:val="clear" w:pos="1191"/>
          <w:tab w:val="clear" w:pos="1588"/>
          <w:tab w:val="clear" w:pos="1985"/>
        </w:tabs>
        <w:spacing w:after="120"/>
        <w:ind w:left="567" w:hanging="567"/>
        <w:contextualSpacing/>
        <w:rPr>
          <w:rFonts w:asciiTheme="majorBidi" w:hAnsiTheme="majorBidi" w:cstheme="majorBidi"/>
          <w:szCs w:val="24"/>
          <w:lang w:val="en-US" w:eastAsia="zh-CN"/>
        </w:rPr>
      </w:pPr>
      <w:r w:rsidRPr="0083175A">
        <w:rPr>
          <w:rFonts w:asciiTheme="majorBidi" w:hAnsiTheme="majorBidi" w:cstheme="majorBidi"/>
          <w:szCs w:val="24"/>
          <w:lang w:val="en-US" w:eastAsia="zh-CN"/>
        </w:rPr>
        <w:t>ITU-R</w:t>
      </w:r>
      <w:r w:rsidRPr="0083175A">
        <w:rPr>
          <w:rFonts w:asciiTheme="majorBidi" w:hAnsiTheme="majorBidi" w:cstheme="majorBidi"/>
          <w:szCs w:val="24"/>
          <w:lang w:val="en-US" w:eastAsia="zh-CN"/>
        </w:rPr>
        <w:t>第</w:t>
      </w:r>
      <w:r w:rsidRPr="0083175A">
        <w:rPr>
          <w:rFonts w:asciiTheme="majorBidi" w:hAnsiTheme="majorBidi" w:cstheme="majorBidi"/>
          <w:szCs w:val="24"/>
          <w:lang w:val="en-US" w:eastAsia="zh-CN"/>
        </w:rPr>
        <w:t>6A</w:t>
      </w:r>
      <w:r w:rsidRPr="0083175A">
        <w:rPr>
          <w:rFonts w:asciiTheme="majorBidi" w:hAnsiTheme="majorBidi" w:cstheme="majorBidi"/>
          <w:szCs w:val="24"/>
          <w:lang w:val="en-US" w:eastAsia="zh-CN"/>
        </w:rPr>
        <w:t>工作组（</w:t>
      </w:r>
      <w:r w:rsidRPr="0083175A">
        <w:rPr>
          <w:rFonts w:asciiTheme="majorBidi" w:hAnsiTheme="majorBidi" w:cstheme="majorBidi"/>
          <w:szCs w:val="24"/>
          <w:lang w:val="en-US" w:eastAsia="zh-CN"/>
        </w:rPr>
        <w:t>WP 6A</w:t>
      </w:r>
      <w:r w:rsidRPr="0083175A">
        <w:rPr>
          <w:rFonts w:asciiTheme="majorBidi" w:hAnsiTheme="majorBidi" w:cstheme="majorBidi"/>
          <w:szCs w:val="24"/>
          <w:lang w:val="en-US" w:eastAsia="zh-CN"/>
        </w:rPr>
        <w:t>）</w:t>
      </w:r>
      <w:r w:rsidR="00794835">
        <w:rPr>
          <w:rFonts w:asciiTheme="majorBidi" w:hAnsiTheme="majorBidi" w:cstheme="majorBidi"/>
          <w:szCs w:val="24"/>
          <w:lang w:val="en-US" w:eastAsia="zh-CN"/>
        </w:rPr>
        <w:t>–</w:t>
      </w:r>
      <w:r w:rsidRPr="0083175A">
        <w:rPr>
          <w:rFonts w:asciiTheme="majorBidi" w:hAnsiTheme="majorBidi" w:cstheme="majorBidi"/>
          <w:szCs w:val="24"/>
          <w:lang w:val="en-US" w:eastAsia="zh-CN"/>
        </w:rPr>
        <w:t>地面广播传输；</w:t>
      </w:r>
    </w:p>
    <w:p w:rsidR="000D3FAD" w:rsidRPr="0083175A" w:rsidRDefault="000D3FAD" w:rsidP="00794835">
      <w:pPr>
        <w:numPr>
          <w:ilvl w:val="0"/>
          <w:numId w:val="48"/>
        </w:numPr>
        <w:tabs>
          <w:tab w:val="clear" w:pos="794"/>
          <w:tab w:val="clear" w:pos="1191"/>
          <w:tab w:val="clear" w:pos="1588"/>
          <w:tab w:val="clear" w:pos="1985"/>
        </w:tabs>
        <w:spacing w:after="120"/>
        <w:ind w:left="567" w:hanging="567"/>
        <w:contextualSpacing/>
        <w:rPr>
          <w:rFonts w:asciiTheme="majorBidi" w:hAnsiTheme="majorBidi" w:cstheme="majorBidi"/>
          <w:szCs w:val="24"/>
          <w:lang w:val="en-US" w:eastAsia="zh-CN"/>
        </w:rPr>
      </w:pPr>
      <w:r w:rsidRPr="0083175A">
        <w:rPr>
          <w:rFonts w:asciiTheme="majorBidi" w:hAnsiTheme="majorBidi" w:cstheme="majorBidi"/>
          <w:szCs w:val="24"/>
          <w:lang w:val="en-US" w:eastAsia="zh-CN"/>
        </w:rPr>
        <w:t>ITU-R</w:t>
      </w:r>
      <w:r w:rsidRPr="0083175A">
        <w:rPr>
          <w:rFonts w:asciiTheme="majorBidi" w:hAnsiTheme="majorBidi" w:cstheme="majorBidi"/>
          <w:szCs w:val="24"/>
          <w:lang w:val="en-US" w:eastAsia="zh-CN"/>
        </w:rPr>
        <w:t>第</w:t>
      </w:r>
      <w:r w:rsidRPr="0083175A">
        <w:rPr>
          <w:rFonts w:asciiTheme="majorBidi" w:hAnsiTheme="majorBidi" w:cstheme="majorBidi"/>
          <w:szCs w:val="24"/>
          <w:lang w:val="en-US" w:eastAsia="zh-CN"/>
        </w:rPr>
        <w:t>6B</w:t>
      </w:r>
      <w:r w:rsidRPr="0083175A">
        <w:rPr>
          <w:rFonts w:asciiTheme="majorBidi" w:hAnsiTheme="majorBidi" w:cstheme="majorBidi"/>
          <w:szCs w:val="24"/>
          <w:lang w:val="en-US" w:eastAsia="zh-CN"/>
        </w:rPr>
        <w:t>工作组（</w:t>
      </w:r>
      <w:r w:rsidRPr="0083175A">
        <w:rPr>
          <w:rFonts w:asciiTheme="majorBidi" w:hAnsiTheme="majorBidi" w:cstheme="majorBidi"/>
          <w:szCs w:val="24"/>
          <w:lang w:val="en-US" w:eastAsia="zh-CN"/>
        </w:rPr>
        <w:t>WP 6B</w:t>
      </w:r>
      <w:r w:rsidRPr="0083175A">
        <w:rPr>
          <w:rFonts w:asciiTheme="majorBidi" w:hAnsiTheme="majorBidi" w:cstheme="majorBidi"/>
          <w:szCs w:val="24"/>
          <w:lang w:val="en-US" w:eastAsia="zh-CN"/>
        </w:rPr>
        <w:t>）</w:t>
      </w:r>
      <w:r w:rsidR="00794835">
        <w:rPr>
          <w:rFonts w:asciiTheme="majorBidi" w:hAnsiTheme="majorBidi" w:cstheme="majorBidi"/>
          <w:szCs w:val="24"/>
          <w:lang w:val="en-US" w:eastAsia="zh-CN"/>
        </w:rPr>
        <w:t>–</w:t>
      </w:r>
      <w:r w:rsidRPr="0083175A">
        <w:rPr>
          <w:rFonts w:asciiTheme="majorBidi" w:hAnsiTheme="majorBidi" w:cstheme="majorBidi"/>
          <w:szCs w:val="24"/>
          <w:lang w:val="en-US" w:eastAsia="zh-CN"/>
        </w:rPr>
        <w:t>广播业务组合与接入</w:t>
      </w:r>
      <w:r w:rsidRPr="0083175A">
        <w:rPr>
          <w:rFonts w:asciiTheme="majorBidi" w:hAnsiTheme="majorBidi" w:cstheme="majorBidi" w:hint="eastAsia"/>
          <w:szCs w:val="24"/>
          <w:lang w:val="en-US" w:eastAsia="zh-CN"/>
        </w:rPr>
        <w:t>。</w:t>
      </w:r>
    </w:p>
    <w:p w:rsidR="000D3FAD" w:rsidRPr="0025429D" w:rsidRDefault="000D3FAD" w:rsidP="000D3FAD">
      <w:pPr>
        <w:tabs>
          <w:tab w:val="clear" w:pos="794"/>
          <w:tab w:val="clear" w:pos="1191"/>
          <w:tab w:val="clear" w:pos="1588"/>
          <w:tab w:val="clear" w:pos="1985"/>
        </w:tabs>
        <w:overflowPunct/>
        <w:autoSpaceDE/>
        <w:autoSpaceDN/>
        <w:adjustRightInd/>
        <w:spacing w:after="120"/>
        <w:ind w:firstLineChars="200" w:firstLine="480"/>
        <w:textAlignment w:val="auto"/>
        <w:rPr>
          <w:rFonts w:asciiTheme="majorBidi" w:hAnsiTheme="majorBidi" w:cstheme="majorBidi"/>
          <w:szCs w:val="24"/>
          <w:lang w:val="en-US" w:eastAsia="zh-CN"/>
        </w:rPr>
      </w:pPr>
      <w:r w:rsidRPr="0083175A">
        <w:rPr>
          <w:rFonts w:asciiTheme="majorBidi" w:hAnsiTheme="majorBidi" w:cstheme="majorBidi"/>
          <w:color w:val="222222"/>
          <w:szCs w:val="24"/>
          <w:lang w:eastAsia="zh-CN"/>
        </w:rPr>
        <w:lastRenderedPageBreak/>
        <w:t>应</w:t>
      </w:r>
      <w:r w:rsidRPr="0083175A">
        <w:rPr>
          <w:rFonts w:asciiTheme="majorBidi" w:hAnsiTheme="majorBidi" w:cstheme="majorBidi"/>
          <w:color w:val="222222"/>
          <w:szCs w:val="24"/>
        </w:rPr>
        <w:t>特别</w:t>
      </w:r>
      <w:r w:rsidRPr="0083175A">
        <w:rPr>
          <w:rFonts w:asciiTheme="majorBidi" w:hAnsiTheme="majorBidi" w:cstheme="majorBidi"/>
          <w:color w:val="222222"/>
          <w:szCs w:val="24"/>
          <w:lang w:eastAsia="zh-CN"/>
        </w:rPr>
        <w:t>关</w:t>
      </w:r>
      <w:r w:rsidRPr="0083175A">
        <w:rPr>
          <w:rFonts w:asciiTheme="majorBidi" w:hAnsiTheme="majorBidi" w:cstheme="majorBidi"/>
          <w:color w:val="222222"/>
          <w:szCs w:val="24"/>
        </w:rPr>
        <w:t>注意与其他标准制定组织（尤其是</w:t>
      </w:r>
      <w:r w:rsidRPr="0083175A">
        <w:rPr>
          <w:rFonts w:asciiTheme="majorBidi" w:hAnsiTheme="majorBidi" w:cstheme="majorBidi"/>
          <w:color w:val="222222"/>
          <w:szCs w:val="24"/>
        </w:rPr>
        <w:t>SCTE</w:t>
      </w:r>
      <w:r w:rsidRPr="0083175A">
        <w:rPr>
          <w:rFonts w:asciiTheme="majorBidi" w:hAnsiTheme="majorBidi" w:cstheme="majorBidi"/>
          <w:color w:val="222222"/>
          <w:szCs w:val="24"/>
          <w:lang w:eastAsia="zh-CN"/>
        </w:rPr>
        <w:t>、</w:t>
      </w:r>
      <w:r w:rsidRPr="0083175A">
        <w:rPr>
          <w:rFonts w:asciiTheme="majorBidi" w:hAnsiTheme="majorBidi" w:cstheme="majorBidi"/>
          <w:color w:val="222222"/>
          <w:szCs w:val="24"/>
        </w:rPr>
        <w:t>DVB</w:t>
      </w:r>
      <w:r w:rsidRPr="0083175A">
        <w:rPr>
          <w:rFonts w:asciiTheme="majorBidi" w:hAnsiTheme="majorBidi" w:cstheme="majorBidi"/>
          <w:color w:val="222222"/>
          <w:szCs w:val="24"/>
          <w:lang w:eastAsia="zh-CN"/>
        </w:rPr>
        <w:t>、</w:t>
      </w:r>
      <w:r w:rsidRPr="0083175A">
        <w:rPr>
          <w:rFonts w:asciiTheme="majorBidi" w:hAnsiTheme="majorBidi" w:cstheme="majorBidi"/>
          <w:szCs w:val="24"/>
          <w:lang w:val="en-US" w:eastAsia="ja-JP"/>
        </w:rPr>
        <w:t>3D Society &amp; 3D@Home Consortium</w:t>
      </w:r>
      <w:r w:rsidRPr="0083175A">
        <w:rPr>
          <w:rFonts w:asciiTheme="majorBidi" w:hAnsiTheme="majorBidi" w:cstheme="majorBidi"/>
          <w:color w:val="222222"/>
          <w:szCs w:val="24"/>
        </w:rPr>
        <w:t>，</w:t>
      </w:r>
      <w:r w:rsidRPr="0083175A">
        <w:rPr>
          <w:rFonts w:asciiTheme="majorBidi" w:hAnsiTheme="majorBidi" w:cstheme="majorBidi"/>
          <w:color w:val="222222"/>
          <w:szCs w:val="24"/>
        </w:rPr>
        <w:t>EBU</w:t>
      </w:r>
      <w:r w:rsidRPr="0083175A">
        <w:rPr>
          <w:rFonts w:asciiTheme="majorBidi" w:hAnsiTheme="majorBidi" w:cstheme="majorBidi"/>
          <w:color w:val="222222"/>
          <w:szCs w:val="24"/>
        </w:rPr>
        <w:t>和</w:t>
      </w:r>
      <w:r w:rsidRPr="0083175A">
        <w:rPr>
          <w:rFonts w:asciiTheme="majorBidi" w:hAnsiTheme="majorBidi" w:cstheme="majorBidi"/>
          <w:color w:val="222222"/>
          <w:szCs w:val="24"/>
        </w:rPr>
        <w:t>IETF</w:t>
      </w:r>
      <w:r w:rsidRPr="0083175A">
        <w:rPr>
          <w:rFonts w:asciiTheme="majorBidi" w:hAnsiTheme="majorBidi" w:cstheme="majorBidi"/>
          <w:color w:val="222222"/>
          <w:szCs w:val="24"/>
        </w:rPr>
        <w:t>）</w:t>
      </w:r>
      <w:r w:rsidRPr="0083175A">
        <w:rPr>
          <w:rFonts w:asciiTheme="majorBidi" w:hAnsiTheme="majorBidi" w:cstheme="majorBidi"/>
          <w:color w:val="222222"/>
          <w:szCs w:val="24"/>
          <w:lang w:eastAsia="zh-CN"/>
        </w:rPr>
        <w:t>进行可能</w:t>
      </w:r>
      <w:r w:rsidRPr="0083175A">
        <w:rPr>
          <w:rFonts w:asciiTheme="majorBidi" w:hAnsiTheme="majorBidi" w:cstheme="majorBidi"/>
          <w:color w:val="222222"/>
          <w:szCs w:val="24"/>
        </w:rPr>
        <w:t>的合作</w:t>
      </w:r>
      <w:r w:rsidRPr="0083175A">
        <w:rPr>
          <w:rFonts w:asciiTheme="majorBidi" w:hAnsiTheme="majorBidi" w:cstheme="majorBidi"/>
          <w:color w:val="222222"/>
          <w:szCs w:val="24"/>
          <w:lang w:eastAsia="zh-CN"/>
        </w:rPr>
        <w:t>。或在将来确定其他标准制定组织和团体。</w:t>
      </w:r>
    </w:p>
    <w:p w:rsidR="000D3FAD" w:rsidRPr="0025429D" w:rsidRDefault="000D3FAD" w:rsidP="000D3FAD">
      <w:pPr>
        <w:keepNext/>
        <w:spacing w:before="160"/>
        <w:rPr>
          <w:rFonts w:asciiTheme="majorBidi" w:hAnsiTheme="majorBidi" w:cstheme="majorBidi"/>
          <w:b/>
          <w:lang w:eastAsia="zh-CN"/>
        </w:rPr>
      </w:pPr>
      <w:r w:rsidRPr="0025429D">
        <w:rPr>
          <w:rFonts w:asciiTheme="majorBidi" w:hAnsiTheme="majorBidi" w:cstheme="majorBidi"/>
          <w:b/>
          <w:lang w:eastAsia="zh-CN"/>
        </w:rPr>
        <w:t>4</w:t>
      </w:r>
      <w:r w:rsidRPr="0025429D">
        <w:rPr>
          <w:rFonts w:asciiTheme="majorBidi" w:hAnsiTheme="majorBidi" w:cstheme="majorBidi"/>
          <w:b/>
          <w:lang w:eastAsia="zh-CN"/>
        </w:rPr>
        <w:tab/>
      </w:r>
      <w:r w:rsidRPr="0025429D">
        <w:rPr>
          <w:rFonts w:asciiTheme="majorBidi" w:hAnsiTheme="majorBidi" w:cstheme="majorBidi"/>
          <w:b/>
          <w:lang w:eastAsia="zh-CN"/>
        </w:rPr>
        <w:t>主管组</w:t>
      </w:r>
    </w:p>
    <w:p w:rsidR="000D3FAD" w:rsidRPr="0083175A" w:rsidRDefault="000D3FAD" w:rsidP="000D3FAD">
      <w:pPr>
        <w:tabs>
          <w:tab w:val="clear" w:pos="794"/>
          <w:tab w:val="clear" w:pos="1191"/>
          <w:tab w:val="clear" w:pos="1588"/>
          <w:tab w:val="clear" w:pos="1985"/>
        </w:tabs>
        <w:overflowPunct/>
        <w:autoSpaceDE/>
        <w:autoSpaceDN/>
        <w:adjustRightInd/>
        <w:spacing w:before="100" w:after="100"/>
        <w:ind w:firstLineChars="200" w:firstLine="480"/>
        <w:textAlignment w:val="auto"/>
        <w:rPr>
          <w:rFonts w:asciiTheme="majorBidi" w:hAnsiTheme="majorBidi" w:cstheme="majorBidi"/>
          <w:szCs w:val="24"/>
          <w:lang w:val="en-US" w:eastAsia="zh-CN"/>
        </w:rPr>
      </w:pPr>
      <w:r w:rsidRPr="0083175A">
        <w:rPr>
          <w:rFonts w:asciiTheme="majorBidi" w:hAnsiTheme="majorBidi" w:cstheme="majorBidi"/>
          <w:szCs w:val="24"/>
          <w:lang w:val="en-US" w:eastAsia="zh-CN"/>
        </w:rPr>
        <w:t>ITU-T</w:t>
      </w:r>
      <w:r w:rsidRPr="0083175A">
        <w:rPr>
          <w:rFonts w:asciiTheme="majorBidi" w:hAnsiTheme="majorBidi" w:cstheme="majorBidi"/>
          <w:szCs w:val="24"/>
          <w:lang w:val="en-US" w:eastAsia="zh-CN"/>
        </w:rPr>
        <w:t>第</w:t>
      </w:r>
      <w:r w:rsidRPr="0083175A">
        <w:rPr>
          <w:rFonts w:asciiTheme="majorBidi" w:hAnsiTheme="majorBidi" w:cstheme="majorBidi"/>
          <w:szCs w:val="24"/>
          <w:lang w:val="en-US" w:eastAsia="zh-CN"/>
        </w:rPr>
        <w:t>9</w:t>
      </w:r>
      <w:r w:rsidRPr="0083175A">
        <w:rPr>
          <w:rFonts w:asciiTheme="majorBidi" w:hAnsiTheme="majorBidi" w:cstheme="majorBidi"/>
          <w:szCs w:val="24"/>
          <w:lang w:val="en-US" w:eastAsia="zh-CN"/>
        </w:rPr>
        <w:t>和第</w:t>
      </w:r>
      <w:r w:rsidRPr="0083175A">
        <w:rPr>
          <w:rFonts w:asciiTheme="majorBidi" w:hAnsiTheme="majorBidi" w:cstheme="majorBidi"/>
          <w:szCs w:val="24"/>
          <w:lang w:val="en-US" w:eastAsia="zh-CN"/>
        </w:rPr>
        <w:t>12</w:t>
      </w:r>
      <w:r w:rsidRPr="0083175A">
        <w:rPr>
          <w:rFonts w:asciiTheme="majorBidi" w:hAnsiTheme="majorBidi" w:cstheme="majorBidi"/>
          <w:szCs w:val="24"/>
          <w:lang w:val="en-US" w:eastAsia="zh-CN"/>
        </w:rPr>
        <w:t>研究组以及</w:t>
      </w:r>
      <w:r w:rsidRPr="0083175A">
        <w:rPr>
          <w:rFonts w:asciiTheme="majorBidi" w:hAnsiTheme="majorBidi" w:cstheme="majorBidi"/>
          <w:szCs w:val="24"/>
          <w:lang w:val="en-US" w:eastAsia="zh-CN"/>
        </w:rPr>
        <w:t>ITU-R</w:t>
      </w:r>
      <w:r w:rsidRPr="0083175A">
        <w:rPr>
          <w:rFonts w:asciiTheme="majorBidi" w:hAnsiTheme="majorBidi" w:cstheme="majorBidi"/>
          <w:szCs w:val="24"/>
          <w:lang w:val="en-US" w:eastAsia="zh-CN"/>
        </w:rPr>
        <w:t>第</w:t>
      </w:r>
      <w:r w:rsidRPr="0083175A">
        <w:rPr>
          <w:rFonts w:asciiTheme="majorBidi" w:hAnsiTheme="majorBidi" w:cstheme="majorBidi"/>
          <w:szCs w:val="24"/>
          <w:lang w:val="en-US" w:eastAsia="zh-CN"/>
        </w:rPr>
        <w:t>6</w:t>
      </w:r>
      <w:r w:rsidRPr="0083175A">
        <w:rPr>
          <w:rFonts w:asciiTheme="majorBidi" w:hAnsiTheme="majorBidi" w:cstheme="majorBidi"/>
          <w:szCs w:val="24"/>
          <w:lang w:val="en-US" w:eastAsia="zh-CN"/>
        </w:rPr>
        <w:t>研究组为主管研究组。</w:t>
      </w:r>
    </w:p>
    <w:p w:rsidR="000D3FAD" w:rsidRPr="0025429D" w:rsidRDefault="000D3FAD" w:rsidP="009767B1">
      <w:pPr>
        <w:pStyle w:val="Heading2"/>
        <w:spacing w:before="280"/>
        <w:rPr>
          <w:lang w:eastAsia="zh-CN"/>
        </w:rPr>
      </w:pPr>
      <w:r w:rsidRPr="0025429D">
        <w:rPr>
          <w:lang w:eastAsia="zh-CN"/>
        </w:rPr>
        <w:t>5</w:t>
      </w:r>
      <w:r w:rsidRPr="0025429D">
        <w:rPr>
          <w:lang w:eastAsia="zh-CN"/>
        </w:rPr>
        <w:tab/>
      </w:r>
      <w:r w:rsidRPr="0025429D">
        <w:rPr>
          <w:lang w:eastAsia="zh-CN"/>
        </w:rPr>
        <w:t>参与范围</w:t>
      </w:r>
    </w:p>
    <w:p w:rsidR="000D3FAD" w:rsidRPr="0083175A" w:rsidRDefault="000D3FAD" w:rsidP="000D3FAD">
      <w:pPr>
        <w:tabs>
          <w:tab w:val="clear" w:pos="794"/>
          <w:tab w:val="clear" w:pos="1191"/>
          <w:tab w:val="clear" w:pos="1588"/>
          <w:tab w:val="clear" w:pos="1985"/>
        </w:tabs>
        <w:overflowPunct/>
        <w:autoSpaceDE/>
        <w:autoSpaceDN/>
        <w:adjustRightInd/>
        <w:spacing w:before="100" w:after="100"/>
        <w:ind w:firstLineChars="200" w:firstLine="480"/>
        <w:textAlignment w:val="auto"/>
        <w:rPr>
          <w:rFonts w:asciiTheme="majorBidi" w:hAnsiTheme="majorBidi" w:cstheme="majorBidi"/>
          <w:szCs w:val="24"/>
          <w:lang w:eastAsia="zh-CN"/>
        </w:rPr>
      </w:pPr>
      <w:r w:rsidRPr="0083175A">
        <w:rPr>
          <w:rFonts w:asciiTheme="majorBidi" w:hAnsiTheme="majorBidi" w:cstheme="majorBidi"/>
          <w:szCs w:val="24"/>
          <w:lang w:eastAsia="zh-CN"/>
        </w:rPr>
        <w:t>仅限</w:t>
      </w:r>
      <w:r w:rsidRPr="0083175A">
        <w:rPr>
          <w:rFonts w:asciiTheme="majorBidi" w:hAnsiTheme="majorBidi" w:cstheme="majorBidi"/>
          <w:szCs w:val="24"/>
          <w:lang w:eastAsia="zh-CN"/>
        </w:rPr>
        <w:t>ITU-T</w:t>
      </w:r>
      <w:r w:rsidRPr="0083175A">
        <w:rPr>
          <w:rFonts w:asciiTheme="majorBidi" w:hAnsiTheme="majorBidi" w:cstheme="majorBidi"/>
          <w:szCs w:val="24"/>
          <w:lang w:eastAsia="zh-CN"/>
        </w:rPr>
        <w:t>和</w:t>
      </w:r>
      <w:r w:rsidRPr="0083175A">
        <w:rPr>
          <w:rFonts w:asciiTheme="majorBidi" w:hAnsiTheme="majorBidi" w:cstheme="majorBidi"/>
          <w:szCs w:val="24"/>
          <w:lang w:eastAsia="zh-CN"/>
        </w:rPr>
        <w:t>ITU-R</w:t>
      </w:r>
      <w:r w:rsidRPr="0083175A">
        <w:rPr>
          <w:rFonts w:asciiTheme="majorBidi" w:hAnsiTheme="majorBidi" w:cstheme="majorBidi"/>
          <w:szCs w:val="24"/>
          <w:lang w:eastAsia="zh-CN"/>
        </w:rPr>
        <w:t>成员参与。</w:t>
      </w:r>
      <w:r w:rsidRPr="0083175A">
        <w:rPr>
          <w:rFonts w:asciiTheme="majorBidi" w:hAnsiTheme="majorBidi" w:cstheme="majorBidi"/>
          <w:szCs w:val="24"/>
          <w:lang w:eastAsia="zh-CN"/>
        </w:rPr>
        <w:t>IRG-AVQA</w:t>
      </w:r>
      <w:r w:rsidRPr="0083175A">
        <w:rPr>
          <w:rFonts w:asciiTheme="majorBidi" w:hAnsiTheme="majorBidi" w:cstheme="majorBidi"/>
          <w:szCs w:val="24"/>
          <w:lang w:eastAsia="zh-CN"/>
        </w:rPr>
        <w:t>可酌情邀请专家个人参与。</w:t>
      </w:r>
      <w:r w:rsidRPr="0083175A">
        <w:rPr>
          <w:rFonts w:asciiTheme="majorBidi" w:hAnsiTheme="majorBidi" w:cstheme="majorBidi"/>
          <w:szCs w:val="24"/>
          <w:lang w:eastAsia="zh-CN"/>
        </w:rPr>
        <w:t xml:space="preserve"> </w:t>
      </w:r>
    </w:p>
    <w:p w:rsidR="000D3FAD" w:rsidRPr="0083175A" w:rsidRDefault="000D3FAD" w:rsidP="000D3FAD">
      <w:pPr>
        <w:tabs>
          <w:tab w:val="clear" w:pos="794"/>
          <w:tab w:val="clear" w:pos="1191"/>
          <w:tab w:val="clear" w:pos="1588"/>
          <w:tab w:val="clear" w:pos="1985"/>
        </w:tabs>
        <w:overflowPunct/>
        <w:autoSpaceDE/>
        <w:autoSpaceDN/>
        <w:adjustRightInd/>
        <w:spacing w:before="100" w:after="100"/>
        <w:ind w:firstLineChars="200" w:firstLine="480"/>
        <w:textAlignment w:val="auto"/>
        <w:rPr>
          <w:rFonts w:asciiTheme="majorBidi" w:hAnsiTheme="majorBidi" w:cstheme="majorBidi"/>
          <w:szCs w:val="24"/>
          <w:lang w:val="en-US" w:eastAsia="zh-CN"/>
        </w:rPr>
      </w:pPr>
      <w:r w:rsidRPr="0083175A">
        <w:rPr>
          <w:rStyle w:val="shorttext"/>
          <w:rFonts w:asciiTheme="majorBidi" w:hAnsiTheme="majorBidi" w:cstheme="majorBidi"/>
          <w:color w:val="222222"/>
          <w:szCs w:val="24"/>
          <w:lang w:eastAsia="zh-CN"/>
        </w:rPr>
        <w:t>将为参考目的保留一份与会者名单，并作为各次会议报告的附件（见第</w:t>
      </w:r>
      <w:r w:rsidRPr="0083175A">
        <w:rPr>
          <w:rStyle w:val="shorttext"/>
          <w:rFonts w:asciiTheme="majorBidi" w:hAnsiTheme="majorBidi" w:cstheme="majorBidi"/>
          <w:color w:val="222222"/>
          <w:szCs w:val="24"/>
          <w:lang w:eastAsia="zh-CN"/>
        </w:rPr>
        <w:t>8</w:t>
      </w:r>
      <w:r w:rsidRPr="0083175A">
        <w:rPr>
          <w:rStyle w:val="shorttext"/>
          <w:rFonts w:asciiTheme="majorBidi" w:hAnsiTheme="majorBidi" w:cstheme="majorBidi"/>
          <w:color w:val="222222"/>
          <w:szCs w:val="24"/>
          <w:lang w:eastAsia="zh-CN"/>
        </w:rPr>
        <w:t>款）上报主管组。</w:t>
      </w:r>
    </w:p>
    <w:p w:rsidR="000D3FAD" w:rsidRPr="0025429D" w:rsidRDefault="000D3FAD" w:rsidP="009767B1">
      <w:pPr>
        <w:pStyle w:val="Heading2"/>
        <w:spacing w:before="280"/>
        <w:rPr>
          <w:lang w:eastAsia="zh-CN"/>
        </w:rPr>
      </w:pPr>
      <w:r w:rsidRPr="0025429D">
        <w:rPr>
          <w:lang w:eastAsia="zh-CN"/>
        </w:rPr>
        <w:t>6</w:t>
      </w:r>
      <w:r w:rsidRPr="0025429D">
        <w:rPr>
          <w:lang w:eastAsia="zh-CN"/>
        </w:rPr>
        <w:tab/>
      </w:r>
      <w:r w:rsidRPr="0025429D">
        <w:rPr>
          <w:lang w:eastAsia="zh-CN"/>
        </w:rPr>
        <w:t>实际成果</w:t>
      </w:r>
    </w:p>
    <w:p w:rsidR="000D3FAD" w:rsidRPr="0025429D" w:rsidRDefault="000D3FAD" w:rsidP="000D3FAD">
      <w:pPr>
        <w:ind w:firstLineChars="200" w:firstLine="480"/>
        <w:rPr>
          <w:rFonts w:asciiTheme="majorBidi" w:hAnsiTheme="majorBidi" w:cstheme="majorBidi"/>
          <w:sz w:val="23"/>
          <w:szCs w:val="23"/>
          <w:lang w:eastAsia="zh-CN"/>
        </w:rPr>
      </w:pPr>
      <w:r w:rsidRPr="0025429D">
        <w:rPr>
          <w:rFonts w:asciiTheme="majorBidi" w:hAnsiTheme="majorBidi" w:cstheme="majorBidi"/>
          <w:lang w:val="en-US" w:eastAsia="zh-CN"/>
        </w:rPr>
        <w:t>IRG</w:t>
      </w:r>
      <w:r w:rsidRPr="0025429D">
        <w:rPr>
          <w:rFonts w:asciiTheme="majorBidi" w:hAnsiTheme="majorBidi" w:cstheme="majorBidi"/>
          <w:lang w:val="en-US" w:eastAsia="zh-CN"/>
        </w:rPr>
        <w:t>可制定新建议书草案或建议书修订草案及技术报告草案，以提交其主管研究组酌情进一步处理。</w:t>
      </w:r>
      <w:r w:rsidRPr="0025429D">
        <w:rPr>
          <w:rFonts w:asciiTheme="majorBidi" w:hAnsiTheme="majorBidi" w:cstheme="majorBidi"/>
          <w:sz w:val="23"/>
          <w:szCs w:val="23"/>
          <w:lang w:eastAsia="zh-CN"/>
        </w:rPr>
        <w:t>IRG-AVQA</w:t>
      </w:r>
      <w:r w:rsidRPr="0025429D">
        <w:rPr>
          <w:rFonts w:asciiTheme="majorBidi" w:hAnsiTheme="majorBidi" w:cstheme="majorBidi"/>
          <w:sz w:val="23"/>
          <w:szCs w:val="23"/>
          <w:lang w:eastAsia="zh-CN"/>
        </w:rPr>
        <w:t>将确定实际成果，并向其主管组提出建议</w:t>
      </w:r>
      <w:r w:rsidRPr="0025429D">
        <w:rPr>
          <w:rStyle w:val="shorttext"/>
          <w:rFonts w:asciiTheme="majorBidi" w:hAnsiTheme="majorBidi" w:cstheme="majorBidi"/>
          <w:color w:val="222222"/>
          <w:lang w:eastAsia="zh-CN"/>
        </w:rPr>
        <w:t>（见第</w:t>
      </w:r>
      <w:r w:rsidRPr="0025429D">
        <w:rPr>
          <w:rStyle w:val="shorttext"/>
          <w:rFonts w:asciiTheme="majorBidi" w:hAnsiTheme="majorBidi" w:cstheme="majorBidi"/>
          <w:color w:val="222222"/>
          <w:lang w:eastAsia="zh-CN"/>
        </w:rPr>
        <w:t>8</w:t>
      </w:r>
      <w:r w:rsidRPr="0025429D">
        <w:rPr>
          <w:rStyle w:val="shorttext"/>
          <w:rFonts w:asciiTheme="majorBidi" w:hAnsiTheme="majorBidi" w:cstheme="majorBidi"/>
          <w:color w:val="222222"/>
          <w:lang w:eastAsia="zh-CN"/>
        </w:rPr>
        <w:t>款）</w:t>
      </w:r>
      <w:r w:rsidRPr="0025429D">
        <w:rPr>
          <w:rFonts w:asciiTheme="majorBidi" w:hAnsiTheme="majorBidi" w:cstheme="majorBidi"/>
          <w:sz w:val="23"/>
          <w:szCs w:val="23"/>
          <w:lang w:eastAsia="zh-CN"/>
        </w:rPr>
        <w:t>。</w:t>
      </w:r>
    </w:p>
    <w:p w:rsidR="000D3FAD" w:rsidRPr="0025429D" w:rsidRDefault="000D3FAD" w:rsidP="000D3FAD">
      <w:pPr>
        <w:tabs>
          <w:tab w:val="clear" w:pos="794"/>
          <w:tab w:val="clear" w:pos="1191"/>
          <w:tab w:val="clear" w:pos="1588"/>
          <w:tab w:val="clear" w:pos="1985"/>
        </w:tabs>
        <w:overflowPunct/>
        <w:autoSpaceDE/>
        <w:autoSpaceDN/>
        <w:adjustRightInd/>
        <w:spacing w:before="100" w:after="100"/>
        <w:ind w:firstLineChars="200" w:firstLine="480"/>
        <w:textAlignment w:val="auto"/>
        <w:rPr>
          <w:rFonts w:asciiTheme="majorBidi" w:hAnsiTheme="majorBidi" w:cstheme="majorBidi"/>
          <w:szCs w:val="24"/>
          <w:lang w:val="en-US" w:eastAsia="zh-CN"/>
        </w:rPr>
      </w:pPr>
      <w:r w:rsidRPr="0025429D">
        <w:rPr>
          <w:rFonts w:asciiTheme="majorBidi" w:hAnsiTheme="majorBidi" w:cstheme="majorBidi"/>
          <w:szCs w:val="24"/>
          <w:lang w:val="en-US" w:eastAsia="zh-CN"/>
        </w:rPr>
        <w:t>各研究组将负责起草各自的建议书。任何联合案文建议书都须经过所有研究组的批准。</w:t>
      </w:r>
    </w:p>
    <w:p w:rsidR="000D3FAD" w:rsidRPr="0025429D" w:rsidRDefault="000D3FAD" w:rsidP="009F19A5">
      <w:pPr>
        <w:tabs>
          <w:tab w:val="clear" w:pos="794"/>
          <w:tab w:val="clear" w:pos="1191"/>
          <w:tab w:val="clear" w:pos="1588"/>
          <w:tab w:val="clear" w:pos="1985"/>
        </w:tabs>
        <w:overflowPunct/>
        <w:autoSpaceDE/>
        <w:autoSpaceDN/>
        <w:adjustRightInd/>
        <w:spacing w:before="100" w:after="100"/>
        <w:ind w:firstLine="426"/>
        <w:textAlignment w:val="auto"/>
        <w:rPr>
          <w:rFonts w:asciiTheme="majorBidi" w:hAnsiTheme="majorBidi" w:cstheme="majorBidi"/>
          <w:lang w:val="en-US" w:eastAsia="zh-CN"/>
        </w:rPr>
      </w:pPr>
      <w:r w:rsidRPr="0025429D">
        <w:rPr>
          <w:rFonts w:asciiTheme="majorBidi" w:hAnsiTheme="majorBidi" w:cstheme="majorBidi"/>
          <w:lang w:val="en-US" w:eastAsia="zh-CN"/>
        </w:rPr>
        <w:t>IRG</w:t>
      </w:r>
      <w:r w:rsidRPr="0025429D">
        <w:rPr>
          <w:rFonts w:asciiTheme="majorBidi" w:hAnsiTheme="majorBidi" w:cstheme="majorBidi"/>
          <w:lang w:val="en-US" w:eastAsia="zh-CN"/>
        </w:rPr>
        <w:t>的工作结果应代表该组协商一致的意见，或反映该组参与方的多种观点。</w:t>
      </w:r>
    </w:p>
    <w:p w:rsidR="000D3FAD" w:rsidRPr="0025429D" w:rsidRDefault="000D3FAD" w:rsidP="009767B1">
      <w:pPr>
        <w:pStyle w:val="Heading2"/>
        <w:spacing w:before="280"/>
        <w:rPr>
          <w:lang w:eastAsia="zh-CN"/>
        </w:rPr>
      </w:pPr>
      <w:r w:rsidRPr="0025429D">
        <w:rPr>
          <w:lang w:eastAsia="zh-CN"/>
        </w:rPr>
        <w:t>7</w:t>
      </w:r>
      <w:r w:rsidRPr="0025429D">
        <w:rPr>
          <w:lang w:eastAsia="zh-CN"/>
        </w:rPr>
        <w:tab/>
      </w:r>
      <w:r w:rsidRPr="0025429D">
        <w:rPr>
          <w:lang w:eastAsia="zh-CN"/>
        </w:rPr>
        <w:t>会议</w:t>
      </w:r>
    </w:p>
    <w:p w:rsidR="000D3FAD" w:rsidRPr="0025429D" w:rsidRDefault="000D3FAD" w:rsidP="000D3FAD">
      <w:pPr>
        <w:tabs>
          <w:tab w:val="clear" w:pos="794"/>
          <w:tab w:val="clear" w:pos="1191"/>
          <w:tab w:val="clear" w:pos="1588"/>
          <w:tab w:val="clear" w:pos="1985"/>
        </w:tabs>
        <w:overflowPunct/>
        <w:autoSpaceDE/>
        <w:autoSpaceDN/>
        <w:adjustRightInd/>
        <w:spacing w:before="100" w:after="100"/>
        <w:ind w:firstLineChars="200" w:firstLine="480"/>
        <w:textAlignment w:val="auto"/>
        <w:rPr>
          <w:rFonts w:asciiTheme="majorBidi" w:hAnsiTheme="majorBidi" w:cstheme="majorBidi"/>
          <w:color w:val="000000"/>
          <w:szCs w:val="24"/>
          <w:lang w:eastAsia="zh-CN"/>
        </w:rPr>
      </w:pPr>
      <w:r w:rsidRPr="0025429D">
        <w:rPr>
          <w:rFonts w:asciiTheme="majorBidi" w:hAnsiTheme="majorBidi" w:cstheme="majorBidi"/>
          <w:color w:val="000000"/>
          <w:szCs w:val="24"/>
          <w:lang w:eastAsia="zh-CN"/>
        </w:rPr>
        <w:t>会议的频次和地点将由</w:t>
      </w:r>
      <w:r w:rsidRPr="0025429D">
        <w:rPr>
          <w:rFonts w:asciiTheme="majorBidi" w:hAnsiTheme="majorBidi" w:cstheme="majorBidi"/>
          <w:szCs w:val="24"/>
          <w:lang w:val="en-US" w:eastAsia="zh-CN"/>
        </w:rPr>
        <w:t>IRG</w:t>
      </w:r>
      <w:r w:rsidRPr="0025429D">
        <w:rPr>
          <w:rFonts w:asciiTheme="majorBidi" w:hAnsiTheme="majorBidi" w:cstheme="majorBidi"/>
          <w:color w:val="000000"/>
          <w:szCs w:val="24"/>
          <w:lang w:eastAsia="zh-CN"/>
        </w:rPr>
        <w:t>决定，整体会议计划应尽早公布。</w:t>
      </w:r>
      <w:r w:rsidRPr="0025429D">
        <w:rPr>
          <w:rFonts w:asciiTheme="majorBidi" w:hAnsiTheme="majorBidi" w:cstheme="majorBidi"/>
          <w:szCs w:val="24"/>
          <w:lang w:val="en-US" w:eastAsia="zh-CN"/>
        </w:rPr>
        <w:t>IRG</w:t>
      </w:r>
      <w:r w:rsidRPr="0025429D">
        <w:rPr>
          <w:rFonts w:asciiTheme="majorBidi" w:hAnsiTheme="majorBidi" w:cstheme="majorBidi"/>
          <w:color w:val="000000"/>
          <w:szCs w:val="24"/>
          <w:lang w:eastAsia="zh-CN"/>
        </w:rPr>
        <w:t>将最大限度地使用远程协作工具和与现有会议（如研究组或</w:t>
      </w:r>
      <w:r w:rsidRPr="0025429D">
        <w:rPr>
          <w:rFonts w:asciiTheme="majorBidi" w:hAnsiTheme="majorBidi" w:cstheme="majorBidi"/>
          <w:szCs w:val="24"/>
          <w:lang w:val="en-US" w:eastAsia="zh-CN"/>
        </w:rPr>
        <w:t>VQEG</w:t>
      </w:r>
      <w:r w:rsidRPr="0025429D">
        <w:rPr>
          <w:rFonts w:asciiTheme="majorBidi" w:hAnsiTheme="majorBidi" w:cstheme="majorBidi"/>
          <w:color w:val="000000"/>
          <w:szCs w:val="24"/>
          <w:lang w:eastAsia="zh-CN"/>
        </w:rPr>
        <w:t>）同期同地举行会议。</w:t>
      </w:r>
    </w:p>
    <w:p w:rsidR="000D3FAD" w:rsidRPr="0025429D" w:rsidRDefault="000D3FAD" w:rsidP="000D3FAD">
      <w:pPr>
        <w:tabs>
          <w:tab w:val="clear" w:pos="794"/>
          <w:tab w:val="clear" w:pos="1191"/>
          <w:tab w:val="clear" w:pos="1588"/>
          <w:tab w:val="clear" w:pos="1985"/>
        </w:tabs>
        <w:overflowPunct/>
        <w:autoSpaceDE/>
        <w:autoSpaceDN/>
        <w:adjustRightInd/>
        <w:spacing w:before="100" w:after="100"/>
        <w:ind w:firstLineChars="200" w:firstLine="480"/>
        <w:textAlignment w:val="auto"/>
        <w:rPr>
          <w:rFonts w:asciiTheme="majorBidi" w:hAnsiTheme="majorBidi" w:cstheme="majorBidi"/>
          <w:szCs w:val="24"/>
          <w:lang w:val="en-US" w:eastAsia="zh-CN"/>
        </w:rPr>
      </w:pPr>
      <w:r w:rsidRPr="0025429D">
        <w:rPr>
          <w:rFonts w:asciiTheme="majorBidi" w:hAnsiTheme="majorBidi" w:cstheme="majorBidi"/>
          <w:color w:val="000000"/>
          <w:szCs w:val="24"/>
          <w:lang w:eastAsia="zh-CN"/>
        </w:rPr>
        <w:t>会议召开情况将至少提前</w:t>
      </w:r>
      <w:r w:rsidRPr="0025429D">
        <w:rPr>
          <w:rFonts w:asciiTheme="majorBidi" w:hAnsiTheme="majorBidi" w:cstheme="majorBidi"/>
          <w:color w:val="000000"/>
          <w:szCs w:val="24"/>
          <w:lang w:eastAsia="zh-CN"/>
        </w:rPr>
        <w:t>2</w:t>
      </w:r>
      <w:r w:rsidRPr="0025429D">
        <w:rPr>
          <w:rFonts w:asciiTheme="majorBidi" w:hAnsiTheme="majorBidi" w:cstheme="majorBidi"/>
          <w:color w:val="000000"/>
          <w:szCs w:val="24"/>
          <w:lang w:eastAsia="zh-CN"/>
        </w:rPr>
        <w:t>个月以电子方式（例如电子邮件、网站等等）公布。</w:t>
      </w:r>
    </w:p>
    <w:p w:rsidR="000D3FAD" w:rsidRPr="0025429D" w:rsidRDefault="000D3FAD" w:rsidP="009767B1">
      <w:pPr>
        <w:pStyle w:val="Heading2"/>
        <w:spacing w:before="280"/>
        <w:rPr>
          <w:lang w:eastAsia="zh-CN"/>
        </w:rPr>
      </w:pPr>
      <w:r w:rsidRPr="0025429D">
        <w:rPr>
          <w:lang w:eastAsia="zh-CN"/>
        </w:rPr>
        <w:t>8</w:t>
      </w:r>
      <w:r w:rsidRPr="0025429D">
        <w:rPr>
          <w:lang w:eastAsia="zh-CN"/>
        </w:rPr>
        <w:tab/>
      </w:r>
      <w:r w:rsidRPr="0025429D">
        <w:rPr>
          <w:lang w:eastAsia="zh-CN"/>
        </w:rPr>
        <w:t>会议报告</w:t>
      </w:r>
    </w:p>
    <w:p w:rsidR="000D3FAD" w:rsidRPr="0083175A" w:rsidRDefault="000D3FAD" w:rsidP="000D3FAD">
      <w:pPr>
        <w:ind w:firstLineChars="200" w:firstLine="480"/>
        <w:rPr>
          <w:rFonts w:asciiTheme="majorBidi" w:hAnsiTheme="majorBidi" w:cstheme="majorBidi"/>
          <w:szCs w:val="24"/>
          <w:lang w:val="en-US" w:eastAsia="zh-CN"/>
        </w:rPr>
      </w:pPr>
      <w:r w:rsidRPr="0083175A">
        <w:rPr>
          <w:rFonts w:asciiTheme="majorBidi" w:hAnsiTheme="majorBidi" w:cstheme="majorBidi"/>
          <w:szCs w:val="24"/>
          <w:lang w:eastAsia="zh-CN"/>
        </w:rPr>
        <w:t>IRG-AVQA</w:t>
      </w:r>
      <w:r w:rsidRPr="0083175A">
        <w:rPr>
          <w:rFonts w:asciiTheme="majorBidi" w:hAnsiTheme="majorBidi" w:cstheme="majorBidi"/>
          <w:szCs w:val="24"/>
          <w:lang w:val="en-US" w:eastAsia="zh-CN"/>
        </w:rPr>
        <w:t>起草有关其活动的报告，以提交给其主管研究组的各次会议</w:t>
      </w:r>
      <w:r w:rsidRPr="0083175A">
        <w:rPr>
          <w:rFonts w:asciiTheme="majorBidi" w:hAnsiTheme="majorBidi" w:cstheme="majorBidi"/>
          <w:szCs w:val="24"/>
          <w:lang w:eastAsia="zh-CN"/>
        </w:rPr>
        <w:t>。</w:t>
      </w:r>
    </w:p>
    <w:p w:rsidR="000D3FAD" w:rsidRPr="0025429D" w:rsidRDefault="000D3FAD" w:rsidP="009767B1">
      <w:pPr>
        <w:pStyle w:val="Heading2"/>
        <w:spacing w:before="280"/>
        <w:rPr>
          <w:lang w:eastAsia="zh-CN"/>
        </w:rPr>
      </w:pPr>
      <w:r w:rsidRPr="0025429D">
        <w:rPr>
          <w:lang w:eastAsia="zh-CN"/>
        </w:rPr>
        <w:t>9</w:t>
      </w:r>
      <w:r w:rsidRPr="0025429D">
        <w:rPr>
          <w:lang w:eastAsia="zh-CN"/>
        </w:rPr>
        <w:tab/>
      </w:r>
      <w:r w:rsidRPr="00794835">
        <w:rPr>
          <w:lang w:eastAsia="zh-CN"/>
        </w:rPr>
        <w:t>工作语文</w:t>
      </w:r>
    </w:p>
    <w:p w:rsidR="000D3FAD" w:rsidRPr="0025429D" w:rsidRDefault="000D3FAD" w:rsidP="000D3FAD">
      <w:pPr>
        <w:tabs>
          <w:tab w:val="clear" w:pos="794"/>
          <w:tab w:val="clear" w:pos="1191"/>
          <w:tab w:val="clear" w:pos="1588"/>
          <w:tab w:val="clear" w:pos="1985"/>
        </w:tabs>
        <w:overflowPunct/>
        <w:autoSpaceDE/>
        <w:autoSpaceDN/>
        <w:adjustRightInd/>
        <w:spacing w:before="100" w:after="100"/>
        <w:ind w:firstLineChars="200" w:firstLine="480"/>
        <w:textAlignment w:val="auto"/>
        <w:rPr>
          <w:rFonts w:asciiTheme="majorBidi" w:hAnsiTheme="majorBidi" w:cstheme="majorBidi"/>
          <w:szCs w:val="24"/>
          <w:lang w:val="en-US" w:eastAsia="zh-CN"/>
        </w:rPr>
      </w:pPr>
      <w:r w:rsidRPr="0025429D">
        <w:rPr>
          <w:rFonts w:asciiTheme="majorBidi" w:hAnsiTheme="majorBidi" w:cstheme="majorBidi"/>
          <w:color w:val="000000"/>
          <w:szCs w:val="24"/>
          <w:lang w:eastAsia="zh-CN"/>
        </w:rPr>
        <w:t>工作语文为英文。</w:t>
      </w:r>
    </w:p>
    <w:p w:rsidR="000D3FAD" w:rsidRPr="0025429D" w:rsidRDefault="000D3FAD" w:rsidP="009767B1">
      <w:pPr>
        <w:pStyle w:val="Heading2"/>
        <w:spacing w:before="280"/>
        <w:rPr>
          <w:lang w:eastAsia="zh-CN"/>
        </w:rPr>
      </w:pPr>
      <w:r w:rsidRPr="00CA5107">
        <w:rPr>
          <w:bCs/>
          <w:lang w:eastAsia="zh-CN"/>
        </w:rPr>
        <w:t>10</w:t>
      </w:r>
      <w:r w:rsidRPr="0025429D">
        <w:rPr>
          <w:lang w:eastAsia="zh-CN"/>
        </w:rPr>
        <w:tab/>
      </w:r>
      <w:r w:rsidRPr="0025429D">
        <w:rPr>
          <w:lang w:eastAsia="zh-CN"/>
        </w:rPr>
        <w:t>工作导则</w:t>
      </w:r>
    </w:p>
    <w:p w:rsidR="000D3FAD" w:rsidRPr="0083175A" w:rsidRDefault="000D3FAD" w:rsidP="000D3FAD">
      <w:pPr>
        <w:keepNext/>
        <w:spacing w:before="160"/>
        <w:ind w:firstLineChars="200" w:firstLine="480"/>
        <w:rPr>
          <w:rFonts w:asciiTheme="majorBidi" w:hAnsiTheme="majorBidi" w:cstheme="majorBidi"/>
          <w:b/>
          <w:szCs w:val="24"/>
          <w:lang w:eastAsia="zh-CN"/>
        </w:rPr>
      </w:pPr>
      <w:r w:rsidRPr="0083175A">
        <w:rPr>
          <w:rFonts w:asciiTheme="majorBidi" w:hAnsiTheme="majorBidi" w:cstheme="majorBidi"/>
          <w:szCs w:val="24"/>
          <w:lang w:eastAsia="zh-CN"/>
        </w:rPr>
        <w:t>根据</w:t>
      </w:r>
      <w:r w:rsidRPr="0083175A">
        <w:rPr>
          <w:rFonts w:asciiTheme="majorBidi" w:hAnsiTheme="majorBidi" w:cstheme="majorBidi"/>
          <w:szCs w:val="24"/>
          <w:lang w:eastAsia="zh-CN"/>
        </w:rPr>
        <w:t>ITU-R</w:t>
      </w:r>
      <w:r w:rsidRPr="0083175A">
        <w:rPr>
          <w:rFonts w:asciiTheme="majorBidi" w:hAnsiTheme="majorBidi" w:cstheme="majorBidi"/>
          <w:szCs w:val="24"/>
          <w:lang w:eastAsia="zh-CN"/>
        </w:rPr>
        <w:t>第</w:t>
      </w:r>
      <w:r w:rsidRPr="0083175A">
        <w:rPr>
          <w:rFonts w:asciiTheme="majorBidi" w:hAnsiTheme="majorBidi" w:cstheme="majorBidi"/>
          <w:szCs w:val="24"/>
          <w:lang w:eastAsia="zh-CN"/>
        </w:rPr>
        <w:t>1-6</w:t>
      </w:r>
      <w:r w:rsidRPr="0083175A">
        <w:rPr>
          <w:rFonts w:asciiTheme="majorBidi" w:hAnsiTheme="majorBidi" w:cstheme="majorBidi"/>
          <w:szCs w:val="24"/>
          <w:lang w:eastAsia="zh-CN"/>
        </w:rPr>
        <w:t>号决议和</w:t>
      </w:r>
      <w:r w:rsidRPr="0083175A">
        <w:rPr>
          <w:rFonts w:asciiTheme="majorBidi" w:hAnsiTheme="majorBidi" w:cstheme="majorBidi"/>
          <w:szCs w:val="24"/>
          <w:lang w:eastAsia="zh-CN"/>
        </w:rPr>
        <w:t>ITU-T A.1</w:t>
      </w:r>
      <w:r w:rsidRPr="0083175A">
        <w:rPr>
          <w:rFonts w:asciiTheme="majorBidi" w:hAnsiTheme="majorBidi" w:cstheme="majorBidi"/>
          <w:szCs w:val="24"/>
          <w:lang w:eastAsia="zh-CN"/>
        </w:rPr>
        <w:t>建议书的规定（亦见</w:t>
      </w:r>
      <w:r w:rsidRPr="0083175A">
        <w:rPr>
          <w:rFonts w:asciiTheme="majorBidi" w:hAnsiTheme="majorBidi" w:cstheme="majorBidi"/>
          <w:szCs w:val="24"/>
          <w:lang w:eastAsia="zh-CN"/>
        </w:rPr>
        <w:t>ITU-T</w:t>
      </w:r>
      <w:r w:rsidRPr="0083175A">
        <w:rPr>
          <w:rFonts w:asciiTheme="majorBidi" w:hAnsiTheme="majorBidi" w:cstheme="majorBidi"/>
          <w:szCs w:val="24"/>
          <w:lang w:eastAsia="zh-CN"/>
        </w:rPr>
        <w:t>报告人和编辑手册</w:t>
      </w:r>
      <w:hyperlink r:id="rId15" w:history="1">
        <w:r w:rsidRPr="0083175A">
          <w:rPr>
            <w:rStyle w:val="Hyperlink"/>
            <w:rFonts w:asciiTheme="majorBidi" w:hAnsiTheme="majorBidi" w:cstheme="majorBidi"/>
            <w:szCs w:val="24"/>
            <w:lang w:val="en-US" w:eastAsia="ja-JP"/>
          </w:rPr>
          <w:t>http://www.itu.int/oth/T0A0F000006/en</w:t>
        </w:r>
      </w:hyperlink>
      <w:r w:rsidRPr="0083175A">
        <w:rPr>
          <w:rFonts w:asciiTheme="majorBidi" w:hAnsiTheme="majorBidi" w:cstheme="majorBidi"/>
          <w:szCs w:val="24"/>
          <w:lang w:eastAsia="zh-CN"/>
        </w:rPr>
        <w:t>），</w:t>
      </w:r>
      <w:r w:rsidRPr="0083175A">
        <w:rPr>
          <w:rFonts w:asciiTheme="majorBidi" w:hAnsiTheme="majorBidi" w:cstheme="majorBidi"/>
          <w:szCs w:val="24"/>
          <w:lang w:eastAsia="zh-CN"/>
        </w:rPr>
        <w:t>IRG-AVQA</w:t>
      </w:r>
      <w:r w:rsidRPr="0083175A">
        <w:rPr>
          <w:rFonts w:asciiTheme="majorBidi" w:hAnsiTheme="majorBidi" w:cstheme="majorBidi"/>
          <w:color w:val="000000"/>
          <w:szCs w:val="24"/>
          <w:lang w:eastAsia="zh-CN"/>
        </w:rPr>
        <w:t>须遵循适用于报告人会议的程序。</w:t>
      </w:r>
    </w:p>
    <w:p w:rsidR="000D3FAD" w:rsidRPr="0025429D" w:rsidRDefault="000D3FAD" w:rsidP="000D3FAD">
      <w:pPr>
        <w:tabs>
          <w:tab w:val="clear" w:pos="794"/>
          <w:tab w:val="clear" w:pos="1191"/>
          <w:tab w:val="clear" w:pos="1588"/>
          <w:tab w:val="clear" w:pos="1985"/>
        </w:tabs>
        <w:overflowPunct/>
        <w:autoSpaceDE/>
        <w:autoSpaceDN/>
        <w:adjustRightInd/>
        <w:spacing w:before="100" w:after="100"/>
        <w:ind w:firstLineChars="200" w:firstLine="480"/>
        <w:textAlignment w:val="auto"/>
        <w:rPr>
          <w:rFonts w:asciiTheme="majorBidi" w:hAnsiTheme="majorBidi" w:cstheme="majorBidi"/>
          <w:szCs w:val="24"/>
          <w:lang w:val="en-US" w:eastAsia="zh-CN"/>
        </w:rPr>
      </w:pPr>
      <w:r w:rsidRPr="0083175A">
        <w:rPr>
          <w:rFonts w:asciiTheme="majorBidi" w:hAnsiTheme="majorBidi" w:cstheme="majorBidi"/>
          <w:color w:val="222222"/>
          <w:szCs w:val="24"/>
          <w:lang w:eastAsia="zh-CN"/>
        </w:rPr>
        <w:t>此外，</w:t>
      </w:r>
      <w:r w:rsidRPr="0083175A">
        <w:rPr>
          <w:rFonts w:asciiTheme="majorBidi" w:hAnsiTheme="majorBidi" w:cstheme="majorBidi"/>
          <w:szCs w:val="24"/>
          <w:lang w:val="en-US" w:eastAsia="zh-CN"/>
        </w:rPr>
        <w:t>IRG</w:t>
      </w:r>
      <w:r w:rsidRPr="0083175A">
        <w:rPr>
          <w:rFonts w:asciiTheme="majorBidi" w:hAnsiTheme="majorBidi" w:cstheme="majorBidi"/>
          <w:color w:val="222222"/>
          <w:szCs w:val="24"/>
          <w:lang w:eastAsia="zh-CN"/>
        </w:rPr>
        <w:t>将遵循</w:t>
      </w:r>
      <w:r w:rsidRPr="0083175A">
        <w:rPr>
          <w:rStyle w:val="atn"/>
          <w:rFonts w:asciiTheme="majorBidi" w:hAnsiTheme="majorBidi" w:cstheme="majorBidi"/>
          <w:color w:val="222222"/>
          <w:szCs w:val="24"/>
          <w:lang w:eastAsia="zh-CN"/>
        </w:rPr>
        <w:t>WTSA-</w:t>
      </w:r>
      <w:r w:rsidRPr="0083175A">
        <w:rPr>
          <w:rFonts w:asciiTheme="majorBidi" w:hAnsiTheme="majorBidi" w:cstheme="majorBidi"/>
          <w:color w:val="222222"/>
          <w:szCs w:val="24"/>
          <w:lang w:eastAsia="zh-CN"/>
        </w:rPr>
        <w:t>12</w:t>
      </w:r>
      <w:r w:rsidRPr="0083175A">
        <w:rPr>
          <w:rFonts w:asciiTheme="majorBidi" w:hAnsiTheme="majorBidi" w:cstheme="majorBidi"/>
          <w:color w:val="222222"/>
          <w:szCs w:val="24"/>
          <w:lang w:eastAsia="zh-CN"/>
        </w:rPr>
        <w:t>第</w:t>
      </w:r>
      <w:r w:rsidRPr="0083175A">
        <w:rPr>
          <w:rFonts w:asciiTheme="majorBidi" w:hAnsiTheme="majorBidi" w:cstheme="majorBidi"/>
          <w:color w:val="222222"/>
          <w:szCs w:val="24"/>
          <w:lang w:eastAsia="zh-CN"/>
        </w:rPr>
        <w:t>18</w:t>
      </w:r>
      <w:r w:rsidRPr="0083175A">
        <w:rPr>
          <w:rFonts w:asciiTheme="majorBidi" w:hAnsiTheme="majorBidi" w:cstheme="majorBidi"/>
          <w:color w:val="222222"/>
          <w:szCs w:val="24"/>
          <w:lang w:eastAsia="zh-CN"/>
        </w:rPr>
        <w:t>号决议附件</w:t>
      </w:r>
      <w:r w:rsidRPr="0083175A">
        <w:rPr>
          <w:rFonts w:asciiTheme="majorBidi" w:hAnsiTheme="majorBidi" w:cstheme="majorBidi"/>
          <w:color w:val="222222"/>
          <w:szCs w:val="24"/>
          <w:lang w:eastAsia="zh-CN"/>
        </w:rPr>
        <w:t>C</w:t>
      </w:r>
      <w:r w:rsidRPr="0083175A">
        <w:rPr>
          <w:rFonts w:asciiTheme="majorBidi" w:hAnsiTheme="majorBidi" w:cstheme="majorBidi"/>
          <w:color w:val="222222"/>
          <w:szCs w:val="24"/>
          <w:lang w:eastAsia="zh-CN"/>
        </w:rPr>
        <w:t>的指导原则和</w:t>
      </w:r>
      <w:r w:rsidRPr="0083175A">
        <w:rPr>
          <w:rFonts w:asciiTheme="majorBidi" w:hAnsiTheme="majorBidi" w:cstheme="majorBidi"/>
          <w:color w:val="222222"/>
          <w:szCs w:val="24"/>
          <w:lang w:eastAsia="zh-CN"/>
        </w:rPr>
        <w:t>ITU-R</w:t>
      </w:r>
      <w:r w:rsidRPr="0083175A">
        <w:rPr>
          <w:rFonts w:asciiTheme="majorBidi" w:hAnsiTheme="majorBidi" w:cstheme="majorBidi"/>
          <w:color w:val="222222"/>
          <w:szCs w:val="24"/>
          <w:lang w:eastAsia="zh-CN"/>
        </w:rPr>
        <w:t>第</w:t>
      </w:r>
      <w:r w:rsidRPr="0083175A">
        <w:rPr>
          <w:rFonts w:asciiTheme="majorBidi" w:hAnsiTheme="majorBidi" w:cstheme="majorBidi"/>
          <w:color w:val="222222"/>
          <w:szCs w:val="24"/>
          <w:lang w:eastAsia="zh-CN"/>
        </w:rPr>
        <w:t>6</w:t>
      </w:r>
      <w:r w:rsidRPr="0083175A">
        <w:rPr>
          <w:rFonts w:asciiTheme="majorBidi" w:hAnsiTheme="majorBidi" w:cstheme="majorBidi"/>
          <w:color w:val="222222"/>
          <w:szCs w:val="24"/>
          <w:lang w:eastAsia="zh-CN"/>
        </w:rPr>
        <w:t>号决议的相关规定（</w:t>
      </w:r>
      <w:r w:rsidRPr="0083175A">
        <w:rPr>
          <w:rFonts w:asciiTheme="majorBidi" w:hAnsiTheme="majorBidi" w:cstheme="majorBidi"/>
          <w:szCs w:val="24"/>
          <w:lang w:val="en-US" w:eastAsia="zh-CN"/>
        </w:rPr>
        <w:t>与无线电通信顾问组（</w:t>
      </w:r>
      <w:r w:rsidRPr="0083175A">
        <w:rPr>
          <w:rFonts w:asciiTheme="majorBidi" w:hAnsiTheme="majorBidi" w:cstheme="majorBidi"/>
          <w:szCs w:val="24"/>
          <w:lang w:eastAsia="zh-CN"/>
        </w:rPr>
        <w:t>RAG</w:t>
      </w:r>
      <w:r w:rsidRPr="0083175A">
        <w:rPr>
          <w:rFonts w:asciiTheme="majorBidi" w:hAnsiTheme="majorBidi" w:cstheme="majorBidi"/>
          <w:szCs w:val="24"/>
          <w:lang w:val="en-US" w:eastAsia="zh-CN"/>
        </w:rPr>
        <w:t>）</w:t>
      </w:r>
      <w:r w:rsidRPr="0083175A">
        <w:rPr>
          <w:rFonts w:asciiTheme="majorBidi" w:hAnsiTheme="majorBidi" w:cstheme="majorBidi"/>
          <w:szCs w:val="24"/>
          <w:lang w:val="en-US" w:eastAsia="zh-CN"/>
        </w:rPr>
        <w:t>2013</w:t>
      </w:r>
      <w:r w:rsidRPr="0083175A">
        <w:rPr>
          <w:rFonts w:asciiTheme="majorBidi" w:hAnsiTheme="majorBidi" w:cstheme="majorBidi"/>
          <w:szCs w:val="24"/>
          <w:lang w:val="en-US" w:eastAsia="zh-CN"/>
        </w:rPr>
        <w:t>年</w:t>
      </w:r>
      <w:r w:rsidRPr="0083175A">
        <w:rPr>
          <w:rFonts w:asciiTheme="majorBidi" w:hAnsiTheme="majorBidi" w:cstheme="majorBidi"/>
          <w:szCs w:val="24"/>
          <w:lang w:val="en-US" w:eastAsia="zh-CN"/>
        </w:rPr>
        <w:t>5</w:t>
      </w:r>
      <w:r w:rsidRPr="0083175A">
        <w:rPr>
          <w:rFonts w:asciiTheme="majorBidi" w:hAnsiTheme="majorBidi" w:cstheme="majorBidi"/>
          <w:szCs w:val="24"/>
          <w:lang w:val="en-US" w:eastAsia="zh-CN"/>
        </w:rPr>
        <w:t>月</w:t>
      </w:r>
      <w:r w:rsidRPr="0083175A">
        <w:rPr>
          <w:rFonts w:asciiTheme="majorBidi" w:hAnsiTheme="majorBidi" w:cstheme="majorBidi"/>
          <w:szCs w:val="24"/>
          <w:lang w:val="en-US" w:eastAsia="zh-CN"/>
        </w:rPr>
        <w:t>22-24</w:t>
      </w:r>
      <w:r w:rsidRPr="0083175A">
        <w:rPr>
          <w:rFonts w:asciiTheme="majorBidi" w:hAnsiTheme="majorBidi" w:cstheme="majorBidi"/>
          <w:szCs w:val="24"/>
          <w:lang w:val="en-US" w:eastAsia="zh-CN"/>
        </w:rPr>
        <w:t>日会议在所做结论相一致</w:t>
      </w:r>
      <w:r w:rsidRPr="0083175A">
        <w:rPr>
          <w:rFonts w:asciiTheme="majorBidi" w:hAnsiTheme="majorBidi" w:cstheme="majorBidi"/>
          <w:color w:val="222222"/>
          <w:szCs w:val="24"/>
          <w:lang w:eastAsia="zh-CN"/>
        </w:rPr>
        <w:t>）。</w:t>
      </w:r>
      <w:r w:rsidRPr="0025429D">
        <w:rPr>
          <w:rFonts w:asciiTheme="majorBidi" w:hAnsiTheme="majorBidi" w:cstheme="majorBidi"/>
          <w:szCs w:val="24"/>
          <w:lang w:val="en-US" w:eastAsia="zh-CN"/>
        </w:rPr>
        <w:t xml:space="preserve"> </w:t>
      </w:r>
    </w:p>
    <w:p w:rsidR="000D3FAD" w:rsidRPr="0025429D" w:rsidRDefault="000D3FAD" w:rsidP="000D3FAD">
      <w:pPr>
        <w:keepNext/>
        <w:spacing w:before="160"/>
        <w:rPr>
          <w:rFonts w:asciiTheme="majorBidi" w:hAnsiTheme="majorBidi" w:cstheme="majorBidi"/>
          <w:b/>
          <w:lang w:eastAsia="zh-CN"/>
        </w:rPr>
      </w:pPr>
      <w:r w:rsidRPr="0025429D">
        <w:rPr>
          <w:rFonts w:asciiTheme="majorBidi" w:hAnsiTheme="majorBidi" w:cstheme="majorBidi"/>
          <w:b/>
          <w:lang w:eastAsia="zh-CN"/>
        </w:rPr>
        <w:t>11</w:t>
      </w:r>
      <w:r w:rsidRPr="0025429D">
        <w:rPr>
          <w:rFonts w:asciiTheme="majorBidi" w:hAnsiTheme="majorBidi" w:cstheme="majorBidi"/>
          <w:b/>
          <w:lang w:eastAsia="zh-CN"/>
        </w:rPr>
        <w:tab/>
      </w:r>
      <w:r w:rsidRPr="0025429D">
        <w:rPr>
          <w:rFonts w:asciiTheme="majorBidi" w:hAnsiTheme="majorBidi" w:cstheme="majorBidi"/>
          <w:b/>
          <w:lang w:eastAsia="zh-CN"/>
        </w:rPr>
        <w:t>专利政策</w:t>
      </w:r>
    </w:p>
    <w:p w:rsidR="000D3FAD" w:rsidRPr="0083175A" w:rsidRDefault="000D3FAD" w:rsidP="000D3FAD">
      <w:pPr>
        <w:tabs>
          <w:tab w:val="clear" w:pos="794"/>
          <w:tab w:val="clear" w:pos="1191"/>
          <w:tab w:val="clear" w:pos="1588"/>
          <w:tab w:val="clear" w:pos="1985"/>
        </w:tabs>
        <w:overflowPunct/>
        <w:spacing w:before="0"/>
        <w:ind w:firstLineChars="200" w:firstLine="480"/>
        <w:textAlignment w:val="auto"/>
        <w:rPr>
          <w:rFonts w:asciiTheme="majorBidi" w:hAnsiTheme="majorBidi" w:cstheme="majorBidi"/>
          <w:szCs w:val="24"/>
          <w:lang w:val="en-US" w:eastAsia="zh-CN"/>
        </w:rPr>
      </w:pPr>
      <w:r w:rsidRPr="0083175A">
        <w:rPr>
          <w:rFonts w:asciiTheme="majorBidi" w:hAnsiTheme="majorBidi" w:cstheme="majorBidi"/>
          <w:szCs w:val="24"/>
          <w:lang w:val="en-US" w:eastAsia="zh-CN"/>
        </w:rPr>
        <w:t>将采用</w:t>
      </w:r>
      <w:r w:rsidRPr="0083175A">
        <w:rPr>
          <w:rFonts w:asciiTheme="majorBidi" w:hAnsiTheme="majorBidi" w:cstheme="majorBidi"/>
          <w:szCs w:val="24"/>
          <w:lang w:val="en-US" w:eastAsia="zh-CN"/>
        </w:rPr>
        <w:t>ITU-T/ITU-R/ISO/IEC</w:t>
      </w:r>
      <w:r w:rsidRPr="0083175A">
        <w:rPr>
          <w:rFonts w:asciiTheme="majorBidi" w:hAnsiTheme="majorBidi" w:cstheme="majorBidi"/>
          <w:szCs w:val="24"/>
          <w:lang w:val="en-US" w:eastAsia="zh-CN"/>
        </w:rPr>
        <w:t>的通用专利政策。</w:t>
      </w:r>
    </w:p>
    <w:p w:rsidR="000D3FAD" w:rsidRPr="0025429D" w:rsidRDefault="000D3FAD" w:rsidP="000D3FAD">
      <w:pPr>
        <w:keepNext/>
        <w:spacing w:before="160"/>
        <w:rPr>
          <w:rFonts w:asciiTheme="majorBidi" w:hAnsiTheme="majorBidi" w:cstheme="majorBidi"/>
          <w:b/>
          <w:lang w:eastAsia="zh-CN"/>
        </w:rPr>
      </w:pPr>
      <w:r w:rsidRPr="0025429D">
        <w:rPr>
          <w:rFonts w:asciiTheme="majorBidi" w:hAnsiTheme="majorBidi" w:cstheme="majorBidi"/>
          <w:b/>
          <w:lang w:eastAsia="zh-CN"/>
        </w:rPr>
        <w:t>12</w:t>
      </w:r>
      <w:r w:rsidRPr="0025429D">
        <w:rPr>
          <w:rFonts w:asciiTheme="majorBidi" w:hAnsiTheme="majorBidi" w:cstheme="majorBidi"/>
          <w:b/>
          <w:lang w:eastAsia="zh-CN"/>
        </w:rPr>
        <w:tab/>
      </w:r>
      <w:r w:rsidRPr="0025429D">
        <w:rPr>
          <w:rFonts w:asciiTheme="majorBidi" w:hAnsiTheme="majorBidi" w:cstheme="majorBidi"/>
          <w:b/>
          <w:lang w:eastAsia="zh-CN"/>
        </w:rPr>
        <w:t>领导班子</w:t>
      </w:r>
    </w:p>
    <w:p w:rsidR="000D3FAD" w:rsidRPr="0083175A" w:rsidRDefault="000D3FAD" w:rsidP="000D3FAD">
      <w:pPr>
        <w:tabs>
          <w:tab w:val="clear" w:pos="794"/>
          <w:tab w:val="clear" w:pos="1191"/>
          <w:tab w:val="clear" w:pos="1588"/>
          <w:tab w:val="clear" w:pos="1985"/>
        </w:tabs>
        <w:overflowPunct/>
        <w:autoSpaceDE/>
        <w:autoSpaceDN/>
        <w:adjustRightInd/>
        <w:spacing w:before="100" w:after="100"/>
        <w:ind w:firstLineChars="200" w:firstLine="480"/>
        <w:textAlignment w:val="auto"/>
        <w:rPr>
          <w:rFonts w:asciiTheme="majorBidi" w:hAnsiTheme="majorBidi" w:cstheme="majorBidi"/>
          <w:szCs w:val="24"/>
          <w:lang w:val="en-US" w:eastAsia="ja-JP"/>
        </w:rPr>
      </w:pPr>
      <w:r w:rsidRPr="0083175A">
        <w:rPr>
          <w:rFonts w:asciiTheme="majorBidi" w:hAnsiTheme="majorBidi" w:cstheme="majorBidi"/>
          <w:szCs w:val="24"/>
          <w:lang w:val="en-US" w:eastAsia="zh-CN"/>
        </w:rPr>
        <w:t>见</w:t>
      </w:r>
      <w:r w:rsidRPr="0083175A">
        <w:rPr>
          <w:rStyle w:val="atn"/>
          <w:rFonts w:asciiTheme="majorBidi" w:hAnsiTheme="majorBidi" w:cstheme="majorBidi"/>
          <w:color w:val="222222"/>
          <w:szCs w:val="24"/>
          <w:lang w:eastAsia="zh-CN"/>
        </w:rPr>
        <w:t>WTSA-</w:t>
      </w:r>
      <w:r w:rsidRPr="0083175A">
        <w:rPr>
          <w:rFonts w:asciiTheme="majorBidi" w:hAnsiTheme="majorBidi" w:cstheme="majorBidi"/>
          <w:color w:val="222222"/>
          <w:szCs w:val="24"/>
          <w:lang w:eastAsia="zh-CN"/>
        </w:rPr>
        <w:t>12</w:t>
      </w:r>
      <w:r w:rsidRPr="0083175A">
        <w:rPr>
          <w:rFonts w:asciiTheme="majorBidi" w:hAnsiTheme="majorBidi" w:cstheme="majorBidi"/>
          <w:color w:val="222222"/>
          <w:szCs w:val="24"/>
          <w:lang w:eastAsia="zh-CN"/>
        </w:rPr>
        <w:t>第</w:t>
      </w:r>
      <w:r w:rsidRPr="0083175A">
        <w:rPr>
          <w:rFonts w:asciiTheme="majorBidi" w:hAnsiTheme="majorBidi" w:cstheme="majorBidi"/>
          <w:color w:val="222222"/>
          <w:szCs w:val="24"/>
          <w:lang w:eastAsia="zh-CN"/>
        </w:rPr>
        <w:t>18</w:t>
      </w:r>
      <w:r w:rsidRPr="0083175A">
        <w:rPr>
          <w:rFonts w:asciiTheme="majorBidi" w:hAnsiTheme="majorBidi" w:cstheme="majorBidi"/>
          <w:color w:val="222222"/>
          <w:szCs w:val="24"/>
          <w:lang w:eastAsia="zh-CN"/>
        </w:rPr>
        <w:t>号决议附件</w:t>
      </w:r>
      <w:r w:rsidRPr="0083175A">
        <w:rPr>
          <w:rFonts w:asciiTheme="majorBidi" w:hAnsiTheme="majorBidi" w:cstheme="majorBidi"/>
          <w:color w:val="222222"/>
          <w:szCs w:val="24"/>
          <w:lang w:eastAsia="zh-CN"/>
        </w:rPr>
        <w:t>C</w:t>
      </w:r>
      <w:r w:rsidRPr="0083175A">
        <w:rPr>
          <w:rFonts w:asciiTheme="majorBidi" w:hAnsiTheme="majorBidi" w:cstheme="majorBidi"/>
          <w:color w:val="222222"/>
          <w:szCs w:val="24"/>
          <w:lang w:eastAsia="zh-CN"/>
        </w:rPr>
        <w:t>议项</w:t>
      </w:r>
      <w:r w:rsidRPr="0083175A">
        <w:rPr>
          <w:rFonts w:asciiTheme="majorBidi" w:hAnsiTheme="majorBidi" w:cstheme="majorBidi"/>
          <w:color w:val="222222"/>
          <w:szCs w:val="24"/>
          <w:lang w:eastAsia="zh-CN"/>
        </w:rPr>
        <w:t>c</w:t>
      </w:r>
      <w:r w:rsidRPr="0083175A">
        <w:rPr>
          <w:rFonts w:asciiTheme="majorBidi" w:hAnsiTheme="majorBidi" w:cstheme="majorBidi"/>
          <w:color w:val="222222"/>
          <w:szCs w:val="24"/>
          <w:lang w:eastAsia="zh-CN"/>
        </w:rPr>
        <w:t>和</w:t>
      </w:r>
      <w:r w:rsidRPr="0083175A">
        <w:rPr>
          <w:rFonts w:asciiTheme="majorBidi" w:hAnsiTheme="majorBidi" w:cstheme="majorBidi"/>
          <w:color w:val="222222"/>
          <w:szCs w:val="24"/>
          <w:lang w:eastAsia="zh-CN"/>
        </w:rPr>
        <w:t>ITU-R</w:t>
      </w:r>
      <w:r w:rsidRPr="0083175A">
        <w:rPr>
          <w:rFonts w:asciiTheme="majorBidi" w:hAnsiTheme="majorBidi" w:cstheme="majorBidi"/>
          <w:color w:val="222222"/>
          <w:szCs w:val="24"/>
          <w:lang w:eastAsia="zh-CN"/>
        </w:rPr>
        <w:t>第</w:t>
      </w:r>
      <w:r w:rsidRPr="0083175A">
        <w:rPr>
          <w:rFonts w:asciiTheme="majorBidi" w:hAnsiTheme="majorBidi" w:cstheme="majorBidi"/>
          <w:color w:val="222222"/>
          <w:szCs w:val="24"/>
          <w:lang w:eastAsia="zh-CN"/>
        </w:rPr>
        <w:t>6</w:t>
      </w:r>
      <w:r w:rsidRPr="0083175A">
        <w:rPr>
          <w:rFonts w:asciiTheme="majorBidi" w:hAnsiTheme="majorBidi" w:cstheme="majorBidi"/>
          <w:color w:val="222222"/>
          <w:szCs w:val="24"/>
          <w:lang w:eastAsia="zh-CN"/>
        </w:rPr>
        <w:t>号决议的相关规定（</w:t>
      </w:r>
      <w:r w:rsidRPr="0083175A">
        <w:rPr>
          <w:rFonts w:asciiTheme="majorBidi" w:hAnsiTheme="majorBidi" w:cstheme="majorBidi"/>
          <w:szCs w:val="24"/>
          <w:lang w:val="en-US" w:eastAsia="zh-CN"/>
        </w:rPr>
        <w:t>与无线电通信顾问组（</w:t>
      </w:r>
      <w:r w:rsidRPr="0083175A">
        <w:rPr>
          <w:rFonts w:asciiTheme="majorBidi" w:hAnsiTheme="majorBidi" w:cstheme="majorBidi"/>
          <w:szCs w:val="24"/>
          <w:lang w:eastAsia="zh-CN"/>
        </w:rPr>
        <w:t>RAG</w:t>
      </w:r>
      <w:r w:rsidRPr="0083175A">
        <w:rPr>
          <w:rFonts w:asciiTheme="majorBidi" w:hAnsiTheme="majorBidi" w:cstheme="majorBidi"/>
          <w:szCs w:val="24"/>
          <w:lang w:val="en-US" w:eastAsia="zh-CN"/>
        </w:rPr>
        <w:t>）</w:t>
      </w:r>
      <w:r w:rsidRPr="0083175A">
        <w:rPr>
          <w:rFonts w:asciiTheme="majorBidi" w:hAnsiTheme="majorBidi" w:cstheme="majorBidi"/>
          <w:szCs w:val="24"/>
          <w:lang w:val="en-US" w:eastAsia="zh-CN"/>
        </w:rPr>
        <w:t>2013</w:t>
      </w:r>
      <w:r w:rsidRPr="0083175A">
        <w:rPr>
          <w:rFonts w:asciiTheme="majorBidi" w:hAnsiTheme="majorBidi" w:cstheme="majorBidi"/>
          <w:szCs w:val="24"/>
          <w:lang w:val="en-US" w:eastAsia="zh-CN"/>
        </w:rPr>
        <w:t>年</w:t>
      </w:r>
      <w:r w:rsidRPr="0083175A">
        <w:rPr>
          <w:rFonts w:asciiTheme="majorBidi" w:hAnsiTheme="majorBidi" w:cstheme="majorBidi"/>
          <w:szCs w:val="24"/>
          <w:lang w:val="en-US" w:eastAsia="zh-CN"/>
        </w:rPr>
        <w:t>5</w:t>
      </w:r>
      <w:r w:rsidRPr="0083175A">
        <w:rPr>
          <w:rFonts w:asciiTheme="majorBidi" w:hAnsiTheme="majorBidi" w:cstheme="majorBidi"/>
          <w:szCs w:val="24"/>
          <w:lang w:val="en-US" w:eastAsia="zh-CN"/>
        </w:rPr>
        <w:t>月</w:t>
      </w:r>
      <w:r w:rsidRPr="0083175A">
        <w:rPr>
          <w:rFonts w:asciiTheme="majorBidi" w:hAnsiTheme="majorBidi" w:cstheme="majorBidi"/>
          <w:szCs w:val="24"/>
          <w:lang w:val="en-US" w:eastAsia="zh-CN"/>
        </w:rPr>
        <w:t>22-24</w:t>
      </w:r>
      <w:r w:rsidRPr="0083175A">
        <w:rPr>
          <w:rFonts w:asciiTheme="majorBidi" w:hAnsiTheme="majorBidi" w:cstheme="majorBidi"/>
          <w:szCs w:val="24"/>
          <w:lang w:val="en-US" w:eastAsia="zh-CN"/>
        </w:rPr>
        <w:t>日会议在所做结论相一致</w:t>
      </w:r>
      <w:r w:rsidRPr="0083175A">
        <w:rPr>
          <w:rFonts w:asciiTheme="majorBidi" w:hAnsiTheme="majorBidi" w:cstheme="majorBidi"/>
          <w:color w:val="222222"/>
          <w:szCs w:val="24"/>
          <w:lang w:eastAsia="zh-CN"/>
        </w:rPr>
        <w:t>）。</w:t>
      </w:r>
    </w:p>
    <w:p w:rsidR="009767B1" w:rsidRDefault="009767B1">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lang w:eastAsia="zh-CN"/>
        </w:rPr>
      </w:pPr>
      <w:r>
        <w:rPr>
          <w:rFonts w:asciiTheme="majorBidi" w:hAnsiTheme="majorBidi" w:cstheme="majorBidi"/>
          <w:b/>
          <w:lang w:eastAsia="zh-CN"/>
        </w:rPr>
        <w:br w:type="page"/>
      </w:r>
    </w:p>
    <w:p w:rsidR="000D3FAD" w:rsidRPr="0025429D" w:rsidRDefault="000D3FAD" w:rsidP="000D3FAD">
      <w:pPr>
        <w:keepNext/>
        <w:spacing w:before="160"/>
        <w:rPr>
          <w:rFonts w:asciiTheme="majorBidi" w:hAnsiTheme="majorBidi" w:cstheme="majorBidi"/>
          <w:b/>
          <w:lang w:eastAsia="zh-CN"/>
        </w:rPr>
      </w:pPr>
      <w:r w:rsidRPr="0025429D">
        <w:rPr>
          <w:rFonts w:asciiTheme="majorBidi" w:hAnsiTheme="majorBidi" w:cstheme="majorBidi"/>
          <w:b/>
          <w:lang w:eastAsia="zh-CN"/>
        </w:rPr>
        <w:lastRenderedPageBreak/>
        <w:t>13</w:t>
      </w:r>
      <w:r w:rsidRPr="0025429D">
        <w:rPr>
          <w:rFonts w:asciiTheme="majorBidi" w:hAnsiTheme="majorBidi" w:cstheme="majorBidi"/>
          <w:b/>
          <w:lang w:eastAsia="zh-CN"/>
        </w:rPr>
        <w:tab/>
        <w:t>IRG-AVQA</w:t>
      </w:r>
      <w:r w:rsidRPr="0025429D">
        <w:rPr>
          <w:rFonts w:asciiTheme="majorBidi" w:hAnsiTheme="majorBidi" w:cstheme="majorBidi"/>
          <w:b/>
          <w:lang w:eastAsia="zh-CN"/>
        </w:rPr>
        <w:t>的终止</w:t>
      </w:r>
      <w:bookmarkStart w:id="5" w:name="_GoBack"/>
      <w:bookmarkEnd w:id="5"/>
    </w:p>
    <w:p w:rsidR="000D3FAD" w:rsidRPr="0083175A" w:rsidRDefault="000D3FAD" w:rsidP="000D3FAD">
      <w:pPr>
        <w:tabs>
          <w:tab w:val="clear" w:pos="794"/>
          <w:tab w:val="clear" w:pos="1191"/>
          <w:tab w:val="clear" w:pos="1588"/>
          <w:tab w:val="clear" w:pos="1985"/>
        </w:tabs>
        <w:overflowPunct/>
        <w:autoSpaceDE/>
        <w:autoSpaceDN/>
        <w:adjustRightInd/>
        <w:spacing w:before="100" w:after="100"/>
        <w:ind w:firstLineChars="200" w:firstLine="480"/>
        <w:textAlignment w:val="auto"/>
        <w:rPr>
          <w:rFonts w:asciiTheme="majorBidi" w:hAnsiTheme="majorBidi" w:cstheme="majorBidi"/>
          <w:szCs w:val="24"/>
          <w:lang w:eastAsia="zh-CN"/>
        </w:rPr>
      </w:pPr>
      <w:r w:rsidRPr="0083175A">
        <w:rPr>
          <w:rFonts w:asciiTheme="majorBidi" w:hAnsiTheme="majorBidi" w:cstheme="majorBidi"/>
          <w:szCs w:val="24"/>
          <w:lang w:val="en-US" w:eastAsia="ja-JP"/>
        </w:rPr>
        <w:t>IRG-AVQA</w:t>
      </w:r>
      <w:r w:rsidRPr="0083175A">
        <w:rPr>
          <w:rFonts w:asciiTheme="majorBidi" w:hAnsiTheme="majorBidi" w:cstheme="majorBidi"/>
          <w:szCs w:val="24"/>
          <w:lang w:val="en-US" w:eastAsia="zh-CN"/>
        </w:rPr>
        <w:t>将持续工作到现</w:t>
      </w:r>
      <w:r w:rsidRPr="0083175A">
        <w:rPr>
          <w:rFonts w:asciiTheme="majorBidi" w:hAnsiTheme="majorBidi" w:cstheme="majorBidi"/>
          <w:szCs w:val="24"/>
          <w:lang w:val="en-US" w:eastAsia="ja-JP"/>
        </w:rPr>
        <w:t>ITU-T</w:t>
      </w:r>
      <w:r w:rsidRPr="0083175A">
        <w:rPr>
          <w:rFonts w:asciiTheme="majorBidi" w:hAnsiTheme="majorBidi" w:cstheme="majorBidi"/>
          <w:szCs w:val="24"/>
          <w:lang w:val="en-US" w:eastAsia="zh-CN"/>
        </w:rPr>
        <w:t>研究期（</w:t>
      </w:r>
      <w:r w:rsidRPr="0083175A">
        <w:rPr>
          <w:rFonts w:asciiTheme="majorBidi" w:hAnsiTheme="majorBidi" w:cstheme="majorBidi"/>
          <w:szCs w:val="24"/>
          <w:lang w:val="en-US" w:eastAsia="ja-JP"/>
        </w:rPr>
        <w:t>2013-2016</w:t>
      </w:r>
      <w:r w:rsidRPr="0083175A">
        <w:rPr>
          <w:rFonts w:asciiTheme="majorBidi" w:hAnsiTheme="majorBidi" w:cstheme="majorBidi"/>
          <w:szCs w:val="24"/>
          <w:lang w:val="en-US" w:eastAsia="zh-CN"/>
        </w:rPr>
        <w:t>年）结束，或在征得所有三个研究组的批准后顺延。</w:t>
      </w:r>
    </w:p>
    <w:p w:rsidR="000D3FAD" w:rsidRPr="0025429D" w:rsidRDefault="000D3FAD" w:rsidP="000D3FAD">
      <w:pPr>
        <w:rPr>
          <w:rFonts w:asciiTheme="majorBidi" w:hAnsiTheme="majorBidi" w:cstheme="majorBidi"/>
          <w:lang w:eastAsia="zh-CN"/>
        </w:rPr>
      </w:pPr>
    </w:p>
    <w:p w:rsidR="000D3FAD" w:rsidRPr="0025429D" w:rsidRDefault="000D3FAD" w:rsidP="000D3FAD">
      <w:pPr>
        <w:pStyle w:val="Reasons"/>
        <w:rPr>
          <w:rFonts w:asciiTheme="majorBidi" w:eastAsia="SimSun" w:hAnsiTheme="majorBidi" w:cstheme="majorBidi"/>
          <w:lang w:eastAsia="zh-CN"/>
        </w:rPr>
      </w:pPr>
    </w:p>
    <w:p w:rsidR="000D3FAD" w:rsidRPr="00F15390" w:rsidRDefault="000D3FAD" w:rsidP="000D3FAD">
      <w:pPr>
        <w:spacing w:before="0"/>
        <w:jc w:val="center"/>
        <w:rPr>
          <w:lang w:eastAsia="zh-CN"/>
        </w:rPr>
      </w:pPr>
      <w:r w:rsidRPr="0025429D">
        <w:rPr>
          <w:rFonts w:asciiTheme="majorBidi" w:hAnsiTheme="majorBidi" w:cstheme="majorBidi"/>
          <w:lang w:eastAsia="zh-CN"/>
        </w:rPr>
        <w:t>______________</w:t>
      </w:r>
    </w:p>
    <w:sectPr w:rsidR="000D3FAD" w:rsidRPr="00F15390" w:rsidSect="009D618F">
      <w:headerReference w:type="default" r:id="rId16"/>
      <w:footerReference w:type="first" r:id="rId17"/>
      <w:type w:val="oddPage"/>
      <w:pgSz w:w="11907" w:h="16840" w:code="9"/>
      <w:pgMar w:top="1134" w:right="1134" w:bottom="1134" w:left="1134" w:header="567" w:footer="567" w:gutter="0"/>
      <w:paperSrc w:first="15" w:other="15"/>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D37" w:rsidRDefault="00B45D37">
      <w:r>
        <w:separator/>
      </w:r>
    </w:p>
  </w:endnote>
  <w:endnote w:type="continuationSeparator" w:id="0">
    <w:p w:rsidR="00B45D37" w:rsidRDefault="00B4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086" w:rsidRPr="004E0991" w:rsidRDefault="00917086" w:rsidP="004E0991">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sz w:val="18"/>
        <w:szCs w:val="18"/>
        <w:lang w:val="en-US"/>
      </w:rPr>
    </w:pPr>
    <w:r w:rsidRPr="004E0991">
      <w:rPr>
        <w:rFonts w:ascii="Calibri" w:hAnsi="Calibri" w:cs="Calibri"/>
        <w:sz w:val="18"/>
        <w:szCs w:val="18"/>
        <w:lang w:val="en-US"/>
      </w:rPr>
      <w:t>International Telecommunication Union • Place des Nations • CH</w:t>
    </w:r>
    <w:r w:rsidRPr="004E0991">
      <w:rPr>
        <w:rFonts w:ascii="Calibri" w:hAnsi="Calibri" w:cs="Calibri"/>
        <w:sz w:val="18"/>
        <w:szCs w:val="18"/>
        <w:lang w:val="en-US"/>
      </w:rPr>
      <w:noBreakHyphen/>
      <w:t xml:space="preserve">1211 Geneva 20 • Switzerland </w:t>
    </w:r>
    <w:r w:rsidRPr="004E0991">
      <w:rPr>
        <w:rFonts w:ascii="Calibri" w:hAnsi="Calibri" w:cs="Calibri"/>
        <w:sz w:val="18"/>
        <w:szCs w:val="18"/>
        <w:lang w:val="en-US"/>
      </w:rPr>
      <w:br/>
      <w:t xml:space="preserve">Tel: +41 22 730 5111 • Fax: +41 22 733 7256 • E-mail: </w:t>
    </w:r>
    <w:hyperlink r:id="rId1" w:history="1">
      <w:r w:rsidRPr="004E0991">
        <w:rPr>
          <w:rFonts w:ascii="Calibri" w:hAnsi="Calibri" w:cs="Calibri"/>
          <w:color w:val="0000FF"/>
          <w:sz w:val="18"/>
          <w:szCs w:val="18"/>
          <w:u w:val="single"/>
          <w:lang w:val="en-US"/>
        </w:rPr>
        <w:t>itumail@itu.int</w:t>
      </w:r>
    </w:hyperlink>
    <w:r w:rsidRPr="004E0991">
      <w:rPr>
        <w:rFonts w:ascii="Calibri" w:hAnsi="Calibri" w:cs="Calibri"/>
        <w:sz w:val="18"/>
        <w:szCs w:val="18"/>
        <w:lang w:val="en-US"/>
      </w:rPr>
      <w:t xml:space="preserve"> • </w:t>
    </w:r>
    <w:hyperlink r:id="rId2" w:history="1">
      <w:r w:rsidRPr="004E0991">
        <w:rPr>
          <w:rFonts w:ascii="Calibri" w:hAnsi="Calibri" w:cs="Calibri"/>
          <w:color w:val="0000FF"/>
          <w:sz w:val="18"/>
          <w:szCs w:val="18"/>
          <w:u w:val="single"/>
          <w:lang w:val="en-US"/>
        </w:rPr>
        <w:t>www.itu.int</w:t>
      </w:r>
    </w:hyperlink>
    <w:r w:rsidRPr="004E0991">
      <w:rPr>
        <w:rFonts w:ascii="Calibri" w:hAnsi="Calibri" w:cs="Calibri"/>
        <w:sz w:val="18"/>
        <w:szCs w:val="18"/>
        <w:lang w:val="en-US"/>
      </w:rPr>
      <w:t xml:space="preserve"> •</w:t>
    </w:r>
  </w:p>
  <w:p w:rsidR="00917086" w:rsidRPr="004E0991" w:rsidRDefault="00917086" w:rsidP="004E09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D37" w:rsidRDefault="00B45D37">
      <w:r>
        <w:t>____________________</w:t>
      </w:r>
    </w:p>
  </w:footnote>
  <w:footnote w:type="continuationSeparator" w:id="0">
    <w:p w:rsidR="00B45D37" w:rsidRDefault="00B45D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086" w:rsidRDefault="00917086" w:rsidP="000622E7">
    <w:pPr>
      <w:pStyle w:val="Header"/>
    </w:pPr>
    <w:r w:rsidRPr="000622E7">
      <w:rPr>
        <w:sz w:val="18"/>
        <w:szCs w:val="18"/>
      </w:rPr>
      <w:fldChar w:fldCharType="begin"/>
    </w:r>
    <w:r w:rsidRPr="000622E7">
      <w:rPr>
        <w:sz w:val="18"/>
        <w:szCs w:val="18"/>
      </w:rPr>
      <w:instrText>PAGE</w:instrText>
    </w:r>
    <w:r w:rsidRPr="000622E7">
      <w:rPr>
        <w:sz w:val="18"/>
        <w:szCs w:val="18"/>
      </w:rPr>
      <w:fldChar w:fldCharType="separate"/>
    </w:r>
    <w:r w:rsidR="00DC7F66">
      <w:rPr>
        <w:noProof/>
        <w:sz w:val="18"/>
        <w:szCs w:val="18"/>
      </w:rPr>
      <w:t>- 5 -</w:t>
    </w:r>
    <w:r w:rsidRPr="000622E7">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D7D"/>
    <w:multiLevelType w:val="multilevel"/>
    <w:tmpl w:val="3A34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92D77"/>
    <w:multiLevelType w:val="hybridMultilevel"/>
    <w:tmpl w:val="210AFF94"/>
    <w:lvl w:ilvl="0" w:tplc="673E30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0948FF"/>
    <w:multiLevelType w:val="hybridMultilevel"/>
    <w:tmpl w:val="CC128266"/>
    <w:lvl w:ilvl="0" w:tplc="9F864F0A">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B54A12"/>
    <w:multiLevelType w:val="hybridMultilevel"/>
    <w:tmpl w:val="C8DA02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B28AA"/>
    <w:multiLevelType w:val="hybridMultilevel"/>
    <w:tmpl w:val="327C1B3E"/>
    <w:lvl w:ilvl="0" w:tplc="DB561BF6">
      <w:numFmt w:val="bullet"/>
      <w:lvlText w:val="-"/>
      <w:lvlJc w:val="left"/>
      <w:pPr>
        <w:ind w:left="720" w:hanging="360"/>
      </w:pPr>
      <w:rPr>
        <w:rFonts w:ascii="Times New Roman" w:eastAsia="Times New Roman" w:hAnsi="Times New Roman" w:cs="Times New Roman" w:hint="default"/>
      </w:rPr>
    </w:lvl>
    <w:lvl w:ilvl="1" w:tplc="63E82758">
      <w:numFmt w:val="bullet"/>
      <w:lvlText w:val=""/>
      <w:lvlJc w:val="left"/>
      <w:pPr>
        <w:ind w:left="1470" w:hanging="39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8924A0"/>
    <w:multiLevelType w:val="multilevel"/>
    <w:tmpl w:val="75D0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BA1AD3"/>
    <w:multiLevelType w:val="hybridMultilevel"/>
    <w:tmpl w:val="A0A8E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E228A8"/>
    <w:multiLevelType w:val="hybridMultilevel"/>
    <w:tmpl w:val="FAA4F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8C09B6"/>
    <w:multiLevelType w:val="hybridMultilevel"/>
    <w:tmpl w:val="9A16D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066D97"/>
    <w:multiLevelType w:val="hybridMultilevel"/>
    <w:tmpl w:val="F2E8317E"/>
    <w:lvl w:ilvl="0" w:tplc="8886159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37A41BE"/>
    <w:multiLevelType w:val="multilevel"/>
    <w:tmpl w:val="39886A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7854CFD"/>
    <w:multiLevelType w:val="hybridMultilevel"/>
    <w:tmpl w:val="9042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E471CB"/>
    <w:multiLevelType w:val="hybridMultilevel"/>
    <w:tmpl w:val="777E83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2E43F5"/>
    <w:multiLevelType w:val="hybridMultilevel"/>
    <w:tmpl w:val="BFDE50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2EC44765"/>
    <w:multiLevelType w:val="hybridMultilevel"/>
    <w:tmpl w:val="5F2449E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FA3C2B"/>
    <w:multiLevelType w:val="multilevel"/>
    <w:tmpl w:val="D578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293FDE"/>
    <w:multiLevelType w:val="multilevel"/>
    <w:tmpl w:val="B48A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613FAB"/>
    <w:multiLevelType w:val="multilevel"/>
    <w:tmpl w:val="7E72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A97B2C"/>
    <w:multiLevelType w:val="multilevel"/>
    <w:tmpl w:val="311C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C410D2"/>
    <w:multiLevelType w:val="hybridMultilevel"/>
    <w:tmpl w:val="094024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E266FF"/>
    <w:multiLevelType w:val="multilevel"/>
    <w:tmpl w:val="3648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D6373B"/>
    <w:multiLevelType w:val="multilevel"/>
    <w:tmpl w:val="14428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6DD6B95"/>
    <w:multiLevelType w:val="multilevel"/>
    <w:tmpl w:val="FA60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A62289"/>
    <w:multiLevelType w:val="hybridMultilevel"/>
    <w:tmpl w:val="53068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1510EEA"/>
    <w:multiLevelType w:val="hybridMultilevel"/>
    <w:tmpl w:val="C41E4098"/>
    <w:lvl w:ilvl="0" w:tplc="673247D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6">
    <w:nsid w:val="418C5841"/>
    <w:multiLevelType w:val="hybridMultilevel"/>
    <w:tmpl w:val="E47E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C93206"/>
    <w:multiLevelType w:val="hybridMultilevel"/>
    <w:tmpl w:val="7CE01630"/>
    <w:lvl w:ilvl="0" w:tplc="DB561BF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849562E"/>
    <w:multiLevelType w:val="hybridMultilevel"/>
    <w:tmpl w:val="D6E8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B177773"/>
    <w:multiLevelType w:val="hybridMultilevel"/>
    <w:tmpl w:val="9C2A70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235480"/>
    <w:multiLevelType w:val="hybridMultilevel"/>
    <w:tmpl w:val="FF12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044E29"/>
    <w:multiLevelType w:val="hybridMultilevel"/>
    <w:tmpl w:val="70B42192"/>
    <w:lvl w:ilvl="0" w:tplc="673247D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2">
    <w:nsid w:val="51087325"/>
    <w:multiLevelType w:val="hybridMultilevel"/>
    <w:tmpl w:val="A37678EE"/>
    <w:lvl w:ilvl="0" w:tplc="5274A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73333C"/>
    <w:multiLevelType w:val="hybridMultilevel"/>
    <w:tmpl w:val="A848813E"/>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4">
    <w:nsid w:val="56DF03C4"/>
    <w:multiLevelType w:val="hybridMultilevel"/>
    <w:tmpl w:val="3072D7EA"/>
    <w:lvl w:ilvl="0" w:tplc="E9D66506">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5">
    <w:nsid w:val="631D104C"/>
    <w:multiLevelType w:val="hybridMultilevel"/>
    <w:tmpl w:val="C0BA1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BF2D3F"/>
    <w:multiLevelType w:val="hybridMultilevel"/>
    <w:tmpl w:val="0AEA2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BE80345"/>
    <w:multiLevelType w:val="multilevel"/>
    <w:tmpl w:val="53E2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2F6146"/>
    <w:multiLevelType w:val="hybridMultilevel"/>
    <w:tmpl w:val="0EE49F32"/>
    <w:lvl w:ilvl="0" w:tplc="62060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F887125"/>
    <w:multiLevelType w:val="multilevel"/>
    <w:tmpl w:val="E564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41">
    <w:nsid w:val="713E3A80"/>
    <w:multiLevelType w:val="multilevel"/>
    <w:tmpl w:val="04B8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17D1351"/>
    <w:multiLevelType w:val="hybridMultilevel"/>
    <w:tmpl w:val="834EEAE4"/>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43">
    <w:nsid w:val="72CC47E4"/>
    <w:multiLevelType w:val="hybridMultilevel"/>
    <w:tmpl w:val="81A6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07111A"/>
    <w:multiLevelType w:val="hybridMultilevel"/>
    <w:tmpl w:val="9CAC00C8"/>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5">
    <w:nsid w:val="77BE17D4"/>
    <w:multiLevelType w:val="hybridMultilevel"/>
    <w:tmpl w:val="B7B4FEEA"/>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6">
    <w:nsid w:val="7ACC3EBE"/>
    <w:multiLevelType w:val="multilevel"/>
    <w:tmpl w:val="9ABE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45"/>
  </w:num>
  <w:num w:numId="4">
    <w:abstractNumId w:val="44"/>
  </w:num>
  <w:num w:numId="5">
    <w:abstractNumId w:val="22"/>
  </w:num>
  <w:num w:numId="6">
    <w:abstractNumId w:val="37"/>
  </w:num>
  <w:num w:numId="7">
    <w:abstractNumId w:val="6"/>
  </w:num>
  <w:num w:numId="8">
    <w:abstractNumId w:val="18"/>
  </w:num>
  <w:num w:numId="9">
    <w:abstractNumId w:val="41"/>
  </w:num>
  <w:num w:numId="10">
    <w:abstractNumId w:val="17"/>
  </w:num>
  <w:num w:numId="11">
    <w:abstractNumId w:val="19"/>
  </w:num>
  <w:num w:numId="12">
    <w:abstractNumId w:val="46"/>
  </w:num>
  <w:num w:numId="13">
    <w:abstractNumId w:val="21"/>
  </w:num>
  <w:num w:numId="14">
    <w:abstractNumId w:val="23"/>
  </w:num>
  <w:num w:numId="15">
    <w:abstractNumId w:val="0"/>
  </w:num>
  <w:num w:numId="16">
    <w:abstractNumId w:val="39"/>
  </w:num>
  <w:num w:numId="17">
    <w:abstractNumId w:val="16"/>
  </w:num>
  <w:num w:numId="18">
    <w:abstractNumId w:val="34"/>
  </w:num>
  <w:num w:numId="19">
    <w:abstractNumId w:val="9"/>
  </w:num>
  <w:num w:numId="20">
    <w:abstractNumId w:val="36"/>
  </w:num>
  <w:num w:numId="21">
    <w:abstractNumId w:val="28"/>
  </w:num>
  <w:num w:numId="22">
    <w:abstractNumId w:val="14"/>
  </w:num>
  <w:num w:numId="23">
    <w:abstractNumId w:val="1"/>
  </w:num>
  <w:num w:numId="24">
    <w:abstractNumId w:val="7"/>
  </w:num>
  <w:num w:numId="25">
    <w:abstractNumId w:val="30"/>
  </w:num>
  <w:num w:numId="26">
    <w:abstractNumId w:val="8"/>
  </w:num>
  <w:num w:numId="27">
    <w:abstractNumId w:val="43"/>
  </w:num>
  <w:num w:numId="28">
    <w:abstractNumId w:val="12"/>
  </w:num>
  <w:num w:numId="29">
    <w:abstractNumId w:val="2"/>
  </w:num>
  <w:num w:numId="30">
    <w:abstractNumId w:val="26"/>
  </w:num>
  <w:num w:numId="31">
    <w:abstractNumId w:val="4"/>
  </w:num>
  <w:num w:numId="32">
    <w:abstractNumId w:val="27"/>
  </w:num>
  <w:num w:numId="33">
    <w:abstractNumId w:val="38"/>
  </w:num>
  <w:num w:numId="34">
    <w:abstractNumId w:val="24"/>
  </w:num>
  <w:num w:numId="35">
    <w:abstractNumId w:val="35"/>
  </w:num>
  <w:num w:numId="36">
    <w:abstractNumId w:val="40"/>
  </w:num>
  <w:num w:numId="37">
    <w:abstractNumId w:val="42"/>
  </w:num>
  <w:num w:numId="38">
    <w:abstractNumId w:val="29"/>
  </w:num>
  <w:num w:numId="39">
    <w:abstractNumId w:val="3"/>
  </w:num>
  <w:num w:numId="40">
    <w:abstractNumId w:val="5"/>
  </w:num>
  <w:num w:numId="41">
    <w:abstractNumId w:val="15"/>
  </w:num>
  <w:num w:numId="42">
    <w:abstractNumId w:val="13"/>
  </w:num>
  <w:num w:numId="43">
    <w:abstractNumId w:val="20"/>
  </w:num>
  <w:num w:numId="44">
    <w:abstractNumId w:val="31"/>
  </w:num>
  <w:num w:numId="45">
    <w:abstractNumId w:val="25"/>
  </w:num>
  <w:num w:numId="46">
    <w:abstractNumId w:val="32"/>
  </w:num>
  <w:num w:numId="47">
    <w:abstractNumId w:val="11"/>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6"/>
    <w:rsid w:val="00010DE4"/>
    <w:rsid w:val="00011144"/>
    <w:rsid w:val="00013F72"/>
    <w:rsid w:val="00017E65"/>
    <w:rsid w:val="00026E5A"/>
    <w:rsid w:val="00035C46"/>
    <w:rsid w:val="000376F6"/>
    <w:rsid w:val="000513BD"/>
    <w:rsid w:val="00051A63"/>
    <w:rsid w:val="00054630"/>
    <w:rsid w:val="00056AA9"/>
    <w:rsid w:val="00060952"/>
    <w:rsid w:val="000622E7"/>
    <w:rsid w:val="00063845"/>
    <w:rsid w:val="00066F44"/>
    <w:rsid w:val="00067ECA"/>
    <w:rsid w:val="00073963"/>
    <w:rsid w:val="0008198D"/>
    <w:rsid w:val="00085D03"/>
    <w:rsid w:val="0009124E"/>
    <w:rsid w:val="00093A03"/>
    <w:rsid w:val="0009611D"/>
    <w:rsid w:val="000A145F"/>
    <w:rsid w:val="000C209B"/>
    <w:rsid w:val="000D0987"/>
    <w:rsid w:val="000D3FAD"/>
    <w:rsid w:val="000D4673"/>
    <w:rsid w:val="000E54E9"/>
    <w:rsid w:val="000F1051"/>
    <w:rsid w:val="000F3D72"/>
    <w:rsid w:val="0011087A"/>
    <w:rsid w:val="00125014"/>
    <w:rsid w:val="00125634"/>
    <w:rsid w:val="001259FD"/>
    <w:rsid w:val="00132E06"/>
    <w:rsid w:val="00133444"/>
    <w:rsid w:val="00133B7C"/>
    <w:rsid w:val="001368EB"/>
    <w:rsid w:val="00136A3A"/>
    <w:rsid w:val="001524B7"/>
    <w:rsid w:val="001569C6"/>
    <w:rsid w:val="0016499E"/>
    <w:rsid w:val="001677A4"/>
    <w:rsid w:val="00167879"/>
    <w:rsid w:val="00170565"/>
    <w:rsid w:val="00174053"/>
    <w:rsid w:val="00175825"/>
    <w:rsid w:val="0019121A"/>
    <w:rsid w:val="00197437"/>
    <w:rsid w:val="001A153B"/>
    <w:rsid w:val="001A2BAA"/>
    <w:rsid w:val="001A508C"/>
    <w:rsid w:val="001C79B6"/>
    <w:rsid w:val="001D228A"/>
    <w:rsid w:val="001E04B4"/>
    <w:rsid w:val="001F18FD"/>
    <w:rsid w:val="001F4A2E"/>
    <w:rsid w:val="0020032D"/>
    <w:rsid w:val="002010FE"/>
    <w:rsid w:val="00235DB9"/>
    <w:rsid w:val="002378BD"/>
    <w:rsid w:val="00240C23"/>
    <w:rsid w:val="00242094"/>
    <w:rsid w:val="00252B18"/>
    <w:rsid w:val="002640A2"/>
    <w:rsid w:val="0027525B"/>
    <w:rsid w:val="00284516"/>
    <w:rsid w:val="0029191D"/>
    <w:rsid w:val="0029740F"/>
    <w:rsid w:val="002A73F7"/>
    <w:rsid w:val="002A7870"/>
    <w:rsid w:val="002C2A8C"/>
    <w:rsid w:val="002C7B14"/>
    <w:rsid w:val="002D3853"/>
    <w:rsid w:val="002D646E"/>
    <w:rsid w:val="002D6B0B"/>
    <w:rsid w:val="002E257E"/>
    <w:rsid w:val="002E63DC"/>
    <w:rsid w:val="002F22F6"/>
    <w:rsid w:val="002F2E6C"/>
    <w:rsid w:val="002F4FAA"/>
    <w:rsid w:val="002F63A3"/>
    <w:rsid w:val="00300758"/>
    <w:rsid w:val="003102F0"/>
    <w:rsid w:val="00315D3E"/>
    <w:rsid w:val="0031744E"/>
    <w:rsid w:val="003243ED"/>
    <w:rsid w:val="00325F3A"/>
    <w:rsid w:val="00326DD3"/>
    <w:rsid w:val="00334D0E"/>
    <w:rsid w:val="003520AF"/>
    <w:rsid w:val="003526FB"/>
    <w:rsid w:val="003758B6"/>
    <w:rsid w:val="00377F50"/>
    <w:rsid w:val="00386CFB"/>
    <w:rsid w:val="00386E4E"/>
    <w:rsid w:val="003B03D6"/>
    <w:rsid w:val="003B6294"/>
    <w:rsid w:val="003C1132"/>
    <w:rsid w:val="003C5F63"/>
    <w:rsid w:val="003D2E39"/>
    <w:rsid w:val="003D618E"/>
    <w:rsid w:val="003E0681"/>
    <w:rsid w:val="003E620E"/>
    <w:rsid w:val="003F3552"/>
    <w:rsid w:val="00400D6F"/>
    <w:rsid w:val="0040485D"/>
    <w:rsid w:val="00405CD7"/>
    <w:rsid w:val="00406224"/>
    <w:rsid w:val="00411900"/>
    <w:rsid w:val="00414CBB"/>
    <w:rsid w:val="004259C3"/>
    <w:rsid w:val="00433366"/>
    <w:rsid w:val="004354F0"/>
    <w:rsid w:val="004556D7"/>
    <w:rsid w:val="00463772"/>
    <w:rsid w:val="00480A04"/>
    <w:rsid w:val="00480FAC"/>
    <w:rsid w:val="0048397C"/>
    <w:rsid w:val="004955B5"/>
    <w:rsid w:val="00497175"/>
    <w:rsid w:val="004A1A1D"/>
    <w:rsid w:val="004B3E2D"/>
    <w:rsid w:val="004E0991"/>
    <w:rsid w:val="00504618"/>
    <w:rsid w:val="00506865"/>
    <w:rsid w:val="00507A6A"/>
    <w:rsid w:val="005209C7"/>
    <w:rsid w:val="00523839"/>
    <w:rsid w:val="005616D3"/>
    <w:rsid w:val="00583B87"/>
    <w:rsid w:val="0059537F"/>
    <w:rsid w:val="005A73A6"/>
    <w:rsid w:val="005B3270"/>
    <w:rsid w:val="005B53C7"/>
    <w:rsid w:val="005C7BD2"/>
    <w:rsid w:val="005E175B"/>
    <w:rsid w:val="005E4C60"/>
    <w:rsid w:val="005E54DF"/>
    <w:rsid w:val="005F3A7E"/>
    <w:rsid w:val="005F408B"/>
    <w:rsid w:val="005F4AB7"/>
    <w:rsid w:val="005F5D50"/>
    <w:rsid w:val="005F6B35"/>
    <w:rsid w:val="00604878"/>
    <w:rsid w:val="00606047"/>
    <w:rsid w:val="00611736"/>
    <w:rsid w:val="0062642A"/>
    <w:rsid w:val="0063589E"/>
    <w:rsid w:val="0063689A"/>
    <w:rsid w:val="0064149D"/>
    <w:rsid w:val="00646117"/>
    <w:rsid w:val="00647984"/>
    <w:rsid w:val="00650071"/>
    <w:rsid w:val="00651FD4"/>
    <w:rsid w:val="0066671A"/>
    <w:rsid w:val="00690FA5"/>
    <w:rsid w:val="00697500"/>
    <w:rsid w:val="00697D21"/>
    <w:rsid w:val="006A099A"/>
    <w:rsid w:val="006A10E7"/>
    <w:rsid w:val="006B3D29"/>
    <w:rsid w:val="006B7D20"/>
    <w:rsid w:val="006B7E42"/>
    <w:rsid w:val="006C0802"/>
    <w:rsid w:val="006C48F9"/>
    <w:rsid w:val="006D279E"/>
    <w:rsid w:val="006D2FDF"/>
    <w:rsid w:val="006D4AF6"/>
    <w:rsid w:val="006E14BC"/>
    <w:rsid w:val="006E2381"/>
    <w:rsid w:val="006E43F1"/>
    <w:rsid w:val="006E66FC"/>
    <w:rsid w:val="006E7C16"/>
    <w:rsid w:val="006F1ABE"/>
    <w:rsid w:val="00703064"/>
    <w:rsid w:val="00703612"/>
    <w:rsid w:val="00704936"/>
    <w:rsid w:val="007125F7"/>
    <w:rsid w:val="007212FB"/>
    <w:rsid w:val="007222C9"/>
    <w:rsid w:val="007328B1"/>
    <w:rsid w:val="0073603C"/>
    <w:rsid w:val="00742A89"/>
    <w:rsid w:val="00760405"/>
    <w:rsid w:val="0078244B"/>
    <w:rsid w:val="00785658"/>
    <w:rsid w:val="00787F7B"/>
    <w:rsid w:val="00794835"/>
    <w:rsid w:val="007A0468"/>
    <w:rsid w:val="007A3FA7"/>
    <w:rsid w:val="007A5DD6"/>
    <w:rsid w:val="007A7287"/>
    <w:rsid w:val="007A7444"/>
    <w:rsid w:val="007B3E92"/>
    <w:rsid w:val="007B5425"/>
    <w:rsid w:val="007C32E8"/>
    <w:rsid w:val="007C4CE0"/>
    <w:rsid w:val="007D3E49"/>
    <w:rsid w:val="007D579A"/>
    <w:rsid w:val="00801170"/>
    <w:rsid w:val="00811FCF"/>
    <w:rsid w:val="008168A2"/>
    <w:rsid w:val="00824CC1"/>
    <w:rsid w:val="008304E8"/>
    <w:rsid w:val="00833B55"/>
    <w:rsid w:val="00837DF6"/>
    <w:rsid w:val="008634B7"/>
    <w:rsid w:val="0087225E"/>
    <w:rsid w:val="00872EE4"/>
    <w:rsid w:val="008741D3"/>
    <w:rsid w:val="008762A1"/>
    <w:rsid w:val="00877EA3"/>
    <w:rsid w:val="008804F6"/>
    <w:rsid w:val="00887453"/>
    <w:rsid w:val="008900D5"/>
    <w:rsid w:val="0089011D"/>
    <w:rsid w:val="00891922"/>
    <w:rsid w:val="00891F71"/>
    <w:rsid w:val="008A53D6"/>
    <w:rsid w:val="008B0DBC"/>
    <w:rsid w:val="008B5F31"/>
    <w:rsid w:val="008B7140"/>
    <w:rsid w:val="008B7902"/>
    <w:rsid w:val="008D10C6"/>
    <w:rsid w:val="008F18FA"/>
    <w:rsid w:val="00910089"/>
    <w:rsid w:val="009100AB"/>
    <w:rsid w:val="009105A0"/>
    <w:rsid w:val="00910799"/>
    <w:rsid w:val="00917086"/>
    <w:rsid w:val="009339A5"/>
    <w:rsid w:val="009560C7"/>
    <w:rsid w:val="00963579"/>
    <w:rsid w:val="00964337"/>
    <w:rsid w:val="00973C2E"/>
    <w:rsid w:val="009767B1"/>
    <w:rsid w:val="009822E1"/>
    <w:rsid w:val="00987C72"/>
    <w:rsid w:val="009946C0"/>
    <w:rsid w:val="009A22F8"/>
    <w:rsid w:val="009D618F"/>
    <w:rsid w:val="009E1168"/>
    <w:rsid w:val="009E41DE"/>
    <w:rsid w:val="009F19A5"/>
    <w:rsid w:val="009F6CDE"/>
    <w:rsid w:val="00A01B92"/>
    <w:rsid w:val="00A11744"/>
    <w:rsid w:val="00A42838"/>
    <w:rsid w:val="00A45FB5"/>
    <w:rsid w:val="00A468FE"/>
    <w:rsid w:val="00A5282C"/>
    <w:rsid w:val="00A55116"/>
    <w:rsid w:val="00A661B0"/>
    <w:rsid w:val="00A7286C"/>
    <w:rsid w:val="00A747CE"/>
    <w:rsid w:val="00A74919"/>
    <w:rsid w:val="00A82C84"/>
    <w:rsid w:val="00A847F3"/>
    <w:rsid w:val="00A870FA"/>
    <w:rsid w:val="00AA4AEF"/>
    <w:rsid w:val="00AB391D"/>
    <w:rsid w:val="00AC3528"/>
    <w:rsid w:val="00AD3CCC"/>
    <w:rsid w:val="00AE1F2D"/>
    <w:rsid w:val="00AE6D52"/>
    <w:rsid w:val="00AF037E"/>
    <w:rsid w:val="00AF2D52"/>
    <w:rsid w:val="00B01B21"/>
    <w:rsid w:val="00B05483"/>
    <w:rsid w:val="00B12825"/>
    <w:rsid w:val="00B260F8"/>
    <w:rsid w:val="00B37274"/>
    <w:rsid w:val="00B404FD"/>
    <w:rsid w:val="00B43C45"/>
    <w:rsid w:val="00B45D37"/>
    <w:rsid w:val="00B51197"/>
    <w:rsid w:val="00B515B7"/>
    <w:rsid w:val="00B529FF"/>
    <w:rsid w:val="00B6199C"/>
    <w:rsid w:val="00B65895"/>
    <w:rsid w:val="00B70CBC"/>
    <w:rsid w:val="00B865AE"/>
    <w:rsid w:val="00B877D7"/>
    <w:rsid w:val="00B91A6F"/>
    <w:rsid w:val="00B94E81"/>
    <w:rsid w:val="00B95D41"/>
    <w:rsid w:val="00B96400"/>
    <w:rsid w:val="00BB173B"/>
    <w:rsid w:val="00BC2315"/>
    <w:rsid w:val="00BC5B49"/>
    <w:rsid w:val="00BF484A"/>
    <w:rsid w:val="00C00057"/>
    <w:rsid w:val="00C002B9"/>
    <w:rsid w:val="00C071BD"/>
    <w:rsid w:val="00C14C4F"/>
    <w:rsid w:val="00C30E04"/>
    <w:rsid w:val="00C32450"/>
    <w:rsid w:val="00C3256E"/>
    <w:rsid w:val="00C42093"/>
    <w:rsid w:val="00C44B0D"/>
    <w:rsid w:val="00C6049E"/>
    <w:rsid w:val="00C60E22"/>
    <w:rsid w:val="00C7740C"/>
    <w:rsid w:val="00C90A08"/>
    <w:rsid w:val="00C91CD0"/>
    <w:rsid w:val="00CB45B6"/>
    <w:rsid w:val="00CB6C04"/>
    <w:rsid w:val="00CC14AD"/>
    <w:rsid w:val="00CC1937"/>
    <w:rsid w:val="00CC4C8B"/>
    <w:rsid w:val="00CD595E"/>
    <w:rsid w:val="00CD79C5"/>
    <w:rsid w:val="00CF1C60"/>
    <w:rsid w:val="00D0335E"/>
    <w:rsid w:val="00D061A1"/>
    <w:rsid w:val="00D14E0E"/>
    <w:rsid w:val="00D20EE6"/>
    <w:rsid w:val="00D25AFE"/>
    <w:rsid w:val="00D25F11"/>
    <w:rsid w:val="00D27786"/>
    <w:rsid w:val="00D44EFD"/>
    <w:rsid w:val="00D46AE2"/>
    <w:rsid w:val="00D50E3C"/>
    <w:rsid w:val="00D550B8"/>
    <w:rsid w:val="00D5717A"/>
    <w:rsid w:val="00D64B8E"/>
    <w:rsid w:val="00D76491"/>
    <w:rsid w:val="00D8717A"/>
    <w:rsid w:val="00D9014B"/>
    <w:rsid w:val="00DA0AC0"/>
    <w:rsid w:val="00DA11D1"/>
    <w:rsid w:val="00DC67C4"/>
    <w:rsid w:val="00DC7B7D"/>
    <w:rsid w:val="00DC7F66"/>
    <w:rsid w:val="00DE5E88"/>
    <w:rsid w:val="00DE7134"/>
    <w:rsid w:val="00DF35AF"/>
    <w:rsid w:val="00E15681"/>
    <w:rsid w:val="00E15730"/>
    <w:rsid w:val="00E175F0"/>
    <w:rsid w:val="00E30B45"/>
    <w:rsid w:val="00E31150"/>
    <w:rsid w:val="00E37103"/>
    <w:rsid w:val="00E44878"/>
    <w:rsid w:val="00E4666B"/>
    <w:rsid w:val="00E479BE"/>
    <w:rsid w:val="00E53F86"/>
    <w:rsid w:val="00E56567"/>
    <w:rsid w:val="00E575E4"/>
    <w:rsid w:val="00E70A7F"/>
    <w:rsid w:val="00E7508A"/>
    <w:rsid w:val="00E83E20"/>
    <w:rsid w:val="00E97459"/>
    <w:rsid w:val="00EB051A"/>
    <w:rsid w:val="00EB06EE"/>
    <w:rsid w:val="00EB137D"/>
    <w:rsid w:val="00EB1B9C"/>
    <w:rsid w:val="00EB2C29"/>
    <w:rsid w:val="00EB56D8"/>
    <w:rsid w:val="00EC6A5F"/>
    <w:rsid w:val="00ED6CCA"/>
    <w:rsid w:val="00ED6F5A"/>
    <w:rsid w:val="00EE186F"/>
    <w:rsid w:val="00EE6D69"/>
    <w:rsid w:val="00EF0C1A"/>
    <w:rsid w:val="00F00ACF"/>
    <w:rsid w:val="00F02FEB"/>
    <w:rsid w:val="00F047DB"/>
    <w:rsid w:val="00F0530B"/>
    <w:rsid w:val="00F054D4"/>
    <w:rsid w:val="00F141EA"/>
    <w:rsid w:val="00F147C6"/>
    <w:rsid w:val="00F15390"/>
    <w:rsid w:val="00F2093B"/>
    <w:rsid w:val="00F3043C"/>
    <w:rsid w:val="00F51237"/>
    <w:rsid w:val="00F52ECA"/>
    <w:rsid w:val="00F603DF"/>
    <w:rsid w:val="00F64376"/>
    <w:rsid w:val="00F746EA"/>
    <w:rsid w:val="00F92A3C"/>
    <w:rsid w:val="00F95051"/>
    <w:rsid w:val="00FA01B3"/>
    <w:rsid w:val="00FB2F6A"/>
    <w:rsid w:val="00FB48C8"/>
    <w:rsid w:val="00FB4C63"/>
    <w:rsid w:val="00FC6FF4"/>
    <w:rsid w:val="00FD0B61"/>
    <w:rsid w:val="00FD2CD0"/>
    <w:rsid w:val="00FE4AD8"/>
    <w:rsid w:val="00FF097C"/>
    <w:rsid w:val="00FF4646"/>
    <w:rsid w:val="00FF4F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2" w:uiPriority="99"/>
    <w:lsdException w:name="Body Text 3"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18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sid w:val="00D550B8"/>
    <w:rPr>
      <w:vertAlign w:val="superscript"/>
    </w:rPr>
  </w:style>
  <w:style w:type="paragraph" w:styleId="TOC8">
    <w:name w:val="toc 8"/>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D550B8"/>
    <w:rPr>
      <w:position w:val="6"/>
      <w:sz w:val="16"/>
    </w:rPr>
  </w:style>
  <w:style w:type="paragraph" w:styleId="FootnoteText">
    <w:name w:val="footnote text"/>
    <w:basedOn w:val="Normal"/>
    <w:link w:val="FootnoteTextChar"/>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link w:val="enumlev1Char"/>
    <w:rsid w:val="00646117"/>
    <w:pPr>
      <w:tabs>
        <w:tab w:val="clear" w:pos="794"/>
        <w:tab w:val="clear" w:pos="1191"/>
        <w:tab w:val="clear" w:pos="1588"/>
        <w:tab w:val="clear" w:pos="1985"/>
      </w:tabs>
      <w:spacing w:before="80"/>
      <w:ind w:left="794" w:hanging="794"/>
    </w:pPr>
  </w:style>
  <w:style w:type="character" w:customStyle="1" w:styleId="enumlev1Char">
    <w:name w:val="enumlev1 Char"/>
    <w:link w:val="enumlev1"/>
    <w:rsid w:val="00646117"/>
    <w:rPr>
      <w:rFonts w:ascii="Times New Roman" w:hAnsi="Times New Roman"/>
      <w:sz w:val="24"/>
      <w:lang w:val="en-GB" w:eastAsia="en-US"/>
    </w:r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Normalaftertitle">
    <w:name w:val="Normal after title"/>
    <w:basedOn w:val="Normal"/>
    <w:next w:val="Normal"/>
    <w:rsid w:val="00D550B8"/>
    <w:pPr>
      <w:spacing w:before="320"/>
    </w:p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Normal"/>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rsid w:val="00D550B8"/>
    <w:rPr>
      <w:color w:val="0000FF"/>
      <w:u w:val="single"/>
    </w:rPr>
  </w:style>
  <w:style w:type="character" w:styleId="FollowedHyperlink">
    <w:name w:val="FollowedHyperlink"/>
    <w:rsid w:val="00D550B8"/>
    <w:rPr>
      <w:color w:val="800080"/>
      <w:u w:val="single"/>
    </w:rPr>
  </w:style>
  <w:style w:type="paragraph" w:styleId="BodyText3">
    <w:name w:val="Body Text 3"/>
    <w:basedOn w:val="Normal"/>
    <w:link w:val="BodyText3Char"/>
    <w:uiPriority w:val="99"/>
    <w:rsid w:val="00697D21"/>
    <w:pPr>
      <w:spacing w:after="120"/>
    </w:pPr>
    <w:rPr>
      <w:rFonts w:eastAsia="Malgun Gothic"/>
      <w:sz w:val="16"/>
      <w:szCs w:val="16"/>
    </w:rPr>
  </w:style>
  <w:style w:type="character" w:customStyle="1" w:styleId="BodyText3Char">
    <w:name w:val="Body Text 3 Char"/>
    <w:link w:val="BodyText3"/>
    <w:uiPriority w:val="99"/>
    <w:rsid w:val="00697D21"/>
    <w:rPr>
      <w:rFonts w:ascii="Times New Roman" w:eastAsia="Malgun Gothic" w:hAnsi="Times New Roman"/>
      <w:sz w:val="16"/>
      <w:szCs w:val="16"/>
      <w:lang w:val="en-GB" w:eastAsia="en-US"/>
    </w:rPr>
  </w:style>
  <w:style w:type="paragraph" w:styleId="BalloonText">
    <w:name w:val="Balloon Text"/>
    <w:basedOn w:val="Normal"/>
    <w:link w:val="BalloonTextChar"/>
    <w:rsid w:val="00CB45B6"/>
    <w:pPr>
      <w:spacing w:before="0"/>
    </w:pPr>
    <w:rPr>
      <w:rFonts w:ascii="Tahoma" w:hAnsi="Tahoma" w:cs="Tahoma"/>
      <w:sz w:val="16"/>
      <w:szCs w:val="16"/>
    </w:rPr>
  </w:style>
  <w:style w:type="character" w:customStyle="1" w:styleId="BalloonTextChar">
    <w:name w:val="Balloon Text Char"/>
    <w:link w:val="BalloonText"/>
    <w:rsid w:val="00CB45B6"/>
    <w:rPr>
      <w:rFonts w:ascii="Tahoma" w:hAnsi="Tahoma" w:cs="Tahoma"/>
      <w:sz w:val="16"/>
      <w:szCs w:val="16"/>
      <w:lang w:val="en-GB" w:eastAsia="en-US"/>
    </w:rPr>
  </w:style>
  <w:style w:type="table" w:styleId="TableGrid">
    <w:name w:val="Table Grid"/>
    <w:basedOn w:val="TableNormal"/>
    <w:rsid w:val="00B9640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omref">
    <w:name w:val="from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bodytext21">
    <w:name w:val="bodytext21"/>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ituref0">
    <w:name w:val="itu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apple-converted-space">
    <w:name w:val="apple-converted-space"/>
    <w:basedOn w:val="DefaultParagraphFont"/>
    <w:rsid w:val="00F047DB"/>
  </w:style>
  <w:style w:type="character" w:styleId="Emphasis">
    <w:name w:val="Emphasis"/>
    <w:uiPriority w:val="20"/>
    <w:qFormat/>
    <w:rsid w:val="00690FA5"/>
    <w:rPr>
      <w:i/>
      <w:iCs/>
    </w:rPr>
  </w:style>
  <w:style w:type="paragraph" w:customStyle="1" w:styleId="AnnexNotitle">
    <w:name w:val="Annex_No &amp; title"/>
    <w:basedOn w:val="Normal"/>
    <w:next w:val="Normal"/>
    <w:rsid w:val="0040485D"/>
    <w:pPr>
      <w:keepNext/>
      <w:keepLines/>
      <w:spacing w:before="480"/>
      <w:jc w:val="center"/>
    </w:pPr>
    <w:rPr>
      <w:b/>
      <w:sz w:val="28"/>
    </w:rPr>
  </w:style>
  <w:style w:type="paragraph" w:customStyle="1" w:styleId="Headingb">
    <w:name w:val="Heading_b"/>
    <w:basedOn w:val="Normal"/>
    <w:next w:val="Normal"/>
    <w:rsid w:val="0040485D"/>
    <w:pPr>
      <w:keepNext/>
      <w:spacing w:before="160"/>
    </w:pPr>
    <w:rPr>
      <w:b/>
    </w:rPr>
  </w:style>
  <w:style w:type="paragraph" w:styleId="EndnoteText">
    <w:name w:val="endnote text"/>
    <w:basedOn w:val="Normal"/>
    <w:link w:val="EndnoteTextChar"/>
    <w:rsid w:val="0040485D"/>
    <w:pPr>
      <w:spacing w:before="0"/>
    </w:pPr>
    <w:rPr>
      <w:rFonts w:eastAsia="SimSun"/>
      <w:sz w:val="20"/>
    </w:rPr>
  </w:style>
  <w:style w:type="character" w:customStyle="1" w:styleId="EndnoteTextChar">
    <w:name w:val="Endnote Text Char"/>
    <w:link w:val="EndnoteText"/>
    <w:rsid w:val="0040485D"/>
    <w:rPr>
      <w:rFonts w:ascii="Times New Roman" w:eastAsia="SimSun" w:hAnsi="Times New Roman"/>
      <w:lang w:val="en-GB" w:eastAsia="en-US"/>
    </w:rPr>
  </w:style>
  <w:style w:type="paragraph" w:styleId="BodyText0">
    <w:name w:val="Body Text"/>
    <w:basedOn w:val="Normal"/>
    <w:link w:val="BodyTextChar"/>
    <w:rsid w:val="009D618F"/>
    <w:pPr>
      <w:spacing w:after="120"/>
    </w:pPr>
  </w:style>
  <w:style w:type="character" w:customStyle="1" w:styleId="BodyTextChar">
    <w:name w:val="Body Text Char"/>
    <w:link w:val="BodyText0"/>
    <w:rsid w:val="009D618F"/>
    <w:rPr>
      <w:rFonts w:ascii="Times New Roman" w:hAnsi="Times New Roman"/>
      <w:sz w:val="24"/>
      <w:lang w:val="en-GB" w:eastAsia="en-US"/>
    </w:rPr>
  </w:style>
  <w:style w:type="paragraph" w:styleId="ListParagraph">
    <w:name w:val="List Paragraph"/>
    <w:basedOn w:val="Normal"/>
    <w:uiPriority w:val="34"/>
    <w:qFormat/>
    <w:rsid w:val="006B3D29"/>
    <w:pPr>
      <w:overflowPunct/>
      <w:autoSpaceDE/>
      <w:autoSpaceDN/>
      <w:adjustRightInd/>
      <w:ind w:left="720"/>
      <w:contextualSpacing/>
      <w:textAlignment w:val="auto"/>
    </w:pPr>
  </w:style>
  <w:style w:type="character" w:customStyle="1" w:styleId="FootnoteTextChar">
    <w:name w:val="Footnote Text Char"/>
    <w:link w:val="FootnoteText"/>
    <w:semiHidden/>
    <w:rsid w:val="0009611D"/>
    <w:rPr>
      <w:rFonts w:ascii="Times New Roman" w:hAnsi="Times New Roman"/>
      <w:sz w:val="24"/>
      <w:lang w:val="en-GB" w:eastAsia="en-US"/>
    </w:rPr>
  </w:style>
  <w:style w:type="paragraph" w:customStyle="1" w:styleId="Reasons">
    <w:name w:val="Reasons"/>
    <w:basedOn w:val="Normal"/>
    <w:qFormat/>
    <w:rsid w:val="000D3FAD"/>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atn">
    <w:name w:val="atn"/>
    <w:basedOn w:val="DefaultParagraphFont"/>
    <w:rsid w:val="000D3FAD"/>
  </w:style>
  <w:style w:type="character" w:customStyle="1" w:styleId="hps">
    <w:name w:val="hps"/>
    <w:basedOn w:val="DefaultParagraphFont"/>
    <w:rsid w:val="000D3FAD"/>
  </w:style>
  <w:style w:type="character" w:customStyle="1" w:styleId="shorttext">
    <w:name w:val="short_text"/>
    <w:basedOn w:val="DefaultParagraphFont"/>
    <w:rsid w:val="000D3F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2" w:uiPriority="99"/>
    <w:lsdException w:name="Body Text 3"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18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sid w:val="00D550B8"/>
    <w:rPr>
      <w:vertAlign w:val="superscript"/>
    </w:rPr>
  </w:style>
  <w:style w:type="paragraph" w:styleId="TOC8">
    <w:name w:val="toc 8"/>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D550B8"/>
    <w:rPr>
      <w:position w:val="6"/>
      <w:sz w:val="16"/>
    </w:rPr>
  </w:style>
  <w:style w:type="paragraph" w:styleId="FootnoteText">
    <w:name w:val="footnote text"/>
    <w:basedOn w:val="Normal"/>
    <w:link w:val="FootnoteTextChar"/>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link w:val="enumlev1Char"/>
    <w:rsid w:val="00646117"/>
    <w:pPr>
      <w:tabs>
        <w:tab w:val="clear" w:pos="794"/>
        <w:tab w:val="clear" w:pos="1191"/>
        <w:tab w:val="clear" w:pos="1588"/>
        <w:tab w:val="clear" w:pos="1985"/>
      </w:tabs>
      <w:spacing w:before="80"/>
      <w:ind w:left="794" w:hanging="794"/>
    </w:pPr>
  </w:style>
  <w:style w:type="character" w:customStyle="1" w:styleId="enumlev1Char">
    <w:name w:val="enumlev1 Char"/>
    <w:link w:val="enumlev1"/>
    <w:rsid w:val="00646117"/>
    <w:rPr>
      <w:rFonts w:ascii="Times New Roman" w:hAnsi="Times New Roman"/>
      <w:sz w:val="24"/>
      <w:lang w:val="en-GB" w:eastAsia="en-US"/>
    </w:r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Normalaftertitle">
    <w:name w:val="Normal after title"/>
    <w:basedOn w:val="Normal"/>
    <w:next w:val="Normal"/>
    <w:rsid w:val="00D550B8"/>
    <w:pPr>
      <w:spacing w:before="320"/>
    </w:p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Normal"/>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rsid w:val="00D550B8"/>
    <w:rPr>
      <w:color w:val="0000FF"/>
      <w:u w:val="single"/>
    </w:rPr>
  </w:style>
  <w:style w:type="character" w:styleId="FollowedHyperlink">
    <w:name w:val="FollowedHyperlink"/>
    <w:rsid w:val="00D550B8"/>
    <w:rPr>
      <w:color w:val="800080"/>
      <w:u w:val="single"/>
    </w:rPr>
  </w:style>
  <w:style w:type="paragraph" w:styleId="BodyText3">
    <w:name w:val="Body Text 3"/>
    <w:basedOn w:val="Normal"/>
    <w:link w:val="BodyText3Char"/>
    <w:uiPriority w:val="99"/>
    <w:rsid w:val="00697D21"/>
    <w:pPr>
      <w:spacing w:after="120"/>
    </w:pPr>
    <w:rPr>
      <w:rFonts w:eastAsia="Malgun Gothic"/>
      <w:sz w:val="16"/>
      <w:szCs w:val="16"/>
    </w:rPr>
  </w:style>
  <w:style w:type="character" w:customStyle="1" w:styleId="BodyText3Char">
    <w:name w:val="Body Text 3 Char"/>
    <w:link w:val="BodyText3"/>
    <w:uiPriority w:val="99"/>
    <w:rsid w:val="00697D21"/>
    <w:rPr>
      <w:rFonts w:ascii="Times New Roman" w:eastAsia="Malgun Gothic" w:hAnsi="Times New Roman"/>
      <w:sz w:val="16"/>
      <w:szCs w:val="16"/>
      <w:lang w:val="en-GB" w:eastAsia="en-US"/>
    </w:rPr>
  </w:style>
  <w:style w:type="paragraph" w:styleId="BalloonText">
    <w:name w:val="Balloon Text"/>
    <w:basedOn w:val="Normal"/>
    <w:link w:val="BalloonTextChar"/>
    <w:rsid w:val="00CB45B6"/>
    <w:pPr>
      <w:spacing w:before="0"/>
    </w:pPr>
    <w:rPr>
      <w:rFonts w:ascii="Tahoma" w:hAnsi="Tahoma" w:cs="Tahoma"/>
      <w:sz w:val="16"/>
      <w:szCs w:val="16"/>
    </w:rPr>
  </w:style>
  <w:style w:type="character" w:customStyle="1" w:styleId="BalloonTextChar">
    <w:name w:val="Balloon Text Char"/>
    <w:link w:val="BalloonText"/>
    <w:rsid w:val="00CB45B6"/>
    <w:rPr>
      <w:rFonts w:ascii="Tahoma" w:hAnsi="Tahoma" w:cs="Tahoma"/>
      <w:sz w:val="16"/>
      <w:szCs w:val="16"/>
      <w:lang w:val="en-GB" w:eastAsia="en-US"/>
    </w:rPr>
  </w:style>
  <w:style w:type="table" w:styleId="TableGrid">
    <w:name w:val="Table Grid"/>
    <w:basedOn w:val="TableNormal"/>
    <w:rsid w:val="00B9640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omref">
    <w:name w:val="from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bodytext21">
    <w:name w:val="bodytext21"/>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ituref0">
    <w:name w:val="itu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apple-converted-space">
    <w:name w:val="apple-converted-space"/>
    <w:basedOn w:val="DefaultParagraphFont"/>
    <w:rsid w:val="00F047DB"/>
  </w:style>
  <w:style w:type="character" w:styleId="Emphasis">
    <w:name w:val="Emphasis"/>
    <w:uiPriority w:val="20"/>
    <w:qFormat/>
    <w:rsid w:val="00690FA5"/>
    <w:rPr>
      <w:i/>
      <w:iCs/>
    </w:rPr>
  </w:style>
  <w:style w:type="paragraph" w:customStyle="1" w:styleId="AnnexNotitle">
    <w:name w:val="Annex_No &amp; title"/>
    <w:basedOn w:val="Normal"/>
    <w:next w:val="Normal"/>
    <w:rsid w:val="0040485D"/>
    <w:pPr>
      <w:keepNext/>
      <w:keepLines/>
      <w:spacing w:before="480"/>
      <w:jc w:val="center"/>
    </w:pPr>
    <w:rPr>
      <w:b/>
      <w:sz w:val="28"/>
    </w:rPr>
  </w:style>
  <w:style w:type="paragraph" w:customStyle="1" w:styleId="Headingb">
    <w:name w:val="Heading_b"/>
    <w:basedOn w:val="Normal"/>
    <w:next w:val="Normal"/>
    <w:rsid w:val="0040485D"/>
    <w:pPr>
      <w:keepNext/>
      <w:spacing w:before="160"/>
    </w:pPr>
    <w:rPr>
      <w:b/>
    </w:rPr>
  </w:style>
  <w:style w:type="paragraph" w:styleId="EndnoteText">
    <w:name w:val="endnote text"/>
    <w:basedOn w:val="Normal"/>
    <w:link w:val="EndnoteTextChar"/>
    <w:rsid w:val="0040485D"/>
    <w:pPr>
      <w:spacing w:before="0"/>
    </w:pPr>
    <w:rPr>
      <w:rFonts w:eastAsia="SimSun"/>
      <w:sz w:val="20"/>
    </w:rPr>
  </w:style>
  <w:style w:type="character" w:customStyle="1" w:styleId="EndnoteTextChar">
    <w:name w:val="Endnote Text Char"/>
    <w:link w:val="EndnoteText"/>
    <w:rsid w:val="0040485D"/>
    <w:rPr>
      <w:rFonts w:ascii="Times New Roman" w:eastAsia="SimSun" w:hAnsi="Times New Roman"/>
      <w:lang w:val="en-GB" w:eastAsia="en-US"/>
    </w:rPr>
  </w:style>
  <w:style w:type="paragraph" w:styleId="BodyText0">
    <w:name w:val="Body Text"/>
    <w:basedOn w:val="Normal"/>
    <w:link w:val="BodyTextChar"/>
    <w:rsid w:val="009D618F"/>
    <w:pPr>
      <w:spacing w:after="120"/>
    </w:pPr>
  </w:style>
  <w:style w:type="character" w:customStyle="1" w:styleId="BodyTextChar">
    <w:name w:val="Body Text Char"/>
    <w:link w:val="BodyText0"/>
    <w:rsid w:val="009D618F"/>
    <w:rPr>
      <w:rFonts w:ascii="Times New Roman" w:hAnsi="Times New Roman"/>
      <w:sz w:val="24"/>
      <w:lang w:val="en-GB" w:eastAsia="en-US"/>
    </w:rPr>
  </w:style>
  <w:style w:type="paragraph" w:styleId="ListParagraph">
    <w:name w:val="List Paragraph"/>
    <w:basedOn w:val="Normal"/>
    <w:uiPriority w:val="34"/>
    <w:qFormat/>
    <w:rsid w:val="006B3D29"/>
    <w:pPr>
      <w:overflowPunct/>
      <w:autoSpaceDE/>
      <w:autoSpaceDN/>
      <w:adjustRightInd/>
      <w:ind w:left="720"/>
      <w:contextualSpacing/>
      <w:textAlignment w:val="auto"/>
    </w:pPr>
  </w:style>
  <w:style w:type="character" w:customStyle="1" w:styleId="FootnoteTextChar">
    <w:name w:val="Footnote Text Char"/>
    <w:link w:val="FootnoteText"/>
    <w:semiHidden/>
    <w:rsid w:val="0009611D"/>
    <w:rPr>
      <w:rFonts w:ascii="Times New Roman" w:hAnsi="Times New Roman"/>
      <w:sz w:val="24"/>
      <w:lang w:val="en-GB" w:eastAsia="en-US"/>
    </w:rPr>
  </w:style>
  <w:style w:type="paragraph" w:customStyle="1" w:styleId="Reasons">
    <w:name w:val="Reasons"/>
    <w:basedOn w:val="Normal"/>
    <w:qFormat/>
    <w:rsid w:val="000D3FAD"/>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atn">
    <w:name w:val="atn"/>
    <w:basedOn w:val="DefaultParagraphFont"/>
    <w:rsid w:val="000D3FAD"/>
  </w:style>
  <w:style w:type="character" w:customStyle="1" w:styleId="hps">
    <w:name w:val="hps"/>
    <w:basedOn w:val="DefaultParagraphFont"/>
    <w:rsid w:val="000D3FAD"/>
  </w:style>
  <w:style w:type="character" w:customStyle="1" w:styleId="shorttext">
    <w:name w:val="short_text"/>
    <w:basedOn w:val="DefaultParagraphFont"/>
    <w:rsid w:val="000D3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59142">
      <w:bodyDiv w:val="1"/>
      <w:marLeft w:val="0"/>
      <w:marRight w:val="0"/>
      <w:marTop w:val="0"/>
      <w:marBottom w:val="0"/>
      <w:divBdr>
        <w:top w:val="none" w:sz="0" w:space="0" w:color="auto"/>
        <w:left w:val="none" w:sz="0" w:space="0" w:color="auto"/>
        <w:bottom w:val="none" w:sz="0" w:space="0" w:color="auto"/>
        <w:right w:val="none" w:sz="0" w:space="0" w:color="auto"/>
      </w:divBdr>
    </w:div>
    <w:div w:id="731971958">
      <w:bodyDiv w:val="1"/>
      <w:marLeft w:val="0"/>
      <w:marRight w:val="0"/>
      <w:marTop w:val="0"/>
      <w:marBottom w:val="0"/>
      <w:divBdr>
        <w:top w:val="none" w:sz="0" w:space="0" w:color="auto"/>
        <w:left w:val="none" w:sz="0" w:space="0" w:color="auto"/>
        <w:bottom w:val="none" w:sz="0" w:space="0" w:color="auto"/>
        <w:right w:val="none" w:sz="0" w:space="0" w:color="auto"/>
      </w:divBdr>
    </w:div>
    <w:div w:id="1448617287">
      <w:bodyDiv w:val="1"/>
      <w:marLeft w:val="0"/>
      <w:marRight w:val="0"/>
      <w:marTop w:val="0"/>
      <w:marBottom w:val="0"/>
      <w:divBdr>
        <w:top w:val="none" w:sz="0" w:space="0" w:color="auto"/>
        <w:left w:val="none" w:sz="0" w:space="0" w:color="auto"/>
        <w:bottom w:val="none" w:sz="0" w:space="0" w:color="auto"/>
        <w:right w:val="none" w:sz="0" w:space="0" w:color="auto"/>
      </w:divBdr>
    </w:div>
    <w:div w:id="17906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s.bldrdoc.gov/vqeg/meetings/boulder,-co,-usa-january-21-25,-2014.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tu.int/en/irg/avq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g6@itu.int" TargetMode="External"/><Relationship Id="rId5" Type="http://schemas.openxmlformats.org/officeDocument/2006/relationships/settings" Target="settings.xml"/><Relationship Id="rId15" Type="http://schemas.openxmlformats.org/officeDocument/2006/relationships/hyperlink" Target="http://www.itu.int/oth/T0A0F000006/en" TargetMode="External"/><Relationship Id="rId10" Type="http://schemas.openxmlformats.org/officeDocument/2006/relationships/hyperlink" Target="mailto:tsbsg9@itu.in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itu.int/en/ITU-R/conferences/rag/Documents/SUMOFCONCLFINAL.docx&#35758;&#39033;5"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NmericalSquare.XSL" StyleName="APA - Numerical with Square Brackets"/>
</file>

<file path=customXml/itemProps1.xml><?xml version="1.0" encoding="utf-8"?>
<ds:datastoreItem xmlns:ds="http://schemas.openxmlformats.org/officeDocument/2006/customXml" ds:itemID="{4BBB9DFB-4A01-47FC-B392-841FAF368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PE_TSBCIRC1.DOT</Template>
  <TotalTime>8</TotalTime>
  <Pages>5</Pages>
  <Words>2451</Words>
  <Characters>1420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3864</CharactersWithSpaces>
  <SharedDoc>false</SharedDoc>
  <HLinks>
    <vt:vector size="48" baseType="variant">
      <vt:variant>
        <vt:i4>7143544</vt:i4>
      </vt:variant>
      <vt:variant>
        <vt:i4>21</vt:i4>
      </vt:variant>
      <vt:variant>
        <vt:i4>0</vt:i4>
      </vt:variant>
      <vt:variant>
        <vt:i4>5</vt:i4>
      </vt:variant>
      <vt:variant>
        <vt:lpwstr>http://itu.int/ITU-T/go/sg5</vt:lpwstr>
      </vt:variant>
      <vt:variant>
        <vt:lpwstr/>
      </vt:variant>
      <vt:variant>
        <vt:i4>7667714</vt:i4>
      </vt:variant>
      <vt:variant>
        <vt:i4>18</vt:i4>
      </vt:variant>
      <vt:variant>
        <vt:i4>0</vt:i4>
      </vt:variant>
      <vt:variant>
        <vt:i4>5</vt:i4>
      </vt:variant>
      <vt:variant>
        <vt:lpwstr>mailto:ccarrasco@mtc.gob.pe</vt:lpwstr>
      </vt:variant>
      <vt:variant>
        <vt:lpwstr/>
      </vt:variant>
      <vt:variant>
        <vt:i4>1048628</vt:i4>
      </vt:variant>
      <vt:variant>
        <vt:i4>15</vt:i4>
      </vt:variant>
      <vt:variant>
        <vt:i4>0</vt:i4>
      </vt:variant>
      <vt:variant>
        <vt:i4>5</vt:i4>
      </vt:variant>
      <vt:variant>
        <vt:lpwstr>mailto:tsbfgswm@itu.int</vt:lpwstr>
      </vt:variant>
      <vt:variant>
        <vt:lpwstr/>
      </vt:variant>
      <vt:variant>
        <vt:i4>2687097</vt:i4>
      </vt:variant>
      <vt:variant>
        <vt:i4>9</vt:i4>
      </vt:variant>
      <vt:variant>
        <vt:i4>0</vt:i4>
      </vt:variant>
      <vt:variant>
        <vt:i4>5</vt:i4>
      </vt:variant>
      <vt:variant>
        <vt:lpwstr>http://itu.int/en/ITU-T/climatechange/</vt:lpwstr>
      </vt:variant>
      <vt:variant>
        <vt:lpwstr/>
      </vt:variant>
      <vt:variant>
        <vt:i4>7143544</vt:i4>
      </vt:variant>
      <vt:variant>
        <vt:i4>6</vt:i4>
      </vt:variant>
      <vt:variant>
        <vt:i4>0</vt:i4>
      </vt:variant>
      <vt:variant>
        <vt:i4>5</vt:i4>
      </vt:variant>
      <vt:variant>
        <vt:lpwstr>http://itu.int/ITU-T/go/sg5</vt:lpwstr>
      </vt:variant>
      <vt:variant>
        <vt:lpwstr/>
      </vt:variant>
      <vt:variant>
        <vt:i4>2883685</vt:i4>
      </vt:variant>
      <vt:variant>
        <vt:i4>3</vt:i4>
      </vt:variant>
      <vt:variant>
        <vt:i4>0</vt:i4>
      </vt:variant>
      <vt:variant>
        <vt:i4>5</vt:i4>
      </vt:variant>
      <vt:variant>
        <vt:lpwstr>http://itu.int/en/ITU-T/focusgroups/swm</vt:lpwstr>
      </vt:variant>
      <vt:variant>
        <vt:lpwstr/>
      </vt:variant>
      <vt:variant>
        <vt:i4>1048628</vt:i4>
      </vt:variant>
      <vt:variant>
        <vt:i4>0</vt:i4>
      </vt:variant>
      <vt:variant>
        <vt:i4>0</vt:i4>
      </vt:variant>
      <vt:variant>
        <vt:i4>5</vt:i4>
      </vt:variant>
      <vt:variant>
        <vt:lpwstr>mailto:tsbfgswm@itu.int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Song, Xiaojing</cp:lastModifiedBy>
  <cp:revision>8</cp:revision>
  <cp:lastPrinted>2014-01-22T07:14:00Z</cp:lastPrinted>
  <dcterms:created xsi:type="dcterms:W3CDTF">2014-01-22T07:11:00Z</dcterms:created>
  <dcterms:modified xsi:type="dcterms:W3CDTF">2014-01-22T07:21:00Z</dcterms:modified>
</cp:coreProperties>
</file>