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F05F59" w:rsidP="00F05F59">
            <w:pPr>
              <w:spacing w:before="0"/>
              <w:jc w:val="left"/>
              <w:rPr>
                <w:b/>
                <w:bCs/>
                <w:sz w:val="28"/>
                <w:szCs w:val="28"/>
                <w:lang w:val="fr-CH"/>
              </w:rPr>
            </w:pPr>
            <w:bookmarkStart w:id="0" w:name="dnum"/>
            <w:bookmarkEnd w:id="0"/>
            <w:r>
              <w:rPr>
                <w:b/>
                <w:bCs/>
              </w:rPr>
              <w:t>CACE/</w:t>
            </w:r>
            <w:r w:rsidR="00A837F9">
              <w:rPr>
                <w:b/>
                <w:bCs/>
              </w:rPr>
              <w:t>652</w:t>
            </w:r>
          </w:p>
        </w:tc>
        <w:tc>
          <w:tcPr>
            <w:tcW w:w="2835" w:type="dxa"/>
            <w:shd w:val="clear" w:color="auto" w:fill="auto"/>
          </w:tcPr>
          <w:p w:rsidR="00E53DCE" w:rsidRPr="005E65C3" w:rsidRDefault="009331D7" w:rsidP="006160CB">
            <w:pPr>
              <w:spacing w:before="0"/>
              <w:jc w:val="right"/>
              <w:rPr>
                <w:szCs w:val="24"/>
                <w:lang w:val="en-GB"/>
              </w:rPr>
            </w:pPr>
            <w:r>
              <w:rPr>
                <w:szCs w:val="24"/>
                <w:lang w:val="en-GB"/>
              </w:rPr>
              <w:t xml:space="preserve">le </w:t>
            </w:r>
            <w:r w:rsidR="00A837F9">
              <w:rPr>
                <w:szCs w:val="24"/>
                <w:lang w:val="en-GB"/>
              </w:rPr>
              <w:t>20 décembre 2013</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821051" w:rsidTr="006160CB">
        <w:tc>
          <w:tcPr>
            <w:tcW w:w="9889" w:type="dxa"/>
            <w:gridSpan w:val="3"/>
            <w:shd w:val="clear" w:color="auto" w:fill="auto"/>
          </w:tcPr>
          <w:p w:rsidR="00E53DCE" w:rsidRPr="00C16F89" w:rsidRDefault="00F05F59" w:rsidP="00A837F9">
            <w:pPr>
              <w:spacing w:before="0"/>
              <w:jc w:val="left"/>
              <w:rPr>
                <w:b/>
                <w:bCs/>
                <w:szCs w:val="24"/>
                <w:lang w:val="fr-CH"/>
              </w:rPr>
            </w:pPr>
            <w:r w:rsidRPr="000D290C">
              <w:rPr>
                <w:b/>
                <w:lang w:val="fr-CH"/>
              </w:rPr>
              <w:t>Aux Administrations des Etats Membres de l</w:t>
            </w:r>
            <w:r>
              <w:rPr>
                <w:b/>
                <w:lang w:val="fr-CH"/>
              </w:rPr>
              <w:t>'</w:t>
            </w:r>
            <w:r w:rsidR="005E65C3">
              <w:rPr>
                <w:b/>
                <w:lang w:val="fr-CH"/>
              </w:rPr>
              <w:t>UIT, aux Membres du Secteur des </w:t>
            </w:r>
            <w:r w:rsidRPr="000D290C">
              <w:rPr>
                <w:b/>
                <w:lang w:val="fr-CH"/>
              </w:rPr>
              <w:t>radiocommunications</w:t>
            </w:r>
            <w:r>
              <w:rPr>
                <w:b/>
                <w:lang w:val="fr-CH"/>
              </w:rPr>
              <w:t xml:space="preserve">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Pr>
                <w:b/>
                <w:bCs/>
                <w:lang w:val="fr-CH"/>
              </w:rPr>
              <w:t>-</w:t>
            </w:r>
            <w:r w:rsidRPr="000D290C">
              <w:rPr>
                <w:b/>
                <w:bCs/>
                <w:lang w:val="fr-CH"/>
              </w:rPr>
              <w:t>R</w:t>
            </w:r>
            <w:r w:rsidRPr="000D290C">
              <w:rPr>
                <w:b/>
                <w:lang w:val="fr-CH"/>
              </w:rPr>
              <w:t xml:space="preserve"> participant aux tra</w:t>
            </w:r>
            <w:r>
              <w:rPr>
                <w:b/>
                <w:lang w:val="fr-CH"/>
              </w:rPr>
              <w:t>vaux</w:t>
            </w:r>
            <w:r>
              <w:rPr>
                <w:b/>
                <w:lang w:val="fr-CH"/>
              </w:rPr>
              <w:br/>
              <w:t>de la Commission d'études </w:t>
            </w:r>
            <w:r w:rsidR="00A837F9">
              <w:rPr>
                <w:b/>
                <w:lang w:val="fr-CH"/>
              </w:rPr>
              <w:t>5</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821051"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821051"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821051"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F05F59" w:rsidRPr="005E65C3" w:rsidRDefault="00F05F59" w:rsidP="009331D7">
            <w:pPr>
              <w:tabs>
                <w:tab w:val="clear" w:pos="794"/>
                <w:tab w:val="clear" w:pos="1191"/>
                <w:tab w:val="clear" w:pos="1588"/>
                <w:tab w:val="clear" w:pos="1985"/>
                <w:tab w:val="left" w:pos="1134"/>
              </w:tabs>
              <w:spacing w:before="0"/>
              <w:ind w:left="34"/>
              <w:jc w:val="left"/>
              <w:rPr>
                <w:b/>
                <w:bCs/>
                <w:lang w:val="fr-CH"/>
              </w:rPr>
            </w:pPr>
            <w:r>
              <w:rPr>
                <w:b/>
                <w:bCs/>
                <w:lang w:val="fr-CH"/>
              </w:rPr>
              <w:t xml:space="preserve">Commission d'études </w:t>
            </w:r>
            <w:r w:rsidR="00A837F9">
              <w:rPr>
                <w:b/>
                <w:bCs/>
                <w:lang w:val="fr-CH"/>
              </w:rPr>
              <w:t>5</w:t>
            </w:r>
            <w:r>
              <w:rPr>
                <w:b/>
                <w:bCs/>
                <w:lang w:val="fr-CH"/>
              </w:rPr>
              <w:t xml:space="preserve"> des radiocommunications </w:t>
            </w:r>
            <w:r w:rsidRPr="005E65C3">
              <w:rPr>
                <w:b/>
                <w:bCs/>
                <w:lang w:val="fr-CH"/>
              </w:rPr>
              <w:t>(</w:t>
            </w:r>
            <w:r w:rsidR="00A837F9">
              <w:rPr>
                <w:b/>
                <w:bCs/>
                <w:lang w:val="fr-CH"/>
              </w:rPr>
              <w:t xml:space="preserve">Services de </w:t>
            </w:r>
            <w:r w:rsidR="009331D7">
              <w:rPr>
                <w:b/>
                <w:bCs/>
                <w:lang w:val="fr-CH"/>
              </w:rPr>
              <w:t>t</w:t>
            </w:r>
            <w:r w:rsidR="00A837F9">
              <w:rPr>
                <w:b/>
                <w:bCs/>
                <w:lang w:val="fr-CH"/>
              </w:rPr>
              <w:t>erre</w:t>
            </w:r>
            <w:r w:rsidRPr="005E65C3">
              <w:rPr>
                <w:b/>
                <w:bCs/>
                <w:lang w:val="fr-CH"/>
              </w:rPr>
              <w:t>)</w:t>
            </w:r>
          </w:p>
          <w:p w:rsidR="00F05F59" w:rsidRPr="00700EAE" w:rsidRDefault="00F05F59" w:rsidP="00A837F9">
            <w:pPr>
              <w:pStyle w:val="enumlev2"/>
              <w:tabs>
                <w:tab w:val="clear" w:pos="1588"/>
                <w:tab w:val="left" w:pos="439"/>
              </w:tabs>
              <w:spacing w:after="80"/>
              <w:ind w:left="443" w:hanging="403"/>
              <w:jc w:val="left"/>
              <w:rPr>
                <w:b/>
                <w:lang w:val="fr-CH"/>
              </w:rPr>
            </w:pPr>
            <w:r w:rsidRPr="00700EAE">
              <w:rPr>
                <w:b/>
                <w:lang w:val="fr-CH"/>
              </w:rPr>
              <w:t>–</w:t>
            </w:r>
            <w:r w:rsidRPr="00700EAE">
              <w:rPr>
                <w:b/>
                <w:lang w:val="fr-CH"/>
              </w:rPr>
              <w:tab/>
              <w:t>Proposition d</w:t>
            </w:r>
            <w:r>
              <w:rPr>
                <w:b/>
                <w:lang w:val="fr-CH"/>
              </w:rPr>
              <w:t>'</w:t>
            </w:r>
            <w:r w:rsidR="00A837F9">
              <w:rPr>
                <w:b/>
                <w:lang w:val="fr-CH"/>
              </w:rPr>
              <w:t>approbation d'un projet</w:t>
            </w:r>
            <w:r w:rsidRPr="00700EAE">
              <w:rPr>
                <w:b/>
                <w:lang w:val="fr-CH"/>
              </w:rPr>
              <w:t xml:space="preserve"> de nouvelle Recommandation UIT-R et de </w:t>
            </w:r>
            <w:r w:rsidR="00A837F9">
              <w:rPr>
                <w:b/>
                <w:lang w:val="fr-CH"/>
              </w:rPr>
              <w:t>quatre projets</w:t>
            </w:r>
            <w:r w:rsidRPr="00700EAE">
              <w:rPr>
                <w:b/>
                <w:lang w:val="fr-CH"/>
              </w:rPr>
              <w:t xml:space="preserve"> de Recommandation UIT-R révisée </w:t>
            </w:r>
          </w:p>
          <w:p w:rsidR="00E53DCE" w:rsidRPr="00F05F59" w:rsidRDefault="00F05F59" w:rsidP="00A837F9">
            <w:pPr>
              <w:tabs>
                <w:tab w:val="clear" w:pos="1588"/>
                <w:tab w:val="left" w:pos="439"/>
                <w:tab w:val="left" w:pos="1560"/>
              </w:tabs>
              <w:spacing w:before="0"/>
              <w:ind w:left="34" w:firstLine="5"/>
              <w:jc w:val="left"/>
              <w:rPr>
                <w:b/>
                <w:bCs/>
                <w:szCs w:val="24"/>
                <w:lang w:val="fr-CH"/>
              </w:rPr>
            </w:pPr>
            <w:r w:rsidRPr="00700EAE">
              <w:rPr>
                <w:b/>
                <w:lang w:val="fr-CH"/>
              </w:rPr>
              <w:t>–</w:t>
            </w:r>
            <w:r w:rsidRPr="00700EAE">
              <w:rPr>
                <w:b/>
                <w:lang w:val="fr-CH"/>
              </w:rPr>
              <w:tab/>
              <w:t xml:space="preserve">Proposition de suppression de </w:t>
            </w:r>
            <w:r w:rsidR="00A837F9">
              <w:rPr>
                <w:b/>
                <w:lang w:val="fr-CH"/>
              </w:rPr>
              <w:t>quatre Recommandations</w:t>
            </w:r>
            <w:r w:rsidRPr="00700EAE">
              <w:rPr>
                <w:b/>
                <w:lang w:val="fr-CH"/>
              </w:rPr>
              <w:t xml:space="preserve"> UIT-R</w:t>
            </w:r>
          </w:p>
        </w:tc>
      </w:tr>
      <w:tr w:rsidR="00E53DCE" w:rsidRPr="00821051" w:rsidTr="006160CB">
        <w:tc>
          <w:tcPr>
            <w:tcW w:w="1526" w:type="dxa"/>
            <w:shd w:val="clear" w:color="auto" w:fill="auto"/>
          </w:tcPr>
          <w:p w:rsidR="00E53DCE" w:rsidRPr="00F05F5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05F59" w:rsidRDefault="00E53DCE" w:rsidP="006160CB">
            <w:pPr>
              <w:tabs>
                <w:tab w:val="clear" w:pos="1588"/>
                <w:tab w:val="left" w:pos="1560"/>
              </w:tabs>
              <w:spacing w:before="0"/>
              <w:rPr>
                <w:b/>
                <w:bCs/>
                <w:szCs w:val="24"/>
                <w:lang w:val="fr-CH"/>
              </w:rPr>
            </w:pPr>
          </w:p>
        </w:tc>
      </w:tr>
      <w:tr w:rsidR="00E53DCE" w:rsidRPr="00821051" w:rsidTr="006160CB">
        <w:tc>
          <w:tcPr>
            <w:tcW w:w="1526" w:type="dxa"/>
            <w:shd w:val="clear" w:color="auto" w:fill="auto"/>
          </w:tcPr>
          <w:p w:rsidR="00E53DCE" w:rsidRPr="00F05F5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05F59" w:rsidRDefault="00E53DCE" w:rsidP="006160CB">
            <w:pPr>
              <w:tabs>
                <w:tab w:val="clear" w:pos="1588"/>
                <w:tab w:val="left" w:pos="1560"/>
              </w:tabs>
              <w:spacing w:before="0"/>
              <w:rPr>
                <w:b/>
                <w:bCs/>
                <w:szCs w:val="24"/>
                <w:lang w:val="fr-CH"/>
              </w:rPr>
            </w:pPr>
          </w:p>
        </w:tc>
      </w:tr>
      <w:tr w:rsidR="00E53DCE" w:rsidRPr="00821051" w:rsidTr="006160CB">
        <w:tc>
          <w:tcPr>
            <w:tcW w:w="9889" w:type="dxa"/>
            <w:gridSpan w:val="3"/>
            <w:shd w:val="clear" w:color="auto" w:fill="auto"/>
          </w:tcPr>
          <w:p w:rsidR="00E53DCE" w:rsidRPr="00F05F59" w:rsidRDefault="00E53DCE" w:rsidP="00E53DCE">
            <w:pPr>
              <w:tabs>
                <w:tab w:val="clear" w:pos="1588"/>
                <w:tab w:val="left" w:pos="1560"/>
              </w:tabs>
              <w:spacing w:before="0"/>
              <w:jc w:val="left"/>
              <w:rPr>
                <w:szCs w:val="24"/>
                <w:lang w:val="fr-CH"/>
              </w:rPr>
            </w:pPr>
          </w:p>
        </w:tc>
      </w:tr>
      <w:tr w:rsidR="00E53DCE" w:rsidRPr="00821051" w:rsidTr="006160CB">
        <w:tc>
          <w:tcPr>
            <w:tcW w:w="9889" w:type="dxa"/>
            <w:gridSpan w:val="3"/>
            <w:shd w:val="clear" w:color="auto" w:fill="auto"/>
          </w:tcPr>
          <w:p w:rsidR="00E53DCE" w:rsidRPr="00F05F59" w:rsidRDefault="00E53DCE" w:rsidP="006160CB">
            <w:pPr>
              <w:spacing w:before="0"/>
              <w:jc w:val="left"/>
              <w:rPr>
                <w:b/>
                <w:bCs/>
                <w:szCs w:val="24"/>
                <w:lang w:val="fr-CH"/>
              </w:rPr>
            </w:pPr>
          </w:p>
        </w:tc>
      </w:tr>
    </w:tbl>
    <w:p w:rsidR="00F05F59" w:rsidRPr="0083107E" w:rsidRDefault="00F05F59" w:rsidP="00CB24BC">
      <w:pPr>
        <w:spacing w:before="600"/>
        <w:rPr>
          <w:lang w:val="fr-CH"/>
        </w:rPr>
      </w:pPr>
      <w:r>
        <w:rPr>
          <w:lang w:val="fr-CH"/>
        </w:rPr>
        <w:t>A s</w:t>
      </w:r>
      <w:r w:rsidRPr="0010038F">
        <w:rPr>
          <w:lang w:val="fr-CH"/>
        </w:rPr>
        <w:t xml:space="preserve">a réunion </w:t>
      </w:r>
      <w:r w:rsidRPr="0083107E">
        <w:rPr>
          <w:lang w:val="fr-CH"/>
        </w:rPr>
        <w:t xml:space="preserve">tenue </w:t>
      </w:r>
      <w:r>
        <w:rPr>
          <w:lang w:val="fr-CH"/>
        </w:rPr>
        <w:t>du</w:t>
      </w:r>
      <w:r w:rsidRPr="0083107E">
        <w:rPr>
          <w:lang w:val="fr-CH"/>
        </w:rPr>
        <w:t xml:space="preserve"> </w:t>
      </w:r>
      <w:r w:rsidR="000630D2">
        <w:rPr>
          <w:lang w:val="fr-CH"/>
        </w:rPr>
        <w:t>2</w:t>
      </w:r>
      <w:r>
        <w:rPr>
          <w:lang w:val="fr-CH"/>
        </w:rPr>
        <w:t xml:space="preserve"> au </w:t>
      </w:r>
      <w:r w:rsidR="000630D2">
        <w:rPr>
          <w:lang w:val="fr-CH"/>
        </w:rPr>
        <w:t>3 décembre</w:t>
      </w:r>
      <w:r>
        <w:rPr>
          <w:lang w:val="fr-CH"/>
        </w:rPr>
        <w:t xml:space="preserve"> 2013</w:t>
      </w:r>
      <w:r w:rsidRPr="0083107E">
        <w:rPr>
          <w:lang w:val="fr-CH"/>
        </w:rPr>
        <w:t>, la Commission d</w:t>
      </w:r>
      <w:r>
        <w:rPr>
          <w:lang w:val="fr-CH"/>
        </w:rPr>
        <w:t>'</w:t>
      </w:r>
      <w:r w:rsidRPr="0083107E">
        <w:rPr>
          <w:lang w:val="fr-CH"/>
        </w:rPr>
        <w:t xml:space="preserve">études </w:t>
      </w:r>
      <w:r w:rsidR="000630D2">
        <w:rPr>
          <w:lang w:val="fr-CH"/>
        </w:rPr>
        <w:t>5</w:t>
      </w:r>
      <w:r>
        <w:rPr>
          <w:lang w:val="fr-CH"/>
        </w:rPr>
        <w:t xml:space="preserve"> des radiocommunications </w:t>
      </w:r>
      <w:r w:rsidR="005E65C3">
        <w:rPr>
          <w:lang w:val="fr-CH"/>
        </w:rPr>
        <w:t>a </w:t>
      </w:r>
      <w:r w:rsidRPr="0083107E">
        <w:rPr>
          <w:lang w:val="fr-CH"/>
        </w:rPr>
        <w:t>adopté le</w:t>
      </w:r>
      <w:r>
        <w:rPr>
          <w:lang w:val="fr-CH"/>
        </w:rPr>
        <w:t>s</w:t>
      </w:r>
      <w:r w:rsidRPr="0083107E">
        <w:rPr>
          <w:lang w:val="fr-CH"/>
        </w:rPr>
        <w:t xml:space="preserve"> texte</w:t>
      </w:r>
      <w:r>
        <w:rPr>
          <w:lang w:val="fr-CH"/>
        </w:rPr>
        <w:t>s</w:t>
      </w:r>
      <w:r w:rsidRPr="0083107E">
        <w:rPr>
          <w:lang w:val="fr-CH"/>
        </w:rPr>
        <w:t xml:space="preserve"> </w:t>
      </w:r>
      <w:r w:rsidR="000630D2">
        <w:rPr>
          <w:lang w:val="fr-CH"/>
        </w:rPr>
        <w:t>d'un</w:t>
      </w:r>
      <w:r>
        <w:rPr>
          <w:lang w:val="fr-CH"/>
        </w:rPr>
        <w:t xml:space="preserve"> </w:t>
      </w:r>
      <w:r w:rsidRPr="0083107E">
        <w:rPr>
          <w:lang w:val="fr-CH"/>
        </w:rPr>
        <w:t xml:space="preserve">projet de nouvelle Recommandation </w:t>
      </w:r>
      <w:r w:rsidRPr="001E5366">
        <w:rPr>
          <w:lang w:val="fr-CH"/>
        </w:rPr>
        <w:t>UIT</w:t>
      </w:r>
      <w:r>
        <w:rPr>
          <w:lang w:val="fr-CH"/>
        </w:rPr>
        <w:t>-</w:t>
      </w:r>
      <w:r w:rsidRPr="001E5366">
        <w:rPr>
          <w:lang w:val="fr-CH"/>
        </w:rPr>
        <w:t>R</w:t>
      </w:r>
      <w:r w:rsidRPr="0083107E">
        <w:rPr>
          <w:lang w:val="fr-CH"/>
        </w:rPr>
        <w:t xml:space="preserve"> et de </w:t>
      </w:r>
      <w:r w:rsidR="000630D2">
        <w:rPr>
          <w:lang w:val="fr-CH"/>
        </w:rPr>
        <w:t>quatre</w:t>
      </w:r>
      <w:r>
        <w:rPr>
          <w:lang w:val="fr-CH"/>
        </w:rPr>
        <w:t xml:space="preserve"> </w:t>
      </w:r>
      <w:r w:rsidRPr="0083107E">
        <w:rPr>
          <w:lang w:val="fr-CH"/>
        </w:rPr>
        <w:t>projet</w:t>
      </w:r>
      <w:r w:rsidR="000630D2">
        <w:rPr>
          <w:lang w:val="fr-CH"/>
        </w:rPr>
        <w:t>s</w:t>
      </w:r>
      <w:r w:rsidR="005E65C3">
        <w:rPr>
          <w:lang w:val="fr-CH"/>
        </w:rPr>
        <w:t xml:space="preserve"> de </w:t>
      </w:r>
      <w:r w:rsidRPr="0083107E">
        <w:rPr>
          <w:lang w:val="fr-CH"/>
        </w:rPr>
        <w:t xml:space="preserve">Recommandation </w:t>
      </w:r>
      <w:r w:rsidRPr="001E5366">
        <w:rPr>
          <w:lang w:val="fr-CH"/>
        </w:rPr>
        <w:t>UIT</w:t>
      </w:r>
      <w:r>
        <w:rPr>
          <w:lang w:val="fr-CH"/>
        </w:rPr>
        <w:t>-</w:t>
      </w:r>
      <w:r w:rsidRPr="001E5366">
        <w:rPr>
          <w:lang w:val="fr-CH"/>
        </w:rPr>
        <w:t>R</w:t>
      </w:r>
      <w:r w:rsidRPr="0083107E">
        <w:rPr>
          <w:lang w:val="fr-CH"/>
        </w:rPr>
        <w:t xml:space="preserve"> </w:t>
      </w:r>
      <w:r w:rsidR="00FA63E6" w:rsidRPr="0083107E">
        <w:rPr>
          <w:lang w:val="fr-CH"/>
        </w:rPr>
        <w:t xml:space="preserve">révisée </w:t>
      </w:r>
      <w:r w:rsidRPr="0083107E">
        <w:rPr>
          <w:lang w:val="fr-CH"/>
        </w:rPr>
        <w:t xml:space="preserve">et </w:t>
      </w:r>
      <w:r>
        <w:rPr>
          <w:lang w:val="fr-CH"/>
        </w:rPr>
        <w:t>a décidé d'appliq</w:t>
      </w:r>
      <w:r w:rsidR="005E65C3">
        <w:rPr>
          <w:lang w:val="fr-CH"/>
        </w:rPr>
        <w:t>uer la procédure prévue dans la Résolution </w:t>
      </w:r>
      <w:r>
        <w:rPr>
          <w:lang w:val="fr-CH"/>
        </w:rPr>
        <w:t>UIT-R 1-6 (voir le § </w:t>
      </w:r>
      <w:r w:rsidRPr="0083107E">
        <w:rPr>
          <w:lang w:val="fr-CH"/>
        </w:rPr>
        <w:t>10.4.5) pour l</w:t>
      </w:r>
      <w:r>
        <w:rPr>
          <w:lang w:val="fr-CH"/>
        </w:rPr>
        <w:t>'</w:t>
      </w:r>
      <w:r w:rsidRPr="0083107E">
        <w:rPr>
          <w:lang w:val="fr-CH"/>
        </w:rPr>
        <w:t>approbation d</w:t>
      </w:r>
      <w:r>
        <w:rPr>
          <w:lang w:val="fr-CH"/>
        </w:rPr>
        <w:t xml:space="preserve">es </w:t>
      </w:r>
      <w:r w:rsidRPr="0083107E">
        <w:rPr>
          <w:lang w:val="fr-CH"/>
        </w:rPr>
        <w:t xml:space="preserve">Recommandations par consultation. </w:t>
      </w:r>
      <w:r w:rsidR="00FA63E6">
        <w:rPr>
          <w:lang w:val="fr-CH"/>
        </w:rPr>
        <w:t>Le</w:t>
      </w:r>
      <w:r>
        <w:rPr>
          <w:lang w:val="fr-CH"/>
        </w:rPr>
        <w:t>s</w:t>
      </w:r>
      <w:r w:rsidRPr="0083107E">
        <w:rPr>
          <w:lang w:val="fr-CH"/>
        </w:rPr>
        <w:t xml:space="preserve"> titre</w:t>
      </w:r>
      <w:r w:rsidR="00FA63E6">
        <w:rPr>
          <w:lang w:val="fr-CH"/>
        </w:rPr>
        <w:t xml:space="preserve">s </w:t>
      </w:r>
      <w:r w:rsidRPr="0083107E">
        <w:rPr>
          <w:lang w:val="fr-CH"/>
        </w:rPr>
        <w:t>et résumé</w:t>
      </w:r>
      <w:r w:rsidR="00FA63E6">
        <w:rPr>
          <w:lang w:val="fr-CH"/>
        </w:rPr>
        <w:t>s</w:t>
      </w:r>
      <w:r w:rsidRPr="0083107E">
        <w:rPr>
          <w:lang w:val="fr-CH"/>
        </w:rPr>
        <w:t xml:space="preserve"> de ces projets de Recommandation sont donnés </w:t>
      </w:r>
      <w:r>
        <w:rPr>
          <w:lang w:val="fr-CH"/>
        </w:rPr>
        <w:t>dans l</w:t>
      </w:r>
      <w:r w:rsidR="00ED3541">
        <w:rPr>
          <w:lang w:val="fr-CH"/>
        </w:rPr>
        <w:t xml:space="preserve">'Annexe </w:t>
      </w:r>
      <w:r w:rsidR="00CB24BC">
        <w:rPr>
          <w:lang w:val="fr-CH"/>
        </w:rPr>
        <w:t xml:space="preserve">1 </w:t>
      </w:r>
      <w:r w:rsidR="00ED3541">
        <w:rPr>
          <w:lang w:val="fr-CH"/>
        </w:rPr>
        <w:t>de la présente lettre</w:t>
      </w:r>
      <w:r>
        <w:rPr>
          <w:lang w:val="fr-CH"/>
        </w:rPr>
        <w:t>. Par ailleurs, la Commission d'étude</w:t>
      </w:r>
      <w:r w:rsidR="000630D2">
        <w:rPr>
          <w:lang w:val="fr-CH"/>
        </w:rPr>
        <w:t>s a proposé la suppression de quatre</w:t>
      </w:r>
      <w:r w:rsidR="005E65C3">
        <w:rPr>
          <w:lang w:val="fr-CH"/>
        </w:rPr>
        <w:t> </w:t>
      </w:r>
      <w:r w:rsidR="000630D2">
        <w:rPr>
          <w:lang w:val="fr-CH"/>
        </w:rPr>
        <w:t>Recommandations</w:t>
      </w:r>
      <w:r>
        <w:rPr>
          <w:lang w:val="fr-CH"/>
        </w:rPr>
        <w:t xml:space="preserve"> dont la liste est donnée dans l'Annexe 2</w:t>
      </w:r>
      <w:r w:rsidRPr="0083107E">
        <w:rPr>
          <w:lang w:val="fr-CH"/>
        </w:rPr>
        <w:t>.</w:t>
      </w:r>
      <w:r>
        <w:rPr>
          <w:lang w:val="fr-CH"/>
        </w:rPr>
        <w:t xml:space="preserve"> </w:t>
      </w:r>
    </w:p>
    <w:p w:rsidR="00F05F59" w:rsidRPr="0010038F" w:rsidRDefault="00F05F59" w:rsidP="000630D2">
      <w:pPr>
        <w:rPr>
          <w:lang w:val="fr-CH"/>
        </w:rPr>
      </w:pPr>
      <w:r w:rsidRPr="0010038F">
        <w:rPr>
          <w:lang w:val="fr-CH"/>
        </w:rPr>
        <w:t>Co</w:t>
      </w:r>
      <w:r>
        <w:rPr>
          <w:lang w:val="fr-CH"/>
        </w:rPr>
        <w:t>mpte tenu des dispositions du § </w:t>
      </w:r>
      <w:r w:rsidRPr="0010038F">
        <w:rPr>
          <w:lang w:val="fr-CH"/>
        </w:rPr>
        <w:t>10.</w:t>
      </w:r>
      <w:r w:rsidR="005E65C3">
        <w:rPr>
          <w:lang w:val="fr-CH"/>
        </w:rPr>
        <w:t>4.5.1</w:t>
      </w:r>
      <w:r>
        <w:rPr>
          <w:lang w:val="fr-CH"/>
        </w:rPr>
        <w:t xml:space="preserve"> de la Résolution UIT-R 1-6, les Etats Membres sont priés de </w:t>
      </w:r>
      <w:r w:rsidRPr="0010038F">
        <w:rPr>
          <w:lang w:val="fr-CH"/>
        </w:rPr>
        <w:t>faire savoir au Secrétariat (</w:t>
      </w:r>
      <w:hyperlink r:id="rId9" w:history="1">
        <w:r w:rsidRPr="0010038F">
          <w:rPr>
            <w:rStyle w:val="Hyperlink"/>
            <w:lang w:val="fr-CH"/>
          </w:rPr>
          <w:t>brsgd@itu.int</w:t>
        </w:r>
      </w:hyperlink>
      <w:r w:rsidRPr="0010038F">
        <w:rPr>
          <w:lang w:val="fr-CH"/>
        </w:rPr>
        <w:t xml:space="preserve">), au plus tard le </w:t>
      </w:r>
      <w:r w:rsidR="000630D2">
        <w:rPr>
          <w:lang w:val="fr-CH"/>
        </w:rPr>
        <w:t>20 février 2014</w:t>
      </w:r>
      <w:r w:rsidRPr="0010038F">
        <w:rPr>
          <w:lang w:val="fr-CH"/>
        </w:rPr>
        <w:t xml:space="preserve">, </w:t>
      </w:r>
      <w:r>
        <w:rPr>
          <w:lang w:val="fr-CH"/>
        </w:rPr>
        <w:t>s'ils acceptent ou non les propositions ci-dessus</w:t>
      </w:r>
      <w:r w:rsidRPr="0010038F">
        <w:rPr>
          <w:lang w:val="fr-CH"/>
        </w:rPr>
        <w:t>.</w:t>
      </w:r>
    </w:p>
    <w:p w:rsidR="00F05F59" w:rsidRPr="0010038F" w:rsidRDefault="00F05F59" w:rsidP="00F05F59">
      <w:pPr>
        <w:rPr>
          <w:lang w:val="fr-CH"/>
        </w:rPr>
      </w:pPr>
      <w:r>
        <w:rPr>
          <w:lang w:val="fr-CH"/>
        </w:rPr>
        <w:t>Un Etat Membre qui soulève une objection au sujet de l'approbation d'un projet de Recommandation est prié d'informer le Directeur et le Président de la Commission d'études des raisons de cette objection</w:t>
      </w:r>
    </w:p>
    <w:p w:rsidR="00F05F59" w:rsidRPr="0083107E" w:rsidRDefault="00F05F59" w:rsidP="00F05F59">
      <w:pPr>
        <w:rPr>
          <w:lang w:val="fr-CH"/>
        </w:rPr>
      </w:pPr>
      <w:r w:rsidRPr="0083107E">
        <w:rPr>
          <w:lang w:val="fr-CH"/>
        </w:rPr>
        <w:t xml:space="preserve">Après la date limite mentionnée ci-dessus, les résultats de la présente consultation seront communiqués dans une Circulaire administrative et </w:t>
      </w:r>
      <w:r>
        <w:rPr>
          <w:lang w:val="fr-CH"/>
        </w:rPr>
        <w:t xml:space="preserve">la/les Recommandation(s) approuvée(s) sera/seront publiée(s) dans les meilleurs délais </w:t>
      </w:r>
      <w:r w:rsidRPr="00EE4B86">
        <w:rPr>
          <w:lang w:val="fr-CH"/>
        </w:rPr>
        <w:t>(</w:t>
      </w:r>
      <w:r>
        <w:rPr>
          <w:lang w:val="fr-CH"/>
        </w:rPr>
        <w:t xml:space="preserve">voir </w:t>
      </w:r>
      <w:hyperlink r:id="rId10" w:history="1">
        <w:r w:rsidRPr="00EE4B86">
          <w:rPr>
            <w:rStyle w:val="Hyperlink"/>
            <w:lang w:val="fr-CH"/>
          </w:rPr>
          <w:t>http://www.itu.int/pub/R-REC</w:t>
        </w:r>
      </w:hyperlink>
      <w:r w:rsidRPr="00EE4B86">
        <w:rPr>
          <w:lang w:val="fr-CH"/>
        </w:rPr>
        <w:t>).</w:t>
      </w:r>
    </w:p>
    <w:p w:rsidR="00F05F59" w:rsidRPr="00381F68" w:rsidRDefault="00F05F59" w:rsidP="00F05F59">
      <w:pPr>
        <w:keepNext/>
        <w:keepLines/>
        <w:rPr>
          <w:lang w:val="fr-CH"/>
        </w:rPr>
      </w:pPr>
      <w:r w:rsidRPr="0083107E">
        <w:rPr>
          <w:lang w:val="fr-CH"/>
        </w:rPr>
        <w:lastRenderedPageBreak/>
        <w:t>Toute organisation membre de l</w:t>
      </w:r>
      <w:r>
        <w:rPr>
          <w:lang w:val="fr-CH"/>
        </w:rPr>
        <w:t>'</w:t>
      </w:r>
      <w:r w:rsidRPr="0083107E">
        <w:rPr>
          <w:lang w:val="fr-CH"/>
        </w:rPr>
        <w:t>UIT ayant connaissance d</w:t>
      </w:r>
      <w:r>
        <w:rPr>
          <w:lang w:val="fr-CH"/>
        </w:rPr>
        <w:t>'</w:t>
      </w:r>
      <w:r w:rsidRPr="0083107E">
        <w:rPr>
          <w:lang w:val="fr-CH"/>
        </w:rPr>
        <w:t>un b</w:t>
      </w:r>
      <w:r>
        <w:rPr>
          <w:lang w:val="fr-CH"/>
        </w:rPr>
        <w:t>revet détenu en son sein ou par </w:t>
      </w:r>
      <w:r w:rsidRPr="0083107E">
        <w:rPr>
          <w:lang w:val="fr-CH"/>
        </w:rPr>
        <w:t>d</w:t>
      </w:r>
      <w:r>
        <w:rPr>
          <w:lang w:val="fr-CH"/>
        </w:rPr>
        <w:t>'</w:t>
      </w:r>
      <w:r w:rsidRPr="0083107E">
        <w:rPr>
          <w:lang w:val="fr-CH"/>
        </w:rPr>
        <w:t>autres organismes, et susceptible de se rapporter complètem</w:t>
      </w:r>
      <w:r>
        <w:rPr>
          <w:lang w:val="fr-CH"/>
        </w:rPr>
        <w:t>ent ou en partie à des éléments </w:t>
      </w:r>
      <w:r w:rsidRPr="0083107E">
        <w:rPr>
          <w:lang w:val="fr-CH"/>
        </w:rPr>
        <w:t>d</w:t>
      </w:r>
      <w:r>
        <w:rPr>
          <w:lang w:val="fr-CH"/>
        </w:rPr>
        <w:t>'</w:t>
      </w:r>
      <w:r w:rsidRPr="0083107E">
        <w:rPr>
          <w:lang w:val="fr-CH"/>
        </w:rPr>
        <w:t>un ou des projets de Recommandation mentionnés dans l</w:t>
      </w:r>
      <w:r>
        <w:rPr>
          <w:lang w:val="fr-CH"/>
        </w:rPr>
        <w:t>a présente lettre, est priée de </w:t>
      </w:r>
      <w:r w:rsidRPr="0083107E">
        <w:rPr>
          <w:lang w:val="fr-CH"/>
        </w:rPr>
        <w:t xml:space="preserve">transmettre lesdites informations au Secrétariat, </w:t>
      </w:r>
      <w:r>
        <w:rPr>
          <w:lang w:val="fr-CH"/>
        </w:rPr>
        <w:t>dans les meilleurs délais. La politique commune </w:t>
      </w:r>
      <w:r w:rsidRPr="0083107E">
        <w:rPr>
          <w:lang w:val="fr-CH"/>
        </w:rPr>
        <w:t>en matière de brevets de l</w:t>
      </w:r>
      <w:r>
        <w:rPr>
          <w:lang w:val="fr-CH"/>
        </w:rPr>
        <w:t>'</w:t>
      </w:r>
      <w:r w:rsidRPr="0083107E">
        <w:rPr>
          <w:lang w:val="fr-CH"/>
        </w:rPr>
        <w:t>UIT</w:t>
      </w:r>
      <w:r w:rsidRPr="0083107E">
        <w:rPr>
          <w:lang w:val="fr-CH"/>
        </w:rPr>
        <w:noBreakHyphen/>
        <w:t>T/UIT</w:t>
      </w:r>
      <w:r w:rsidRPr="0083107E">
        <w:rPr>
          <w:lang w:val="fr-CH"/>
        </w:rPr>
        <w:noBreakHyphen/>
        <w:t>R/ISO/CEI est disponible à l</w:t>
      </w:r>
      <w:r>
        <w:rPr>
          <w:lang w:val="fr-CH"/>
        </w:rPr>
        <w:t>'</w:t>
      </w:r>
      <w:r w:rsidRPr="0083107E">
        <w:rPr>
          <w:lang w:val="fr-CH"/>
        </w:rPr>
        <w:t xml:space="preserve">adresse: </w:t>
      </w:r>
      <w:hyperlink r:id="rId11" w:history="1">
        <w:r w:rsidRPr="00F05F59">
          <w:rPr>
            <w:rStyle w:val="Hyperlink"/>
            <w:lang w:val="fr-CH"/>
          </w:rPr>
          <w:t>http://www.itu.int/en/ITU-T/ipr/Pages/policy.aspx</w:t>
        </w:r>
      </w:hyperlink>
      <w:r w:rsidRPr="0083107E">
        <w:rPr>
          <w:lang w:val="fr-CH"/>
        </w:rPr>
        <w:t>.</w:t>
      </w:r>
    </w:p>
    <w:p w:rsidR="00F05F59" w:rsidRPr="00F05F59" w:rsidRDefault="007269C7" w:rsidP="005E65C3">
      <w:pPr>
        <w:keepNext/>
        <w:keepLines/>
        <w:tabs>
          <w:tab w:val="clear" w:pos="794"/>
          <w:tab w:val="clear" w:pos="1191"/>
          <w:tab w:val="clear" w:pos="1588"/>
          <w:tab w:val="clear" w:pos="1985"/>
          <w:tab w:val="center" w:pos="7088"/>
        </w:tabs>
        <w:spacing w:before="840" w:line="240" w:lineRule="auto"/>
        <w:jc w:val="left"/>
        <w:rPr>
          <w:lang w:val="fr-CH"/>
        </w:rPr>
      </w:pPr>
      <w:r>
        <w:rPr>
          <w:lang w:val="fr-CH"/>
        </w:rPr>
        <w:t>François Rancy</w:t>
      </w:r>
      <w:r>
        <w:rPr>
          <w:lang w:val="fr-CH"/>
        </w:rPr>
        <w:br/>
      </w:r>
      <w:r w:rsidR="00F05F59" w:rsidRPr="00F05F59">
        <w:rPr>
          <w:lang w:val="fr-CH"/>
        </w:rPr>
        <w:t xml:space="preserve">Directeur </w:t>
      </w:r>
    </w:p>
    <w:p w:rsidR="00F05F59" w:rsidRPr="00F05F59" w:rsidRDefault="00F05F59" w:rsidP="000630D2">
      <w:pPr>
        <w:tabs>
          <w:tab w:val="clear" w:pos="1191"/>
          <w:tab w:val="left" w:pos="1134"/>
          <w:tab w:val="left" w:pos="1418"/>
        </w:tabs>
        <w:spacing w:before="1800"/>
        <w:rPr>
          <w:bCs/>
          <w:lang w:val="fr-CH"/>
        </w:rPr>
      </w:pPr>
      <w:r w:rsidRPr="00F05F59">
        <w:rPr>
          <w:b/>
          <w:bCs/>
          <w:lang w:val="fr-CH"/>
        </w:rPr>
        <w:t>Annexe</w:t>
      </w:r>
      <w:r w:rsidR="000630D2">
        <w:rPr>
          <w:b/>
          <w:bCs/>
          <w:lang w:val="fr-CH"/>
        </w:rPr>
        <w:t>s</w:t>
      </w:r>
      <w:r w:rsidRPr="00861A89">
        <w:rPr>
          <w:lang w:val="fr-CH"/>
        </w:rPr>
        <w:t>:</w:t>
      </w:r>
      <w:r w:rsidRPr="00F05F59">
        <w:rPr>
          <w:b/>
          <w:bCs/>
          <w:lang w:val="fr-CH"/>
        </w:rPr>
        <w:tab/>
      </w:r>
      <w:r w:rsidRPr="00861A89">
        <w:rPr>
          <w:lang w:val="fr-CH"/>
        </w:rPr>
        <w:t>–</w:t>
      </w:r>
      <w:r w:rsidRPr="00F05F59">
        <w:rPr>
          <w:b/>
          <w:bCs/>
          <w:lang w:val="fr-CH"/>
        </w:rPr>
        <w:tab/>
      </w:r>
      <w:r w:rsidR="000630D2">
        <w:rPr>
          <w:bCs/>
          <w:lang w:val="fr-CH"/>
        </w:rPr>
        <w:t xml:space="preserve">Titres et résumés </w:t>
      </w:r>
      <w:r w:rsidRPr="00F05F59">
        <w:rPr>
          <w:bCs/>
          <w:lang w:val="fr-CH"/>
        </w:rPr>
        <w:t>des projet</w:t>
      </w:r>
      <w:r w:rsidR="000630D2">
        <w:rPr>
          <w:bCs/>
          <w:lang w:val="fr-CH"/>
        </w:rPr>
        <w:t>s</w:t>
      </w:r>
      <w:r w:rsidRPr="00F05F59">
        <w:rPr>
          <w:bCs/>
          <w:lang w:val="fr-CH"/>
        </w:rPr>
        <w:t xml:space="preserve"> de Recommandation</w:t>
      </w:r>
    </w:p>
    <w:p w:rsidR="00F05F59" w:rsidRPr="00F05F59" w:rsidRDefault="000630D2" w:rsidP="00FA63E6">
      <w:pPr>
        <w:tabs>
          <w:tab w:val="clear" w:pos="794"/>
          <w:tab w:val="clear" w:pos="1191"/>
          <w:tab w:val="clear" w:pos="1588"/>
          <w:tab w:val="clear" w:pos="1985"/>
          <w:tab w:val="left" w:pos="1134"/>
          <w:tab w:val="left" w:pos="1418"/>
        </w:tabs>
        <w:spacing w:before="120"/>
        <w:rPr>
          <w:bCs/>
          <w:lang w:val="fr-CH"/>
        </w:rPr>
      </w:pPr>
      <w:r>
        <w:rPr>
          <w:bCs/>
          <w:lang w:val="fr-CH"/>
        </w:rPr>
        <w:tab/>
        <w:t>–</w:t>
      </w:r>
      <w:r>
        <w:rPr>
          <w:bCs/>
          <w:lang w:val="fr-CH"/>
        </w:rPr>
        <w:tab/>
        <w:t>Recommandations</w:t>
      </w:r>
      <w:r w:rsidR="00F05F59" w:rsidRPr="00F05F59">
        <w:rPr>
          <w:bCs/>
          <w:lang w:val="fr-CH"/>
        </w:rPr>
        <w:t xml:space="preserve"> UIT-R dont la suppression est proposée</w:t>
      </w:r>
    </w:p>
    <w:p w:rsidR="00F05F59" w:rsidRDefault="00F05F59" w:rsidP="000630D2">
      <w:pPr>
        <w:spacing w:before="600"/>
        <w:rPr>
          <w:lang w:val="fr-CH"/>
        </w:rPr>
      </w:pPr>
      <w:r w:rsidRPr="00005977">
        <w:rPr>
          <w:b/>
          <w:bCs/>
          <w:lang w:val="fr-CH"/>
        </w:rPr>
        <w:t>Documents:</w:t>
      </w:r>
      <w:r w:rsidR="000630D2">
        <w:rPr>
          <w:b/>
          <w:bCs/>
          <w:lang w:val="fr-CH"/>
        </w:rPr>
        <w:tab/>
      </w:r>
      <w:r w:rsidRPr="00005977">
        <w:rPr>
          <w:lang w:val="fr-CH"/>
        </w:rPr>
        <w:t xml:space="preserve">Documents </w:t>
      </w:r>
      <w:r w:rsidR="000630D2">
        <w:rPr>
          <w:lang w:val="fr-CH"/>
        </w:rPr>
        <w:t>5/BL/6</w:t>
      </w:r>
      <w:r w:rsidRPr="00005977">
        <w:rPr>
          <w:lang w:val="fr-CH"/>
        </w:rPr>
        <w:t xml:space="preserve"> à </w:t>
      </w:r>
      <w:r w:rsidR="000630D2">
        <w:rPr>
          <w:lang w:val="fr-CH"/>
        </w:rPr>
        <w:t>5/BL/10</w:t>
      </w:r>
      <w:r w:rsidRPr="00005977">
        <w:rPr>
          <w:lang w:val="fr-CH"/>
        </w:rPr>
        <w:t xml:space="preserve"> </w:t>
      </w:r>
    </w:p>
    <w:p w:rsidR="000630D2" w:rsidRPr="000630D2" w:rsidRDefault="00F05F59" w:rsidP="00CB24BC">
      <w:pPr>
        <w:tabs>
          <w:tab w:val="clear" w:pos="1588"/>
          <w:tab w:val="left" w:pos="2552"/>
        </w:tabs>
        <w:jc w:val="left"/>
        <w:rPr>
          <w:lang w:val="fr-CH"/>
        </w:rPr>
      </w:pPr>
      <w:r>
        <w:rPr>
          <w:lang w:val="fr-CH"/>
        </w:rPr>
        <w:t>Ces documents sont disponibles en format électronique à l'adresse:</w:t>
      </w:r>
      <w:r w:rsidR="000630D2" w:rsidRPr="000630D2">
        <w:rPr>
          <w:lang w:val="fr-CH"/>
        </w:rPr>
        <w:t xml:space="preserve"> </w:t>
      </w:r>
      <w:r w:rsidR="000630D2">
        <w:rPr>
          <w:lang w:val="fr-CH"/>
        </w:rPr>
        <w:br/>
      </w:r>
      <w:hyperlink r:id="rId12" w:history="1">
        <w:r w:rsidR="00ED3541">
          <w:rPr>
            <w:rStyle w:val="Hyperlink"/>
            <w:lang w:val="fr-CH"/>
          </w:rPr>
          <w:t>http://www.itu.int/rec/R-REC-M/fr</w:t>
        </w:r>
      </w:hyperlink>
      <w:r w:rsidR="000630D2">
        <w:rPr>
          <w:lang w:val="fr-CH"/>
        </w:rPr>
        <w:t xml:space="preserve"> </w:t>
      </w:r>
      <w:r w:rsidR="000630D2" w:rsidRPr="000630D2">
        <w:rPr>
          <w:lang w:val="fr-CH"/>
        </w:rPr>
        <w:t>o</w:t>
      </w:r>
      <w:r w:rsidR="00CB24BC">
        <w:rPr>
          <w:lang w:val="fr-CH"/>
        </w:rPr>
        <w:t>u</w:t>
      </w:r>
      <w:r w:rsidR="000630D2" w:rsidRPr="000630D2">
        <w:rPr>
          <w:lang w:val="fr-CH"/>
        </w:rPr>
        <w:t xml:space="preserve"> </w:t>
      </w:r>
      <w:hyperlink r:id="rId13" w:history="1">
        <w:r w:rsidR="00FA63E6">
          <w:rPr>
            <w:rStyle w:val="Hyperlink"/>
            <w:lang w:val="fr-CH"/>
          </w:rPr>
          <w:t>http://www.itu.int/rec/R-REC-F/fr</w:t>
        </w:r>
      </w:hyperlink>
    </w:p>
    <w:p w:rsidR="00F05F59" w:rsidRPr="007269C7" w:rsidRDefault="00F05F59" w:rsidP="00F05F59">
      <w:pPr>
        <w:tabs>
          <w:tab w:val="left" w:pos="284"/>
          <w:tab w:val="left" w:pos="568"/>
        </w:tabs>
        <w:spacing w:before="3480" w:line="240" w:lineRule="auto"/>
        <w:jc w:val="left"/>
        <w:rPr>
          <w:b/>
          <w:bCs/>
          <w:sz w:val="18"/>
          <w:szCs w:val="18"/>
          <w:lang w:val="fr-CH"/>
        </w:rPr>
      </w:pPr>
      <w:bookmarkStart w:id="1" w:name="ddistribution"/>
      <w:bookmarkEnd w:id="1"/>
      <w:r w:rsidRPr="007269C7">
        <w:rPr>
          <w:b/>
          <w:bCs/>
          <w:sz w:val="18"/>
          <w:szCs w:val="18"/>
          <w:lang w:val="fr-CH"/>
        </w:rPr>
        <w:t>Distribution:</w:t>
      </w:r>
    </w:p>
    <w:p w:rsidR="00F05F59" w:rsidRPr="00F05F59" w:rsidRDefault="00F05F59" w:rsidP="000630D2">
      <w:pPr>
        <w:tabs>
          <w:tab w:val="left" w:pos="284"/>
          <w:tab w:val="left" w:pos="568"/>
        </w:tabs>
        <w:spacing w:before="0" w:line="240" w:lineRule="auto"/>
        <w:jc w:val="left"/>
        <w:rPr>
          <w:sz w:val="18"/>
          <w:szCs w:val="18"/>
          <w:lang w:val="fr-CH"/>
        </w:rPr>
      </w:pPr>
      <w:r w:rsidRPr="00F05F59">
        <w:rPr>
          <w:sz w:val="18"/>
          <w:szCs w:val="18"/>
          <w:lang w:val="fr-CH"/>
        </w:rPr>
        <w:t>–</w:t>
      </w:r>
      <w:r w:rsidRPr="00F05F59">
        <w:rPr>
          <w:sz w:val="18"/>
          <w:szCs w:val="18"/>
          <w:lang w:val="fr-CH"/>
        </w:rPr>
        <w:tab/>
        <w:t xml:space="preserve">Administrations des Etats Membres de l'UIT et Membres du Secteur des radiocommunications participant aux travaux de la </w:t>
      </w:r>
      <w:r w:rsidRPr="00F05F59">
        <w:rPr>
          <w:sz w:val="18"/>
          <w:szCs w:val="18"/>
          <w:lang w:val="fr-CH"/>
        </w:rPr>
        <w:tab/>
        <w:t xml:space="preserve">Commission d'études </w:t>
      </w:r>
      <w:r w:rsidR="000630D2">
        <w:rPr>
          <w:sz w:val="18"/>
          <w:szCs w:val="18"/>
          <w:lang w:val="fr-CH"/>
        </w:rPr>
        <w:t>5</w:t>
      </w:r>
      <w:r w:rsidRPr="00F05F59">
        <w:rPr>
          <w:sz w:val="18"/>
          <w:szCs w:val="18"/>
          <w:lang w:val="fr-CH"/>
        </w:rPr>
        <w:t xml:space="preserve"> des radiocommunications</w:t>
      </w:r>
      <w:r w:rsidRPr="00F05F59">
        <w:rPr>
          <w:sz w:val="18"/>
          <w:szCs w:val="18"/>
          <w:lang w:val="fr-CH"/>
        </w:rPr>
        <w:br/>
        <w:t>–</w:t>
      </w:r>
      <w:r w:rsidRPr="00F05F59">
        <w:rPr>
          <w:sz w:val="18"/>
          <w:szCs w:val="18"/>
          <w:lang w:val="fr-CH"/>
        </w:rPr>
        <w:tab/>
        <w:t xml:space="preserve">Associés de l'UIT-R participant aux travaux de la Commission d'études </w:t>
      </w:r>
      <w:r w:rsidR="000630D2">
        <w:rPr>
          <w:sz w:val="18"/>
          <w:szCs w:val="18"/>
          <w:lang w:val="fr-CH"/>
        </w:rPr>
        <w:t>5</w:t>
      </w:r>
      <w:r w:rsidRPr="00F05F59">
        <w:rPr>
          <w:sz w:val="18"/>
          <w:szCs w:val="18"/>
          <w:lang w:val="fr-CH"/>
        </w:rPr>
        <w:t xml:space="preserve"> des radiocommunications</w:t>
      </w:r>
      <w:r w:rsidRPr="00F05F59">
        <w:rPr>
          <w:sz w:val="18"/>
          <w:szCs w:val="18"/>
          <w:lang w:val="fr-CH"/>
        </w:rPr>
        <w:br/>
        <w:t>–</w:t>
      </w:r>
      <w:r w:rsidRPr="00F05F59">
        <w:rPr>
          <w:sz w:val="18"/>
          <w:szCs w:val="18"/>
          <w:lang w:val="fr-CH"/>
        </w:rPr>
        <w:tab/>
        <w:t>Présidents et Vice</w:t>
      </w:r>
      <w:r w:rsidRPr="00F05F59">
        <w:rPr>
          <w:sz w:val="18"/>
          <w:szCs w:val="18"/>
          <w:lang w:val="fr-CH"/>
        </w:rPr>
        <w:noBreakHyphen/>
        <w:t xml:space="preserve">Présidents des Commissions d'études des radiocommunications et de la Commission spéciale chargée </w:t>
      </w:r>
      <w:r w:rsidRPr="00F05F59">
        <w:rPr>
          <w:sz w:val="18"/>
          <w:szCs w:val="18"/>
          <w:lang w:val="fr-CH"/>
        </w:rPr>
        <w:tab/>
        <w:t>d'examiner les questions réglementaires et de procédure</w:t>
      </w:r>
      <w:r w:rsidRPr="00F05F59">
        <w:rPr>
          <w:sz w:val="18"/>
          <w:szCs w:val="18"/>
          <w:lang w:val="fr-CH"/>
        </w:rPr>
        <w:br/>
        <w:t>–</w:t>
      </w:r>
      <w:r w:rsidRPr="00F05F59">
        <w:rPr>
          <w:sz w:val="18"/>
          <w:szCs w:val="18"/>
          <w:lang w:val="fr-CH"/>
        </w:rPr>
        <w:tab/>
        <w:t>Président et Vice</w:t>
      </w:r>
      <w:r w:rsidRPr="00F05F59">
        <w:rPr>
          <w:sz w:val="18"/>
          <w:szCs w:val="18"/>
          <w:lang w:val="fr-CH"/>
        </w:rPr>
        <w:noBreakHyphen/>
        <w:t>Présidents de la Réunion de préparation à la Conférence</w:t>
      </w:r>
      <w:r w:rsidRPr="00F05F59">
        <w:rPr>
          <w:sz w:val="18"/>
          <w:szCs w:val="18"/>
          <w:lang w:val="fr-CH"/>
        </w:rPr>
        <w:br/>
        <w:t>–</w:t>
      </w:r>
      <w:r w:rsidRPr="00F05F59">
        <w:rPr>
          <w:sz w:val="18"/>
          <w:szCs w:val="18"/>
          <w:lang w:val="fr-CH"/>
        </w:rPr>
        <w:tab/>
        <w:t>Membres du Comité du Règlement des radiocommunications</w:t>
      </w:r>
      <w:r w:rsidRPr="00F05F59">
        <w:rPr>
          <w:sz w:val="18"/>
          <w:szCs w:val="18"/>
          <w:lang w:val="fr-CH"/>
        </w:rPr>
        <w:br/>
        <w:t>–</w:t>
      </w:r>
      <w:r w:rsidRPr="00F05F59">
        <w:rPr>
          <w:sz w:val="18"/>
          <w:szCs w:val="18"/>
          <w:lang w:val="fr-CH"/>
        </w:rPr>
        <w:tab/>
        <w:t xml:space="preserve">Secrétaire général de l'UIT, Directeur du Bureau de la normalisation des télécommunications, Directeur du Bureau de </w:t>
      </w:r>
      <w:r w:rsidRPr="00F05F59">
        <w:rPr>
          <w:sz w:val="18"/>
          <w:szCs w:val="18"/>
          <w:lang w:val="fr-CH"/>
        </w:rPr>
        <w:tab/>
        <w:t>développement des télécommunications</w:t>
      </w:r>
    </w:p>
    <w:p w:rsidR="006A629C" w:rsidRPr="00D03A66" w:rsidRDefault="006A629C" w:rsidP="006A629C">
      <w:pPr>
        <w:pStyle w:val="AnnexNotitle0"/>
        <w:spacing w:before="120"/>
        <w:rPr>
          <w:rFonts w:asciiTheme="minorHAnsi" w:hAnsiTheme="minorHAnsi" w:cstheme="minorHAnsi"/>
          <w:lang w:val="fr-CH"/>
        </w:rPr>
      </w:pPr>
      <w:r w:rsidRPr="00150E1D">
        <w:rPr>
          <w:rFonts w:asciiTheme="minorHAnsi" w:hAnsiTheme="minorHAnsi" w:cstheme="minorHAnsi"/>
          <w:lang w:val="fr-CH"/>
        </w:rPr>
        <w:lastRenderedPageBreak/>
        <w:t>Annexe 1</w:t>
      </w:r>
      <w:r w:rsidRPr="00150E1D">
        <w:rPr>
          <w:rFonts w:asciiTheme="minorHAnsi" w:hAnsiTheme="minorHAnsi" w:cstheme="minorHAnsi"/>
          <w:lang w:val="fr-CH"/>
        </w:rPr>
        <w:br/>
      </w:r>
      <w:r w:rsidRPr="00150E1D">
        <w:rPr>
          <w:rFonts w:asciiTheme="minorHAnsi" w:hAnsiTheme="minorHAnsi" w:cstheme="minorHAnsi"/>
          <w:lang w:val="fr-CH"/>
        </w:rPr>
        <w:br/>
      </w:r>
      <w:r w:rsidRPr="00D03A66">
        <w:rPr>
          <w:rFonts w:asciiTheme="minorHAnsi" w:hAnsiTheme="minorHAnsi" w:cstheme="minorHAnsi"/>
          <w:lang w:val="fr-CH"/>
        </w:rPr>
        <w:t>Titres</w:t>
      </w:r>
      <w:r w:rsidRPr="00D03A66">
        <w:rPr>
          <w:rFonts w:asciiTheme="minorHAnsi" w:hAnsiTheme="minorHAnsi" w:cstheme="minorHAnsi"/>
          <w:lang w:val="fr-CH" w:eastAsia="ja-JP"/>
        </w:rPr>
        <w:t xml:space="preserve"> et résumés des projets de Recommandation </w:t>
      </w:r>
      <w:r w:rsidRPr="00D03A66">
        <w:rPr>
          <w:rFonts w:asciiTheme="minorHAnsi" w:hAnsiTheme="minorHAnsi" w:cstheme="minorHAnsi"/>
          <w:lang w:val="fr-CH"/>
        </w:rPr>
        <w:t xml:space="preserve">adoptés par </w:t>
      </w:r>
      <w:r>
        <w:rPr>
          <w:rFonts w:asciiTheme="minorHAnsi" w:hAnsiTheme="minorHAnsi" w:cstheme="minorHAnsi"/>
          <w:lang w:val="fr-CH"/>
        </w:rPr>
        <w:br/>
      </w:r>
      <w:r w:rsidRPr="00D03A66">
        <w:rPr>
          <w:rFonts w:asciiTheme="minorHAnsi" w:hAnsiTheme="minorHAnsi" w:cstheme="minorHAnsi"/>
          <w:lang w:val="fr-CH"/>
        </w:rPr>
        <w:t>la</w:t>
      </w:r>
      <w:r w:rsidRPr="00D03A66">
        <w:rPr>
          <w:rFonts w:asciiTheme="minorHAnsi" w:hAnsiTheme="minorHAnsi" w:cstheme="minorHAnsi"/>
          <w:lang w:val="fr-CH" w:eastAsia="ja-JP"/>
        </w:rPr>
        <w:t xml:space="preserve"> Commission d</w:t>
      </w:r>
      <w:r>
        <w:rPr>
          <w:rFonts w:asciiTheme="minorHAnsi" w:hAnsiTheme="minorHAnsi" w:cstheme="minorHAnsi"/>
          <w:lang w:val="fr-CH" w:eastAsia="ja-JP"/>
        </w:rPr>
        <w:t>'</w:t>
      </w:r>
      <w:r w:rsidRPr="00D03A66">
        <w:rPr>
          <w:rFonts w:asciiTheme="minorHAnsi" w:hAnsiTheme="minorHAnsi" w:cstheme="minorHAnsi"/>
          <w:lang w:val="fr-CH" w:eastAsia="ja-JP"/>
        </w:rPr>
        <w:t>études 5 des radiocommunications</w:t>
      </w:r>
    </w:p>
    <w:p w:rsidR="006A629C" w:rsidRPr="00150E1D" w:rsidRDefault="006A629C" w:rsidP="006A629C">
      <w:pPr>
        <w:tabs>
          <w:tab w:val="clear" w:pos="794"/>
          <w:tab w:val="clear" w:pos="1191"/>
          <w:tab w:val="clear" w:pos="1588"/>
          <w:tab w:val="clear" w:pos="1985"/>
          <w:tab w:val="right" w:pos="9639"/>
        </w:tabs>
        <w:spacing w:before="960" w:line="240" w:lineRule="auto"/>
        <w:jc w:val="left"/>
        <w:rPr>
          <w:lang w:val="fr-CH"/>
        </w:rPr>
      </w:pPr>
      <w:r w:rsidRPr="00150E1D">
        <w:rPr>
          <w:u w:val="single"/>
          <w:lang w:val="fr-CH"/>
        </w:rPr>
        <w:t>Proje</w:t>
      </w:r>
      <w:r>
        <w:rPr>
          <w:u w:val="single"/>
          <w:lang w:val="fr-CH"/>
        </w:rPr>
        <w:t>t</w:t>
      </w:r>
      <w:r w:rsidRPr="00150E1D">
        <w:rPr>
          <w:u w:val="single"/>
          <w:lang w:val="fr-CH"/>
        </w:rPr>
        <w:t xml:space="preserve"> de nou</w:t>
      </w:r>
      <w:r>
        <w:rPr>
          <w:u w:val="single"/>
          <w:lang w:val="fr-CH"/>
        </w:rPr>
        <w:t xml:space="preserve">velle </w:t>
      </w:r>
      <w:r w:rsidRPr="00150E1D">
        <w:rPr>
          <w:u w:val="single"/>
          <w:lang w:val="fr-CH"/>
        </w:rPr>
        <w:t>R</w:t>
      </w:r>
      <w:r>
        <w:rPr>
          <w:u w:val="single"/>
          <w:lang w:val="fr-CH"/>
        </w:rPr>
        <w:t xml:space="preserve">ecommandation UIT-R </w:t>
      </w:r>
      <w:r w:rsidRPr="00150E1D">
        <w:rPr>
          <w:u w:val="single"/>
          <w:lang w:val="fr-CH"/>
        </w:rPr>
        <w:t>M.[RAD.ALTIM]</w:t>
      </w:r>
      <w:r w:rsidRPr="00150E1D">
        <w:rPr>
          <w:lang w:val="fr-CH"/>
        </w:rPr>
        <w:tab/>
        <w:t>Doc. 5/BL/6</w:t>
      </w:r>
    </w:p>
    <w:p w:rsidR="006A629C" w:rsidRPr="006945A4" w:rsidRDefault="006A629C" w:rsidP="006A629C">
      <w:pPr>
        <w:pStyle w:val="Rectitle"/>
        <w:rPr>
          <w:lang w:val="fr-CH"/>
        </w:rPr>
      </w:pPr>
      <w:r w:rsidRPr="006945A4">
        <w:rPr>
          <w:lang w:val="fr-CH"/>
        </w:rPr>
        <w:t>Caractéristiques techniques et opérationnelles d</w:t>
      </w:r>
      <w:r>
        <w:rPr>
          <w:lang w:val="fr-CH"/>
        </w:rPr>
        <w:t>es radioaltimètres utilisant la </w:t>
      </w:r>
      <w:r w:rsidRPr="006945A4">
        <w:rPr>
          <w:lang w:val="fr-CH"/>
        </w:rPr>
        <w:t xml:space="preserve">bande de fréquences 4 200-4 400 MHz et critères de protection </w:t>
      </w:r>
      <w:r>
        <w:rPr>
          <w:lang w:val="fr-CH"/>
        </w:rPr>
        <w:br/>
      </w:r>
      <w:r w:rsidRPr="006945A4">
        <w:rPr>
          <w:lang w:val="fr-CH"/>
        </w:rPr>
        <w:t>applicables à ces radioal</w:t>
      </w:r>
      <w:r>
        <w:rPr>
          <w:lang w:val="fr-CH"/>
        </w:rPr>
        <w:t>timètres</w:t>
      </w:r>
    </w:p>
    <w:p w:rsidR="006A629C" w:rsidRPr="00440E68" w:rsidRDefault="006A629C" w:rsidP="006A629C">
      <w:pPr>
        <w:spacing w:line="240" w:lineRule="auto"/>
        <w:jc w:val="left"/>
        <w:rPr>
          <w:szCs w:val="24"/>
          <w:lang w:val="fr-CH"/>
        </w:rPr>
      </w:pPr>
      <w:r w:rsidRPr="006945A4">
        <w:rPr>
          <w:szCs w:val="24"/>
          <w:lang w:val="fr-CH"/>
        </w:rPr>
        <w:t>Cette Recommandation décrit les caractéristiques techniques et opérationnelles ainsi que les critères de protec</w:t>
      </w:r>
      <w:r>
        <w:rPr>
          <w:szCs w:val="24"/>
          <w:lang w:val="fr-CH"/>
        </w:rPr>
        <w:t xml:space="preserve">tion applicables aux radioaltimètres utilisés dans le service de radionavigation aéronautique. </w:t>
      </w:r>
    </w:p>
    <w:p w:rsidR="006A629C" w:rsidRPr="00150E1D" w:rsidRDefault="006A629C" w:rsidP="006A629C">
      <w:pPr>
        <w:tabs>
          <w:tab w:val="right" w:pos="9639"/>
        </w:tabs>
        <w:spacing w:before="480" w:line="240" w:lineRule="auto"/>
        <w:jc w:val="left"/>
        <w:rPr>
          <w:szCs w:val="24"/>
          <w:lang w:val="fr-CH"/>
        </w:rPr>
      </w:pPr>
      <w:r w:rsidRPr="00150E1D">
        <w:rPr>
          <w:szCs w:val="24"/>
          <w:u w:val="single"/>
          <w:lang w:val="fr-CH"/>
        </w:rPr>
        <w:t xml:space="preserve">Projet de </w:t>
      </w:r>
      <w:r>
        <w:rPr>
          <w:szCs w:val="24"/>
          <w:u w:val="single"/>
          <w:lang w:val="fr-CH"/>
        </w:rPr>
        <w:t>ré</w:t>
      </w:r>
      <w:r w:rsidRPr="00150E1D">
        <w:rPr>
          <w:szCs w:val="24"/>
          <w:u w:val="single"/>
          <w:lang w:val="fr-CH"/>
        </w:rPr>
        <w:t xml:space="preserve">vision de la </w:t>
      </w:r>
      <w:r>
        <w:rPr>
          <w:szCs w:val="24"/>
          <w:u w:val="single"/>
          <w:lang w:val="fr-CH"/>
        </w:rPr>
        <w:t xml:space="preserve">Recommandation UIT-R </w:t>
      </w:r>
      <w:r w:rsidRPr="00150E1D">
        <w:rPr>
          <w:szCs w:val="24"/>
          <w:u w:val="single"/>
          <w:lang w:val="fr-CH"/>
        </w:rPr>
        <w:t>F.557-4</w:t>
      </w:r>
      <w:r w:rsidRPr="00150E1D">
        <w:rPr>
          <w:szCs w:val="24"/>
          <w:lang w:val="fr-CH"/>
        </w:rPr>
        <w:tab/>
        <w:t>Doc. 5/BL/7</w:t>
      </w:r>
    </w:p>
    <w:p w:rsidR="006A629C" w:rsidRDefault="006A629C" w:rsidP="006A629C">
      <w:pPr>
        <w:pStyle w:val="Rectitle"/>
        <w:rPr>
          <w:rFonts w:cstheme="majorBidi"/>
          <w:lang w:val="fr-CH"/>
        </w:rPr>
      </w:pPr>
      <w:r>
        <w:rPr>
          <w:rFonts w:cstheme="majorBidi"/>
          <w:lang w:val="fr-CH"/>
        </w:rPr>
        <w:t xml:space="preserve">Objectif de disponibilité d'un circuit fictif de référence et d'un conduit </w:t>
      </w:r>
      <w:r>
        <w:rPr>
          <w:rFonts w:cstheme="majorBidi"/>
          <w:lang w:val="fr-CH"/>
        </w:rPr>
        <w:br/>
        <w:t>numérique fictif de référence pour les faisceaux hertziens</w:t>
      </w:r>
    </w:p>
    <w:p w:rsidR="006A629C" w:rsidRPr="00EA1EE2" w:rsidRDefault="006A629C" w:rsidP="006A629C">
      <w:pPr>
        <w:spacing w:line="240" w:lineRule="auto"/>
        <w:jc w:val="left"/>
        <w:rPr>
          <w:lang w:val="fr-CH" w:eastAsia="ja-JP"/>
        </w:rPr>
      </w:pPr>
      <w:r>
        <w:rPr>
          <w:rFonts w:cstheme="majorBidi"/>
          <w:szCs w:val="24"/>
          <w:lang w:val="fr-CH" w:eastAsia="ja-JP"/>
        </w:rPr>
        <w:t>Dans cette révision, il s'agit essentiellement d'ajouter la partie relative au domaine d'application qui précise les conditions d'application et de supprimer le texte se rapportant aux systèmes analogiques</w:t>
      </w:r>
      <w:r w:rsidRPr="00EA1EE2">
        <w:rPr>
          <w:rFonts w:hint="eastAsia"/>
          <w:lang w:val="fr-CH" w:eastAsia="ja-JP"/>
        </w:rPr>
        <w:t>.</w:t>
      </w:r>
    </w:p>
    <w:p w:rsidR="006A629C" w:rsidRPr="00150E1D" w:rsidRDefault="006A629C" w:rsidP="006A629C">
      <w:pPr>
        <w:tabs>
          <w:tab w:val="right" w:pos="9639"/>
        </w:tabs>
        <w:spacing w:before="480" w:line="240" w:lineRule="auto"/>
        <w:jc w:val="left"/>
        <w:rPr>
          <w:szCs w:val="24"/>
          <w:lang w:val="fr-CH"/>
        </w:rPr>
      </w:pPr>
      <w:r w:rsidRPr="00150E1D">
        <w:rPr>
          <w:szCs w:val="24"/>
          <w:u w:val="single"/>
          <w:lang w:val="fr-CH"/>
        </w:rPr>
        <w:t xml:space="preserve">Projet de </w:t>
      </w:r>
      <w:r>
        <w:rPr>
          <w:szCs w:val="24"/>
          <w:u w:val="single"/>
          <w:lang w:val="fr-CH"/>
        </w:rPr>
        <w:t>ré</w:t>
      </w:r>
      <w:r w:rsidRPr="00150E1D">
        <w:rPr>
          <w:szCs w:val="24"/>
          <w:u w:val="single"/>
          <w:lang w:val="fr-CH"/>
        </w:rPr>
        <w:t xml:space="preserve">vision de la </w:t>
      </w:r>
      <w:r>
        <w:rPr>
          <w:szCs w:val="24"/>
          <w:u w:val="single"/>
          <w:lang w:val="fr-CH"/>
        </w:rPr>
        <w:t>Recommandation UIT-R</w:t>
      </w:r>
      <w:r w:rsidRPr="00150E1D">
        <w:rPr>
          <w:szCs w:val="24"/>
          <w:u w:val="single"/>
          <w:lang w:val="fr-CH"/>
        </w:rPr>
        <w:t xml:space="preserve"> M.2012-0</w:t>
      </w:r>
      <w:r w:rsidRPr="00150E1D">
        <w:rPr>
          <w:szCs w:val="24"/>
          <w:lang w:val="fr-CH"/>
        </w:rPr>
        <w:tab/>
        <w:t>Doc. 5/BL/8</w:t>
      </w:r>
    </w:p>
    <w:p w:rsidR="006A629C" w:rsidRPr="00270F96" w:rsidRDefault="006A629C" w:rsidP="006A629C">
      <w:pPr>
        <w:pStyle w:val="Rectitle"/>
        <w:rPr>
          <w:lang w:val="fr-CH"/>
        </w:rPr>
      </w:pPr>
      <w:r>
        <w:rPr>
          <w:rFonts w:cstheme="majorBidi"/>
          <w:lang w:val="fr-CH"/>
        </w:rPr>
        <w:t>Spécifications détaillées des interfaces radioélectriques de Terre des télécommunications mobiles internationales évoluées (IMT évoluées)</w:t>
      </w:r>
    </w:p>
    <w:p w:rsidR="006A629C" w:rsidRPr="00EA1EE2" w:rsidRDefault="006A629C">
      <w:pPr>
        <w:rPr>
          <w:bCs/>
          <w:lang w:val="fr-CH"/>
        </w:rPr>
        <w:pPrChange w:id="2" w:author="Touraud, Michele" w:date="2013-12-16T10:30:00Z">
          <w:pPr>
            <w:pStyle w:val="Rectitle"/>
          </w:pPr>
        </w:pPrChange>
      </w:pPr>
      <w:r w:rsidRPr="00EA1EE2">
        <w:rPr>
          <w:lang w:val="fr-CH"/>
        </w:rPr>
        <w:t xml:space="preserve">Cette </w:t>
      </w:r>
      <w:r>
        <w:rPr>
          <w:lang w:val="fr-CH"/>
        </w:rPr>
        <w:t>révision</w:t>
      </w:r>
      <w:r w:rsidRPr="00EA1EE2">
        <w:rPr>
          <w:lang w:val="fr-CH"/>
        </w:rPr>
        <w:t xml:space="preserve"> vise à mettre à jour les techniques spécifiées pour la composante de Terre des IMT évoluées. Il s</w:t>
      </w:r>
      <w:r>
        <w:rPr>
          <w:lang w:val="fr-CH"/>
        </w:rPr>
        <w:t>'</w:t>
      </w:r>
      <w:r w:rsidRPr="00EA1EE2">
        <w:rPr>
          <w:lang w:val="fr-CH"/>
        </w:rPr>
        <w:t>agit essentiellement d</w:t>
      </w:r>
      <w:r>
        <w:rPr>
          <w:lang w:val="fr-CH"/>
        </w:rPr>
        <w:t>'</w:t>
      </w:r>
      <w:r w:rsidRPr="00EA1EE2">
        <w:rPr>
          <w:lang w:val="fr-CH"/>
        </w:rPr>
        <w:t xml:space="preserve">ajouter </w:t>
      </w:r>
      <w:r>
        <w:rPr>
          <w:lang w:val="fr-CH"/>
        </w:rPr>
        <w:t xml:space="preserve">dans les Annexes </w:t>
      </w:r>
      <w:r w:rsidRPr="00EA1EE2">
        <w:rPr>
          <w:lang w:val="fr-CH"/>
        </w:rPr>
        <w:t xml:space="preserve">des fonctionnalités améliorées pour les </w:t>
      </w:r>
      <w:r>
        <w:rPr>
          <w:lang w:val="fr-CH"/>
        </w:rPr>
        <w:t>deux technologies d'interface</w:t>
      </w:r>
      <w:r w:rsidRPr="00EA1EE2">
        <w:rPr>
          <w:lang w:val="fr-CH"/>
        </w:rPr>
        <w:t xml:space="preserve"> radioélectrique et de modifier, en conséquence, </w:t>
      </w:r>
      <w:r>
        <w:rPr>
          <w:lang w:val="fr-CH"/>
        </w:rPr>
        <w:t xml:space="preserve">les paragraphes de présentation générale ainsi que les spécifications mondiales de base. Les références relatives à la transposition ont également été mises à jour. </w:t>
      </w:r>
    </w:p>
    <w:p w:rsidR="006A629C" w:rsidRPr="00A74488" w:rsidRDefault="006A629C" w:rsidP="006A629C">
      <w:pPr>
        <w:spacing w:line="240" w:lineRule="auto"/>
        <w:jc w:val="left"/>
        <w:rPr>
          <w:szCs w:val="24"/>
          <w:lang w:val="fr-CH" w:eastAsia="zh-CN"/>
        </w:rPr>
      </w:pPr>
      <w:r w:rsidRPr="00A74488">
        <w:rPr>
          <w:szCs w:val="24"/>
          <w:lang w:val="fr-CH" w:eastAsia="zh-CN"/>
        </w:rPr>
        <w:t>Une note de bas de page a également été ajoutée dans</w:t>
      </w:r>
      <w:r>
        <w:rPr>
          <w:szCs w:val="24"/>
          <w:lang w:val="fr-CH" w:eastAsia="zh-CN"/>
        </w:rPr>
        <w:t xml:space="preserve"> </w:t>
      </w:r>
      <w:r w:rsidRPr="00A74488">
        <w:rPr>
          <w:szCs w:val="24"/>
          <w:lang w:val="fr-CH" w:eastAsia="zh-CN"/>
        </w:rPr>
        <w:t>l</w:t>
      </w:r>
      <w:r>
        <w:rPr>
          <w:szCs w:val="24"/>
          <w:lang w:val="fr-CH" w:eastAsia="zh-CN"/>
        </w:rPr>
        <w:t>'I</w:t>
      </w:r>
      <w:r w:rsidRPr="00A74488">
        <w:rPr>
          <w:szCs w:val="24"/>
          <w:lang w:val="fr-CH" w:eastAsia="zh-CN"/>
        </w:rPr>
        <w:t xml:space="preserve">ntroduction afin de </w:t>
      </w:r>
      <w:r>
        <w:rPr>
          <w:szCs w:val="24"/>
          <w:lang w:val="fr-CH" w:eastAsia="zh-CN"/>
        </w:rPr>
        <w:t xml:space="preserve">préciser </w:t>
      </w:r>
      <w:r w:rsidRPr="00A74488">
        <w:rPr>
          <w:szCs w:val="24"/>
          <w:lang w:val="fr-CH" w:eastAsia="zh-CN"/>
        </w:rPr>
        <w:t>le lien entre la Recommandation UIT-R M.1457 et la</w:t>
      </w:r>
      <w:r>
        <w:rPr>
          <w:szCs w:val="24"/>
          <w:lang w:val="fr-CH" w:eastAsia="zh-CN"/>
        </w:rPr>
        <w:t xml:space="preserve"> </w:t>
      </w:r>
      <w:r w:rsidRPr="00A74488">
        <w:rPr>
          <w:szCs w:val="24"/>
          <w:lang w:val="fr-CH" w:eastAsia="zh-CN"/>
        </w:rPr>
        <w:t>Recommandation UIT-R M.2012. Par ailleurs, un</w:t>
      </w:r>
      <w:r>
        <w:rPr>
          <w:szCs w:val="24"/>
          <w:lang w:val="fr-CH" w:eastAsia="zh-CN"/>
        </w:rPr>
        <w:t xml:space="preserve"> </w:t>
      </w:r>
      <w:r w:rsidRPr="00B86611">
        <w:rPr>
          <w:i/>
          <w:iCs/>
          <w:szCs w:val="24"/>
          <w:lang w:val="fr-CH" w:eastAsia="zh-CN"/>
        </w:rPr>
        <w:t>notant</w:t>
      </w:r>
      <w:r>
        <w:rPr>
          <w:szCs w:val="24"/>
          <w:lang w:val="fr-CH" w:eastAsia="zh-CN"/>
        </w:rPr>
        <w:t xml:space="preserve"> </w:t>
      </w:r>
      <w:r w:rsidRPr="00CB24BC">
        <w:rPr>
          <w:i/>
          <w:iCs/>
          <w:szCs w:val="24"/>
          <w:lang w:val="fr-CH" w:eastAsia="zh-CN"/>
        </w:rPr>
        <w:t>b)</w:t>
      </w:r>
      <w:r>
        <w:rPr>
          <w:szCs w:val="24"/>
          <w:lang w:val="fr-CH" w:eastAsia="zh-CN"/>
        </w:rPr>
        <w:t xml:space="preserve"> ayant trait aux résultats de l'évaluation sur les technologies d'interface radioélectrique révisées</w:t>
      </w:r>
      <w:r w:rsidRPr="00440E68">
        <w:rPr>
          <w:szCs w:val="24"/>
          <w:lang w:val="fr-CH" w:eastAsia="zh-CN"/>
        </w:rPr>
        <w:t xml:space="preserve"> </w:t>
      </w:r>
      <w:r>
        <w:rPr>
          <w:szCs w:val="24"/>
          <w:lang w:val="fr-CH" w:eastAsia="zh-CN"/>
        </w:rPr>
        <w:t>a été ajouté.</w:t>
      </w:r>
    </w:p>
    <w:p w:rsidR="006A629C" w:rsidRPr="00150E1D" w:rsidRDefault="006A629C" w:rsidP="006A629C">
      <w:pPr>
        <w:keepNext/>
        <w:keepLines/>
        <w:tabs>
          <w:tab w:val="right" w:pos="9639"/>
        </w:tabs>
        <w:spacing w:before="240" w:line="240" w:lineRule="auto"/>
        <w:jc w:val="left"/>
        <w:rPr>
          <w:szCs w:val="24"/>
          <w:lang w:val="fr-CH"/>
        </w:rPr>
      </w:pPr>
      <w:r w:rsidRPr="00150E1D">
        <w:rPr>
          <w:szCs w:val="24"/>
          <w:u w:val="single"/>
          <w:lang w:val="fr-CH"/>
        </w:rPr>
        <w:lastRenderedPageBreak/>
        <w:t xml:space="preserve">Projet de </w:t>
      </w:r>
      <w:r>
        <w:rPr>
          <w:szCs w:val="24"/>
          <w:u w:val="single"/>
          <w:lang w:val="fr-CH"/>
        </w:rPr>
        <w:t>ré</w:t>
      </w:r>
      <w:r w:rsidRPr="00150E1D">
        <w:rPr>
          <w:szCs w:val="24"/>
          <w:u w:val="single"/>
          <w:lang w:val="fr-CH"/>
        </w:rPr>
        <w:t xml:space="preserve">vision de la </w:t>
      </w:r>
      <w:r>
        <w:rPr>
          <w:szCs w:val="24"/>
          <w:u w:val="single"/>
          <w:lang w:val="fr-CH"/>
        </w:rPr>
        <w:t>Recommandation UIT-R</w:t>
      </w:r>
      <w:r w:rsidRPr="00150E1D">
        <w:rPr>
          <w:szCs w:val="24"/>
          <w:u w:val="single"/>
          <w:lang w:val="fr-CH"/>
        </w:rPr>
        <w:t xml:space="preserve"> M.1580-4</w:t>
      </w:r>
      <w:r w:rsidRPr="00150E1D">
        <w:rPr>
          <w:szCs w:val="24"/>
          <w:lang w:val="fr-CH"/>
        </w:rPr>
        <w:tab/>
        <w:t>Doc. 5/BL/9</w:t>
      </w:r>
    </w:p>
    <w:p w:rsidR="006A629C" w:rsidRDefault="006A629C" w:rsidP="006A629C">
      <w:pPr>
        <w:pStyle w:val="Rectitle"/>
        <w:rPr>
          <w:rFonts w:cstheme="majorBidi"/>
          <w:lang w:val="fr-CH"/>
        </w:rPr>
      </w:pPr>
      <w:r>
        <w:rPr>
          <w:rFonts w:cstheme="majorBidi"/>
          <w:lang w:val="fr-CH"/>
        </w:rPr>
        <w:t>Caractéristiques génériques des rayonnements non désirés des stations de base utilisant les interfaces radioélectriques de Terre des IMT-2000</w:t>
      </w:r>
    </w:p>
    <w:p w:rsidR="006A629C" w:rsidRPr="00CD2E23" w:rsidRDefault="006A629C" w:rsidP="006A629C">
      <w:pPr>
        <w:jc w:val="left"/>
        <w:rPr>
          <w:lang w:val="fr-CH"/>
        </w:rPr>
      </w:pPr>
      <w:r w:rsidRPr="00EA1EE2">
        <w:rPr>
          <w:lang w:val="fr-CH"/>
        </w:rPr>
        <w:t xml:space="preserve">Cette </w:t>
      </w:r>
      <w:r>
        <w:rPr>
          <w:lang w:val="fr-CH"/>
        </w:rPr>
        <w:t>révision</w:t>
      </w:r>
      <w:r w:rsidRPr="00EA1EE2">
        <w:rPr>
          <w:lang w:val="fr-CH"/>
        </w:rPr>
        <w:t xml:space="preserve"> vise à</w:t>
      </w:r>
      <w:r>
        <w:rPr>
          <w:lang w:val="fr-CH"/>
        </w:rPr>
        <w:t xml:space="preserve"> mettre à jour et</w:t>
      </w:r>
      <w:r w:rsidRPr="00EA1EE2">
        <w:rPr>
          <w:lang w:val="fr-CH"/>
        </w:rPr>
        <w:t xml:space="preserve"> harmoniser les </w:t>
      </w:r>
      <w:r>
        <w:rPr>
          <w:lang w:val="fr-CH"/>
        </w:rPr>
        <w:t xml:space="preserve">caractéristiques génériques des </w:t>
      </w:r>
      <w:r w:rsidRPr="00EA1EE2">
        <w:rPr>
          <w:lang w:val="fr-CH"/>
        </w:rPr>
        <w:t>rayonnements non désirés</w:t>
      </w:r>
      <w:r>
        <w:rPr>
          <w:lang w:val="fr-CH"/>
        </w:rPr>
        <w:t xml:space="preserve"> des stations de base et les interfaces radioélectriques de Terre des technologies IMT-2000. Les principales modifications sont les suivantes</w:t>
      </w:r>
      <w:r w:rsidRPr="00CD2E23">
        <w:rPr>
          <w:lang w:val="fr-CH" w:eastAsia="zh-CN"/>
        </w:rPr>
        <w:t>:</w:t>
      </w:r>
    </w:p>
    <w:p w:rsidR="006A629C" w:rsidRPr="00CD2E23" w:rsidRDefault="006A629C" w:rsidP="006A629C">
      <w:pPr>
        <w:pStyle w:val="enumlev1"/>
        <w:spacing w:line="240" w:lineRule="auto"/>
        <w:jc w:val="left"/>
        <w:rPr>
          <w:lang w:val="fr-CH"/>
        </w:rPr>
      </w:pPr>
      <w:r w:rsidRPr="00CD2E23">
        <w:rPr>
          <w:lang w:val="fr-CH"/>
        </w:rPr>
        <w:t>•</w:t>
      </w:r>
      <w:r w:rsidRPr="00CD2E23">
        <w:rPr>
          <w:lang w:val="fr-CH"/>
        </w:rPr>
        <w:tab/>
      </w:r>
      <w:r>
        <w:rPr>
          <w:lang w:val="fr-CH"/>
        </w:rPr>
        <w:t>D</w:t>
      </w:r>
      <w:r w:rsidRPr="00CD2E23">
        <w:rPr>
          <w:lang w:val="fr-CH"/>
        </w:rPr>
        <w:t>iverses annexes ont été mises à jour, sur la base des cont</w:t>
      </w:r>
      <w:r>
        <w:rPr>
          <w:lang w:val="fr-CH"/>
        </w:rPr>
        <w:t>ributions soumises par le</w:t>
      </w:r>
      <w:r w:rsidRPr="00CD2E23">
        <w:rPr>
          <w:lang w:val="fr-CH"/>
        </w:rPr>
        <w:t xml:space="preserve">s organisations extérieures </w:t>
      </w:r>
      <w:r>
        <w:rPr>
          <w:lang w:val="fr-CH"/>
        </w:rPr>
        <w:t xml:space="preserve">concernées. </w:t>
      </w:r>
      <w:r w:rsidRPr="00CD2E23">
        <w:rPr>
          <w:lang w:val="fr-CH"/>
        </w:rPr>
        <w:t>3GPP</w:t>
      </w:r>
      <w:r>
        <w:rPr>
          <w:lang w:val="fr-CH"/>
        </w:rPr>
        <w:t xml:space="preserve"> a fourni des éléments d'information pour les Annexes 1 et 3;</w:t>
      </w:r>
      <w:r w:rsidRPr="00CD2E23">
        <w:rPr>
          <w:lang w:val="fr-CH"/>
        </w:rPr>
        <w:t xml:space="preserve"> TIA </w:t>
      </w:r>
      <w:r>
        <w:rPr>
          <w:lang w:val="fr-CH"/>
        </w:rPr>
        <w:t xml:space="preserve">et </w:t>
      </w:r>
      <w:r w:rsidRPr="00CD2E23">
        <w:rPr>
          <w:lang w:val="fr-CH"/>
        </w:rPr>
        <w:t>3GPP2</w:t>
      </w:r>
      <w:r>
        <w:rPr>
          <w:lang w:val="fr-CH"/>
        </w:rPr>
        <w:t xml:space="preserve"> pour l'</w:t>
      </w:r>
      <w:r w:rsidRPr="00CD2E23">
        <w:rPr>
          <w:lang w:val="fr-CH"/>
        </w:rPr>
        <w:t>Annex</w:t>
      </w:r>
      <w:r>
        <w:rPr>
          <w:lang w:val="fr-CH"/>
        </w:rPr>
        <w:t>e</w:t>
      </w:r>
      <w:r w:rsidRPr="00CD2E23">
        <w:rPr>
          <w:lang w:val="fr-CH"/>
        </w:rPr>
        <w:t xml:space="preserve"> 2; </w:t>
      </w:r>
      <w:r>
        <w:rPr>
          <w:lang w:val="fr-CH"/>
        </w:rPr>
        <w:t>et</w:t>
      </w:r>
      <w:r w:rsidRPr="00CD2E23">
        <w:rPr>
          <w:lang w:val="fr-CH"/>
        </w:rPr>
        <w:t xml:space="preserve"> ATIS </w:t>
      </w:r>
      <w:r>
        <w:rPr>
          <w:lang w:val="fr-CH"/>
        </w:rPr>
        <w:t>pour l'</w:t>
      </w:r>
      <w:r w:rsidRPr="00CD2E23">
        <w:rPr>
          <w:lang w:val="fr-CH"/>
        </w:rPr>
        <w:t>Annex</w:t>
      </w:r>
      <w:r>
        <w:rPr>
          <w:lang w:val="fr-CH"/>
        </w:rPr>
        <w:t>e</w:t>
      </w:r>
      <w:r w:rsidRPr="00CD2E23">
        <w:rPr>
          <w:lang w:val="fr-CH"/>
        </w:rPr>
        <w:t xml:space="preserve"> 4.</w:t>
      </w:r>
    </w:p>
    <w:p w:rsidR="006A629C" w:rsidRPr="00935725" w:rsidRDefault="006A629C" w:rsidP="006A629C">
      <w:pPr>
        <w:pStyle w:val="enumlev1"/>
        <w:spacing w:line="240" w:lineRule="auto"/>
        <w:jc w:val="left"/>
        <w:rPr>
          <w:lang w:val="fr-CH"/>
        </w:rPr>
      </w:pPr>
      <w:r w:rsidRPr="00935725">
        <w:rPr>
          <w:lang w:val="fr-CH"/>
        </w:rPr>
        <w:t>•</w:t>
      </w:r>
      <w:r w:rsidRPr="00935725">
        <w:rPr>
          <w:lang w:val="fr-CH"/>
        </w:rPr>
        <w:tab/>
      </w:r>
      <w:r>
        <w:rPr>
          <w:lang w:val="fr-CH"/>
        </w:rPr>
        <w:t>D</w:t>
      </w:r>
      <w:r w:rsidRPr="00935725">
        <w:rPr>
          <w:lang w:val="fr-CH"/>
        </w:rPr>
        <w:t xml:space="preserve">ans le cadre de cette </w:t>
      </w:r>
      <w:r>
        <w:rPr>
          <w:lang w:val="fr-CH"/>
        </w:rPr>
        <w:t>ré</w:t>
      </w:r>
      <w:r w:rsidRPr="00935725">
        <w:rPr>
          <w:lang w:val="fr-CH"/>
        </w:rPr>
        <w:t>vision, on a également apporté des modifica</w:t>
      </w:r>
      <w:r>
        <w:rPr>
          <w:lang w:val="fr-CH"/>
        </w:rPr>
        <w:t>t</w:t>
      </w:r>
      <w:r w:rsidRPr="00935725">
        <w:rPr>
          <w:lang w:val="fr-CH"/>
        </w:rPr>
        <w:t>ions</w:t>
      </w:r>
      <w:r>
        <w:rPr>
          <w:lang w:val="fr-CH"/>
        </w:rPr>
        <w:t>/adjonctions aux NOTES associées aux différentes technologies d'interface radioélectrique</w:t>
      </w:r>
      <w:r w:rsidRPr="00935725">
        <w:rPr>
          <w:lang w:val="fr-CH"/>
        </w:rPr>
        <w:t>.</w:t>
      </w:r>
    </w:p>
    <w:p w:rsidR="006A629C" w:rsidRPr="00150E1D" w:rsidRDefault="006A629C" w:rsidP="006A629C">
      <w:pPr>
        <w:tabs>
          <w:tab w:val="right" w:pos="9639"/>
        </w:tabs>
        <w:spacing w:before="360" w:line="240" w:lineRule="auto"/>
        <w:jc w:val="left"/>
        <w:rPr>
          <w:szCs w:val="24"/>
          <w:lang w:val="fr-CH"/>
        </w:rPr>
      </w:pPr>
      <w:r w:rsidRPr="00150E1D">
        <w:rPr>
          <w:szCs w:val="24"/>
          <w:u w:val="single"/>
          <w:lang w:val="fr-CH"/>
        </w:rPr>
        <w:t xml:space="preserve">Projet de </w:t>
      </w:r>
      <w:r>
        <w:rPr>
          <w:szCs w:val="24"/>
          <w:u w:val="single"/>
          <w:lang w:val="fr-CH"/>
        </w:rPr>
        <w:t>ré</w:t>
      </w:r>
      <w:r w:rsidRPr="00150E1D">
        <w:rPr>
          <w:szCs w:val="24"/>
          <w:u w:val="single"/>
          <w:lang w:val="fr-CH"/>
        </w:rPr>
        <w:t xml:space="preserve">vision de la </w:t>
      </w:r>
      <w:r>
        <w:rPr>
          <w:szCs w:val="24"/>
          <w:u w:val="single"/>
          <w:lang w:val="fr-CH"/>
        </w:rPr>
        <w:t>Recommandation UIT-R</w:t>
      </w:r>
      <w:r w:rsidRPr="00150E1D">
        <w:rPr>
          <w:szCs w:val="24"/>
          <w:u w:val="single"/>
          <w:lang w:val="fr-CH"/>
        </w:rPr>
        <w:t xml:space="preserve"> M.1581-4</w:t>
      </w:r>
      <w:r w:rsidRPr="00150E1D">
        <w:rPr>
          <w:szCs w:val="24"/>
          <w:lang w:val="fr-CH"/>
        </w:rPr>
        <w:tab/>
        <w:t>Doc. 5/BL/10</w:t>
      </w:r>
    </w:p>
    <w:p w:rsidR="006A629C" w:rsidRPr="00EA1EE2" w:rsidRDefault="006A629C" w:rsidP="006A629C">
      <w:pPr>
        <w:pStyle w:val="Rectitle"/>
        <w:rPr>
          <w:sz w:val="24"/>
          <w:szCs w:val="24"/>
          <w:lang w:val="fr-CH"/>
        </w:rPr>
      </w:pPr>
      <w:r>
        <w:rPr>
          <w:rFonts w:cstheme="majorBidi"/>
          <w:lang w:val="fr-CH"/>
        </w:rPr>
        <w:t>Caractéristiques génériques des rayonnements non désirés des stations mobiles utilisant les interfaces radioélectriques de Terre des IMT-2000</w:t>
      </w:r>
    </w:p>
    <w:p w:rsidR="006A629C" w:rsidRPr="00CD2E23" w:rsidRDefault="006A629C" w:rsidP="006A629C">
      <w:pPr>
        <w:jc w:val="left"/>
        <w:rPr>
          <w:lang w:val="fr-CH"/>
        </w:rPr>
      </w:pPr>
      <w:r>
        <w:rPr>
          <w:lang w:val="fr-CH"/>
        </w:rPr>
        <w:t>Cette modification vise à mettre à jour et à harmoniser les caractéristiques génériques des rayonnements non désirés des stations mobiles et les interfaces radioélectriques de Terre des technologies IMT-2000.</w:t>
      </w:r>
      <w:r w:rsidRPr="006513DE">
        <w:rPr>
          <w:lang w:val="fr-CH"/>
        </w:rPr>
        <w:t xml:space="preserve"> </w:t>
      </w:r>
      <w:r>
        <w:rPr>
          <w:lang w:val="fr-CH"/>
        </w:rPr>
        <w:t>Les principales modifications sont les suivantes</w:t>
      </w:r>
      <w:r w:rsidRPr="00CD2E23">
        <w:rPr>
          <w:lang w:val="fr-CH" w:eastAsia="zh-CN"/>
        </w:rPr>
        <w:t>:</w:t>
      </w:r>
    </w:p>
    <w:p w:rsidR="006A629C" w:rsidRPr="00CD2E23" w:rsidRDefault="006A629C" w:rsidP="006A629C">
      <w:pPr>
        <w:pStyle w:val="enumlev1"/>
        <w:spacing w:line="240" w:lineRule="auto"/>
        <w:jc w:val="left"/>
        <w:rPr>
          <w:lang w:val="fr-CH"/>
        </w:rPr>
      </w:pPr>
      <w:r w:rsidRPr="00CD2E23">
        <w:rPr>
          <w:lang w:val="fr-CH"/>
        </w:rPr>
        <w:t>•</w:t>
      </w:r>
      <w:r w:rsidRPr="00CD2E23">
        <w:rPr>
          <w:lang w:val="fr-CH"/>
        </w:rPr>
        <w:tab/>
      </w:r>
      <w:r>
        <w:rPr>
          <w:lang w:val="fr-CH"/>
        </w:rPr>
        <w:t>D</w:t>
      </w:r>
      <w:r w:rsidRPr="00CD2E23">
        <w:rPr>
          <w:lang w:val="fr-CH"/>
        </w:rPr>
        <w:t>iverses annexes ont été mises à jour, sur la base des cont</w:t>
      </w:r>
      <w:r>
        <w:rPr>
          <w:lang w:val="fr-CH"/>
        </w:rPr>
        <w:t>ributions soumises par le</w:t>
      </w:r>
      <w:r w:rsidRPr="00CD2E23">
        <w:rPr>
          <w:lang w:val="fr-CH"/>
        </w:rPr>
        <w:t xml:space="preserve">s organisations extérieures </w:t>
      </w:r>
      <w:r>
        <w:rPr>
          <w:lang w:val="fr-CH"/>
        </w:rPr>
        <w:t xml:space="preserve">concernées. </w:t>
      </w:r>
      <w:r w:rsidRPr="00CD2E23">
        <w:rPr>
          <w:lang w:val="fr-CH"/>
        </w:rPr>
        <w:t>3GPP</w:t>
      </w:r>
      <w:r>
        <w:rPr>
          <w:lang w:val="fr-CH"/>
        </w:rPr>
        <w:t xml:space="preserve"> a fourni des éléments d'information pour les Annexes 1 et 3;</w:t>
      </w:r>
      <w:r w:rsidRPr="00CD2E23">
        <w:rPr>
          <w:lang w:val="fr-CH"/>
        </w:rPr>
        <w:t xml:space="preserve"> TIA </w:t>
      </w:r>
      <w:r>
        <w:rPr>
          <w:lang w:val="fr-CH"/>
        </w:rPr>
        <w:t xml:space="preserve">et </w:t>
      </w:r>
      <w:r w:rsidRPr="00CD2E23">
        <w:rPr>
          <w:lang w:val="fr-CH"/>
        </w:rPr>
        <w:t>3GPP2</w:t>
      </w:r>
      <w:r>
        <w:rPr>
          <w:lang w:val="fr-CH"/>
        </w:rPr>
        <w:t xml:space="preserve"> pour l'</w:t>
      </w:r>
      <w:r w:rsidRPr="00CD2E23">
        <w:rPr>
          <w:lang w:val="fr-CH"/>
        </w:rPr>
        <w:t>Annex</w:t>
      </w:r>
      <w:r>
        <w:rPr>
          <w:lang w:val="fr-CH"/>
        </w:rPr>
        <w:t>e</w:t>
      </w:r>
      <w:r w:rsidRPr="00CD2E23">
        <w:rPr>
          <w:lang w:val="fr-CH"/>
        </w:rPr>
        <w:t xml:space="preserve"> 2; </w:t>
      </w:r>
      <w:r>
        <w:rPr>
          <w:lang w:val="fr-CH"/>
        </w:rPr>
        <w:t>et</w:t>
      </w:r>
      <w:r w:rsidRPr="00CD2E23">
        <w:rPr>
          <w:lang w:val="fr-CH"/>
        </w:rPr>
        <w:t xml:space="preserve"> ATIS </w:t>
      </w:r>
      <w:r>
        <w:rPr>
          <w:lang w:val="fr-CH"/>
        </w:rPr>
        <w:t>pour l'</w:t>
      </w:r>
      <w:r w:rsidRPr="00CD2E23">
        <w:rPr>
          <w:lang w:val="fr-CH"/>
        </w:rPr>
        <w:t>Annex</w:t>
      </w:r>
      <w:r>
        <w:rPr>
          <w:lang w:val="fr-CH"/>
        </w:rPr>
        <w:t>e</w:t>
      </w:r>
      <w:r w:rsidRPr="00CD2E23">
        <w:rPr>
          <w:lang w:val="fr-CH"/>
        </w:rPr>
        <w:t xml:space="preserve"> 4.</w:t>
      </w:r>
    </w:p>
    <w:p w:rsidR="006A629C" w:rsidRDefault="006A629C" w:rsidP="006A629C">
      <w:pPr>
        <w:pStyle w:val="enumlev1"/>
        <w:tabs>
          <w:tab w:val="left" w:pos="990"/>
        </w:tabs>
        <w:spacing w:line="240" w:lineRule="auto"/>
        <w:jc w:val="left"/>
        <w:rPr>
          <w:lang w:val="fr-CH"/>
        </w:rPr>
      </w:pPr>
      <w:r w:rsidRPr="00935725">
        <w:rPr>
          <w:lang w:val="fr-CH"/>
        </w:rPr>
        <w:t>•</w:t>
      </w:r>
      <w:r w:rsidRPr="00935725">
        <w:rPr>
          <w:lang w:val="fr-CH"/>
        </w:rPr>
        <w:tab/>
        <w:t xml:space="preserve">Dans le cadre de cette </w:t>
      </w:r>
      <w:r>
        <w:rPr>
          <w:lang w:val="fr-CH"/>
        </w:rPr>
        <w:t>ré</w:t>
      </w:r>
      <w:r w:rsidRPr="00935725">
        <w:rPr>
          <w:lang w:val="fr-CH"/>
        </w:rPr>
        <w:t>vision, on a également apporté des modifica</w:t>
      </w:r>
      <w:r>
        <w:rPr>
          <w:lang w:val="fr-CH"/>
        </w:rPr>
        <w:t>t</w:t>
      </w:r>
      <w:r w:rsidRPr="00935725">
        <w:rPr>
          <w:lang w:val="fr-CH"/>
        </w:rPr>
        <w:t>ions</w:t>
      </w:r>
      <w:r>
        <w:rPr>
          <w:lang w:val="fr-CH"/>
        </w:rPr>
        <w:t>/adjonctions aux NOTES associées aux différentes technologies d'interface radioélectrique</w:t>
      </w:r>
      <w:r w:rsidR="00CB24BC">
        <w:rPr>
          <w:lang w:val="fr-CH"/>
        </w:rPr>
        <w:t>.</w:t>
      </w:r>
    </w:p>
    <w:p w:rsidR="00821051" w:rsidRDefault="00821051" w:rsidP="00821051">
      <w:pPr>
        <w:spacing w:before="120" w:line="240" w:lineRule="auto"/>
        <w:rPr>
          <w:lang w:val="fr-CH"/>
        </w:rPr>
      </w:pPr>
    </w:p>
    <w:p w:rsidR="006A629C" w:rsidRPr="00EA1EE2" w:rsidRDefault="006A629C" w:rsidP="006A629C">
      <w:pPr>
        <w:pStyle w:val="AnnexNotitle0"/>
        <w:spacing w:before="720" w:after="240"/>
        <w:rPr>
          <w:rFonts w:asciiTheme="minorHAnsi" w:hAnsiTheme="minorHAnsi" w:cstheme="minorHAnsi"/>
          <w:lang w:val="fr-CH"/>
        </w:rPr>
      </w:pPr>
      <w:r w:rsidRPr="00EA1EE2">
        <w:rPr>
          <w:rFonts w:asciiTheme="minorHAnsi" w:hAnsiTheme="minorHAnsi" w:cstheme="minorHAnsi"/>
          <w:lang w:val="fr-CH"/>
        </w:rPr>
        <w:t>Annexe 2</w:t>
      </w:r>
      <w:r w:rsidRPr="00EA1EE2">
        <w:rPr>
          <w:rFonts w:asciiTheme="minorHAnsi" w:hAnsiTheme="minorHAnsi" w:cstheme="minorHAnsi"/>
          <w:lang w:val="fr-CH"/>
        </w:rPr>
        <w:br/>
      </w:r>
      <w:r w:rsidRPr="00EA1EE2">
        <w:rPr>
          <w:rFonts w:asciiTheme="minorHAnsi" w:hAnsiTheme="minorHAnsi" w:cstheme="minorHAnsi"/>
          <w:lang w:val="fr-CH"/>
        </w:rPr>
        <w:br/>
        <w:t>Recommandations UIT-R dont la suppression es</w:t>
      </w:r>
      <w:r>
        <w:rPr>
          <w:rFonts w:asciiTheme="minorHAnsi" w:hAnsiTheme="minorHAnsi" w:cstheme="minorHAnsi"/>
          <w:lang w:val="fr-CH"/>
        </w:rPr>
        <w:t>t</w:t>
      </w:r>
      <w:r w:rsidRPr="00EA1EE2">
        <w:rPr>
          <w:rFonts w:asciiTheme="minorHAnsi" w:hAnsiTheme="minorHAnsi" w:cstheme="minorHAnsi"/>
          <w:lang w:val="fr-CH"/>
        </w:rPr>
        <w:t xml:space="preserve"> </w:t>
      </w:r>
      <w:r>
        <w:rPr>
          <w:rFonts w:asciiTheme="minorHAnsi" w:hAnsiTheme="minorHAnsi" w:cstheme="minorHAnsi"/>
          <w:lang w:val="fr-CH"/>
        </w:rPr>
        <w:t>proposée</w:t>
      </w:r>
    </w:p>
    <w:tbl>
      <w:tblPr>
        <w:tblStyle w:val="TableGrid"/>
        <w:tblW w:w="0" w:type="auto"/>
        <w:jc w:val="center"/>
        <w:tblLook w:val="04A0" w:firstRow="1" w:lastRow="0" w:firstColumn="1" w:lastColumn="0" w:noHBand="0" w:noVBand="1"/>
      </w:tblPr>
      <w:tblGrid>
        <w:gridCol w:w="1951"/>
        <w:gridCol w:w="7904"/>
      </w:tblGrid>
      <w:tr w:rsidR="006A629C" w:rsidTr="007661FD">
        <w:trPr>
          <w:jc w:val="center"/>
        </w:trPr>
        <w:tc>
          <w:tcPr>
            <w:tcW w:w="1951" w:type="dxa"/>
          </w:tcPr>
          <w:p w:rsidR="006A629C" w:rsidRDefault="006A629C" w:rsidP="00EE45E0">
            <w:pPr>
              <w:pStyle w:val="Tablehead"/>
              <w:rPr>
                <w:lang w:val="en-GB"/>
              </w:rPr>
            </w:pPr>
            <w:r>
              <w:rPr>
                <w:lang w:val="en-GB"/>
              </w:rPr>
              <w:t>Recommandation UIT-R</w:t>
            </w:r>
          </w:p>
        </w:tc>
        <w:tc>
          <w:tcPr>
            <w:tcW w:w="7904" w:type="dxa"/>
            <w:vAlign w:val="center"/>
          </w:tcPr>
          <w:p w:rsidR="006A629C" w:rsidRDefault="006A629C" w:rsidP="00EE45E0">
            <w:pPr>
              <w:pStyle w:val="Tablehead"/>
              <w:rPr>
                <w:lang w:val="en-GB"/>
              </w:rPr>
            </w:pPr>
            <w:r>
              <w:rPr>
                <w:lang w:val="en-GB"/>
              </w:rPr>
              <w:t>Titre</w:t>
            </w:r>
            <w:bookmarkStart w:id="3" w:name="_GoBack"/>
            <w:bookmarkEnd w:id="3"/>
          </w:p>
        </w:tc>
      </w:tr>
      <w:tr w:rsidR="006A629C" w:rsidRPr="00821051" w:rsidTr="007661FD">
        <w:trPr>
          <w:jc w:val="center"/>
        </w:trPr>
        <w:tc>
          <w:tcPr>
            <w:tcW w:w="1951" w:type="dxa"/>
          </w:tcPr>
          <w:p w:rsidR="006A629C" w:rsidRPr="0024778C" w:rsidRDefault="006A629C" w:rsidP="00EE45E0">
            <w:pPr>
              <w:pStyle w:val="Tabletext"/>
              <w:rPr>
                <w:rFonts w:eastAsia="SimSun"/>
                <w:szCs w:val="20"/>
              </w:rPr>
            </w:pPr>
            <w:r w:rsidRPr="0024778C">
              <w:rPr>
                <w:rFonts w:hint="eastAsia"/>
                <w:szCs w:val="20"/>
              </w:rPr>
              <w:t>S</w:t>
            </w:r>
            <w:r w:rsidRPr="0024778C">
              <w:rPr>
                <w:szCs w:val="20"/>
              </w:rPr>
              <w:t>F.</w:t>
            </w:r>
            <w:r w:rsidRPr="0024778C">
              <w:rPr>
                <w:rFonts w:hint="eastAsia"/>
                <w:szCs w:val="20"/>
              </w:rPr>
              <w:t>35</w:t>
            </w:r>
            <w:r w:rsidRPr="0024778C">
              <w:rPr>
                <w:rFonts w:hint="eastAsia"/>
                <w:szCs w:val="20"/>
                <w:lang w:eastAsia="ja-JP"/>
              </w:rPr>
              <w:t>6</w:t>
            </w:r>
            <w:r w:rsidRPr="0024778C">
              <w:rPr>
                <w:szCs w:val="20"/>
              </w:rPr>
              <w:t>-</w:t>
            </w:r>
            <w:r w:rsidRPr="0024778C">
              <w:rPr>
                <w:rFonts w:hint="eastAsia"/>
                <w:szCs w:val="20"/>
              </w:rPr>
              <w:t>4</w:t>
            </w:r>
            <w:r w:rsidRPr="0024778C">
              <w:rPr>
                <w:szCs w:val="20"/>
              </w:rPr>
              <w:t xml:space="preserve"> (1997)</w:t>
            </w:r>
          </w:p>
        </w:tc>
        <w:tc>
          <w:tcPr>
            <w:tcW w:w="7904" w:type="dxa"/>
          </w:tcPr>
          <w:p w:rsidR="006A629C" w:rsidRPr="006945A4" w:rsidRDefault="006A629C" w:rsidP="00EE45E0">
            <w:pPr>
              <w:pStyle w:val="Tabletext"/>
              <w:rPr>
                <w:szCs w:val="20"/>
                <w:lang w:val="fr-CH"/>
              </w:rPr>
            </w:pPr>
            <w:r w:rsidRPr="006945A4">
              <w:rPr>
                <w:lang w:val="fr-CH"/>
              </w:rPr>
              <w:t>Valeurs maximales admissibles des brouillages dus aux faisceaux hertziens à visibilité directe dans une voie téléphonique d</w:t>
            </w:r>
            <w:r>
              <w:rPr>
                <w:lang w:val="fr-CH"/>
              </w:rPr>
              <w:t>'</w:t>
            </w:r>
            <w:r w:rsidRPr="006945A4">
              <w:rPr>
                <w:lang w:val="fr-CH"/>
              </w:rPr>
              <w:t>un système du service fixe par satellite utilisant la modulation de fréquence, ces systèmes utilisant en partage les mêmes bandes de fréquences</w:t>
            </w:r>
          </w:p>
        </w:tc>
      </w:tr>
      <w:tr w:rsidR="006A629C" w:rsidRPr="00821051" w:rsidTr="007661FD">
        <w:trPr>
          <w:jc w:val="center"/>
        </w:trPr>
        <w:tc>
          <w:tcPr>
            <w:tcW w:w="1951" w:type="dxa"/>
          </w:tcPr>
          <w:p w:rsidR="006A629C" w:rsidRPr="0024778C" w:rsidRDefault="006A629C" w:rsidP="00EE45E0">
            <w:pPr>
              <w:pStyle w:val="Tabletext"/>
              <w:rPr>
                <w:rFonts w:eastAsia="SimSun"/>
                <w:szCs w:val="20"/>
              </w:rPr>
            </w:pPr>
            <w:r w:rsidRPr="0024778C">
              <w:rPr>
                <w:rFonts w:hint="eastAsia"/>
                <w:szCs w:val="20"/>
              </w:rPr>
              <w:t>S</w:t>
            </w:r>
            <w:r w:rsidRPr="0024778C">
              <w:rPr>
                <w:szCs w:val="20"/>
              </w:rPr>
              <w:t>F.</w:t>
            </w:r>
            <w:r w:rsidRPr="0024778C">
              <w:rPr>
                <w:rFonts w:hint="eastAsia"/>
                <w:szCs w:val="20"/>
              </w:rPr>
              <w:t>357</w:t>
            </w:r>
            <w:r w:rsidRPr="0024778C">
              <w:rPr>
                <w:szCs w:val="20"/>
              </w:rPr>
              <w:t>-</w:t>
            </w:r>
            <w:r w:rsidRPr="0024778C">
              <w:rPr>
                <w:rFonts w:hint="eastAsia"/>
                <w:szCs w:val="20"/>
              </w:rPr>
              <w:t>4</w:t>
            </w:r>
            <w:r w:rsidRPr="0024778C">
              <w:rPr>
                <w:szCs w:val="20"/>
              </w:rPr>
              <w:t xml:space="preserve"> (1997)</w:t>
            </w:r>
          </w:p>
        </w:tc>
        <w:tc>
          <w:tcPr>
            <w:tcW w:w="7904" w:type="dxa"/>
          </w:tcPr>
          <w:p w:rsidR="006A629C" w:rsidRPr="006945A4" w:rsidRDefault="006A629C" w:rsidP="00EE45E0">
            <w:pPr>
              <w:pStyle w:val="Tabletext"/>
              <w:rPr>
                <w:szCs w:val="20"/>
                <w:lang w:val="fr-CH"/>
              </w:rPr>
            </w:pPr>
            <w:r w:rsidRPr="006945A4">
              <w:rPr>
                <w:lang w:val="fr-CH"/>
              </w:rPr>
              <w:t>Valeurs maximales admissibles des brouillages dans une voie téléphonique d</w:t>
            </w:r>
            <w:r>
              <w:rPr>
                <w:lang w:val="fr-CH"/>
              </w:rPr>
              <w:t>'</w:t>
            </w:r>
            <w:r w:rsidRPr="006945A4">
              <w:rPr>
                <w:lang w:val="fr-CH"/>
              </w:rPr>
              <w:t>un faisceau hertzien analogique à modulation angulaire, partageant la même bande de fréquences que des systèmes du service fixe par satellite</w:t>
            </w:r>
          </w:p>
        </w:tc>
      </w:tr>
      <w:tr w:rsidR="006A629C" w:rsidRPr="00821051" w:rsidTr="007661FD">
        <w:trPr>
          <w:jc w:val="center"/>
        </w:trPr>
        <w:tc>
          <w:tcPr>
            <w:tcW w:w="1951" w:type="dxa"/>
          </w:tcPr>
          <w:p w:rsidR="006A629C" w:rsidRPr="0024778C" w:rsidRDefault="006A629C" w:rsidP="00EE45E0">
            <w:pPr>
              <w:pStyle w:val="Tabletext"/>
              <w:rPr>
                <w:szCs w:val="20"/>
                <w:lang w:val="en-GB"/>
              </w:rPr>
            </w:pPr>
            <w:r w:rsidRPr="0024778C">
              <w:rPr>
                <w:rFonts w:eastAsia="SimSun"/>
                <w:szCs w:val="20"/>
              </w:rPr>
              <w:t>M.1740</w:t>
            </w:r>
            <w:r w:rsidRPr="0024778C">
              <w:rPr>
                <w:szCs w:val="20"/>
              </w:rPr>
              <w:t xml:space="preserve"> (2006)</w:t>
            </w:r>
          </w:p>
        </w:tc>
        <w:tc>
          <w:tcPr>
            <w:tcW w:w="7904" w:type="dxa"/>
          </w:tcPr>
          <w:p w:rsidR="006A629C" w:rsidRPr="006945A4" w:rsidRDefault="006A629C" w:rsidP="00EE45E0">
            <w:pPr>
              <w:pStyle w:val="Tabletext"/>
              <w:rPr>
                <w:szCs w:val="20"/>
                <w:lang w:val="fr-CH"/>
              </w:rPr>
            </w:pPr>
            <w:r w:rsidRPr="006945A4">
              <w:rPr>
                <w:lang w:val="fr-CH"/>
              </w:rPr>
              <w:t>Guide à utiliser pour appliquer les textes de l</w:t>
            </w:r>
            <w:r>
              <w:rPr>
                <w:lang w:val="fr-CH"/>
              </w:rPr>
              <w:t>'</w:t>
            </w:r>
            <w:r w:rsidRPr="006945A4">
              <w:rPr>
                <w:lang w:val="fr-CH"/>
              </w:rPr>
              <w:t>UIT-R se rapportant au service d</w:t>
            </w:r>
            <w:r>
              <w:rPr>
                <w:lang w:val="fr-CH"/>
              </w:rPr>
              <w:t>'</w:t>
            </w:r>
            <w:r w:rsidRPr="006945A4">
              <w:rPr>
                <w:lang w:val="fr-CH"/>
              </w:rPr>
              <w:t>amateur et au service d</w:t>
            </w:r>
            <w:r>
              <w:rPr>
                <w:lang w:val="fr-CH"/>
              </w:rPr>
              <w:t>'</w:t>
            </w:r>
            <w:r w:rsidRPr="006945A4">
              <w:rPr>
                <w:lang w:val="fr-CH"/>
              </w:rPr>
              <w:t>amateur par satellite</w:t>
            </w:r>
          </w:p>
        </w:tc>
      </w:tr>
      <w:tr w:rsidR="006A629C" w:rsidRPr="00821051" w:rsidTr="007661FD">
        <w:trPr>
          <w:jc w:val="center"/>
        </w:trPr>
        <w:tc>
          <w:tcPr>
            <w:tcW w:w="1951" w:type="dxa"/>
          </w:tcPr>
          <w:p w:rsidR="006A629C" w:rsidRPr="0024778C" w:rsidRDefault="006A629C" w:rsidP="00EE45E0">
            <w:pPr>
              <w:pStyle w:val="Tabletext"/>
              <w:rPr>
                <w:rFonts w:eastAsia="SimSun"/>
                <w:szCs w:val="20"/>
              </w:rPr>
            </w:pPr>
            <w:r w:rsidRPr="0024778C">
              <w:rPr>
                <w:rFonts w:eastAsia="SimSun"/>
                <w:szCs w:val="20"/>
              </w:rPr>
              <w:t>M.1222</w:t>
            </w:r>
            <w:r w:rsidRPr="0024778C">
              <w:rPr>
                <w:szCs w:val="20"/>
              </w:rPr>
              <w:t xml:space="preserve"> (1997)</w:t>
            </w:r>
          </w:p>
        </w:tc>
        <w:tc>
          <w:tcPr>
            <w:tcW w:w="7904" w:type="dxa"/>
          </w:tcPr>
          <w:p w:rsidR="006A629C" w:rsidRPr="006945A4" w:rsidRDefault="006A629C" w:rsidP="00EE45E0">
            <w:pPr>
              <w:pStyle w:val="Tabletext"/>
              <w:rPr>
                <w:szCs w:val="20"/>
                <w:lang w:val="fr-CH"/>
              </w:rPr>
            </w:pPr>
            <w:r w:rsidRPr="006945A4">
              <w:rPr>
                <w:lang w:val="fr-CH"/>
              </w:rPr>
              <w:t>Transmission de messages de données sur des canaux radioélectriques mobiles terrestres privés et utilisés en partage</w:t>
            </w:r>
          </w:p>
        </w:tc>
      </w:tr>
    </w:tbl>
    <w:p w:rsidR="00031E64" w:rsidRPr="006A629C" w:rsidRDefault="006A629C" w:rsidP="00821051">
      <w:pPr>
        <w:spacing w:before="0" w:line="240" w:lineRule="auto"/>
        <w:jc w:val="center"/>
      </w:pPr>
      <w:r>
        <w:t>______________</w:t>
      </w:r>
    </w:p>
    <w:sectPr w:rsidR="00031E64" w:rsidRPr="006A629C"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F59" w:rsidRDefault="00F05F59">
      <w:r>
        <w:separator/>
      </w:r>
    </w:p>
  </w:endnote>
  <w:endnote w:type="continuationSeparator" w:id="0">
    <w:p w:rsidR="00F05F59" w:rsidRDefault="00F0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176" w:rsidRPr="00C36176" w:rsidRDefault="00C36176" w:rsidP="00C36176">
    <w:pPr>
      <w:pStyle w:val="Footer"/>
      <w:tabs>
        <w:tab w:val="clear" w:pos="4320"/>
        <w:tab w:val="clear" w:pos="8640"/>
        <w:tab w:val="center" w:pos="5670"/>
        <w:tab w:val="right" w:pos="8931"/>
      </w:tabs>
      <w:rPr>
        <w:sz w:val="16"/>
        <w:szCs w:val="16"/>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41A" w:rsidRPr="00C36176" w:rsidRDefault="00BC541A" w:rsidP="00BC541A">
    <w:pPr>
      <w:pStyle w:val="Footer"/>
      <w:tabs>
        <w:tab w:val="clear" w:pos="4320"/>
        <w:tab w:val="clear" w:pos="8640"/>
        <w:tab w:val="center" w:pos="5670"/>
        <w:tab w:val="right" w:pos="8931"/>
      </w:tabs>
      <w:rPr>
        <w:sz w:val="16"/>
        <w:szCs w:val="16"/>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F59" w:rsidRDefault="00F05F59">
      <w:r>
        <w:t>____________________</w:t>
      </w:r>
    </w:p>
  </w:footnote>
  <w:footnote w:type="continuationSeparator" w:id="0">
    <w:p w:rsidR="00F05F59" w:rsidRDefault="00F05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65C3" w:rsidRDefault="006A629C" w:rsidP="005E65C3">
    <w:pPr>
      <w:pStyle w:val="Header"/>
      <w:jc w:val="center"/>
      <w:rPr>
        <w:sz w:val="18"/>
        <w:szCs w:val="18"/>
      </w:rPr>
    </w:pPr>
    <w:r>
      <w:rPr>
        <w:rStyle w:val="PageNumber"/>
        <w:sz w:val="18"/>
        <w:szCs w:val="18"/>
      </w:rPr>
      <w:t xml:space="preserve">- </w:t>
    </w:r>
    <w:r w:rsidR="001B42C9" w:rsidRPr="005E65C3">
      <w:rPr>
        <w:rStyle w:val="PageNumber"/>
        <w:sz w:val="18"/>
        <w:szCs w:val="18"/>
      </w:rPr>
      <w:fldChar w:fldCharType="begin"/>
    </w:r>
    <w:r w:rsidR="00E915AF" w:rsidRPr="005E65C3">
      <w:rPr>
        <w:rStyle w:val="PageNumber"/>
        <w:sz w:val="18"/>
        <w:szCs w:val="18"/>
      </w:rPr>
      <w:instrText xml:space="preserve"> PAGE </w:instrText>
    </w:r>
    <w:r w:rsidR="001B42C9" w:rsidRPr="005E65C3">
      <w:rPr>
        <w:rStyle w:val="PageNumber"/>
        <w:sz w:val="18"/>
        <w:szCs w:val="18"/>
      </w:rPr>
      <w:fldChar w:fldCharType="separate"/>
    </w:r>
    <w:r w:rsidR="007661FD">
      <w:rPr>
        <w:rStyle w:val="PageNumber"/>
        <w:noProof/>
        <w:sz w:val="18"/>
        <w:szCs w:val="18"/>
      </w:rPr>
      <w:t>4</w:t>
    </w:r>
    <w:r w:rsidR="001B42C9" w:rsidRPr="005E65C3">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C3" w:rsidRPr="005E65C3" w:rsidRDefault="006A629C" w:rsidP="005E65C3">
    <w:pPr>
      <w:pStyle w:val="Header"/>
      <w:jc w:val="center"/>
      <w:rPr>
        <w:sz w:val="18"/>
        <w:szCs w:val="18"/>
      </w:rPr>
    </w:pPr>
    <w:r>
      <w:rPr>
        <w:rStyle w:val="PageNumber"/>
        <w:sz w:val="18"/>
        <w:szCs w:val="18"/>
      </w:rPr>
      <w:t xml:space="preserve">- </w:t>
    </w:r>
    <w:r w:rsidR="005E65C3" w:rsidRPr="005E65C3">
      <w:rPr>
        <w:rStyle w:val="PageNumber"/>
        <w:sz w:val="18"/>
        <w:szCs w:val="18"/>
      </w:rPr>
      <w:fldChar w:fldCharType="begin"/>
    </w:r>
    <w:r w:rsidR="005E65C3" w:rsidRPr="005E65C3">
      <w:rPr>
        <w:rStyle w:val="PageNumber"/>
        <w:sz w:val="18"/>
        <w:szCs w:val="18"/>
      </w:rPr>
      <w:instrText xml:space="preserve"> PAGE </w:instrText>
    </w:r>
    <w:r w:rsidR="005E65C3" w:rsidRPr="005E65C3">
      <w:rPr>
        <w:rStyle w:val="PageNumber"/>
        <w:sz w:val="18"/>
        <w:szCs w:val="18"/>
      </w:rPr>
      <w:fldChar w:fldCharType="separate"/>
    </w:r>
    <w:r w:rsidR="007661FD">
      <w:rPr>
        <w:rStyle w:val="PageNumber"/>
        <w:noProof/>
        <w:sz w:val="18"/>
        <w:szCs w:val="18"/>
      </w:rPr>
      <w:t>3</w:t>
    </w:r>
    <w:r w:rsidR="005E65C3" w:rsidRPr="005E65C3">
      <w:rPr>
        <w:rStyle w:val="PageNumber"/>
        <w:sz w:val="18"/>
        <w:szCs w:val="18"/>
      </w:rPr>
      <w:fldChar w:fldCharType="end"/>
    </w:r>
    <w:r>
      <w:rPr>
        <w:rStyle w:val="PageNumber"/>
        <w:sz w:val="18"/>
        <w:szCs w:val="18"/>
      </w:rPr>
      <w:t xml:space="preserve"> -</w:t>
    </w:r>
  </w:p>
  <w:p w:rsidR="00E915AF" w:rsidRPr="005E65C3" w:rsidRDefault="00E915AF" w:rsidP="005E6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05F59"/>
    <w:rsid w:val="00006A31"/>
    <w:rsid w:val="00006C82"/>
    <w:rsid w:val="00010E30"/>
    <w:rsid w:val="00015C76"/>
    <w:rsid w:val="00026CF8"/>
    <w:rsid w:val="00030BD7"/>
    <w:rsid w:val="00031E64"/>
    <w:rsid w:val="00034340"/>
    <w:rsid w:val="00035CB3"/>
    <w:rsid w:val="00045A8D"/>
    <w:rsid w:val="0005167A"/>
    <w:rsid w:val="00054E5D"/>
    <w:rsid w:val="000630D2"/>
    <w:rsid w:val="00070258"/>
    <w:rsid w:val="0007323C"/>
    <w:rsid w:val="00086D03"/>
    <w:rsid w:val="000A096A"/>
    <w:rsid w:val="000A375E"/>
    <w:rsid w:val="000A7051"/>
    <w:rsid w:val="000B0AF6"/>
    <w:rsid w:val="000B0E9B"/>
    <w:rsid w:val="000B2CAE"/>
    <w:rsid w:val="000C03C7"/>
    <w:rsid w:val="000C2AD0"/>
    <w:rsid w:val="000E3DEE"/>
    <w:rsid w:val="00100B72"/>
    <w:rsid w:val="00100ECB"/>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5C55"/>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76559"/>
    <w:rsid w:val="00480F51"/>
    <w:rsid w:val="00481124"/>
    <w:rsid w:val="004815EB"/>
    <w:rsid w:val="0048511F"/>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E65C3"/>
    <w:rsid w:val="005F3CB6"/>
    <w:rsid w:val="005F657C"/>
    <w:rsid w:val="00602D53"/>
    <w:rsid w:val="006047E5"/>
    <w:rsid w:val="0064371D"/>
    <w:rsid w:val="00650543"/>
    <w:rsid w:val="00650B2A"/>
    <w:rsid w:val="00651777"/>
    <w:rsid w:val="006550F8"/>
    <w:rsid w:val="006829F3"/>
    <w:rsid w:val="006A518B"/>
    <w:rsid w:val="006A629C"/>
    <w:rsid w:val="006B0590"/>
    <w:rsid w:val="006B49DA"/>
    <w:rsid w:val="006C53F8"/>
    <w:rsid w:val="006C7CDE"/>
    <w:rsid w:val="007117AE"/>
    <w:rsid w:val="007234B1"/>
    <w:rsid w:val="00723D08"/>
    <w:rsid w:val="00725FDA"/>
    <w:rsid w:val="007269C7"/>
    <w:rsid w:val="00727816"/>
    <w:rsid w:val="00730B9A"/>
    <w:rsid w:val="00750CFA"/>
    <w:rsid w:val="007553DA"/>
    <w:rsid w:val="007661FD"/>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1051"/>
    <w:rsid w:val="00854131"/>
    <w:rsid w:val="0085652D"/>
    <w:rsid w:val="00861A89"/>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31D7"/>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837F9"/>
    <w:rsid w:val="00A963DF"/>
    <w:rsid w:val="00AA211B"/>
    <w:rsid w:val="00AC0C22"/>
    <w:rsid w:val="00AC3896"/>
    <w:rsid w:val="00AD2CF2"/>
    <w:rsid w:val="00AE0BD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541A"/>
    <w:rsid w:val="00BD6738"/>
    <w:rsid w:val="00BD7E5E"/>
    <w:rsid w:val="00BE63DB"/>
    <w:rsid w:val="00BE6574"/>
    <w:rsid w:val="00C07319"/>
    <w:rsid w:val="00C16F89"/>
    <w:rsid w:val="00C16FD2"/>
    <w:rsid w:val="00C36176"/>
    <w:rsid w:val="00C4395E"/>
    <w:rsid w:val="00C47FFD"/>
    <w:rsid w:val="00C51E92"/>
    <w:rsid w:val="00C57E2C"/>
    <w:rsid w:val="00C608B7"/>
    <w:rsid w:val="00C66F24"/>
    <w:rsid w:val="00C76D7F"/>
    <w:rsid w:val="00C813AA"/>
    <w:rsid w:val="00C9291E"/>
    <w:rsid w:val="00CA3F44"/>
    <w:rsid w:val="00CA4E58"/>
    <w:rsid w:val="00CB24BC"/>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3541"/>
    <w:rsid w:val="00EE03A0"/>
    <w:rsid w:val="00EE1A57"/>
    <w:rsid w:val="00F05F59"/>
    <w:rsid w:val="00F424BF"/>
    <w:rsid w:val="00F44FC3"/>
    <w:rsid w:val="00F46107"/>
    <w:rsid w:val="00F468C5"/>
    <w:rsid w:val="00F52F39"/>
    <w:rsid w:val="00F6184F"/>
    <w:rsid w:val="00F8310E"/>
    <w:rsid w:val="00F914DD"/>
    <w:rsid w:val="00FA2358"/>
    <w:rsid w:val="00FA63E6"/>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F05F59"/>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F05F59"/>
    <w:rPr>
      <w:szCs w:val="22"/>
      <w:lang w:val="en-US" w:eastAsia="en-US"/>
    </w:rPr>
  </w:style>
  <w:style w:type="character" w:customStyle="1" w:styleId="TableheadChar">
    <w:name w:val="Table_head Char"/>
    <w:basedOn w:val="DefaultParagraphFont"/>
    <w:link w:val="Tablehead"/>
    <w:locked/>
    <w:rsid w:val="00F05F59"/>
    <w:rPr>
      <w:b/>
      <w:szCs w:val="22"/>
      <w:lang w:val="en-US" w:eastAsia="en-US"/>
    </w:rPr>
  </w:style>
  <w:style w:type="character" w:customStyle="1" w:styleId="AnnexNoTitleChar">
    <w:name w:val="Annex_NoTitle Char"/>
    <w:basedOn w:val="DefaultParagraphFont"/>
    <w:link w:val="AnnexNoTitle"/>
    <w:uiPriority w:val="99"/>
    <w:locked/>
    <w:rsid w:val="00F05F59"/>
    <w:rPr>
      <w:b/>
      <w:sz w:val="24"/>
      <w:szCs w:val="22"/>
      <w:lang w:val="en-US" w:eastAsia="en-US"/>
    </w:rPr>
  </w:style>
  <w:style w:type="paragraph" w:customStyle="1" w:styleId="Reasons">
    <w:name w:val="Reasons"/>
    <w:basedOn w:val="Normal"/>
    <w:qFormat/>
    <w:rsid w:val="00F05F5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basedOn w:val="DefaultParagraphFont"/>
    <w:link w:val="Rectitle"/>
    <w:rsid w:val="006A629C"/>
    <w:rPr>
      <w:b/>
      <w:sz w:val="28"/>
      <w:szCs w:val="22"/>
      <w:lang w:val="en-US" w:eastAsia="en-US"/>
    </w:rPr>
  </w:style>
  <w:style w:type="table" w:styleId="TableGrid">
    <w:name w:val="Table Grid"/>
    <w:basedOn w:val="TableNormal"/>
    <w:rsid w:val="006A6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6A629C"/>
    <w:rPr>
      <w:sz w:val="24"/>
      <w:szCs w:val="22"/>
      <w:lang w:val="en-US" w:eastAsia="en-US"/>
    </w:rPr>
  </w:style>
  <w:style w:type="character" w:styleId="FollowedHyperlink">
    <w:name w:val="FollowedHyperlink"/>
    <w:basedOn w:val="DefaultParagraphFont"/>
    <w:rsid w:val="00FA63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F05F59"/>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F05F59"/>
    <w:rPr>
      <w:szCs w:val="22"/>
      <w:lang w:val="en-US" w:eastAsia="en-US"/>
    </w:rPr>
  </w:style>
  <w:style w:type="character" w:customStyle="1" w:styleId="TableheadChar">
    <w:name w:val="Table_head Char"/>
    <w:basedOn w:val="DefaultParagraphFont"/>
    <w:link w:val="Tablehead"/>
    <w:locked/>
    <w:rsid w:val="00F05F59"/>
    <w:rPr>
      <w:b/>
      <w:szCs w:val="22"/>
      <w:lang w:val="en-US" w:eastAsia="en-US"/>
    </w:rPr>
  </w:style>
  <w:style w:type="character" w:customStyle="1" w:styleId="AnnexNoTitleChar">
    <w:name w:val="Annex_NoTitle Char"/>
    <w:basedOn w:val="DefaultParagraphFont"/>
    <w:link w:val="AnnexNoTitle"/>
    <w:uiPriority w:val="99"/>
    <w:locked/>
    <w:rsid w:val="00F05F59"/>
    <w:rPr>
      <w:b/>
      <w:sz w:val="24"/>
      <w:szCs w:val="22"/>
      <w:lang w:val="en-US" w:eastAsia="en-US"/>
    </w:rPr>
  </w:style>
  <w:style w:type="paragraph" w:customStyle="1" w:styleId="Reasons">
    <w:name w:val="Reasons"/>
    <w:basedOn w:val="Normal"/>
    <w:qFormat/>
    <w:rsid w:val="00F05F5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basedOn w:val="DefaultParagraphFont"/>
    <w:link w:val="Rectitle"/>
    <w:rsid w:val="006A629C"/>
    <w:rPr>
      <w:b/>
      <w:sz w:val="28"/>
      <w:szCs w:val="22"/>
      <w:lang w:val="en-US" w:eastAsia="en-US"/>
    </w:rPr>
  </w:style>
  <w:style w:type="table" w:styleId="TableGrid">
    <w:name w:val="Table Grid"/>
    <w:basedOn w:val="TableNormal"/>
    <w:rsid w:val="006A6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6A629C"/>
    <w:rPr>
      <w:sz w:val="24"/>
      <w:szCs w:val="22"/>
      <w:lang w:val="en-US" w:eastAsia="en-US"/>
    </w:rPr>
  </w:style>
  <w:style w:type="character" w:styleId="FollowedHyperlink">
    <w:name w:val="FollowedHyperlink"/>
    <w:basedOn w:val="DefaultParagraphFont"/>
    <w:rsid w:val="00FA6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F/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rec/R-REC-M/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B520-53C7-49AD-9CBB-3E632688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16</TotalTime>
  <Pages>4</Pages>
  <Words>1094</Words>
  <Characters>7181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8259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Detraz, Laurence</cp:lastModifiedBy>
  <cp:revision>12</cp:revision>
  <cp:lastPrinted>2013-12-18T07:17:00Z</cp:lastPrinted>
  <dcterms:created xsi:type="dcterms:W3CDTF">2013-12-13T08:33:00Z</dcterms:created>
  <dcterms:modified xsi:type="dcterms:W3CDTF">2013-12-18T07:17:00Z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