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A283A" w:rsidRDefault="00D35752" w:rsidP="00D35752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A283A">
              <w:rPr>
                <w:rFonts w:asciiTheme="minorHAnsi" w:hAnsiTheme="minorHAnsi" w:cstheme="minorHAnsi"/>
                <w:sz w:val="40"/>
                <w:szCs w:val="40"/>
              </w:rPr>
              <w:t>INTERNATIONAL TELECOMMUNICATION UNION</w:t>
            </w:r>
          </w:p>
        </w:tc>
        <w:tc>
          <w:tcPr>
            <w:tcW w:w="1667" w:type="dxa"/>
          </w:tcPr>
          <w:p w:rsidR="00D35752" w:rsidRPr="00D35752" w:rsidRDefault="0050552C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C26C4BA" wp14:editId="5655F4D4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Pr="00EA11F3" w:rsidRDefault="00B87E04">
            <w:pPr>
              <w:rPr>
                <w:b/>
                <w:smallCaps/>
                <w:sz w:val="20"/>
                <w:lang w:val="fr-CH"/>
              </w:rPr>
            </w:pPr>
            <w:r w:rsidRPr="00EA11F3">
              <w:rPr>
                <w:i/>
                <w:sz w:val="28"/>
                <w:lang w:val="fr-CH"/>
              </w:rPr>
              <w:t>Radiocommunication Bureau</w:t>
            </w:r>
          </w:p>
          <w:p w:rsidR="00B87E04" w:rsidRDefault="00B87E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EA11F3">
              <w:rPr>
                <w:b/>
                <w:sz w:val="18"/>
                <w:lang w:val="fr-CH"/>
              </w:rPr>
              <w:tab/>
            </w:r>
            <w:r w:rsidRPr="00EA11F3">
              <w:rPr>
                <w:i/>
                <w:sz w:val="18"/>
                <w:lang w:val="fr-CH"/>
              </w:rPr>
              <w:t xml:space="preserve">(Direct Fax N°. </w:t>
            </w:r>
            <w:r>
              <w:rPr>
                <w:i/>
                <w:sz w:val="18"/>
              </w:rPr>
              <w:t>+41 22 730 57 85)</w:t>
            </w:r>
          </w:p>
        </w:tc>
      </w:tr>
    </w:tbl>
    <w:p w:rsidR="00D35752" w:rsidRDefault="00D35752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3794"/>
        <w:gridCol w:w="6226"/>
      </w:tblGrid>
      <w:tr w:rsidR="00B87E04" w:rsidTr="00EA11F3">
        <w:trPr>
          <w:cantSplit/>
        </w:trPr>
        <w:tc>
          <w:tcPr>
            <w:tcW w:w="3794" w:type="dxa"/>
          </w:tcPr>
          <w:p w:rsidR="00EA11F3" w:rsidRPr="001D4DD3" w:rsidRDefault="00EA11F3" w:rsidP="00EA11F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rPr>
                <w:b/>
              </w:rPr>
              <w:t>Administrative Circular</w:t>
            </w:r>
          </w:p>
          <w:p w:rsidR="0071106C" w:rsidRPr="00EA11F3" w:rsidRDefault="00EA11F3" w:rsidP="004D77C0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CACE/</w:t>
            </w:r>
            <w:r w:rsidR="004D77C0">
              <w:rPr>
                <w:b/>
                <w:bCs/>
              </w:rPr>
              <w:t>563</w:t>
            </w:r>
          </w:p>
        </w:tc>
        <w:tc>
          <w:tcPr>
            <w:tcW w:w="6226" w:type="dxa"/>
          </w:tcPr>
          <w:p w:rsidR="00B87E04" w:rsidRPr="00EA11F3" w:rsidRDefault="003A3235" w:rsidP="00D35752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>2 March</w:t>
            </w:r>
            <w:r w:rsidR="009C0359">
              <w:rPr>
                <w:bCs/>
              </w:rPr>
              <w:t xml:space="preserve"> 2012</w:t>
            </w:r>
          </w:p>
        </w:tc>
      </w:tr>
    </w:tbl>
    <w:p w:rsidR="00606D42" w:rsidRDefault="00606D42" w:rsidP="00901B4D">
      <w:pPr>
        <w:tabs>
          <w:tab w:val="left" w:pos="7513"/>
        </w:tabs>
        <w:spacing w:before="600"/>
        <w:jc w:val="center"/>
        <w:rPr>
          <w:b/>
        </w:rPr>
      </w:pPr>
      <w:r w:rsidRPr="00311A18">
        <w:rPr>
          <w:b/>
          <w:bCs/>
        </w:rPr>
        <w:t>To Administrations of Member States of the ITU,</w:t>
      </w:r>
      <w:r>
        <w:rPr>
          <w:b/>
          <w:bCs/>
        </w:rPr>
        <w:t xml:space="preserve"> </w:t>
      </w:r>
      <w:r w:rsidRPr="00311A18">
        <w:rPr>
          <w:b/>
          <w:bCs/>
        </w:rPr>
        <w:t>Radiocommunication Sector Members, ITU-R Associates</w:t>
      </w:r>
      <w:r w:rsidR="00E237E2">
        <w:rPr>
          <w:b/>
          <w:bCs/>
        </w:rPr>
        <w:t xml:space="preserve"> </w:t>
      </w:r>
      <w:r w:rsidR="00650A05">
        <w:rPr>
          <w:b/>
          <w:bCs/>
        </w:rPr>
        <w:t>participating in the work of Radiocommunication</w:t>
      </w:r>
      <w:r w:rsidR="003A3235">
        <w:rPr>
          <w:b/>
          <w:bCs/>
        </w:rPr>
        <w:br/>
      </w:r>
      <w:r w:rsidRPr="00311A18">
        <w:rPr>
          <w:b/>
          <w:bCs/>
        </w:rPr>
        <w:t xml:space="preserve">Study Group </w:t>
      </w:r>
      <w:r w:rsidR="003A3235">
        <w:rPr>
          <w:b/>
          <w:bCs/>
        </w:rPr>
        <w:t xml:space="preserve">3 </w:t>
      </w:r>
      <w:r w:rsidRPr="00311A18">
        <w:rPr>
          <w:b/>
          <w:bCs/>
        </w:rPr>
        <w:t xml:space="preserve">and </w:t>
      </w:r>
      <w:r w:rsidR="00E237E2">
        <w:rPr>
          <w:b/>
          <w:bCs/>
        </w:rPr>
        <w:t>ITU-R Academia</w:t>
      </w:r>
    </w:p>
    <w:p w:rsidR="00606D42" w:rsidRPr="00942890" w:rsidRDefault="00606D42" w:rsidP="00122AC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480" w:after="120"/>
        <w:ind w:left="1843" w:hanging="1843"/>
        <w:rPr>
          <w:b/>
          <w:bCs/>
        </w:rPr>
      </w:pPr>
      <w:r>
        <w:rPr>
          <w:b/>
        </w:rPr>
        <w:t>Subject</w:t>
      </w:r>
      <w:r>
        <w:t>:</w:t>
      </w:r>
      <w:r>
        <w:tab/>
      </w:r>
      <w:r w:rsidRPr="00942890">
        <w:rPr>
          <w:b/>
          <w:bCs/>
        </w:rPr>
        <w:t xml:space="preserve">Radiocommunication Study Group </w:t>
      </w:r>
      <w:r w:rsidR="003A3235">
        <w:rPr>
          <w:b/>
          <w:bCs/>
        </w:rPr>
        <w:t xml:space="preserve">3 </w:t>
      </w:r>
      <w:r w:rsidR="00E237E2">
        <w:rPr>
          <w:b/>
          <w:bCs/>
        </w:rPr>
        <w:t>(</w:t>
      </w:r>
      <w:r w:rsidR="003A3235">
        <w:rPr>
          <w:b/>
          <w:bCs/>
        </w:rPr>
        <w:t>Radiowave propagation)</w:t>
      </w:r>
    </w:p>
    <w:p w:rsidR="00DF4981" w:rsidRDefault="00606D42" w:rsidP="003A3235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276"/>
        </w:tabs>
        <w:spacing w:before="0" w:after="120"/>
        <w:ind w:left="1843" w:hanging="1843"/>
        <w:rPr>
          <w:b/>
          <w:bCs/>
        </w:rPr>
      </w:pPr>
      <w:bookmarkStart w:id="3" w:name="OLE_LINK1"/>
      <w:bookmarkStart w:id="4" w:name="OLE_LINK2"/>
      <w:r w:rsidRPr="00942890">
        <w:rPr>
          <w:b/>
          <w:bCs/>
        </w:rPr>
        <w:tab/>
      </w:r>
      <w:r w:rsidRPr="00942890">
        <w:rPr>
          <w:b/>
          <w:bCs/>
        </w:rPr>
        <w:tab/>
        <w:t>–</w:t>
      </w:r>
      <w:r w:rsidRPr="00942890">
        <w:rPr>
          <w:b/>
          <w:bCs/>
        </w:rPr>
        <w:tab/>
        <w:t xml:space="preserve">Adoption of </w:t>
      </w:r>
      <w:r w:rsidR="003A3235">
        <w:rPr>
          <w:b/>
          <w:bCs/>
        </w:rPr>
        <w:t xml:space="preserve">1 </w:t>
      </w:r>
      <w:r w:rsidR="009C0359">
        <w:rPr>
          <w:b/>
          <w:bCs/>
        </w:rPr>
        <w:t xml:space="preserve">new Recommendation and </w:t>
      </w:r>
      <w:r w:rsidR="003A3235">
        <w:rPr>
          <w:b/>
          <w:bCs/>
        </w:rPr>
        <w:t>27</w:t>
      </w:r>
      <w:r w:rsidR="003A3235" w:rsidRPr="00942890">
        <w:rPr>
          <w:b/>
          <w:bCs/>
        </w:rPr>
        <w:t xml:space="preserve"> </w:t>
      </w:r>
      <w:r w:rsidRPr="00942890">
        <w:rPr>
          <w:b/>
          <w:bCs/>
        </w:rPr>
        <w:t>revised Recomm</w:t>
      </w:r>
      <w:r w:rsidR="00F92E07">
        <w:rPr>
          <w:b/>
          <w:bCs/>
        </w:rPr>
        <w:t>endation</w:t>
      </w:r>
      <w:r w:rsidR="009C0359">
        <w:rPr>
          <w:b/>
          <w:bCs/>
        </w:rPr>
        <w:t>s</w:t>
      </w:r>
      <w:r w:rsidR="00F92E07">
        <w:rPr>
          <w:b/>
          <w:bCs/>
        </w:rPr>
        <w:t xml:space="preserve"> and </w:t>
      </w:r>
      <w:r w:rsidR="009C0359">
        <w:rPr>
          <w:b/>
          <w:bCs/>
        </w:rPr>
        <w:t>their</w:t>
      </w:r>
      <w:r w:rsidR="009C0359" w:rsidRPr="00942890">
        <w:rPr>
          <w:b/>
          <w:bCs/>
        </w:rPr>
        <w:t xml:space="preserve"> </w:t>
      </w:r>
      <w:r w:rsidRPr="00942890">
        <w:rPr>
          <w:b/>
          <w:bCs/>
        </w:rPr>
        <w:t>simultaneous approval</w:t>
      </w:r>
      <w:r w:rsidR="009C0359">
        <w:rPr>
          <w:b/>
          <w:bCs/>
        </w:rPr>
        <w:t xml:space="preserve"> by correspondence</w:t>
      </w:r>
      <w:r w:rsidRPr="00942890">
        <w:rPr>
          <w:b/>
          <w:bCs/>
        </w:rPr>
        <w:t xml:space="preserve"> in accordance with § 10.3 of Resolution ITU-R 1-</w:t>
      </w:r>
      <w:r w:rsidR="00844C31">
        <w:rPr>
          <w:b/>
          <w:bCs/>
        </w:rPr>
        <w:t>6</w:t>
      </w:r>
      <w:r w:rsidR="00844C31" w:rsidRPr="00942890">
        <w:rPr>
          <w:b/>
          <w:bCs/>
        </w:rPr>
        <w:t xml:space="preserve"> </w:t>
      </w:r>
      <w:r w:rsidRPr="00942890">
        <w:rPr>
          <w:b/>
          <w:bCs/>
        </w:rPr>
        <w:t>(Procedure for the simultaneous adoption and approval by correspondence)</w:t>
      </w:r>
    </w:p>
    <w:bookmarkEnd w:id="3"/>
    <w:bookmarkEnd w:id="4"/>
    <w:p w:rsidR="00DF4981" w:rsidRDefault="00606D42" w:rsidP="00901B4D">
      <w:pPr>
        <w:pStyle w:val="Normalaftertitle"/>
        <w:spacing w:before="480"/>
      </w:pPr>
      <w:r>
        <w:t>By Administrative Circular CAR/</w:t>
      </w:r>
      <w:r w:rsidR="005B3E07">
        <w:t xml:space="preserve">328 </w:t>
      </w:r>
      <w:r>
        <w:t xml:space="preserve">dated </w:t>
      </w:r>
      <w:r w:rsidR="005B3E07">
        <w:t>23 November</w:t>
      </w:r>
      <w:r w:rsidR="009C0359">
        <w:t xml:space="preserve"> </w:t>
      </w:r>
      <w:r w:rsidR="00E237E2">
        <w:t>2011</w:t>
      </w:r>
      <w:r>
        <w:t xml:space="preserve">, </w:t>
      </w:r>
      <w:r w:rsidR="005B3E07">
        <w:t xml:space="preserve">1 </w:t>
      </w:r>
      <w:r w:rsidR="009C0359">
        <w:t>draft new</w:t>
      </w:r>
      <w:r w:rsidR="00234AD0">
        <w:t xml:space="preserve"> Recommenda</w:t>
      </w:r>
      <w:r w:rsidR="00A90D9F">
        <w:t>t</w:t>
      </w:r>
      <w:r w:rsidR="00234AD0">
        <w:t>ion</w:t>
      </w:r>
      <w:r w:rsidR="009C0359">
        <w:t xml:space="preserve"> and </w:t>
      </w:r>
      <w:r w:rsidR="005B3E07">
        <w:t>27 </w:t>
      </w:r>
      <w:r>
        <w:t>draft revised Recommendation</w:t>
      </w:r>
      <w:r w:rsidR="009C0359">
        <w:t>s</w:t>
      </w:r>
      <w:r>
        <w:t xml:space="preserve"> </w:t>
      </w:r>
      <w:r w:rsidR="009C0359">
        <w:t xml:space="preserve">were </w:t>
      </w:r>
      <w:r>
        <w:t>submitted for simultaneous adoption and approval by correspondence (PSAA), following the procedure of Resolution ITU</w:t>
      </w:r>
      <w:r>
        <w:noBreakHyphen/>
        <w:t>R 1</w:t>
      </w:r>
      <w:r>
        <w:noBreakHyphen/>
      </w:r>
      <w:r w:rsidR="00844C31">
        <w:t xml:space="preserve">6 </w:t>
      </w:r>
      <w:r>
        <w:t xml:space="preserve">(§ 10.3). </w:t>
      </w:r>
    </w:p>
    <w:p w:rsidR="00DF4981" w:rsidRDefault="00606D42" w:rsidP="003A3235">
      <w:r>
        <w:t xml:space="preserve">The conditions governing this procedure were met on </w:t>
      </w:r>
      <w:r w:rsidR="003A3235">
        <w:t>23 February</w:t>
      </w:r>
      <w:r w:rsidR="009C0359">
        <w:t xml:space="preserve"> 2012</w:t>
      </w:r>
      <w:r w:rsidR="00650A05">
        <w:t>.</w:t>
      </w:r>
    </w:p>
    <w:p w:rsidR="00DF4981" w:rsidRDefault="00606D42" w:rsidP="003A3235">
      <w:pPr>
        <w:tabs>
          <w:tab w:val="left" w:pos="7938"/>
        </w:tabs>
        <w:spacing w:before="136"/>
      </w:pPr>
      <w:r>
        <w:t>The approved Recommendation</w:t>
      </w:r>
      <w:r w:rsidR="009C0359">
        <w:t>s</w:t>
      </w:r>
      <w:r>
        <w:t xml:space="preserve"> will be published by the ITU and Annex </w:t>
      </w:r>
      <w:r w:rsidR="00684E2F">
        <w:t xml:space="preserve">1 </w:t>
      </w:r>
      <w:r>
        <w:t xml:space="preserve">to this Circular provides </w:t>
      </w:r>
      <w:r w:rsidR="009C0359">
        <w:t xml:space="preserve">their </w:t>
      </w:r>
      <w:r>
        <w:t>title</w:t>
      </w:r>
      <w:r w:rsidR="009C0359">
        <w:t>s</w:t>
      </w:r>
      <w:r>
        <w:t>, with the assigned number</w:t>
      </w:r>
      <w:r w:rsidR="00234AD0">
        <w:t>s</w:t>
      </w:r>
      <w:r>
        <w:t xml:space="preserve">. </w:t>
      </w:r>
    </w:p>
    <w:p w:rsidR="00606D42" w:rsidRPr="00901B4D" w:rsidRDefault="00606D42" w:rsidP="00901B4D">
      <w:pPr>
        <w:pStyle w:val="BodyTextIndent2"/>
        <w:spacing w:before="1080"/>
        <w:rPr>
          <w:lang w:val="fr-CH"/>
        </w:rPr>
      </w:pPr>
      <w:r w:rsidRPr="00901B4D">
        <w:rPr>
          <w:lang w:val="fr-CH"/>
        </w:rPr>
        <w:t>François Rancy</w:t>
      </w:r>
      <w:r w:rsidRPr="00901B4D">
        <w:rPr>
          <w:lang w:val="fr-CH"/>
        </w:rPr>
        <w:br/>
        <w:t>Director, Radiocommunication Bureau</w:t>
      </w:r>
    </w:p>
    <w:p w:rsidR="00606D42" w:rsidRPr="00901B4D" w:rsidRDefault="00606D42" w:rsidP="00E03013">
      <w:pPr>
        <w:tabs>
          <w:tab w:val="left" w:pos="4820"/>
        </w:tabs>
        <w:spacing w:before="240"/>
        <w:rPr>
          <w:u w:val="single"/>
          <w:lang w:val="fr-CH"/>
        </w:rPr>
      </w:pPr>
      <w:r w:rsidRPr="00901B4D">
        <w:rPr>
          <w:b/>
          <w:lang w:val="fr-CH"/>
        </w:rPr>
        <w:t>Annex:</w:t>
      </w:r>
      <w:r w:rsidRPr="00901B4D">
        <w:rPr>
          <w:lang w:val="fr-CH"/>
        </w:rPr>
        <w:t xml:space="preserve"> </w:t>
      </w:r>
      <w:r w:rsidRPr="00901B4D">
        <w:rPr>
          <w:lang w:val="fr-CH"/>
        </w:rPr>
        <w:tab/>
      </w:r>
      <w:r w:rsidR="005B3E07" w:rsidRPr="00901B4D">
        <w:rPr>
          <w:lang w:val="fr-CH"/>
        </w:rPr>
        <w:t>1</w:t>
      </w:r>
    </w:p>
    <w:p w:rsidR="00606D42" w:rsidRPr="002C3EB8" w:rsidRDefault="00606D42" w:rsidP="00606D42">
      <w:pPr>
        <w:tabs>
          <w:tab w:val="left" w:pos="6237"/>
        </w:tabs>
        <w:rPr>
          <w:b/>
          <w:bCs/>
          <w:sz w:val="18"/>
          <w:szCs w:val="18"/>
          <w:lang w:val="en-US"/>
        </w:rPr>
      </w:pPr>
      <w:r w:rsidRPr="002C3EB8">
        <w:rPr>
          <w:b/>
          <w:bCs/>
          <w:sz w:val="18"/>
          <w:szCs w:val="18"/>
          <w:lang w:val="en-US"/>
        </w:rPr>
        <w:t>Distribution:</w:t>
      </w:r>
    </w:p>
    <w:p w:rsidR="00606D42" w:rsidRPr="00F0013E" w:rsidRDefault="00606D42" w:rsidP="005B3E07">
      <w:pPr>
        <w:tabs>
          <w:tab w:val="left" w:pos="567"/>
          <w:tab w:val="left" w:pos="6237"/>
        </w:tabs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Administrations of Member States</w:t>
      </w:r>
      <w:r w:rsidR="009C030C">
        <w:rPr>
          <w:sz w:val="18"/>
          <w:szCs w:val="18"/>
        </w:rPr>
        <w:t xml:space="preserve"> of the ITU</w:t>
      </w:r>
      <w:r w:rsidRPr="00F0013E">
        <w:rPr>
          <w:sz w:val="18"/>
          <w:szCs w:val="18"/>
        </w:rPr>
        <w:t xml:space="preserve"> and Radiocommunication Sector Members</w:t>
      </w:r>
      <w:r w:rsidR="00E237E2">
        <w:rPr>
          <w:sz w:val="18"/>
          <w:szCs w:val="18"/>
        </w:rPr>
        <w:t xml:space="preserve"> participating in the work of Radiocommunication Study Group </w:t>
      </w:r>
      <w:r w:rsidR="005B3E07">
        <w:rPr>
          <w:sz w:val="18"/>
          <w:szCs w:val="18"/>
        </w:rPr>
        <w:t>3</w:t>
      </w:r>
    </w:p>
    <w:p w:rsidR="00606D42" w:rsidRDefault="00606D42" w:rsidP="005B3E07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 xml:space="preserve">ITU-R Associates participating in the work of Radiocommunication Study Group </w:t>
      </w:r>
      <w:r w:rsidR="005B3E07">
        <w:rPr>
          <w:sz w:val="18"/>
          <w:szCs w:val="18"/>
          <w:lang w:val="en-US"/>
        </w:rPr>
        <w:t>3</w:t>
      </w:r>
    </w:p>
    <w:p w:rsidR="00E237E2" w:rsidRPr="00F0013E" w:rsidRDefault="00E237E2" w:rsidP="00E237E2">
      <w:pPr>
        <w:tabs>
          <w:tab w:val="left" w:pos="567"/>
          <w:tab w:val="left" w:pos="6237"/>
        </w:tabs>
        <w:spacing w:before="0"/>
        <w:rPr>
          <w:sz w:val="18"/>
          <w:szCs w:val="18"/>
          <w:lang w:val="en-US"/>
        </w:rPr>
      </w:pPr>
      <w:r w:rsidRPr="00F0013E">
        <w:rPr>
          <w:sz w:val="18"/>
          <w:szCs w:val="18"/>
          <w:lang w:val="en-US"/>
        </w:rPr>
        <w:t>–</w:t>
      </w:r>
      <w:r w:rsidRPr="00F0013E">
        <w:rPr>
          <w:sz w:val="18"/>
          <w:szCs w:val="18"/>
          <w:lang w:val="en-US"/>
        </w:rPr>
        <w:tab/>
        <w:t>ITU-R</w:t>
      </w:r>
      <w:r>
        <w:rPr>
          <w:sz w:val="18"/>
          <w:szCs w:val="18"/>
          <w:lang w:val="en-US"/>
        </w:rPr>
        <w:t xml:space="preserve"> Academia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ind w:left="567" w:hanging="567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Chairman and Vice-Chairmen of the Conference Preparatory Meeting</w:t>
      </w:r>
    </w:p>
    <w:p w:rsidR="00606D42" w:rsidRPr="00F0013E" w:rsidRDefault="00606D42" w:rsidP="00606D42">
      <w:pPr>
        <w:tabs>
          <w:tab w:val="left" w:pos="567"/>
          <w:tab w:val="left" w:pos="6237"/>
        </w:tabs>
        <w:spacing w:before="0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Members of the Radio Regulations Board</w:t>
      </w:r>
    </w:p>
    <w:p w:rsidR="00606D42" w:rsidRPr="00F0013E" w:rsidRDefault="00606D42" w:rsidP="00606D42">
      <w:pPr>
        <w:pStyle w:val="BodyTextIndent"/>
        <w:rPr>
          <w:sz w:val="18"/>
          <w:szCs w:val="18"/>
        </w:rPr>
      </w:pPr>
      <w:r w:rsidRPr="00F0013E">
        <w:rPr>
          <w:sz w:val="18"/>
          <w:szCs w:val="18"/>
        </w:rPr>
        <w:t>–</w:t>
      </w:r>
      <w:r w:rsidRPr="00F0013E">
        <w:rPr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184508" w:rsidRDefault="00606D42" w:rsidP="00184508">
      <w:pPr>
        <w:pStyle w:val="AnnexNotitle"/>
        <w:spacing w:before="360"/>
      </w:pPr>
      <w:r>
        <w:br w:type="page"/>
      </w:r>
      <w:r>
        <w:lastRenderedPageBreak/>
        <w:t xml:space="preserve">Annex </w:t>
      </w:r>
      <w:r w:rsidR="00684E2F">
        <w:t>1</w:t>
      </w:r>
    </w:p>
    <w:p w:rsidR="00606D42" w:rsidRDefault="00606D42" w:rsidP="00184508">
      <w:pPr>
        <w:pStyle w:val="AnnexNotitle"/>
        <w:spacing w:before="240"/>
      </w:pPr>
      <w:r>
        <w:t>Title</w:t>
      </w:r>
      <w:r w:rsidR="00E66163">
        <w:t>s</w:t>
      </w:r>
      <w:r>
        <w:t xml:space="preserve"> of the approved Recommendation</w:t>
      </w:r>
      <w:r w:rsidR="009C0359">
        <w:t>s</w:t>
      </w:r>
    </w:p>
    <w:p w:rsidR="00184508" w:rsidRDefault="00184508" w:rsidP="00184508"/>
    <w:p w:rsidR="005B3E07" w:rsidRDefault="005B3E07" w:rsidP="00E03013">
      <w:pPr>
        <w:tabs>
          <w:tab w:val="right" w:pos="9498"/>
        </w:tabs>
        <w:rPr>
          <w:szCs w:val="24"/>
        </w:rPr>
      </w:pPr>
      <w:r w:rsidRPr="00D91C1E">
        <w:rPr>
          <w:szCs w:val="24"/>
          <w:u w:val="single"/>
        </w:rPr>
        <w:t>Recommendation ITU-R P.</w:t>
      </w:r>
      <w:r w:rsidR="004D77C0">
        <w:rPr>
          <w:szCs w:val="24"/>
          <w:u w:val="single"/>
        </w:rPr>
        <w:t>2001</w:t>
      </w:r>
      <w:r w:rsidRPr="00D91C1E">
        <w:rPr>
          <w:szCs w:val="24"/>
        </w:rPr>
        <w:tab/>
        <w:t>Doc. 3/95(Rev.1)</w:t>
      </w:r>
    </w:p>
    <w:p w:rsidR="005B3E07" w:rsidRPr="00F50809" w:rsidRDefault="005B3E07" w:rsidP="005B3E07">
      <w:pPr>
        <w:tabs>
          <w:tab w:val="right" w:pos="9639"/>
        </w:tabs>
        <w:spacing w:before="240"/>
        <w:jc w:val="center"/>
        <w:rPr>
          <w:rStyle w:val="RectitleChar"/>
          <w:szCs w:val="28"/>
        </w:rPr>
      </w:pPr>
      <w:r w:rsidRPr="00F50809">
        <w:rPr>
          <w:rStyle w:val="RectitleChar"/>
          <w:szCs w:val="28"/>
        </w:rPr>
        <w:t xml:space="preserve">A general purpose wide-range terrestrial propagation model in the </w:t>
      </w:r>
      <w:r w:rsidRPr="00F50809">
        <w:rPr>
          <w:rStyle w:val="RectitleChar"/>
          <w:szCs w:val="28"/>
        </w:rPr>
        <w:br/>
        <w:t>frequency range 30 MHz to 50 GHz</w:t>
      </w:r>
    </w:p>
    <w:p w:rsidR="005B3E07" w:rsidRPr="00D91C1E" w:rsidRDefault="005B3E07" w:rsidP="00901B4D"/>
    <w:p w:rsidR="005B3E07" w:rsidRPr="00D91C1E" w:rsidRDefault="005B3E07" w:rsidP="00E03013">
      <w:pPr>
        <w:tabs>
          <w:tab w:val="right" w:pos="9498"/>
        </w:tabs>
        <w:rPr>
          <w:szCs w:val="24"/>
        </w:rPr>
      </w:pPr>
      <w:r w:rsidRPr="00D91C1E">
        <w:rPr>
          <w:szCs w:val="24"/>
          <w:u w:val="single"/>
        </w:rPr>
        <w:t>Recommendation ITU-R P.1410-</w:t>
      </w:r>
      <w:r w:rsidR="004D77C0">
        <w:rPr>
          <w:szCs w:val="24"/>
          <w:u w:val="single"/>
        </w:rPr>
        <w:t>5</w:t>
      </w:r>
      <w:r w:rsidRPr="00D91C1E">
        <w:rPr>
          <w:szCs w:val="24"/>
        </w:rPr>
        <w:tab/>
        <w:t>Doc. 3/60(Rev.1)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Propagation data and prediction methods required for the design</w:t>
      </w:r>
      <w:r w:rsidRPr="00D91C1E">
        <w:rPr>
          <w:rStyle w:val="RectitleChar"/>
        </w:rPr>
        <w:br/>
        <w:t>of terrestrial broadband radio access systems operating</w:t>
      </w:r>
      <w:r w:rsidRPr="00D91C1E">
        <w:rPr>
          <w:rStyle w:val="RectitleChar"/>
        </w:rPr>
        <w:br/>
        <w:t>in a frequency range from 3 to 60 GHz</w:t>
      </w:r>
    </w:p>
    <w:p w:rsidR="005B3E07" w:rsidRDefault="005B3E07" w:rsidP="00901B4D"/>
    <w:p w:rsidR="005B3E07" w:rsidRPr="00D91C1E" w:rsidRDefault="005B3E07" w:rsidP="00E03013">
      <w:pPr>
        <w:tabs>
          <w:tab w:val="right" w:pos="9498"/>
        </w:tabs>
        <w:rPr>
          <w:szCs w:val="24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P.1411</w:t>
      </w:r>
      <w:r w:rsidRPr="00D91C1E">
        <w:rPr>
          <w:u w:val="single"/>
          <w:lang w:eastAsia="ja-JP"/>
        </w:rPr>
        <w:t>-</w:t>
      </w:r>
      <w:r w:rsidR="004D77C0">
        <w:rPr>
          <w:u w:val="single"/>
          <w:lang w:eastAsia="ja-JP"/>
        </w:rPr>
        <w:t>6</w:t>
      </w:r>
      <w:r w:rsidRPr="00D91C1E">
        <w:rPr>
          <w:lang w:eastAsia="ja-JP"/>
        </w:rPr>
        <w:tab/>
        <w:t>Doc. 3/61(Rev.1)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Propagation data and prediction methods for the planning of short-range</w:t>
      </w:r>
      <w:r w:rsidRPr="00D91C1E">
        <w:rPr>
          <w:rStyle w:val="RectitleChar"/>
        </w:rPr>
        <w:br/>
        <w:t>outdoor radiocommunication systems and radio local area networks</w:t>
      </w:r>
      <w:r w:rsidRPr="00D91C1E">
        <w:rPr>
          <w:rStyle w:val="RectitleChar"/>
        </w:rPr>
        <w:br/>
        <w:t>in the frequency range 300 MHz to 100 GHz</w:t>
      </w:r>
    </w:p>
    <w:p w:rsidR="005B3E07" w:rsidRPr="00D91C1E" w:rsidRDefault="005B3E07" w:rsidP="00901B4D">
      <w:pPr>
        <w:rPr>
          <w:lang w:eastAsia="zh-CN"/>
        </w:rPr>
      </w:pPr>
    </w:p>
    <w:p w:rsidR="005B3E07" w:rsidRPr="00D91C1E" w:rsidRDefault="005B3E07" w:rsidP="00DC5EF8">
      <w:pPr>
        <w:tabs>
          <w:tab w:val="right" w:pos="9498"/>
        </w:tabs>
        <w:rPr>
          <w:szCs w:val="24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P.835-</w:t>
      </w:r>
      <w:r w:rsidR="004D77C0">
        <w:rPr>
          <w:u w:val="single"/>
        </w:rPr>
        <w:t>5</w:t>
      </w:r>
      <w:r w:rsidRPr="00D91C1E">
        <w:tab/>
        <w:t>Doc. 3/64(Rev.</w:t>
      </w:r>
      <w:r w:rsidR="00DC5EF8">
        <w:t>2</w:t>
      </w:r>
      <w:r w:rsidRPr="00D91C1E">
        <w:t>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Reference standard atmospheres</w:t>
      </w:r>
    </w:p>
    <w:p w:rsidR="005B3E07" w:rsidRPr="00D91C1E" w:rsidRDefault="005B3E07" w:rsidP="00901B4D"/>
    <w:p w:rsidR="005B3E07" w:rsidRPr="00D91C1E" w:rsidRDefault="005B3E07" w:rsidP="00E03013">
      <w:pPr>
        <w:tabs>
          <w:tab w:val="right" w:pos="9498"/>
        </w:tabs>
        <w:rPr>
          <w:szCs w:val="28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szCs w:val="28"/>
          <w:u w:val="single"/>
        </w:rPr>
        <w:t xml:space="preserve"> P.676</w:t>
      </w:r>
      <w:r>
        <w:rPr>
          <w:szCs w:val="28"/>
          <w:u w:val="single"/>
        </w:rPr>
        <w:t>-</w:t>
      </w:r>
      <w:r w:rsidR="004D77C0">
        <w:rPr>
          <w:szCs w:val="28"/>
          <w:u w:val="single"/>
        </w:rPr>
        <w:t>9</w:t>
      </w:r>
      <w:r w:rsidRPr="00D91C1E">
        <w:rPr>
          <w:szCs w:val="28"/>
        </w:rPr>
        <w:tab/>
        <w:t>Doc. 3/65(Rev.1)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Attenuation by atmospheric gases</w:t>
      </w:r>
    </w:p>
    <w:p w:rsidR="005B3E07" w:rsidRDefault="005B3E07" w:rsidP="00901B4D"/>
    <w:p w:rsidR="005B3E07" w:rsidRPr="00D91C1E" w:rsidRDefault="005B3E07" w:rsidP="00E03013">
      <w:pPr>
        <w:tabs>
          <w:tab w:val="right" w:pos="9498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P.837-</w:t>
      </w:r>
      <w:r w:rsidR="004D77C0">
        <w:rPr>
          <w:u w:val="single"/>
        </w:rPr>
        <w:t>6</w:t>
      </w:r>
      <w:r w:rsidRPr="00D91C1E">
        <w:tab/>
        <w:t>Doc. 3/67(Rev.1)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Characteristics of precipitation for propagation modelling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P.453-</w:t>
      </w:r>
      <w:r w:rsidR="004D77C0">
        <w:rPr>
          <w:u w:val="single"/>
        </w:rPr>
        <w:t>10</w:t>
      </w:r>
      <w:r w:rsidRPr="00D91C1E">
        <w:tab/>
        <w:t>Doc. 3/69(Rev.1)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The radio refractive index: its formula and refractivity data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Default="005B3E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5B3E07" w:rsidRPr="00D91C1E" w:rsidRDefault="005B3E07" w:rsidP="00E03013">
      <w:pPr>
        <w:tabs>
          <w:tab w:val="right" w:pos="9498"/>
        </w:tabs>
        <w:rPr>
          <w:szCs w:val="24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P.833-</w:t>
      </w:r>
      <w:r w:rsidR="004D77C0">
        <w:rPr>
          <w:u w:val="single"/>
        </w:rPr>
        <w:t>7</w:t>
      </w:r>
      <w:r w:rsidRPr="00D91C1E">
        <w:tab/>
        <w:t>Doc. 3/70(Rev.1)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Attenuation in vegetation</w:t>
      </w:r>
    </w:p>
    <w:p w:rsidR="005B3E07" w:rsidRPr="00901B4D" w:rsidRDefault="005B3E07" w:rsidP="00901B4D">
      <w:pPr>
        <w:rPr>
          <w:rStyle w:val="RectitleChar"/>
          <w:b w:val="0"/>
          <w:bCs/>
          <w:sz w:val="24"/>
          <w:szCs w:val="24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  <w:lang w:eastAsia="zh-CN"/>
        </w:rPr>
        <w:t xml:space="preserve"> P.840</w:t>
      </w:r>
      <w:r>
        <w:rPr>
          <w:u w:val="single"/>
          <w:lang w:eastAsia="zh-CN"/>
        </w:rPr>
        <w:t>-</w:t>
      </w:r>
      <w:r w:rsidR="004D77C0">
        <w:rPr>
          <w:u w:val="single"/>
          <w:lang w:eastAsia="zh-CN"/>
        </w:rPr>
        <w:t>5</w:t>
      </w:r>
      <w:r w:rsidRPr="00D91C1E">
        <w:rPr>
          <w:lang w:eastAsia="zh-CN"/>
        </w:rPr>
        <w:tab/>
        <w:t>Doc. 3/71(Rev.1)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Attenuation due to clouds and fog</w:t>
      </w:r>
    </w:p>
    <w:p w:rsidR="005B3E07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CD4EC0" w:rsidRDefault="005B3E07" w:rsidP="00E03013">
      <w:pPr>
        <w:tabs>
          <w:tab w:val="right" w:pos="9498"/>
        </w:tabs>
        <w:rPr>
          <w:szCs w:val="24"/>
        </w:rPr>
      </w:pPr>
      <w:r w:rsidRPr="00D91C1E">
        <w:rPr>
          <w:szCs w:val="24"/>
          <w:u w:val="single"/>
        </w:rPr>
        <w:t>Recommendation ITU-R</w:t>
      </w:r>
      <w:r w:rsidRPr="00CD4EC0">
        <w:rPr>
          <w:szCs w:val="24"/>
          <w:u w:val="single"/>
        </w:rPr>
        <w:t xml:space="preserve"> P.526-</w:t>
      </w:r>
      <w:r w:rsidR="004D77C0" w:rsidRPr="00CD4EC0">
        <w:rPr>
          <w:szCs w:val="24"/>
          <w:u w:val="single"/>
        </w:rPr>
        <w:t>1</w:t>
      </w:r>
      <w:r w:rsidR="004D77C0">
        <w:rPr>
          <w:szCs w:val="24"/>
          <w:u w:val="single"/>
        </w:rPr>
        <w:t>2</w:t>
      </w:r>
      <w:r w:rsidRPr="00CD4EC0">
        <w:rPr>
          <w:szCs w:val="24"/>
        </w:rPr>
        <w:tab/>
        <w:t>Doc. 3/72(Rev.1)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Propagation by diffraction</w:t>
      </w:r>
    </w:p>
    <w:p w:rsidR="005B3E07" w:rsidRDefault="005B3E07" w:rsidP="005B3E07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rStyle w:val="href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</w:t>
      </w:r>
      <w:r w:rsidRPr="00D91C1E">
        <w:rPr>
          <w:rStyle w:val="href"/>
          <w:u w:val="single"/>
        </w:rPr>
        <w:t>P.1144-</w:t>
      </w:r>
      <w:r w:rsidR="004D77C0">
        <w:rPr>
          <w:rStyle w:val="href"/>
          <w:u w:val="single"/>
        </w:rPr>
        <w:t>6</w:t>
      </w:r>
      <w:r w:rsidRPr="00D91C1E">
        <w:rPr>
          <w:rStyle w:val="href"/>
        </w:rPr>
        <w:tab/>
        <w:t>Doc. 3/73(Rev.1)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bookmarkStart w:id="5" w:name="Pre_title"/>
      <w:r w:rsidRPr="00D91C1E">
        <w:rPr>
          <w:rStyle w:val="RectitleChar"/>
        </w:rPr>
        <w:t>Guide to the application of the propagation methods of</w:t>
      </w:r>
      <w:r w:rsidRPr="00D91C1E">
        <w:rPr>
          <w:rStyle w:val="RectitleChar"/>
        </w:rPr>
        <w:br/>
        <w:t>Radiocommunication Study Group 3</w:t>
      </w:r>
      <w:bookmarkEnd w:id="5"/>
    </w:p>
    <w:p w:rsidR="005B3E07" w:rsidRPr="00D91C1E" w:rsidRDefault="005B3E07" w:rsidP="005B3E07"/>
    <w:p w:rsidR="005B3E07" w:rsidRPr="00D91C1E" w:rsidRDefault="005B3E07" w:rsidP="00E03013">
      <w:pPr>
        <w:tabs>
          <w:tab w:val="right" w:pos="9498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P.528-</w:t>
      </w:r>
      <w:r w:rsidR="004D77C0">
        <w:rPr>
          <w:u w:val="single"/>
        </w:rPr>
        <w:t>3</w:t>
      </w:r>
      <w:r w:rsidRPr="00D91C1E">
        <w:tab/>
        <w:t>Doc. 3/74(Rev.1)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 xml:space="preserve">Propagation curves for aeronautical mobile and radionavigation </w:t>
      </w:r>
      <w:r w:rsidRPr="00D91C1E">
        <w:rPr>
          <w:rStyle w:val="RectitleChar"/>
        </w:rPr>
        <w:br/>
        <w:t>services using the VHF, UHF and SHF bands</w:t>
      </w:r>
    </w:p>
    <w:p w:rsidR="005B3E07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ja-JP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</w:t>
      </w:r>
      <w:r w:rsidRPr="00D91C1E">
        <w:rPr>
          <w:u w:val="single"/>
          <w:lang w:eastAsia="ja-JP"/>
        </w:rPr>
        <w:t>1816</w:t>
      </w:r>
      <w:r w:rsidR="004D77C0">
        <w:rPr>
          <w:u w:val="single"/>
          <w:lang w:eastAsia="ja-JP"/>
        </w:rPr>
        <w:t>-1</w:t>
      </w:r>
      <w:r w:rsidRPr="00D91C1E">
        <w:rPr>
          <w:lang w:eastAsia="ja-JP"/>
        </w:rPr>
        <w:tab/>
        <w:t>Doc. 3/75(Rev.1)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The prediction of the time and the spatial profile for broadband land</w:t>
      </w:r>
      <w:r w:rsidRPr="00D91C1E">
        <w:rPr>
          <w:rStyle w:val="RectitleChar"/>
        </w:rPr>
        <w:br/>
        <w:t>mobile services using UHF and SHF bands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ja-JP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</w:t>
      </w:r>
      <w:r w:rsidRPr="00D91C1E">
        <w:rPr>
          <w:u w:val="single"/>
          <w:lang w:eastAsia="ja-JP"/>
        </w:rPr>
        <w:t>1238-</w:t>
      </w:r>
      <w:r w:rsidR="004D77C0">
        <w:rPr>
          <w:u w:val="single"/>
          <w:lang w:eastAsia="ja-JP"/>
        </w:rPr>
        <w:t>7</w:t>
      </w:r>
      <w:r w:rsidRPr="00D91C1E">
        <w:rPr>
          <w:lang w:eastAsia="ja-JP"/>
        </w:rPr>
        <w:tab/>
        <w:t>Doc. 3/76(Rev.1)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Propagation data and prediction methods for the planning of indoor radiocommunication systems and radio local area networks</w:t>
      </w:r>
      <w:r w:rsidRPr="00D91C1E">
        <w:rPr>
          <w:rStyle w:val="RectitleChar"/>
        </w:rPr>
        <w:br/>
        <w:t>in the frequency range 900 MHz to 100 GHz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P.684-</w:t>
      </w:r>
      <w:r w:rsidR="004D77C0">
        <w:rPr>
          <w:u w:val="single"/>
        </w:rPr>
        <w:t>6</w:t>
      </w:r>
      <w:r w:rsidRPr="00D91C1E">
        <w:tab/>
        <w:t>Doc. 3/78(Rev.1)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Prediction of field strength at frequencies below about 150 kHz</w:t>
      </w:r>
    </w:p>
    <w:p w:rsidR="005B3E07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2C3EB8" w:rsidRDefault="002C3E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5B3E07" w:rsidRPr="00D91C1E" w:rsidRDefault="005B3E07" w:rsidP="00E03013">
      <w:pPr>
        <w:tabs>
          <w:tab w:val="right" w:pos="9498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P.534</w:t>
      </w:r>
      <w:r>
        <w:rPr>
          <w:u w:val="single"/>
        </w:rPr>
        <w:t>-</w:t>
      </w:r>
      <w:r w:rsidR="004D77C0">
        <w:rPr>
          <w:u w:val="single"/>
        </w:rPr>
        <w:t>5</w:t>
      </w:r>
      <w:r w:rsidRPr="00D91C1E">
        <w:tab/>
        <w:t>Doc. 3/79(Rev.1)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Method for calculating sporadic-E field strength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P.832-</w:t>
      </w:r>
      <w:r w:rsidR="004D77C0">
        <w:rPr>
          <w:u w:val="single"/>
        </w:rPr>
        <w:t>3</w:t>
      </w:r>
      <w:r w:rsidRPr="00D91C1E">
        <w:tab/>
        <w:t>Doc. 3/80(Rev.1)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World atlas of ground conductivities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szCs w:val="24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P.533-</w:t>
      </w:r>
      <w:r w:rsidR="004D77C0">
        <w:rPr>
          <w:u w:val="single"/>
        </w:rPr>
        <w:t>11</w:t>
      </w:r>
      <w:r w:rsidRPr="00D91C1E">
        <w:tab/>
        <w:t>Doc. 3/81(Rev.1)</w:t>
      </w:r>
    </w:p>
    <w:p w:rsidR="005B3E07" w:rsidRPr="00D91C1E" w:rsidRDefault="005B3E07" w:rsidP="005B3E07">
      <w:pPr>
        <w:tabs>
          <w:tab w:val="right" w:pos="9639"/>
        </w:tabs>
        <w:jc w:val="center"/>
        <w:rPr>
          <w:rStyle w:val="RectitleChar"/>
        </w:rPr>
      </w:pPr>
      <w:r w:rsidRPr="00D91C1E">
        <w:rPr>
          <w:rStyle w:val="RectitleChar"/>
        </w:rPr>
        <w:t>Method for the prediction of the performance of HF circuits</w:t>
      </w:r>
    </w:p>
    <w:p w:rsidR="005B3E07" w:rsidRPr="008233F8" w:rsidRDefault="005B3E07" w:rsidP="005B3E07">
      <w:pPr>
        <w:rPr>
          <w:rStyle w:val="RectitleChar"/>
          <w:sz w:val="24"/>
          <w:szCs w:val="24"/>
        </w:rPr>
      </w:pPr>
    </w:p>
    <w:p w:rsidR="005B3E07" w:rsidRPr="00D91C1E" w:rsidRDefault="005B3E07" w:rsidP="00E03013">
      <w:pPr>
        <w:tabs>
          <w:tab w:val="right" w:pos="9498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P.1239-</w:t>
      </w:r>
      <w:r w:rsidR="004D77C0">
        <w:rPr>
          <w:u w:val="single"/>
        </w:rPr>
        <w:t>3</w:t>
      </w:r>
      <w:r w:rsidRPr="00D91C1E">
        <w:tab/>
        <w:t>Doc. 3/82(Rev.1)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 xml:space="preserve">ITU-R </w:t>
      </w:r>
      <w:r w:rsidR="00AB55D5" w:rsidRPr="00D91C1E">
        <w:rPr>
          <w:rStyle w:val="RectitleChar"/>
        </w:rPr>
        <w:t>reference ionospheric characteristics</w:t>
      </w:r>
    </w:p>
    <w:p w:rsidR="005B3E07" w:rsidRPr="008233F8" w:rsidRDefault="005B3E07" w:rsidP="008233F8">
      <w:pPr>
        <w:rPr>
          <w:rStyle w:val="RectitleChar"/>
          <w:sz w:val="24"/>
          <w:szCs w:val="24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  <w:lang w:eastAsia="zh-CN"/>
        </w:rPr>
        <w:t xml:space="preserve"> P.531-</w:t>
      </w:r>
      <w:r w:rsidR="004D77C0">
        <w:rPr>
          <w:u w:val="single"/>
          <w:lang w:eastAsia="zh-CN"/>
        </w:rPr>
        <w:t>11</w:t>
      </w:r>
      <w:r w:rsidRPr="00D91C1E">
        <w:rPr>
          <w:lang w:eastAsia="zh-CN"/>
        </w:rPr>
        <w:tab/>
        <w:t>Doc. 3/92(Rev.1)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Ionospheric propagation data and prediction methods required for the design of satellite services and systems</w:t>
      </w:r>
    </w:p>
    <w:p w:rsidR="008233F8" w:rsidRDefault="008233F8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DC5EF8">
      <w:pPr>
        <w:tabs>
          <w:tab w:val="right" w:pos="9498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P.1812-</w:t>
      </w:r>
      <w:r w:rsidR="004D77C0">
        <w:rPr>
          <w:u w:val="single"/>
        </w:rPr>
        <w:t>2</w:t>
      </w:r>
      <w:r w:rsidRPr="00D91C1E">
        <w:tab/>
        <w:t>Doc. 3/94(Rev.</w:t>
      </w:r>
      <w:r w:rsidR="00DC5EF8">
        <w:t>2</w:t>
      </w:r>
      <w:bookmarkStart w:id="6" w:name="_GoBack"/>
      <w:bookmarkEnd w:id="6"/>
      <w:r w:rsidRPr="00D91C1E">
        <w:t>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A path-specific propagation prediction method for point-to-area</w:t>
      </w:r>
      <w:r w:rsidRPr="00D91C1E">
        <w:rPr>
          <w:rStyle w:val="RectitleChar"/>
        </w:rPr>
        <w:br/>
        <w:t>terrestrial services in the VHF and UHF bands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  <w:lang w:eastAsia="zh-CN"/>
        </w:rPr>
        <w:t xml:space="preserve"> P.682-</w:t>
      </w:r>
      <w:r w:rsidR="004D77C0">
        <w:rPr>
          <w:u w:val="single"/>
          <w:lang w:eastAsia="zh-CN"/>
        </w:rPr>
        <w:t>3</w:t>
      </w:r>
      <w:r w:rsidRPr="00D91C1E">
        <w:rPr>
          <w:lang w:eastAsia="zh-CN"/>
        </w:rPr>
        <w:tab/>
        <w:t>Doc. 3/97(Rev.1)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Propagation data required for the design of Earth-space aeronautical</w:t>
      </w:r>
      <w:r w:rsidRPr="00D91C1E">
        <w:rPr>
          <w:rStyle w:val="RectitleChar"/>
        </w:rPr>
        <w:br/>
        <w:t>mobile telecommunication systems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  <w:lang w:eastAsia="zh-CN"/>
        </w:rPr>
        <w:t xml:space="preserve"> P.1817</w:t>
      </w:r>
      <w:r w:rsidR="004D77C0">
        <w:rPr>
          <w:u w:val="single"/>
          <w:lang w:eastAsia="zh-CN"/>
        </w:rPr>
        <w:t>-1</w:t>
      </w:r>
      <w:r w:rsidRPr="00D91C1E">
        <w:rPr>
          <w:lang w:eastAsia="zh-CN"/>
        </w:rPr>
        <w:tab/>
        <w:t>Doc. 3/98(Rev.1)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Propagation data required for the design of</w:t>
      </w:r>
      <w:r w:rsidRPr="00D91C1E">
        <w:rPr>
          <w:rStyle w:val="RectitleChar"/>
        </w:rPr>
        <w:br/>
        <w:t>terrestrial free-space optical links</w:t>
      </w:r>
    </w:p>
    <w:p w:rsidR="008233F8" w:rsidRDefault="008233F8" w:rsidP="005B3E07">
      <w:pPr>
        <w:tabs>
          <w:tab w:val="right" w:pos="9639"/>
        </w:tabs>
        <w:rPr>
          <w:szCs w:val="24"/>
          <w:u w:val="single"/>
        </w:rPr>
      </w:pPr>
    </w:p>
    <w:p w:rsidR="002C3EB8" w:rsidRDefault="002C3EB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:rsidR="005B3E07" w:rsidRPr="00D91C1E" w:rsidRDefault="005B3E07" w:rsidP="00E03013">
      <w:pPr>
        <w:tabs>
          <w:tab w:val="left" w:pos="7797"/>
          <w:tab w:val="right" w:pos="9639"/>
        </w:tabs>
        <w:rPr>
          <w:szCs w:val="24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bCs/>
          <w:u w:val="single"/>
        </w:rPr>
        <w:t xml:space="preserve"> P.530-</w:t>
      </w:r>
      <w:r w:rsidR="004D77C0">
        <w:rPr>
          <w:bCs/>
          <w:u w:val="single"/>
        </w:rPr>
        <w:t>14</w:t>
      </w:r>
      <w:r w:rsidRPr="00D91C1E">
        <w:rPr>
          <w:bCs/>
        </w:rPr>
        <w:tab/>
        <w:t>Doc. 3/100(Rev.1)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Propagation data and prediction methods required for the design of terrestrial line-of-sight systems</w:t>
      </w:r>
    </w:p>
    <w:p w:rsidR="005B3E07" w:rsidRPr="008233F8" w:rsidRDefault="005B3E07" w:rsidP="008233F8">
      <w:pPr>
        <w:rPr>
          <w:rStyle w:val="RectitleChar"/>
          <w:sz w:val="24"/>
          <w:szCs w:val="24"/>
        </w:rPr>
      </w:pPr>
    </w:p>
    <w:p w:rsidR="005B3E07" w:rsidRPr="00D91C1E" w:rsidRDefault="005B3E07" w:rsidP="005B3E07">
      <w:pPr>
        <w:tabs>
          <w:tab w:val="right" w:pos="9639"/>
        </w:tabs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</w:rPr>
        <w:t xml:space="preserve"> P.1409</w:t>
      </w:r>
      <w:r w:rsidR="004D77C0">
        <w:rPr>
          <w:u w:val="single"/>
        </w:rPr>
        <w:t>-1</w:t>
      </w:r>
      <w:r w:rsidRPr="00D91C1E">
        <w:tab/>
        <w:t>Doc. 3/102(Rev.1)</w:t>
      </w:r>
    </w:p>
    <w:p w:rsidR="005B3E07" w:rsidRPr="00D91C1E" w:rsidRDefault="005B3E07" w:rsidP="00901B4D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Propagation data and prediction methods for systems</w:t>
      </w:r>
      <w:r w:rsidR="00901B4D">
        <w:rPr>
          <w:rStyle w:val="RectitleChar"/>
        </w:rPr>
        <w:t xml:space="preserve"> </w:t>
      </w:r>
      <w:r w:rsidRPr="00D91C1E">
        <w:rPr>
          <w:rStyle w:val="RectitleChar"/>
        </w:rPr>
        <w:t xml:space="preserve">using high altitude platform stations </w:t>
      </w:r>
      <w:r w:rsidR="00941575">
        <w:rPr>
          <w:rStyle w:val="RectitleChar"/>
        </w:rPr>
        <w:t xml:space="preserve">and other elevated stations in the stratosphere </w:t>
      </w:r>
      <w:r w:rsidR="00901B4D">
        <w:rPr>
          <w:rStyle w:val="RectitleChar"/>
        </w:rPr>
        <w:br/>
      </w:r>
      <w:r w:rsidRPr="00D91C1E">
        <w:rPr>
          <w:rStyle w:val="RectitleChar"/>
        </w:rPr>
        <w:t xml:space="preserve">at </w:t>
      </w:r>
      <w:r w:rsidR="00941575">
        <w:rPr>
          <w:rStyle w:val="RectitleChar"/>
        </w:rPr>
        <w:t xml:space="preserve">frequencies greater than </w:t>
      </w:r>
      <w:r w:rsidRPr="00D91C1E">
        <w:rPr>
          <w:rStyle w:val="RectitleChar"/>
        </w:rPr>
        <w:t xml:space="preserve">about </w:t>
      </w:r>
      <w:r w:rsidR="00941575">
        <w:rPr>
          <w:rStyle w:val="RectitleChar"/>
        </w:rPr>
        <w:t>1</w:t>
      </w:r>
      <w:r w:rsidRPr="00D91C1E">
        <w:rPr>
          <w:rStyle w:val="RectitleChar"/>
        </w:rPr>
        <w:t xml:space="preserve"> GHz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  <w:lang w:eastAsia="zh-CN"/>
        </w:rPr>
        <w:t xml:space="preserve"> P.617-</w:t>
      </w:r>
      <w:r w:rsidR="004D77C0">
        <w:rPr>
          <w:u w:val="single"/>
          <w:lang w:eastAsia="zh-CN"/>
        </w:rPr>
        <w:t>2</w:t>
      </w:r>
      <w:r w:rsidRPr="00D91C1E">
        <w:rPr>
          <w:lang w:eastAsia="zh-CN"/>
        </w:rPr>
        <w:tab/>
        <w:t>Doc. 3/103(Rev.1)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 xml:space="preserve">Propagation prediction techniques and data required for the </w:t>
      </w:r>
      <w:r w:rsidRPr="00D91C1E">
        <w:rPr>
          <w:rStyle w:val="RectitleChar"/>
        </w:rPr>
        <w:br/>
        <w:t>design of trans-horizon radio-relay systems</w:t>
      </w:r>
    </w:p>
    <w:p w:rsidR="005B3E07" w:rsidRPr="00D91C1E" w:rsidRDefault="005B3E07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</w:rPr>
        <w:t>Recommendation ITU-R</w:t>
      </w:r>
      <w:r w:rsidRPr="00D91C1E">
        <w:rPr>
          <w:u w:val="single"/>
          <w:lang w:eastAsia="zh-CN"/>
        </w:rPr>
        <w:t xml:space="preserve"> P.1853</w:t>
      </w:r>
      <w:r w:rsidR="004D77C0">
        <w:rPr>
          <w:u w:val="single"/>
          <w:lang w:eastAsia="zh-CN"/>
        </w:rPr>
        <w:t>-1</w:t>
      </w:r>
      <w:r w:rsidRPr="00D91C1E">
        <w:rPr>
          <w:lang w:eastAsia="zh-CN"/>
        </w:rPr>
        <w:tab/>
        <w:t>Doc. 3/104(Rev.1)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Tropospheric attenuation time series synthesis</w:t>
      </w:r>
    </w:p>
    <w:p w:rsidR="008233F8" w:rsidRDefault="008233F8" w:rsidP="005B3E07">
      <w:pPr>
        <w:tabs>
          <w:tab w:val="right" w:pos="9639"/>
        </w:tabs>
        <w:rPr>
          <w:szCs w:val="24"/>
          <w:u w:val="single"/>
        </w:rPr>
      </w:pPr>
    </w:p>
    <w:p w:rsidR="005B3E07" w:rsidRPr="00D91C1E" w:rsidRDefault="005B3E07" w:rsidP="00E03013">
      <w:pPr>
        <w:tabs>
          <w:tab w:val="right" w:pos="9498"/>
        </w:tabs>
        <w:rPr>
          <w:lang w:eastAsia="zh-CN"/>
        </w:rPr>
      </w:pPr>
      <w:r w:rsidRPr="00D91C1E">
        <w:rPr>
          <w:szCs w:val="24"/>
          <w:u w:val="single"/>
        </w:rPr>
        <w:t>Recommendation ITU-R</w:t>
      </w:r>
      <w:r>
        <w:rPr>
          <w:u w:val="single"/>
          <w:lang w:eastAsia="zh-CN"/>
        </w:rPr>
        <w:t xml:space="preserve"> P.</w:t>
      </w:r>
      <w:r w:rsidRPr="00D91C1E">
        <w:rPr>
          <w:u w:val="single"/>
          <w:lang w:eastAsia="zh-CN"/>
        </w:rPr>
        <w:t>313-</w:t>
      </w:r>
      <w:r w:rsidR="004D77C0">
        <w:rPr>
          <w:u w:val="single"/>
          <w:lang w:eastAsia="zh-CN"/>
        </w:rPr>
        <w:t>11</w:t>
      </w:r>
      <w:r w:rsidRPr="00D91C1E">
        <w:rPr>
          <w:lang w:eastAsia="zh-CN"/>
        </w:rPr>
        <w:tab/>
        <w:t>Doc. 3/107(Rev.1)</w:t>
      </w:r>
    </w:p>
    <w:p w:rsidR="005B3E07" w:rsidRPr="00D91C1E" w:rsidRDefault="005B3E07" w:rsidP="005B3E07">
      <w:pPr>
        <w:tabs>
          <w:tab w:val="right" w:pos="9639"/>
        </w:tabs>
        <w:spacing w:before="240"/>
        <w:jc w:val="center"/>
        <w:rPr>
          <w:rStyle w:val="RectitleChar"/>
        </w:rPr>
      </w:pPr>
      <w:r w:rsidRPr="00D91C1E">
        <w:rPr>
          <w:rStyle w:val="RectitleChar"/>
        </w:rPr>
        <w:t>Exchange of information for short-term forecasts and transmission</w:t>
      </w:r>
      <w:r w:rsidRPr="00D91C1E">
        <w:rPr>
          <w:rStyle w:val="RectitleChar"/>
        </w:rPr>
        <w:br/>
        <w:t>of ionospheric disturbance warnings</w:t>
      </w:r>
    </w:p>
    <w:p w:rsidR="00184508" w:rsidRDefault="00184508" w:rsidP="00E03013"/>
    <w:p w:rsidR="00E03013" w:rsidRDefault="00E03013" w:rsidP="00E03013"/>
    <w:p w:rsidR="00E03013" w:rsidRDefault="00E03013" w:rsidP="00E03013"/>
    <w:p w:rsidR="00184508" w:rsidRDefault="00184508" w:rsidP="00184508">
      <w:pPr>
        <w:pStyle w:val="Headingb"/>
        <w:spacing w:before="360" w:after="120"/>
        <w:jc w:val="center"/>
      </w:pPr>
      <w:r>
        <w:t>________________</w:t>
      </w:r>
    </w:p>
    <w:p w:rsidR="001E15AA" w:rsidRDefault="001E15AA" w:rsidP="00F92E07">
      <w:pPr>
        <w:jc w:val="center"/>
      </w:pPr>
    </w:p>
    <w:sectPr w:rsidR="001E15AA" w:rsidSect="00F62679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13" w:rsidRDefault="00E03013">
      <w:r>
        <w:separator/>
      </w:r>
    </w:p>
  </w:endnote>
  <w:endnote w:type="continuationSeparator" w:id="0">
    <w:p w:rsidR="00E03013" w:rsidRDefault="00E0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3" w:rsidRPr="00901B4D" w:rsidRDefault="00DC5EF8" w:rsidP="00901B4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>
      <w:t>Y:\APP\BR\CIRCS_DMS\CACE\500\563\563e.docx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7"/>
      <w:gridCol w:w="2391"/>
      <w:gridCol w:w="2294"/>
    </w:tblGrid>
    <w:tr w:rsidR="00E03013" w:rsidTr="001164B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03013" w:rsidRDefault="00E03013" w:rsidP="001164B4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03013" w:rsidRDefault="00E03013" w:rsidP="001164B4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03013" w:rsidRDefault="00E03013" w:rsidP="001164B4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03013" w:rsidRDefault="00E03013" w:rsidP="001164B4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E03013" w:rsidTr="001164B4">
      <w:trPr>
        <w:cantSplit/>
      </w:trPr>
      <w:tc>
        <w:tcPr>
          <w:tcW w:w="1062" w:type="pct"/>
        </w:tcPr>
        <w:p w:rsidR="00E03013" w:rsidRDefault="00E03013" w:rsidP="001164B4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E03013" w:rsidRDefault="00E03013" w:rsidP="001164B4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E03013" w:rsidRDefault="00E03013" w:rsidP="001164B4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E03013" w:rsidRDefault="00E03013" w:rsidP="001164B4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E03013" w:rsidTr="001164B4">
      <w:trPr>
        <w:cantSplit/>
      </w:trPr>
      <w:tc>
        <w:tcPr>
          <w:tcW w:w="1062" w:type="pct"/>
        </w:tcPr>
        <w:p w:rsidR="00E03013" w:rsidRDefault="00E03013" w:rsidP="001164B4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E03013" w:rsidRDefault="00E03013" w:rsidP="001164B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E03013" w:rsidRDefault="00E03013" w:rsidP="001164B4">
          <w:pPr>
            <w:pStyle w:val="itu"/>
          </w:pPr>
        </w:p>
      </w:tc>
      <w:tc>
        <w:tcPr>
          <w:tcW w:w="1131" w:type="pct"/>
        </w:tcPr>
        <w:p w:rsidR="00E03013" w:rsidRDefault="00E03013" w:rsidP="001164B4">
          <w:pPr>
            <w:pStyle w:val="itu"/>
          </w:pPr>
        </w:p>
      </w:tc>
    </w:tr>
  </w:tbl>
  <w:p w:rsidR="00E03013" w:rsidRPr="009E1957" w:rsidRDefault="00E03013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13" w:rsidRDefault="00E03013">
      <w:r>
        <w:t>____________________</w:t>
      </w:r>
    </w:p>
  </w:footnote>
  <w:footnote w:type="continuationSeparator" w:id="0">
    <w:p w:rsidR="00E03013" w:rsidRDefault="00E03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13" w:rsidRDefault="00E03013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5EF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03013" w:rsidRPr="001E15AA" w:rsidRDefault="00E0301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F3"/>
    <w:rsid w:val="00016557"/>
    <w:rsid w:val="00091A5D"/>
    <w:rsid w:val="000A283A"/>
    <w:rsid w:val="000D1D2A"/>
    <w:rsid w:val="000E15C1"/>
    <w:rsid w:val="000E64DA"/>
    <w:rsid w:val="000F527D"/>
    <w:rsid w:val="001164B4"/>
    <w:rsid w:val="00122ACA"/>
    <w:rsid w:val="0015050B"/>
    <w:rsid w:val="00184508"/>
    <w:rsid w:val="001E15AA"/>
    <w:rsid w:val="00210B45"/>
    <w:rsid w:val="00227F65"/>
    <w:rsid w:val="00234AD0"/>
    <w:rsid w:val="002C3EB8"/>
    <w:rsid w:val="002D1248"/>
    <w:rsid w:val="00316D3B"/>
    <w:rsid w:val="00325E6E"/>
    <w:rsid w:val="00387556"/>
    <w:rsid w:val="00390188"/>
    <w:rsid w:val="003A3235"/>
    <w:rsid w:val="003B0951"/>
    <w:rsid w:val="003D3993"/>
    <w:rsid w:val="00415A0E"/>
    <w:rsid w:val="0044634B"/>
    <w:rsid w:val="00475D48"/>
    <w:rsid w:val="00492F03"/>
    <w:rsid w:val="004962B0"/>
    <w:rsid w:val="004A5AB1"/>
    <w:rsid w:val="004C1881"/>
    <w:rsid w:val="004C5562"/>
    <w:rsid w:val="004D77C0"/>
    <w:rsid w:val="004F26AE"/>
    <w:rsid w:val="0050552C"/>
    <w:rsid w:val="00552F57"/>
    <w:rsid w:val="00595800"/>
    <w:rsid w:val="005B3E07"/>
    <w:rsid w:val="005F130D"/>
    <w:rsid w:val="005F7F4C"/>
    <w:rsid w:val="00606D42"/>
    <w:rsid w:val="006136BC"/>
    <w:rsid w:val="00650A05"/>
    <w:rsid w:val="00684E2F"/>
    <w:rsid w:val="006B3F95"/>
    <w:rsid w:val="0071106C"/>
    <w:rsid w:val="00746900"/>
    <w:rsid w:val="00784E53"/>
    <w:rsid w:val="008069C8"/>
    <w:rsid w:val="00811467"/>
    <w:rsid w:val="008233F8"/>
    <w:rsid w:val="00844C31"/>
    <w:rsid w:val="00881D43"/>
    <w:rsid w:val="008D4874"/>
    <w:rsid w:val="00901B4D"/>
    <w:rsid w:val="00927898"/>
    <w:rsid w:val="0093776F"/>
    <w:rsid w:val="00941575"/>
    <w:rsid w:val="009676DC"/>
    <w:rsid w:val="009746CA"/>
    <w:rsid w:val="009846D5"/>
    <w:rsid w:val="009C030C"/>
    <w:rsid w:val="009C0359"/>
    <w:rsid w:val="009D067D"/>
    <w:rsid w:val="009E14F3"/>
    <w:rsid w:val="009E1957"/>
    <w:rsid w:val="009F7B4B"/>
    <w:rsid w:val="00A06093"/>
    <w:rsid w:val="00A90D9F"/>
    <w:rsid w:val="00AA1CA2"/>
    <w:rsid w:val="00AB07C5"/>
    <w:rsid w:val="00AB1815"/>
    <w:rsid w:val="00AB55D5"/>
    <w:rsid w:val="00AC5B7E"/>
    <w:rsid w:val="00B57344"/>
    <w:rsid w:val="00B87E04"/>
    <w:rsid w:val="00BF7316"/>
    <w:rsid w:val="00C3636B"/>
    <w:rsid w:val="00C96B90"/>
    <w:rsid w:val="00D35752"/>
    <w:rsid w:val="00D463D0"/>
    <w:rsid w:val="00D61395"/>
    <w:rsid w:val="00D744B4"/>
    <w:rsid w:val="00DC5EF8"/>
    <w:rsid w:val="00DF4981"/>
    <w:rsid w:val="00E03013"/>
    <w:rsid w:val="00E237E2"/>
    <w:rsid w:val="00E66163"/>
    <w:rsid w:val="00EA11F3"/>
    <w:rsid w:val="00EC710F"/>
    <w:rsid w:val="00EF7E37"/>
    <w:rsid w:val="00F0557C"/>
    <w:rsid w:val="00F62679"/>
    <w:rsid w:val="00F71F18"/>
    <w:rsid w:val="00F92E07"/>
    <w:rsid w:val="00FB5838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uiPriority w:val="99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uiPriority w:val="99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EA11F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EA11F3"/>
    <w:rPr>
      <w:rFonts w:ascii="Times New Roman" w:hAnsi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EA11F3"/>
    <w:pPr>
      <w:tabs>
        <w:tab w:val="left" w:pos="4820"/>
      </w:tabs>
      <w:overflowPunct/>
      <w:autoSpaceDE/>
      <w:autoSpaceDN/>
      <w:adjustRightInd/>
      <w:spacing w:before="1200"/>
      <w:ind w:left="4820"/>
      <w:jc w:val="center"/>
      <w:textAlignment w:val="auto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EA11F3"/>
    <w:rPr>
      <w:rFonts w:ascii="Times New Roman" w:hAnsi="Times New Roman"/>
      <w:sz w:val="24"/>
      <w:lang w:eastAsia="en-US"/>
    </w:rPr>
  </w:style>
  <w:style w:type="character" w:customStyle="1" w:styleId="RectitleChar">
    <w:name w:val="Rec_title Char"/>
    <w:link w:val="Rectitle"/>
    <w:uiPriority w:val="99"/>
    <w:rsid w:val="00EA11F3"/>
    <w:rPr>
      <w:rFonts w:ascii="Times New Roman" w:hAnsi="Times New Roman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25E6E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locked/>
    <w:rsid w:val="0018450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4508"/>
    <w:rPr>
      <w:rFonts w:ascii="Times New Roman" w:hAnsi="Times New Roman"/>
      <w:b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5B3E07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5B3E0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</w:style>
  <w:style w:type="character" w:customStyle="1" w:styleId="href">
    <w:name w:val="href"/>
    <w:basedOn w:val="DefaultParagraphFont"/>
    <w:rsid w:val="005B3E0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CBBEF-0229-4EAD-8F78-19239EB1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76</TotalTime>
  <Pages>5</Pages>
  <Words>718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5572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mostyn</dc:creator>
  <cp:keywords/>
  <dc:description/>
  <cp:lastModifiedBy>Fernandez Virginia</cp:lastModifiedBy>
  <cp:revision>8</cp:revision>
  <cp:lastPrinted>2012-03-02T13:39:00Z</cp:lastPrinted>
  <dcterms:created xsi:type="dcterms:W3CDTF">2012-02-27T14:43:00Z</dcterms:created>
  <dcterms:modified xsi:type="dcterms:W3CDTF">2012-03-02T13:39:00Z</dcterms:modified>
</cp:coreProperties>
</file>