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56057F" w:rsidTr="00306452">
        <w:trPr>
          <w:jc w:val="center"/>
        </w:trPr>
        <w:tc>
          <w:tcPr>
            <w:tcW w:w="9889" w:type="dxa"/>
            <w:gridSpan w:val="3"/>
            <w:shd w:val="clear" w:color="auto" w:fill="auto"/>
          </w:tcPr>
          <w:p w:rsidR="00E53DCE" w:rsidRPr="0056057F" w:rsidRDefault="00A96D3A" w:rsidP="0030694E">
            <w:pPr>
              <w:spacing w:before="0"/>
              <w:jc w:val="left"/>
              <w:rPr>
                <w:rFonts w:cstheme="minorHAnsi"/>
                <w:b/>
                <w:bCs/>
                <w:color w:val="808080"/>
                <w:sz w:val="28"/>
                <w:szCs w:val="28"/>
                <w:lang w:val="es-ES"/>
              </w:rPr>
            </w:pPr>
            <w:r w:rsidRPr="0056057F">
              <w:rPr>
                <w:rFonts w:cstheme="minorHAnsi"/>
                <w:b/>
                <w:bCs/>
                <w:color w:val="808080"/>
                <w:sz w:val="28"/>
                <w:szCs w:val="28"/>
                <w:lang w:val="es-ES"/>
              </w:rPr>
              <w:t>Oficina de Radiocomunicaciones (BR)</w:t>
            </w:r>
          </w:p>
          <w:p w:rsidR="00E53DCE" w:rsidRPr="0056057F" w:rsidRDefault="00E53DCE" w:rsidP="0030694E">
            <w:pPr>
              <w:spacing w:before="0"/>
              <w:jc w:val="left"/>
              <w:rPr>
                <w:rFonts w:cstheme="minorHAnsi"/>
                <w:b/>
                <w:bCs/>
                <w:color w:val="808080"/>
                <w:sz w:val="28"/>
                <w:szCs w:val="28"/>
                <w:lang w:val="es-ES"/>
              </w:rPr>
            </w:pPr>
          </w:p>
          <w:p w:rsidR="00E53DCE" w:rsidRPr="0056057F" w:rsidRDefault="00E53DCE" w:rsidP="0030694E">
            <w:pPr>
              <w:spacing w:before="0"/>
              <w:jc w:val="left"/>
              <w:rPr>
                <w:rFonts w:cs="Times New Roman Bold"/>
                <w:b/>
                <w:bCs/>
                <w:color w:val="808080"/>
                <w:sz w:val="28"/>
                <w:szCs w:val="28"/>
                <w:lang w:val="es-ES"/>
              </w:rPr>
            </w:pPr>
          </w:p>
        </w:tc>
      </w:tr>
      <w:tr w:rsidR="00E53DCE" w:rsidRPr="0056057F" w:rsidTr="00306452">
        <w:trPr>
          <w:jc w:val="center"/>
        </w:trPr>
        <w:tc>
          <w:tcPr>
            <w:tcW w:w="7054" w:type="dxa"/>
            <w:gridSpan w:val="2"/>
            <w:shd w:val="clear" w:color="auto" w:fill="auto"/>
          </w:tcPr>
          <w:p w:rsidR="00E53DCE" w:rsidRPr="0056057F" w:rsidRDefault="00A96D3A" w:rsidP="0030694E">
            <w:pPr>
              <w:spacing w:before="0"/>
              <w:jc w:val="left"/>
              <w:rPr>
                <w:szCs w:val="24"/>
                <w:lang w:val="es-ES"/>
              </w:rPr>
            </w:pPr>
            <w:r w:rsidRPr="0056057F">
              <w:rPr>
                <w:szCs w:val="24"/>
                <w:lang w:val="es-ES"/>
              </w:rPr>
              <w:t>Circular Administrativa</w:t>
            </w:r>
          </w:p>
          <w:p w:rsidR="00E53DCE" w:rsidRPr="0056057F" w:rsidRDefault="00E53DCE" w:rsidP="0030694E">
            <w:pPr>
              <w:spacing w:before="0"/>
              <w:jc w:val="left"/>
              <w:rPr>
                <w:b/>
                <w:bCs/>
                <w:szCs w:val="24"/>
                <w:lang w:val="es-ES"/>
              </w:rPr>
            </w:pPr>
            <w:r w:rsidRPr="0056057F">
              <w:rPr>
                <w:b/>
                <w:bCs/>
                <w:szCs w:val="24"/>
                <w:lang w:val="es-ES"/>
              </w:rPr>
              <w:t>CA/</w:t>
            </w:r>
            <w:r w:rsidR="0030694E" w:rsidRPr="0056057F">
              <w:rPr>
                <w:b/>
                <w:bCs/>
                <w:szCs w:val="24"/>
                <w:lang w:val="es-ES"/>
              </w:rPr>
              <w:t>229</w:t>
            </w:r>
          </w:p>
        </w:tc>
        <w:tc>
          <w:tcPr>
            <w:tcW w:w="2835" w:type="dxa"/>
            <w:shd w:val="clear" w:color="auto" w:fill="auto"/>
          </w:tcPr>
          <w:p w:rsidR="00E53DCE" w:rsidRPr="0056057F" w:rsidRDefault="0030694E" w:rsidP="0030694E">
            <w:pPr>
              <w:spacing w:before="0"/>
              <w:jc w:val="right"/>
              <w:rPr>
                <w:szCs w:val="24"/>
                <w:lang w:val="es-ES"/>
              </w:rPr>
            </w:pPr>
            <w:r w:rsidRPr="0056057F">
              <w:rPr>
                <w:bCs/>
                <w:szCs w:val="24"/>
                <w:lang w:val="es-ES"/>
              </w:rPr>
              <w:t>24</w:t>
            </w:r>
            <w:r w:rsidR="00A96D3A" w:rsidRPr="0056057F">
              <w:rPr>
                <w:bCs/>
                <w:szCs w:val="24"/>
                <w:lang w:val="es-ES"/>
              </w:rPr>
              <w:t xml:space="preserve"> de </w:t>
            </w:r>
            <w:r w:rsidRPr="0056057F">
              <w:rPr>
                <w:bCs/>
                <w:szCs w:val="24"/>
                <w:lang w:val="es-ES"/>
              </w:rPr>
              <w:t>junio</w:t>
            </w:r>
            <w:r w:rsidR="00A96D3A" w:rsidRPr="0056057F">
              <w:rPr>
                <w:bCs/>
                <w:szCs w:val="24"/>
                <w:lang w:val="es-ES"/>
              </w:rPr>
              <w:t xml:space="preserve"> de 201</w:t>
            </w:r>
            <w:r w:rsidRPr="0056057F">
              <w:rPr>
                <w:bCs/>
                <w:szCs w:val="24"/>
                <w:lang w:val="es-ES"/>
              </w:rPr>
              <w:t>6</w:t>
            </w:r>
          </w:p>
        </w:tc>
      </w:tr>
      <w:tr w:rsidR="00E53DCE" w:rsidRPr="0056057F" w:rsidTr="00306452">
        <w:trPr>
          <w:jc w:val="center"/>
        </w:trPr>
        <w:tc>
          <w:tcPr>
            <w:tcW w:w="9889" w:type="dxa"/>
            <w:gridSpan w:val="3"/>
            <w:shd w:val="clear" w:color="auto" w:fill="auto"/>
          </w:tcPr>
          <w:p w:rsidR="00E53DCE" w:rsidRPr="0056057F" w:rsidRDefault="00E53DCE" w:rsidP="0030694E">
            <w:pPr>
              <w:spacing w:before="0"/>
              <w:jc w:val="left"/>
              <w:rPr>
                <w:rFonts w:cs="Arial"/>
                <w:szCs w:val="24"/>
                <w:lang w:val="es-ES"/>
              </w:rPr>
            </w:pPr>
          </w:p>
        </w:tc>
      </w:tr>
      <w:tr w:rsidR="00E53DCE" w:rsidRPr="0056057F" w:rsidTr="00306452">
        <w:trPr>
          <w:jc w:val="center"/>
        </w:trPr>
        <w:tc>
          <w:tcPr>
            <w:tcW w:w="9889" w:type="dxa"/>
            <w:gridSpan w:val="3"/>
            <w:shd w:val="clear" w:color="auto" w:fill="auto"/>
          </w:tcPr>
          <w:p w:rsidR="00E53DCE" w:rsidRPr="0056057F" w:rsidRDefault="00E53DCE" w:rsidP="0030694E">
            <w:pPr>
              <w:spacing w:before="0"/>
              <w:jc w:val="left"/>
              <w:rPr>
                <w:szCs w:val="24"/>
                <w:lang w:val="es-ES"/>
              </w:rPr>
            </w:pPr>
          </w:p>
        </w:tc>
      </w:tr>
      <w:tr w:rsidR="0030694E" w:rsidRPr="0056057F" w:rsidTr="0030694E">
        <w:trPr>
          <w:jc w:val="center"/>
        </w:trPr>
        <w:tc>
          <w:tcPr>
            <w:tcW w:w="9889" w:type="dxa"/>
            <w:gridSpan w:val="3"/>
            <w:shd w:val="clear" w:color="auto" w:fill="auto"/>
          </w:tcPr>
          <w:p w:rsidR="0030694E" w:rsidRPr="0056057F" w:rsidRDefault="0030694E" w:rsidP="0030694E">
            <w:pPr>
              <w:spacing w:before="0"/>
              <w:jc w:val="left"/>
              <w:rPr>
                <w:b/>
                <w:bCs/>
                <w:szCs w:val="24"/>
                <w:lang w:val="es-ES"/>
              </w:rPr>
            </w:pPr>
            <w:r w:rsidRPr="0056057F">
              <w:rPr>
                <w:b/>
                <w:szCs w:val="24"/>
                <w:lang w:val="es-ES"/>
              </w:rPr>
              <w:t>A las Administraciones de los Estados Miembros de la UIT y a los Miembros del Sector de Radiocomunicaciones</w:t>
            </w:r>
          </w:p>
        </w:tc>
      </w:tr>
      <w:tr w:rsidR="0030694E" w:rsidRPr="0056057F" w:rsidTr="0030694E">
        <w:trPr>
          <w:jc w:val="center"/>
        </w:trPr>
        <w:tc>
          <w:tcPr>
            <w:tcW w:w="9889" w:type="dxa"/>
            <w:gridSpan w:val="3"/>
            <w:shd w:val="clear" w:color="auto" w:fill="auto"/>
          </w:tcPr>
          <w:p w:rsidR="0030694E" w:rsidRPr="0056057F" w:rsidRDefault="0030694E" w:rsidP="0030694E">
            <w:pPr>
              <w:spacing w:before="0"/>
              <w:jc w:val="left"/>
              <w:rPr>
                <w:bCs/>
                <w:szCs w:val="24"/>
                <w:lang w:val="es-ES"/>
              </w:rPr>
            </w:pPr>
          </w:p>
        </w:tc>
      </w:tr>
      <w:tr w:rsidR="0030694E" w:rsidRPr="0056057F" w:rsidTr="0030694E">
        <w:trPr>
          <w:jc w:val="center"/>
        </w:trPr>
        <w:tc>
          <w:tcPr>
            <w:tcW w:w="9889" w:type="dxa"/>
            <w:gridSpan w:val="3"/>
            <w:shd w:val="clear" w:color="auto" w:fill="auto"/>
          </w:tcPr>
          <w:p w:rsidR="0030694E" w:rsidRPr="0056057F" w:rsidRDefault="0030694E" w:rsidP="0030694E">
            <w:pPr>
              <w:spacing w:before="0"/>
              <w:jc w:val="left"/>
              <w:rPr>
                <w:bCs/>
                <w:szCs w:val="24"/>
                <w:lang w:val="es-ES"/>
              </w:rPr>
            </w:pPr>
          </w:p>
        </w:tc>
      </w:tr>
      <w:tr w:rsidR="00E53DCE" w:rsidRPr="0056057F" w:rsidTr="00306452">
        <w:trPr>
          <w:jc w:val="center"/>
        </w:trPr>
        <w:tc>
          <w:tcPr>
            <w:tcW w:w="1526" w:type="dxa"/>
            <w:shd w:val="clear" w:color="auto" w:fill="auto"/>
          </w:tcPr>
          <w:p w:rsidR="00E53DCE" w:rsidRPr="0056057F" w:rsidRDefault="00311970" w:rsidP="0030694E">
            <w:pPr>
              <w:tabs>
                <w:tab w:val="clear" w:pos="1588"/>
                <w:tab w:val="left" w:pos="1560"/>
              </w:tabs>
              <w:spacing w:before="0"/>
              <w:jc w:val="left"/>
              <w:rPr>
                <w:szCs w:val="24"/>
                <w:lang w:val="es-ES"/>
              </w:rPr>
            </w:pPr>
            <w:r w:rsidRPr="0056057F">
              <w:rPr>
                <w:szCs w:val="24"/>
                <w:lang w:val="es-ES"/>
              </w:rPr>
              <w:t>Asunto:</w:t>
            </w:r>
          </w:p>
        </w:tc>
        <w:tc>
          <w:tcPr>
            <w:tcW w:w="8363" w:type="dxa"/>
            <w:gridSpan w:val="2"/>
            <w:vMerge w:val="restart"/>
            <w:shd w:val="clear" w:color="auto" w:fill="auto"/>
          </w:tcPr>
          <w:p w:rsidR="00E53DCE" w:rsidRPr="0056057F" w:rsidRDefault="0030694E" w:rsidP="0029786D">
            <w:pPr>
              <w:tabs>
                <w:tab w:val="clear" w:pos="1588"/>
                <w:tab w:val="left" w:pos="1560"/>
              </w:tabs>
              <w:spacing w:before="0"/>
              <w:rPr>
                <w:b/>
                <w:bCs/>
                <w:szCs w:val="24"/>
                <w:lang w:val="es-ES"/>
              </w:rPr>
            </w:pPr>
            <w:r w:rsidRPr="0056057F">
              <w:rPr>
                <w:b/>
                <w:szCs w:val="24"/>
                <w:lang w:val="es-ES"/>
              </w:rPr>
              <w:t>Resumen de conclusiones de la vigésim</w:t>
            </w:r>
            <w:r w:rsidR="0029786D" w:rsidRPr="0056057F">
              <w:rPr>
                <w:b/>
                <w:szCs w:val="24"/>
                <w:lang w:val="es-ES"/>
              </w:rPr>
              <w:t>a</w:t>
            </w:r>
            <w:r w:rsidRPr="0056057F">
              <w:rPr>
                <w:b/>
                <w:szCs w:val="24"/>
                <w:lang w:val="es-ES"/>
              </w:rPr>
              <w:t xml:space="preserve"> tercera reunión del Grupo Asesor de Radiocomunicaciones</w:t>
            </w:r>
          </w:p>
        </w:tc>
      </w:tr>
      <w:tr w:rsidR="00E53DCE" w:rsidRPr="0056057F" w:rsidTr="00306452">
        <w:trPr>
          <w:jc w:val="center"/>
        </w:trPr>
        <w:tc>
          <w:tcPr>
            <w:tcW w:w="1526" w:type="dxa"/>
            <w:shd w:val="clear" w:color="auto" w:fill="auto"/>
          </w:tcPr>
          <w:p w:rsidR="00E53DCE" w:rsidRPr="0056057F" w:rsidRDefault="00E53DCE" w:rsidP="0030694E">
            <w:pPr>
              <w:tabs>
                <w:tab w:val="clear" w:pos="1588"/>
                <w:tab w:val="left" w:pos="1560"/>
              </w:tabs>
              <w:spacing w:before="0"/>
              <w:jc w:val="left"/>
              <w:rPr>
                <w:b/>
                <w:bCs/>
                <w:szCs w:val="24"/>
                <w:lang w:val="es-ES"/>
              </w:rPr>
            </w:pPr>
          </w:p>
        </w:tc>
        <w:tc>
          <w:tcPr>
            <w:tcW w:w="8363" w:type="dxa"/>
            <w:gridSpan w:val="2"/>
            <w:vMerge/>
            <w:shd w:val="clear" w:color="auto" w:fill="auto"/>
          </w:tcPr>
          <w:p w:rsidR="00E53DCE" w:rsidRPr="0056057F" w:rsidRDefault="00E53DCE" w:rsidP="0030694E">
            <w:pPr>
              <w:tabs>
                <w:tab w:val="clear" w:pos="1588"/>
                <w:tab w:val="left" w:pos="1560"/>
              </w:tabs>
              <w:spacing w:before="0"/>
              <w:rPr>
                <w:b/>
                <w:bCs/>
                <w:szCs w:val="24"/>
                <w:lang w:val="es-ES"/>
              </w:rPr>
            </w:pPr>
          </w:p>
        </w:tc>
      </w:tr>
      <w:tr w:rsidR="00E53DCE" w:rsidRPr="0056057F" w:rsidTr="00306452">
        <w:trPr>
          <w:jc w:val="center"/>
        </w:trPr>
        <w:tc>
          <w:tcPr>
            <w:tcW w:w="1526" w:type="dxa"/>
            <w:shd w:val="clear" w:color="auto" w:fill="auto"/>
          </w:tcPr>
          <w:p w:rsidR="00E53DCE" w:rsidRPr="0056057F" w:rsidRDefault="00E53DCE" w:rsidP="0030694E">
            <w:pPr>
              <w:tabs>
                <w:tab w:val="clear" w:pos="1588"/>
                <w:tab w:val="left" w:pos="1560"/>
              </w:tabs>
              <w:spacing w:before="0"/>
              <w:jc w:val="left"/>
              <w:rPr>
                <w:b/>
                <w:bCs/>
                <w:szCs w:val="24"/>
                <w:lang w:val="es-ES"/>
              </w:rPr>
            </w:pPr>
          </w:p>
        </w:tc>
        <w:tc>
          <w:tcPr>
            <w:tcW w:w="8363" w:type="dxa"/>
            <w:gridSpan w:val="2"/>
            <w:vMerge/>
            <w:shd w:val="clear" w:color="auto" w:fill="auto"/>
          </w:tcPr>
          <w:p w:rsidR="00E53DCE" w:rsidRPr="0056057F" w:rsidRDefault="00E53DCE" w:rsidP="0030694E">
            <w:pPr>
              <w:tabs>
                <w:tab w:val="clear" w:pos="1588"/>
                <w:tab w:val="left" w:pos="1560"/>
              </w:tabs>
              <w:spacing w:before="0"/>
              <w:rPr>
                <w:b/>
                <w:bCs/>
                <w:szCs w:val="24"/>
                <w:lang w:val="es-ES"/>
              </w:rPr>
            </w:pPr>
          </w:p>
        </w:tc>
      </w:tr>
      <w:tr w:rsidR="0030694E" w:rsidRPr="0056057F" w:rsidTr="00306452">
        <w:trPr>
          <w:jc w:val="center"/>
        </w:trPr>
        <w:tc>
          <w:tcPr>
            <w:tcW w:w="1526" w:type="dxa"/>
            <w:shd w:val="clear" w:color="auto" w:fill="auto"/>
          </w:tcPr>
          <w:p w:rsidR="0030694E" w:rsidRPr="0056057F" w:rsidRDefault="0030694E" w:rsidP="0030694E">
            <w:pPr>
              <w:tabs>
                <w:tab w:val="clear" w:pos="1588"/>
                <w:tab w:val="left" w:pos="1560"/>
              </w:tabs>
              <w:spacing w:before="0"/>
              <w:jc w:val="left"/>
              <w:rPr>
                <w:szCs w:val="24"/>
                <w:lang w:val="es-ES"/>
              </w:rPr>
            </w:pPr>
            <w:r w:rsidRPr="0056057F">
              <w:rPr>
                <w:szCs w:val="24"/>
                <w:lang w:val="es-ES"/>
              </w:rPr>
              <w:t>Referencia:</w:t>
            </w:r>
          </w:p>
        </w:tc>
        <w:tc>
          <w:tcPr>
            <w:tcW w:w="8363" w:type="dxa"/>
            <w:gridSpan w:val="2"/>
            <w:shd w:val="clear" w:color="auto" w:fill="auto"/>
          </w:tcPr>
          <w:p w:rsidR="0030694E" w:rsidRPr="0056057F" w:rsidRDefault="0030694E" w:rsidP="0029786D">
            <w:pPr>
              <w:tabs>
                <w:tab w:val="clear" w:pos="1588"/>
                <w:tab w:val="left" w:pos="1560"/>
              </w:tabs>
              <w:spacing w:before="0"/>
              <w:rPr>
                <w:b/>
                <w:bCs/>
                <w:szCs w:val="24"/>
                <w:lang w:val="es-ES"/>
              </w:rPr>
            </w:pPr>
            <w:r w:rsidRPr="0056057F">
              <w:rPr>
                <w:b/>
                <w:bCs/>
                <w:szCs w:val="24"/>
                <w:lang w:val="es-ES"/>
              </w:rPr>
              <w:t>Circular Administrativa CA/227 de 25 de enero de 2016</w:t>
            </w:r>
          </w:p>
        </w:tc>
      </w:tr>
      <w:tr w:rsidR="00E53DCE" w:rsidRPr="0056057F" w:rsidTr="00306452">
        <w:trPr>
          <w:jc w:val="center"/>
        </w:trPr>
        <w:tc>
          <w:tcPr>
            <w:tcW w:w="9889" w:type="dxa"/>
            <w:gridSpan w:val="3"/>
            <w:shd w:val="clear" w:color="auto" w:fill="auto"/>
          </w:tcPr>
          <w:p w:rsidR="00E53DCE" w:rsidRPr="0056057F" w:rsidRDefault="00E53DCE" w:rsidP="00E53DCE">
            <w:pPr>
              <w:tabs>
                <w:tab w:val="clear" w:pos="1588"/>
                <w:tab w:val="left" w:pos="1560"/>
              </w:tabs>
              <w:spacing w:before="0"/>
              <w:jc w:val="left"/>
              <w:rPr>
                <w:szCs w:val="24"/>
                <w:lang w:val="es-ES"/>
              </w:rPr>
            </w:pPr>
          </w:p>
        </w:tc>
      </w:tr>
      <w:tr w:rsidR="00E53DCE" w:rsidRPr="0056057F" w:rsidTr="00306452">
        <w:trPr>
          <w:jc w:val="center"/>
        </w:trPr>
        <w:tc>
          <w:tcPr>
            <w:tcW w:w="9889" w:type="dxa"/>
            <w:gridSpan w:val="3"/>
            <w:shd w:val="clear" w:color="auto" w:fill="auto"/>
          </w:tcPr>
          <w:p w:rsidR="00E53DCE" w:rsidRPr="0056057F" w:rsidRDefault="00E53DCE" w:rsidP="0030694E">
            <w:pPr>
              <w:spacing w:before="0"/>
              <w:jc w:val="left"/>
              <w:rPr>
                <w:b/>
                <w:bCs/>
                <w:szCs w:val="24"/>
                <w:lang w:val="es-ES"/>
              </w:rPr>
            </w:pPr>
          </w:p>
        </w:tc>
      </w:tr>
    </w:tbl>
    <w:p w:rsidR="0030694E" w:rsidRPr="0056057F" w:rsidRDefault="0030694E" w:rsidP="004D6EC4">
      <w:pPr>
        <w:pStyle w:val="Normalaftertitle"/>
        <w:rPr>
          <w:lang w:val="es-ES"/>
        </w:rPr>
      </w:pPr>
      <w:r w:rsidRPr="0056057F">
        <w:rPr>
          <w:lang w:val="es-ES"/>
        </w:rPr>
        <w:t>La vigésim</w:t>
      </w:r>
      <w:r w:rsidR="0029786D" w:rsidRPr="0056057F">
        <w:rPr>
          <w:lang w:val="es-ES"/>
        </w:rPr>
        <w:t>a</w:t>
      </w:r>
      <w:r w:rsidRPr="0056057F">
        <w:rPr>
          <w:lang w:val="es-ES"/>
        </w:rPr>
        <w:t xml:space="preserve"> tercera reunión del Grupo Asesor de Radiocomunicaciones (GAR) tuvo lugar en Ginebra del 10 al 13 de mayo de 2016.</w:t>
      </w:r>
    </w:p>
    <w:p w:rsidR="0030694E" w:rsidRPr="0056057F" w:rsidRDefault="0030694E" w:rsidP="004D6EC4">
      <w:pPr>
        <w:rPr>
          <w:lang w:val="es-ES"/>
        </w:rPr>
      </w:pPr>
      <w:r w:rsidRPr="0056057F">
        <w:rPr>
          <w:lang w:val="es-ES"/>
        </w:rPr>
        <w:t>En el Anexo a la presente Circular se adjunta el resumen de conclusiones de la reunión.</w:t>
      </w:r>
    </w:p>
    <w:p w:rsidR="0030694E" w:rsidRPr="0056057F" w:rsidRDefault="0029786D" w:rsidP="004D6EC4">
      <w:pPr>
        <w:rPr>
          <w:lang w:val="es-ES"/>
        </w:rPr>
      </w:pPr>
      <w:r w:rsidRPr="0056057F">
        <w:rPr>
          <w:lang w:val="es-ES"/>
        </w:rPr>
        <w:t>Véase</w:t>
      </w:r>
      <w:r w:rsidR="0030694E" w:rsidRPr="0056057F">
        <w:rPr>
          <w:lang w:val="es-ES"/>
        </w:rPr>
        <w:t xml:space="preserve"> más información sobre esta reunión en la página web del GAR en </w:t>
      </w:r>
      <w:hyperlink r:id="rId8" w:history="1">
        <w:r w:rsidR="0030694E" w:rsidRPr="0056057F">
          <w:rPr>
            <w:rStyle w:val="Hyperlink"/>
            <w:szCs w:val="24"/>
            <w:lang w:val="es-ES"/>
          </w:rPr>
          <w:t>http:/</w:t>
        </w:r>
        <w:bookmarkStart w:id="0" w:name="_GoBack"/>
        <w:bookmarkEnd w:id="0"/>
        <w:r w:rsidR="0030694E" w:rsidRPr="0056057F">
          <w:rPr>
            <w:rStyle w:val="Hyperlink"/>
            <w:szCs w:val="24"/>
            <w:lang w:val="es-ES"/>
          </w:rPr>
          <w:t>/www.itu.int/ITU-R/go/RAG</w:t>
        </w:r>
      </w:hyperlink>
      <w:r w:rsidR="0030694E" w:rsidRPr="0056057F">
        <w:rPr>
          <w:lang w:val="es-ES"/>
        </w:rPr>
        <w:t>.</w:t>
      </w:r>
    </w:p>
    <w:p w:rsidR="00031E64" w:rsidRPr="0056057F" w:rsidRDefault="00E53DCE" w:rsidP="004D6EC4">
      <w:pPr>
        <w:spacing w:before="1320"/>
        <w:jc w:val="left"/>
        <w:rPr>
          <w:lang w:val="es-ES"/>
        </w:rPr>
      </w:pPr>
      <w:r w:rsidRPr="0056057F">
        <w:rPr>
          <w:lang w:val="es-ES"/>
        </w:rPr>
        <w:t>François Rancy</w:t>
      </w:r>
      <w:r w:rsidRPr="0056057F">
        <w:rPr>
          <w:lang w:val="es-ES"/>
        </w:rPr>
        <w:br/>
      </w:r>
      <w:r w:rsidR="0030694E" w:rsidRPr="0056057F">
        <w:rPr>
          <w:lang w:val="es-ES"/>
        </w:rPr>
        <w:t>Director</w:t>
      </w:r>
    </w:p>
    <w:p w:rsidR="0030694E" w:rsidRPr="0056057F" w:rsidRDefault="0030694E" w:rsidP="007632D5">
      <w:pPr>
        <w:spacing w:before="720" w:line="240" w:lineRule="auto"/>
        <w:jc w:val="left"/>
        <w:rPr>
          <w:b/>
          <w:bCs/>
          <w:szCs w:val="24"/>
          <w:lang w:val="es-ES"/>
        </w:rPr>
      </w:pPr>
      <w:r w:rsidRPr="0056057F">
        <w:rPr>
          <w:b/>
          <w:bCs/>
          <w:szCs w:val="24"/>
          <w:lang w:val="es-ES"/>
        </w:rPr>
        <w:t>Anexo:</w:t>
      </w:r>
      <w:r w:rsidRPr="0056057F">
        <w:rPr>
          <w:szCs w:val="24"/>
          <w:lang w:val="es-ES"/>
        </w:rPr>
        <w:t xml:space="preserve"> 1</w:t>
      </w:r>
    </w:p>
    <w:p w:rsidR="0030694E" w:rsidRPr="0056057F" w:rsidRDefault="0030694E" w:rsidP="0030694E">
      <w:pPr>
        <w:spacing w:before="600" w:line="240" w:lineRule="auto"/>
        <w:jc w:val="left"/>
        <w:rPr>
          <w:b/>
          <w:bCs/>
          <w:sz w:val="18"/>
          <w:szCs w:val="18"/>
          <w:lang w:val="es-ES"/>
        </w:rPr>
      </w:pPr>
      <w:r w:rsidRPr="0056057F">
        <w:rPr>
          <w:b/>
          <w:bCs/>
          <w:sz w:val="18"/>
          <w:szCs w:val="18"/>
          <w:lang w:val="es-ES"/>
        </w:rPr>
        <w:t>Distribución:</w:t>
      </w:r>
    </w:p>
    <w:p w:rsidR="0030694E" w:rsidRPr="0056057F" w:rsidRDefault="0030694E" w:rsidP="0030694E">
      <w:pPr>
        <w:tabs>
          <w:tab w:val="clear" w:pos="794"/>
          <w:tab w:val="left" w:pos="284"/>
        </w:tabs>
        <w:spacing w:before="80" w:line="240" w:lineRule="auto"/>
        <w:jc w:val="left"/>
        <w:rPr>
          <w:sz w:val="18"/>
          <w:szCs w:val="18"/>
          <w:lang w:val="es-ES"/>
        </w:rPr>
      </w:pPr>
      <w:r w:rsidRPr="0056057F">
        <w:rPr>
          <w:sz w:val="18"/>
          <w:szCs w:val="18"/>
          <w:lang w:val="es-ES"/>
        </w:rPr>
        <w:sym w:font="Symbol" w:char="F02D"/>
      </w:r>
      <w:r w:rsidRPr="0056057F">
        <w:rPr>
          <w:sz w:val="18"/>
          <w:szCs w:val="18"/>
          <w:lang w:val="es-ES"/>
        </w:rPr>
        <w:tab/>
        <w:t>Administraciones de los Estados Miembros de la UIT</w:t>
      </w:r>
      <w:r w:rsidRPr="0056057F">
        <w:rPr>
          <w:sz w:val="18"/>
          <w:szCs w:val="18"/>
          <w:lang w:val="es-ES"/>
        </w:rPr>
        <w:br/>
      </w:r>
      <w:r w:rsidRPr="0056057F">
        <w:rPr>
          <w:sz w:val="18"/>
          <w:szCs w:val="18"/>
          <w:lang w:val="es-ES"/>
        </w:rPr>
        <w:sym w:font="Symbol" w:char="F02D"/>
      </w:r>
      <w:r w:rsidRPr="0056057F">
        <w:rPr>
          <w:sz w:val="18"/>
          <w:szCs w:val="18"/>
          <w:lang w:val="es-ES"/>
        </w:rPr>
        <w:tab/>
        <w:t>Miembros del Sector de Radiocomunicaciones</w:t>
      </w:r>
      <w:r w:rsidRPr="0056057F">
        <w:rPr>
          <w:sz w:val="18"/>
          <w:szCs w:val="18"/>
          <w:lang w:val="es-ES"/>
        </w:rPr>
        <w:br/>
      </w:r>
      <w:r w:rsidRPr="0056057F">
        <w:rPr>
          <w:sz w:val="18"/>
          <w:szCs w:val="18"/>
          <w:lang w:val="es-ES"/>
        </w:rPr>
        <w:sym w:font="Symbol" w:char="F02D"/>
      </w:r>
      <w:r w:rsidRPr="0056057F">
        <w:rPr>
          <w:sz w:val="18"/>
          <w:szCs w:val="18"/>
          <w:lang w:val="es-ES"/>
        </w:rPr>
        <w:tab/>
        <w:t xml:space="preserve">Presidentes y Vicepresidentes de las Comisiones de Estudio y de la Comisión Especial para asuntos </w:t>
      </w:r>
      <w:r w:rsidRPr="0056057F">
        <w:rPr>
          <w:sz w:val="18"/>
          <w:szCs w:val="18"/>
          <w:lang w:val="es-ES"/>
        </w:rPr>
        <w:br/>
      </w:r>
      <w:r w:rsidRPr="0056057F">
        <w:rPr>
          <w:sz w:val="18"/>
          <w:szCs w:val="18"/>
          <w:lang w:val="es-ES"/>
        </w:rPr>
        <w:tab/>
        <w:t>reglamentarios y de procedimiento</w:t>
      </w:r>
      <w:r w:rsidRPr="0056057F">
        <w:rPr>
          <w:sz w:val="18"/>
          <w:szCs w:val="18"/>
          <w:lang w:val="es-ES"/>
        </w:rPr>
        <w:br/>
      </w:r>
      <w:r w:rsidRPr="0056057F">
        <w:rPr>
          <w:sz w:val="18"/>
          <w:szCs w:val="18"/>
          <w:lang w:val="es-ES"/>
        </w:rPr>
        <w:sym w:font="Symbol" w:char="F02D"/>
      </w:r>
      <w:r w:rsidRPr="0056057F">
        <w:rPr>
          <w:sz w:val="18"/>
          <w:szCs w:val="18"/>
          <w:lang w:val="es-ES"/>
        </w:rPr>
        <w:tab/>
        <w:t>Presidente y Vicepresidentes del Grupo Asesor de Radiocomunicaciones</w:t>
      </w:r>
      <w:r w:rsidRPr="0056057F">
        <w:rPr>
          <w:sz w:val="18"/>
          <w:szCs w:val="18"/>
          <w:lang w:val="es-ES"/>
        </w:rPr>
        <w:br/>
      </w:r>
      <w:r w:rsidRPr="0056057F">
        <w:rPr>
          <w:sz w:val="18"/>
          <w:szCs w:val="18"/>
          <w:lang w:val="es-ES"/>
        </w:rPr>
        <w:sym w:font="Symbol" w:char="F02D"/>
      </w:r>
      <w:r w:rsidRPr="0056057F">
        <w:rPr>
          <w:sz w:val="18"/>
          <w:szCs w:val="18"/>
          <w:lang w:val="es-ES"/>
        </w:rPr>
        <w:tab/>
        <w:t>Presidente y Vicepresidentes de la Reunión Preparatoria de la Conferencia</w:t>
      </w:r>
      <w:r w:rsidRPr="0056057F">
        <w:rPr>
          <w:sz w:val="18"/>
          <w:szCs w:val="18"/>
          <w:lang w:val="es-ES"/>
        </w:rPr>
        <w:br/>
      </w:r>
      <w:r w:rsidRPr="0056057F">
        <w:rPr>
          <w:sz w:val="18"/>
          <w:szCs w:val="18"/>
          <w:lang w:val="es-ES"/>
        </w:rPr>
        <w:sym w:font="Symbol" w:char="F02D"/>
      </w:r>
      <w:r w:rsidRPr="0056057F">
        <w:rPr>
          <w:sz w:val="18"/>
          <w:szCs w:val="18"/>
          <w:lang w:val="es-ES"/>
        </w:rPr>
        <w:tab/>
        <w:t>Miembros de la Junta del Reglamento de Radiocomunicaciones</w:t>
      </w:r>
      <w:r w:rsidRPr="0056057F">
        <w:rPr>
          <w:sz w:val="18"/>
          <w:szCs w:val="18"/>
          <w:lang w:val="es-ES"/>
        </w:rPr>
        <w:br/>
      </w:r>
      <w:r w:rsidRPr="0056057F">
        <w:rPr>
          <w:sz w:val="18"/>
          <w:szCs w:val="18"/>
          <w:lang w:val="es-ES"/>
        </w:rPr>
        <w:sym w:font="Symbol" w:char="F02D"/>
      </w:r>
      <w:r w:rsidRPr="0056057F">
        <w:rPr>
          <w:sz w:val="18"/>
          <w:szCs w:val="18"/>
          <w:lang w:val="es-ES"/>
        </w:rPr>
        <w:tab/>
        <w:t xml:space="preserve">Secretario General de la UIT, Director de la Oficina de Normalización de las Telecomunicaciones, Director de la Oficina de </w:t>
      </w:r>
      <w:r w:rsidRPr="0056057F">
        <w:rPr>
          <w:sz w:val="18"/>
          <w:szCs w:val="18"/>
          <w:lang w:val="es-ES"/>
        </w:rPr>
        <w:br/>
      </w:r>
      <w:r w:rsidRPr="0056057F">
        <w:rPr>
          <w:sz w:val="18"/>
          <w:szCs w:val="18"/>
          <w:lang w:val="es-ES"/>
        </w:rPr>
        <w:tab/>
        <w:t>Desarrollo de las Telecomunicaciones</w:t>
      </w:r>
    </w:p>
    <w:p w:rsidR="00026D75" w:rsidRPr="0056057F" w:rsidRDefault="00026D75" w:rsidP="00026D75">
      <w:pPr>
        <w:rPr>
          <w:lang w:val="es-ES" w:eastAsia="zh-CN"/>
        </w:rPr>
        <w:sectPr w:rsidR="00026D75" w:rsidRPr="0056057F" w:rsidSect="00026D75">
          <w:headerReference w:type="even" r:id="rId9"/>
          <w:headerReference w:type="default" r:id="rId10"/>
          <w:headerReference w:type="first" r:id="rId11"/>
          <w:footerReference w:type="first" r:id="rId12"/>
          <w:pgSz w:w="11906" w:h="16838"/>
          <w:pgMar w:top="1417" w:right="1134" w:bottom="1417" w:left="1134" w:header="720" w:footer="720" w:gutter="0"/>
          <w:paperSrc w:first="15" w:other="15"/>
          <w:cols w:space="708"/>
          <w:titlePg/>
          <w:docGrid w:linePitch="360"/>
        </w:sectPr>
      </w:pPr>
    </w:p>
    <w:tbl>
      <w:tblPr>
        <w:tblpPr w:leftFromText="180" w:rightFromText="180" w:tblpY="-858"/>
        <w:tblW w:w="9889" w:type="dxa"/>
        <w:tblLayout w:type="fixed"/>
        <w:tblLook w:val="0000" w:firstRow="0" w:lastRow="0" w:firstColumn="0" w:lastColumn="0" w:noHBand="0" w:noVBand="0"/>
      </w:tblPr>
      <w:tblGrid>
        <w:gridCol w:w="1559"/>
        <w:gridCol w:w="4712"/>
        <w:gridCol w:w="2059"/>
        <w:gridCol w:w="1559"/>
      </w:tblGrid>
      <w:tr w:rsidR="00026D75" w:rsidRPr="0056057F" w:rsidTr="00F35897">
        <w:trPr>
          <w:cantSplit/>
        </w:trPr>
        <w:tc>
          <w:tcPr>
            <w:tcW w:w="1559" w:type="dxa"/>
            <w:vAlign w:val="center"/>
          </w:tcPr>
          <w:p w:rsidR="00026D75" w:rsidRPr="0056057F" w:rsidRDefault="00026D75" w:rsidP="00026D75">
            <w:pPr>
              <w:shd w:val="solid" w:color="FFFFFF" w:fill="FFFFFF"/>
              <w:spacing w:before="840"/>
              <w:rPr>
                <w:rFonts w:ascii="Verdana" w:hAnsi="Verdana"/>
                <w:b/>
                <w:bCs/>
                <w:lang w:val="es-ES"/>
              </w:rPr>
            </w:pPr>
            <w:bookmarkStart w:id="1" w:name="ditulogo"/>
            <w:bookmarkEnd w:id="1"/>
            <w:r w:rsidRPr="0056057F">
              <w:rPr>
                <w:rFonts w:ascii="Verdana" w:hAnsi="Verdana" w:cs="Times New Roman Bold"/>
                <w:b/>
                <w:bCs/>
                <w:noProof/>
                <w:sz w:val="20"/>
                <w:szCs w:val="26"/>
                <w:lang w:val="es-ES" w:eastAsia="zh-CN"/>
              </w:rPr>
              <w:lastRenderedPageBreak/>
              <w:drawing>
                <wp:inline distT="0" distB="0" distL="0" distR="0" wp14:anchorId="45083110" wp14:editId="664F1ED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026D75" w:rsidRPr="0056057F" w:rsidRDefault="00026D75" w:rsidP="00026D75">
            <w:pPr>
              <w:shd w:val="solid" w:color="FFFFFF" w:fill="FFFFFF"/>
              <w:tabs>
                <w:tab w:val="left" w:pos="568"/>
              </w:tabs>
              <w:spacing w:before="360" w:after="240"/>
              <w:ind w:left="568" w:hanging="568"/>
              <w:jc w:val="left"/>
              <w:rPr>
                <w:b/>
                <w:caps/>
                <w:sz w:val="32"/>
                <w:lang w:val="es-ES"/>
              </w:rPr>
            </w:pPr>
            <w:r w:rsidRPr="0056057F">
              <w:rPr>
                <w:rFonts w:ascii="Verdana" w:hAnsi="Verdana" w:cs="Times New Roman Bold"/>
                <w:b/>
                <w:sz w:val="26"/>
                <w:szCs w:val="26"/>
                <w:lang w:val="es-ES"/>
              </w:rPr>
              <w:tab/>
              <w:t>Grupo Asesor de Radiocomunicaciones</w:t>
            </w:r>
            <w:r w:rsidRPr="0056057F">
              <w:rPr>
                <w:b/>
                <w:caps/>
                <w:sz w:val="32"/>
                <w:lang w:val="es-ES"/>
              </w:rPr>
              <w:br/>
            </w:r>
            <w:r w:rsidRPr="0056057F">
              <w:rPr>
                <w:rFonts w:ascii="Verdana" w:hAnsi="Verdana" w:cs="Times New Roman Bold"/>
                <w:b/>
                <w:bCs/>
                <w:sz w:val="20"/>
                <w:lang w:val="es-ES"/>
              </w:rPr>
              <w:t>Ginebra, 10-13 de mayo de 2016</w:t>
            </w:r>
          </w:p>
        </w:tc>
        <w:tc>
          <w:tcPr>
            <w:tcW w:w="1559" w:type="dxa"/>
            <w:vAlign w:val="center"/>
          </w:tcPr>
          <w:p w:rsidR="00026D75" w:rsidRPr="0056057F" w:rsidRDefault="00026D75" w:rsidP="00026D75">
            <w:pPr>
              <w:shd w:val="solid" w:color="FFFFFF" w:fill="FFFFFF"/>
              <w:spacing w:before="1080"/>
              <w:jc w:val="right"/>
              <w:rPr>
                <w:lang w:val="es-ES"/>
              </w:rPr>
            </w:pPr>
            <w:r w:rsidRPr="0056057F">
              <w:rPr>
                <w:rFonts w:cs="Arial"/>
                <w:noProof/>
                <w:lang w:val="es-ES" w:eastAsia="zh-CN"/>
              </w:rPr>
              <w:drawing>
                <wp:inline distT="0" distB="0" distL="0" distR="0" wp14:anchorId="045FB4EB" wp14:editId="66AC4A6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26D75" w:rsidRPr="0056057F" w:rsidTr="00F35897">
        <w:trPr>
          <w:cantSplit/>
        </w:trPr>
        <w:tc>
          <w:tcPr>
            <w:tcW w:w="6271" w:type="dxa"/>
            <w:gridSpan w:val="2"/>
            <w:tcBorders>
              <w:bottom w:val="single" w:sz="12" w:space="0" w:color="auto"/>
            </w:tcBorders>
          </w:tcPr>
          <w:p w:rsidR="00026D75" w:rsidRPr="0056057F" w:rsidRDefault="00026D75" w:rsidP="00F35897">
            <w:pPr>
              <w:shd w:val="solid" w:color="FFFFFF" w:fill="FFFFFF"/>
              <w:spacing w:before="0" w:after="48"/>
              <w:rPr>
                <w:rFonts w:ascii="Verdana" w:hAnsi="Verdana" w:cs="Times New Roman Bold"/>
                <w:b/>
                <w:sz w:val="22"/>
                <w:lang w:val="es-ES"/>
              </w:rPr>
            </w:pPr>
            <w:r w:rsidRPr="0056057F">
              <w:rPr>
                <w:rFonts w:ascii="Verdana" w:hAnsi="Verdana"/>
                <w:b/>
                <w:smallCaps/>
                <w:sz w:val="20"/>
                <w:lang w:val="es-ES"/>
              </w:rPr>
              <w:t>UNIÓN INTERNACIONAL DE TELECOMUNICACIONES</w:t>
            </w:r>
          </w:p>
        </w:tc>
        <w:tc>
          <w:tcPr>
            <w:tcW w:w="3618" w:type="dxa"/>
            <w:gridSpan w:val="2"/>
            <w:tcBorders>
              <w:bottom w:val="single" w:sz="12" w:space="0" w:color="auto"/>
            </w:tcBorders>
          </w:tcPr>
          <w:p w:rsidR="00026D75" w:rsidRPr="0056057F" w:rsidRDefault="00026D75" w:rsidP="00F35897">
            <w:pPr>
              <w:shd w:val="solid" w:color="FFFFFF" w:fill="FFFFFF"/>
              <w:spacing w:before="0" w:after="48"/>
              <w:rPr>
                <w:sz w:val="22"/>
                <w:lang w:val="es-ES"/>
              </w:rPr>
            </w:pPr>
          </w:p>
        </w:tc>
      </w:tr>
      <w:tr w:rsidR="00026D75" w:rsidRPr="0056057F" w:rsidTr="00F35897">
        <w:trPr>
          <w:cantSplit/>
        </w:trPr>
        <w:tc>
          <w:tcPr>
            <w:tcW w:w="6271" w:type="dxa"/>
            <w:gridSpan w:val="2"/>
            <w:tcBorders>
              <w:top w:val="single" w:sz="12" w:space="0" w:color="auto"/>
            </w:tcBorders>
          </w:tcPr>
          <w:p w:rsidR="00026D75" w:rsidRPr="0056057F" w:rsidRDefault="00026D75" w:rsidP="00F35897">
            <w:pPr>
              <w:shd w:val="solid" w:color="FFFFFF" w:fill="FFFFFF"/>
              <w:spacing w:before="0" w:after="48"/>
              <w:rPr>
                <w:rFonts w:ascii="Verdana" w:hAnsi="Verdana" w:cs="Times New Roman Bold"/>
                <w:bCs/>
                <w:sz w:val="22"/>
                <w:lang w:val="es-ES"/>
              </w:rPr>
            </w:pPr>
          </w:p>
        </w:tc>
        <w:tc>
          <w:tcPr>
            <w:tcW w:w="3618" w:type="dxa"/>
            <w:gridSpan w:val="2"/>
            <w:tcBorders>
              <w:top w:val="single" w:sz="12" w:space="0" w:color="auto"/>
            </w:tcBorders>
          </w:tcPr>
          <w:p w:rsidR="00026D75" w:rsidRPr="0056057F" w:rsidRDefault="00026D75" w:rsidP="00F35897">
            <w:pPr>
              <w:shd w:val="solid" w:color="FFFFFF" w:fill="FFFFFF"/>
              <w:spacing w:before="0" w:after="48"/>
              <w:rPr>
                <w:rFonts w:ascii="Verdana" w:hAnsi="Verdana"/>
                <w:sz w:val="22"/>
                <w:lang w:val="es-ES"/>
              </w:rPr>
            </w:pPr>
          </w:p>
        </w:tc>
      </w:tr>
      <w:tr w:rsidR="00026D75" w:rsidRPr="0056057F" w:rsidTr="00F35897">
        <w:trPr>
          <w:cantSplit/>
        </w:trPr>
        <w:tc>
          <w:tcPr>
            <w:tcW w:w="6271" w:type="dxa"/>
            <w:gridSpan w:val="2"/>
            <w:vMerge w:val="restart"/>
          </w:tcPr>
          <w:p w:rsidR="00026D75" w:rsidRPr="0056057F" w:rsidRDefault="00026D75" w:rsidP="00F35897">
            <w:pPr>
              <w:shd w:val="solid" w:color="FFFFFF" w:fill="FFFFFF"/>
              <w:spacing w:after="240"/>
              <w:rPr>
                <w:sz w:val="20"/>
                <w:lang w:val="es-ES"/>
              </w:rPr>
            </w:pPr>
            <w:bookmarkStart w:id="2" w:name="dnum" w:colFirst="1" w:colLast="1"/>
          </w:p>
        </w:tc>
        <w:tc>
          <w:tcPr>
            <w:tcW w:w="3618" w:type="dxa"/>
            <w:gridSpan w:val="2"/>
          </w:tcPr>
          <w:p w:rsidR="00026D75" w:rsidRPr="0056057F" w:rsidRDefault="00026D75" w:rsidP="00026D75">
            <w:pPr>
              <w:shd w:val="solid" w:color="FFFFFF" w:fill="FFFFFF"/>
              <w:spacing w:before="0"/>
              <w:jc w:val="left"/>
              <w:rPr>
                <w:rFonts w:ascii="Verdana" w:hAnsi="Verdana"/>
                <w:sz w:val="20"/>
                <w:lang w:val="es-ES"/>
              </w:rPr>
            </w:pPr>
            <w:r w:rsidRPr="0056057F">
              <w:rPr>
                <w:rFonts w:ascii="Verdana" w:hAnsi="Verdana"/>
                <w:b/>
                <w:sz w:val="20"/>
                <w:lang w:val="es-ES"/>
              </w:rPr>
              <w:t xml:space="preserve">Revisión 1 al </w:t>
            </w:r>
            <w:r w:rsidRPr="0056057F">
              <w:rPr>
                <w:rFonts w:ascii="Verdana" w:hAnsi="Verdana"/>
                <w:b/>
                <w:sz w:val="20"/>
                <w:lang w:val="es-ES"/>
              </w:rPr>
              <w:br/>
              <w:t>Documento RAG16/TEMP/3-S</w:t>
            </w:r>
          </w:p>
        </w:tc>
      </w:tr>
      <w:tr w:rsidR="00026D75" w:rsidRPr="0056057F" w:rsidTr="00F35897">
        <w:trPr>
          <w:cantSplit/>
        </w:trPr>
        <w:tc>
          <w:tcPr>
            <w:tcW w:w="6271" w:type="dxa"/>
            <w:gridSpan w:val="2"/>
            <w:vMerge/>
          </w:tcPr>
          <w:p w:rsidR="00026D75" w:rsidRPr="0056057F" w:rsidRDefault="00026D75" w:rsidP="00F35897">
            <w:pPr>
              <w:spacing w:before="60"/>
              <w:jc w:val="center"/>
              <w:rPr>
                <w:b/>
                <w:smallCaps/>
                <w:sz w:val="32"/>
                <w:lang w:val="es-ES"/>
              </w:rPr>
            </w:pPr>
            <w:bookmarkStart w:id="3" w:name="ddate" w:colFirst="1" w:colLast="1"/>
            <w:bookmarkEnd w:id="2"/>
          </w:p>
        </w:tc>
        <w:tc>
          <w:tcPr>
            <w:tcW w:w="3618" w:type="dxa"/>
            <w:gridSpan w:val="2"/>
          </w:tcPr>
          <w:p w:rsidR="00026D75" w:rsidRPr="0056057F" w:rsidRDefault="00026D75" w:rsidP="00F35897">
            <w:pPr>
              <w:shd w:val="solid" w:color="FFFFFF" w:fill="FFFFFF"/>
              <w:spacing w:before="0"/>
              <w:rPr>
                <w:rFonts w:ascii="Verdana" w:hAnsi="Verdana"/>
                <w:sz w:val="20"/>
                <w:lang w:val="es-ES"/>
              </w:rPr>
            </w:pPr>
            <w:r w:rsidRPr="0056057F">
              <w:rPr>
                <w:rFonts w:ascii="Verdana" w:hAnsi="Verdana"/>
                <w:b/>
                <w:sz w:val="20"/>
                <w:lang w:val="es-ES"/>
              </w:rPr>
              <w:t>13 de mayo de 2016</w:t>
            </w:r>
          </w:p>
        </w:tc>
      </w:tr>
      <w:tr w:rsidR="00026D75" w:rsidRPr="0056057F" w:rsidTr="00F35897">
        <w:trPr>
          <w:cantSplit/>
        </w:trPr>
        <w:tc>
          <w:tcPr>
            <w:tcW w:w="6271" w:type="dxa"/>
            <w:gridSpan w:val="2"/>
            <w:vMerge/>
          </w:tcPr>
          <w:p w:rsidR="00026D75" w:rsidRPr="0056057F" w:rsidRDefault="00026D75" w:rsidP="00F35897">
            <w:pPr>
              <w:spacing w:before="60"/>
              <w:jc w:val="center"/>
              <w:rPr>
                <w:b/>
                <w:smallCaps/>
                <w:sz w:val="32"/>
                <w:lang w:val="es-ES"/>
              </w:rPr>
            </w:pPr>
            <w:bookmarkStart w:id="4" w:name="dorlang" w:colFirst="1" w:colLast="1"/>
            <w:bookmarkEnd w:id="3"/>
          </w:p>
        </w:tc>
        <w:tc>
          <w:tcPr>
            <w:tcW w:w="3618" w:type="dxa"/>
            <w:gridSpan w:val="2"/>
          </w:tcPr>
          <w:p w:rsidR="00026D75" w:rsidRPr="0056057F" w:rsidRDefault="00026D75" w:rsidP="00F35897">
            <w:pPr>
              <w:shd w:val="solid" w:color="FFFFFF" w:fill="FFFFFF"/>
              <w:spacing w:before="0" w:after="120"/>
              <w:rPr>
                <w:rFonts w:ascii="Verdana" w:hAnsi="Verdana"/>
                <w:sz w:val="20"/>
                <w:lang w:val="es-ES"/>
              </w:rPr>
            </w:pPr>
            <w:r w:rsidRPr="0056057F">
              <w:rPr>
                <w:rFonts w:ascii="Verdana" w:hAnsi="Verdana"/>
                <w:b/>
                <w:sz w:val="20"/>
                <w:lang w:val="es-ES"/>
              </w:rPr>
              <w:t>Original: inglés</w:t>
            </w:r>
          </w:p>
        </w:tc>
      </w:tr>
      <w:tr w:rsidR="00026D75" w:rsidRPr="0056057F" w:rsidTr="00F35897">
        <w:trPr>
          <w:cantSplit/>
        </w:trPr>
        <w:tc>
          <w:tcPr>
            <w:tcW w:w="9889" w:type="dxa"/>
            <w:gridSpan w:val="4"/>
          </w:tcPr>
          <w:p w:rsidR="00026D75" w:rsidRPr="0056057F" w:rsidRDefault="00026D75" w:rsidP="007C124F">
            <w:pPr>
              <w:pStyle w:val="Source"/>
              <w:rPr>
                <w:lang w:val="es-ES"/>
              </w:rPr>
            </w:pPr>
            <w:bookmarkStart w:id="5" w:name="dsource" w:colFirst="0" w:colLast="0"/>
            <w:bookmarkEnd w:id="4"/>
            <w:r w:rsidRPr="0056057F">
              <w:rPr>
                <w:lang w:val="es-ES"/>
              </w:rPr>
              <w:t>Presidente del Grupo Asesor de Radiocomunicaciones</w:t>
            </w:r>
          </w:p>
        </w:tc>
      </w:tr>
      <w:tr w:rsidR="00026D75" w:rsidRPr="0056057F" w:rsidTr="00F35897">
        <w:trPr>
          <w:cantSplit/>
        </w:trPr>
        <w:tc>
          <w:tcPr>
            <w:tcW w:w="9889" w:type="dxa"/>
            <w:gridSpan w:val="4"/>
          </w:tcPr>
          <w:p w:rsidR="00026D75" w:rsidRPr="0056057F" w:rsidRDefault="00026D75" w:rsidP="007C124F">
            <w:pPr>
              <w:pStyle w:val="Title1"/>
              <w:rPr>
                <w:lang w:val="es-ES"/>
              </w:rPr>
            </w:pPr>
            <w:bookmarkStart w:id="6" w:name="dtitle1" w:colFirst="0" w:colLast="0"/>
            <w:bookmarkEnd w:id="5"/>
            <w:r w:rsidRPr="0056057F">
              <w:rPr>
                <w:lang w:val="es-ES"/>
              </w:rPr>
              <w:t>VIGÉSIM</w:t>
            </w:r>
            <w:r w:rsidR="0029786D" w:rsidRPr="0056057F">
              <w:rPr>
                <w:lang w:val="es-ES"/>
              </w:rPr>
              <w:t>A</w:t>
            </w:r>
            <w:r w:rsidRPr="0056057F">
              <w:rPr>
                <w:lang w:val="es-ES"/>
              </w:rPr>
              <w:t xml:space="preserve"> TERCERA REUNIÓN DEL GRUPO </w:t>
            </w:r>
            <w:r w:rsidRPr="0056057F">
              <w:rPr>
                <w:lang w:val="es-ES"/>
              </w:rPr>
              <w:br/>
              <w:t>ASESOR DE RADIOcomunicaCIONES</w:t>
            </w:r>
          </w:p>
        </w:tc>
      </w:tr>
      <w:tr w:rsidR="00026D75" w:rsidRPr="0056057F" w:rsidTr="00F35897">
        <w:trPr>
          <w:cantSplit/>
        </w:trPr>
        <w:tc>
          <w:tcPr>
            <w:tcW w:w="9889" w:type="dxa"/>
            <w:gridSpan w:val="4"/>
          </w:tcPr>
          <w:p w:rsidR="00026D75" w:rsidRPr="0056057F" w:rsidRDefault="00026D75" w:rsidP="007C124F">
            <w:pPr>
              <w:pStyle w:val="Title2"/>
              <w:rPr>
                <w:lang w:val="es-ES"/>
              </w:rPr>
            </w:pPr>
            <w:r w:rsidRPr="0056057F">
              <w:rPr>
                <w:lang w:val="es-ES"/>
              </w:rPr>
              <w:t>RESUMEN DE CONCLUSIONES</w:t>
            </w:r>
          </w:p>
        </w:tc>
      </w:tr>
      <w:bookmarkEnd w:id="6"/>
    </w:tbl>
    <w:p w:rsidR="00026D75" w:rsidRPr="0056057F" w:rsidRDefault="00026D75" w:rsidP="00026D75">
      <w:pPr>
        <w:rPr>
          <w:lang w:val="es-ES" w:eastAsia="zh-CN"/>
        </w:rPr>
      </w:pPr>
    </w:p>
    <w:p w:rsidR="00026D75" w:rsidRPr="0056057F" w:rsidRDefault="00026D75" w:rsidP="00026D75">
      <w:pPr>
        <w:rPr>
          <w:lang w:val="es-ES" w:eastAsia="zh-CN"/>
        </w:rPr>
      </w:pPr>
    </w:p>
    <w:p w:rsidR="00026D75" w:rsidRPr="0056057F" w:rsidRDefault="00026D75" w:rsidP="00026D75">
      <w:pPr>
        <w:rPr>
          <w:lang w:val="es-ES" w:eastAsia="zh-CN"/>
        </w:rPr>
        <w:sectPr w:rsidR="00026D75" w:rsidRPr="0056057F" w:rsidSect="00F35897">
          <w:headerReference w:type="default" r:id="rId15"/>
          <w:footerReference w:type="even" r:id="rId16"/>
          <w:footerReference w:type="default" r:id="rId17"/>
          <w:headerReference w:type="first" r:id="rId18"/>
          <w:footerReference w:type="first" r:id="rId19"/>
          <w:pgSz w:w="11906" w:h="16838"/>
          <w:pgMar w:top="1417" w:right="1134" w:bottom="1417" w:left="1134" w:header="720" w:footer="720" w:gutter="0"/>
          <w:paperSrc w:first="15" w:other="15"/>
          <w:cols w:space="708"/>
          <w:titlePg/>
          <w:docGrid w:linePitch="360"/>
        </w:sect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026D75" w:rsidRPr="0056057F" w:rsidTr="00F35897">
        <w:trPr>
          <w:tblHeader/>
          <w:jc w:val="center"/>
        </w:trPr>
        <w:tc>
          <w:tcPr>
            <w:tcW w:w="1037" w:type="dxa"/>
            <w:vAlign w:val="center"/>
          </w:tcPr>
          <w:p w:rsidR="00026D75" w:rsidRPr="0056057F" w:rsidRDefault="00026D75" w:rsidP="00F35897">
            <w:pPr>
              <w:pStyle w:val="Tablehead"/>
              <w:rPr>
                <w:rFonts w:cs="Times New Roman"/>
                <w:lang w:val="es-ES"/>
              </w:rPr>
            </w:pPr>
            <w:r w:rsidRPr="0056057F">
              <w:rPr>
                <w:rFonts w:cs="Times New Roman"/>
                <w:lang w:val="es-ES"/>
              </w:rPr>
              <w:lastRenderedPageBreak/>
              <w:br w:type="page"/>
              <w:t xml:space="preserve">Punto del orden del día </w:t>
            </w:r>
          </w:p>
        </w:tc>
        <w:tc>
          <w:tcPr>
            <w:tcW w:w="3256" w:type="dxa"/>
            <w:vAlign w:val="center"/>
          </w:tcPr>
          <w:p w:rsidR="00026D75" w:rsidRPr="0056057F" w:rsidRDefault="00026D75" w:rsidP="00F35897">
            <w:pPr>
              <w:pStyle w:val="Tablehead"/>
              <w:rPr>
                <w:rFonts w:cs="Times New Roman"/>
                <w:lang w:val="es-ES"/>
              </w:rPr>
            </w:pPr>
            <w:r w:rsidRPr="0056057F">
              <w:rPr>
                <w:rFonts w:cs="Times New Roman"/>
                <w:lang w:val="es-ES"/>
              </w:rPr>
              <w:t>Asunto</w:t>
            </w:r>
          </w:p>
        </w:tc>
        <w:tc>
          <w:tcPr>
            <w:tcW w:w="9785" w:type="dxa"/>
            <w:vAlign w:val="center"/>
          </w:tcPr>
          <w:p w:rsidR="00026D75" w:rsidRPr="0056057F" w:rsidRDefault="00026D75" w:rsidP="00F35897">
            <w:pPr>
              <w:pStyle w:val="Tablehead"/>
              <w:rPr>
                <w:rFonts w:cs="Times New Roman"/>
                <w:lang w:val="es-ES"/>
              </w:rPr>
            </w:pPr>
            <w:r w:rsidRPr="0056057F">
              <w:rPr>
                <w:rFonts w:cs="Times New Roman"/>
                <w:lang w:val="es-ES"/>
              </w:rPr>
              <w:t>Conclusiones</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t>1</w:t>
            </w:r>
          </w:p>
        </w:tc>
        <w:tc>
          <w:tcPr>
            <w:tcW w:w="3256" w:type="dxa"/>
          </w:tcPr>
          <w:p w:rsidR="00026D75" w:rsidRPr="0056057F" w:rsidRDefault="00026D75" w:rsidP="00F35897">
            <w:pPr>
              <w:pStyle w:val="Tabletext"/>
              <w:rPr>
                <w:rFonts w:cstheme="majorBidi"/>
                <w:lang w:val="es-ES"/>
              </w:rPr>
            </w:pPr>
            <w:r w:rsidRPr="0056057F">
              <w:rPr>
                <w:rFonts w:cstheme="majorBidi"/>
                <w:lang w:val="es-ES"/>
              </w:rPr>
              <w:t xml:space="preserve">Observaciones preliminares </w:t>
            </w:r>
          </w:p>
        </w:tc>
        <w:tc>
          <w:tcPr>
            <w:tcW w:w="9785" w:type="dxa"/>
          </w:tcPr>
          <w:p w:rsidR="00026D75" w:rsidRPr="0056057F" w:rsidRDefault="00026D75" w:rsidP="00F35897">
            <w:pPr>
              <w:pStyle w:val="Tabletext"/>
              <w:rPr>
                <w:rFonts w:cstheme="majorBidi"/>
                <w:lang w:val="es-ES"/>
              </w:rPr>
            </w:pPr>
            <w:r w:rsidRPr="0056057F">
              <w:rPr>
                <w:rFonts w:cstheme="majorBidi"/>
                <w:lang w:val="es-ES"/>
              </w:rPr>
              <w:t>La reunión fue inaugurada oficialmente por el Presidente, Sr. Daniel Obam (Kenya). Con arreglo al orden del día de la reunión, en ausencia del Secretario General, el Director de la BR formuló las observaciones preliminares. El Sr. Obam expresó su agradecimiento a todos los Estados Miembros por su elección como Presidente del GAR. Invitó a los Vicepresidentes a presentarse con una breve introducción y los cometarios que consideraran oportunos.</w:t>
            </w:r>
          </w:p>
        </w:tc>
      </w:tr>
      <w:tr w:rsidR="00026D75" w:rsidRPr="0056057F" w:rsidTr="00F35897">
        <w:trPr>
          <w:jc w:val="center"/>
        </w:trPr>
        <w:tc>
          <w:tcPr>
            <w:tcW w:w="1037" w:type="dxa"/>
          </w:tcPr>
          <w:p w:rsidR="00026D75" w:rsidRPr="0056057F" w:rsidDel="002A034D" w:rsidRDefault="00026D75" w:rsidP="00F35897">
            <w:pPr>
              <w:pStyle w:val="Tabletext"/>
              <w:jc w:val="center"/>
              <w:rPr>
                <w:rFonts w:cstheme="majorBidi"/>
                <w:lang w:val="es-ES"/>
              </w:rPr>
            </w:pPr>
            <w:r w:rsidRPr="0056057F">
              <w:rPr>
                <w:rFonts w:cstheme="majorBidi"/>
                <w:lang w:val="es-ES"/>
              </w:rPr>
              <w:t>2</w:t>
            </w:r>
          </w:p>
        </w:tc>
        <w:tc>
          <w:tcPr>
            <w:tcW w:w="3256" w:type="dxa"/>
          </w:tcPr>
          <w:p w:rsidR="00026D75" w:rsidRPr="0056057F" w:rsidRDefault="00026D75" w:rsidP="00F35897">
            <w:pPr>
              <w:pStyle w:val="Tabletext"/>
              <w:rPr>
                <w:rFonts w:cstheme="majorBidi"/>
                <w:lang w:val="es-ES"/>
              </w:rPr>
            </w:pPr>
            <w:r w:rsidRPr="0056057F">
              <w:rPr>
                <w:rFonts w:cstheme="majorBidi"/>
                <w:lang w:val="es-ES"/>
              </w:rPr>
              <w:t xml:space="preserve">Aprobación del orden del día </w:t>
            </w:r>
          </w:p>
        </w:tc>
        <w:tc>
          <w:tcPr>
            <w:tcW w:w="9785" w:type="dxa"/>
          </w:tcPr>
          <w:p w:rsidR="00026D75" w:rsidRPr="0056057F" w:rsidRDefault="00026D75" w:rsidP="00F35897">
            <w:pPr>
              <w:pStyle w:val="Tabletext"/>
              <w:rPr>
                <w:rFonts w:cstheme="majorBidi"/>
                <w:lang w:val="es-ES"/>
              </w:rPr>
            </w:pPr>
            <w:r w:rsidRPr="0056057F">
              <w:rPr>
                <w:rFonts w:cstheme="majorBidi"/>
                <w:lang w:val="es-ES"/>
              </w:rPr>
              <w:t>Se aprobó el proyecto de orden del día contemplado en el Documento RAG16/ADM/1 sin cambios. También se aprobó el Plan de gestión de tiempo propuesto para la reunión.</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t>3</w:t>
            </w:r>
          </w:p>
        </w:tc>
        <w:tc>
          <w:tcPr>
            <w:tcW w:w="3256" w:type="dxa"/>
          </w:tcPr>
          <w:p w:rsidR="00026D75" w:rsidRPr="0056057F" w:rsidRDefault="00026D75" w:rsidP="00542D5D">
            <w:pPr>
              <w:pStyle w:val="Tabletext"/>
              <w:rPr>
                <w:rFonts w:cstheme="majorBidi"/>
                <w:i/>
                <w:iCs/>
                <w:lang w:val="es-ES"/>
              </w:rPr>
            </w:pPr>
            <w:r w:rsidRPr="0056057F">
              <w:rPr>
                <w:rFonts w:cstheme="majorBidi"/>
                <w:lang w:val="es-ES"/>
              </w:rPr>
              <w:t xml:space="preserve">Informe a la 23ª reunión del Grupo Asesor de Radiocomunicaciones </w:t>
            </w:r>
            <w:r w:rsidRPr="0056057F">
              <w:rPr>
                <w:rFonts w:cstheme="majorBidi"/>
                <w:i/>
                <w:iCs/>
                <w:lang w:val="es-ES"/>
              </w:rPr>
              <w:t>(Documentos RAG16/1(Rev.1), RAG16/1(Add.3))</w:t>
            </w:r>
          </w:p>
        </w:tc>
        <w:tc>
          <w:tcPr>
            <w:tcW w:w="9785" w:type="dxa"/>
          </w:tcPr>
          <w:p w:rsidR="00026D75" w:rsidRPr="0056057F" w:rsidRDefault="00026D75" w:rsidP="00F35897">
            <w:pPr>
              <w:pStyle w:val="Tabletext"/>
              <w:rPr>
                <w:rFonts w:cstheme="majorBidi"/>
                <w:lang w:val="es-ES"/>
              </w:rPr>
            </w:pPr>
            <w:r w:rsidRPr="0056057F">
              <w:rPr>
                <w:rFonts w:cstheme="majorBidi"/>
                <w:lang w:val="es-ES"/>
              </w:rPr>
              <w:t>El GAR tomó nota de la información proporcionada en el Informe del Director sobre varios temas del Consejo relacionados con el UIT-R, incluido el acceso en línea gratuito a las publicaciones de la BR, la recuperación de costos aplicada a las notificaciones de redes de satélites, las actividades de conformidad e interoperabilidad, los temas relacionados con el protocolo espacial y los arreglos asociados al M</w:t>
            </w:r>
            <w:r w:rsidRPr="0056057F">
              <w:rPr>
                <w:color w:val="000000"/>
                <w:lang w:val="es-ES"/>
              </w:rPr>
              <w:t>emorándum de Entendimiento sobre las Comunicaciones personales móviles mundiales por satélite (GMPCS)</w:t>
            </w:r>
            <w:r w:rsidRPr="0056057F">
              <w:rPr>
                <w:rFonts w:cstheme="majorBidi"/>
                <w:lang w:val="es-ES"/>
              </w:rPr>
              <w:t>. El GAR tomó nota del presupuesto aprobado por el Consejo para el bienio 2016-2017.</w:t>
            </w:r>
          </w:p>
          <w:p w:rsidR="00026D75" w:rsidRPr="0056057F" w:rsidRDefault="00026D75" w:rsidP="00F35897">
            <w:pPr>
              <w:pStyle w:val="Tabletext"/>
              <w:rPr>
                <w:rFonts w:cstheme="majorBidi"/>
                <w:lang w:val="es-ES"/>
              </w:rPr>
            </w:pPr>
            <w:r w:rsidRPr="0056057F">
              <w:rPr>
                <w:rFonts w:cstheme="majorBidi"/>
                <w:lang w:val="es-ES"/>
              </w:rPr>
              <w:t xml:space="preserve">El GAR tomó nota con satisfacción de que la política de acceso en línea gratuito no había tenido un efecto negativo en las ventas de publicaciones del UIT-R en sus versiones en papel y DVD/CD, al tiempo que se ha convertido en una plataforma para una gran difusión de las Recomendaciones e Informes del UIT-R a un público más amplio. El GAR observó que actualmente hay tres Manuales del UIT-R que pueden descargarse gratuitamente y que la adición de otros manuales al amparo de esta política debe ser aprobada por el Consejo. El GAR también tomó nota de que la herramienta de navegación en el Reglamento de Radiocomunicaciones está disponible para la venta tras un exitoso periodo de prueba, y solicitó información sobre los costos asociados al desarrollo y mantenimiento de la herramienta a fin de considerar la posibilidad de su oferta gratuita a los miembros. El GAR observó que, aunque la descarga de documentos no ha afectado a las ventas del Reglamento de Radiocomunicaciones, una herramienta de navegación podría ser un sustituto de las versiones en papel o DVD/CD, algo que, en este caso en particular, puede afectar a los ingresos por ventas. </w:t>
            </w:r>
          </w:p>
          <w:p w:rsidR="00026D75" w:rsidRPr="0056057F" w:rsidRDefault="00026D75" w:rsidP="00F35897">
            <w:pPr>
              <w:pStyle w:val="Tabletext"/>
              <w:keepNext/>
              <w:keepLines/>
              <w:rPr>
                <w:rFonts w:cstheme="majorBidi"/>
                <w:lang w:val="es-ES"/>
              </w:rPr>
            </w:pPr>
            <w:r w:rsidRPr="0056057F">
              <w:rPr>
                <w:rFonts w:cstheme="majorBidi"/>
                <w:lang w:val="es-ES"/>
              </w:rPr>
              <w:t>El GAR tomó nota de las principales actividades realizadas por la Oficina durante el último año en lo que respecta a la asistencia técnica a los miembros, incluidos seminarios y talleres sobre radiocomunicaciones, y reconoció las ventajas de ofrecer dichas oportunidades de creación de capacidad a las administraciones, principalmente a las de países en desarrollo, a fin de prestar asistencia a su personal en actividades de gestión del espectro radioeléctrico y de notificación de frecuencias.</w:t>
            </w:r>
          </w:p>
          <w:p w:rsidR="00026D75" w:rsidRPr="0056057F" w:rsidRDefault="00026D75" w:rsidP="00F35897">
            <w:pPr>
              <w:pStyle w:val="Tabletext"/>
              <w:keepNext/>
              <w:keepLines/>
              <w:rPr>
                <w:rFonts w:cstheme="majorBidi"/>
                <w:lang w:val="es-ES"/>
              </w:rPr>
            </w:pPr>
            <w:r w:rsidRPr="0056057F">
              <w:rPr>
                <w:rFonts w:cstheme="majorBidi"/>
                <w:lang w:val="es-ES"/>
              </w:rPr>
              <w:t>El GAR tomó nota de los resultados positivos de los esfuerzos que realizados por el UIT-R para atraer a más Miembros de Sector, incluidas las Instituciones Académicas, de acuerdo con la información estadística presentada sobre la evolución de los miembros del UIT-R.</w:t>
            </w:r>
          </w:p>
        </w:tc>
      </w:tr>
      <w:tr w:rsidR="00026D75" w:rsidRPr="0056057F" w:rsidTr="00FF22F9">
        <w:trPr>
          <w:cantSplit/>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lastRenderedPageBreak/>
              <w:t>4</w:t>
            </w:r>
          </w:p>
        </w:tc>
        <w:tc>
          <w:tcPr>
            <w:tcW w:w="3256" w:type="dxa"/>
          </w:tcPr>
          <w:p w:rsidR="00026D75" w:rsidRPr="0056057F" w:rsidRDefault="00026D75" w:rsidP="00FF22F9">
            <w:pPr>
              <w:pStyle w:val="Tabletext"/>
              <w:rPr>
                <w:rFonts w:cstheme="majorBidi"/>
                <w:lang w:val="es-ES"/>
              </w:rPr>
            </w:pPr>
            <w:r w:rsidRPr="0056057F">
              <w:rPr>
                <w:rFonts w:cstheme="majorBidi"/>
                <w:lang w:val="es-ES"/>
              </w:rPr>
              <w:t>Resultados de la AR-15 y de la</w:t>
            </w:r>
            <w:r w:rsidR="00FF22F9" w:rsidRPr="0056057F">
              <w:rPr>
                <w:rFonts w:cstheme="majorBidi"/>
                <w:lang w:val="es-ES"/>
              </w:rPr>
              <w:t> </w:t>
            </w:r>
            <w:r w:rsidRPr="0056057F">
              <w:rPr>
                <w:rFonts w:cstheme="majorBidi"/>
                <w:lang w:val="es-ES"/>
              </w:rPr>
              <w:t>CMR</w:t>
            </w:r>
            <w:r w:rsidR="00FF22F9" w:rsidRPr="0056057F">
              <w:rPr>
                <w:rFonts w:cstheme="majorBidi"/>
                <w:lang w:val="es-ES"/>
              </w:rPr>
              <w:noBreakHyphen/>
            </w:r>
            <w:r w:rsidRPr="0056057F">
              <w:rPr>
                <w:rFonts w:cstheme="majorBidi"/>
                <w:lang w:val="es-ES"/>
              </w:rPr>
              <w:t>15</w:t>
            </w:r>
          </w:p>
          <w:p w:rsidR="00026D75" w:rsidRPr="0056057F" w:rsidRDefault="00026D75" w:rsidP="00F35897">
            <w:pPr>
              <w:pStyle w:val="Tabletext"/>
              <w:rPr>
                <w:rFonts w:cstheme="majorBidi"/>
                <w:lang w:val="es-ES"/>
              </w:rPr>
            </w:pPr>
            <w:r w:rsidRPr="0056057F">
              <w:rPr>
                <w:rFonts w:cstheme="majorBidi"/>
                <w:i/>
                <w:lang w:val="es-ES"/>
              </w:rPr>
              <w:t>(</w:t>
            </w:r>
            <w:r w:rsidRPr="0056057F">
              <w:rPr>
                <w:rFonts w:cstheme="majorBidi"/>
                <w:i/>
                <w:iCs/>
                <w:lang w:val="es-ES"/>
              </w:rPr>
              <w:t>Documentos</w:t>
            </w:r>
            <w:r w:rsidRPr="0056057F">
              <w:rPr>
                <w:rFonts w:cstheme="majorBidi"/>
                <w:i/>
                <w:lang w:val="es-ES"/>
              </w:rPr>
              <w:t xml:space="preserve"> RAG16/1(Rev.1), 12)</w:t>
            </w:r>
          </w:p>
        </w:tc>
        <w:tc>
          <w:tcPr>
            <w:tcW w:w="9785" w:type="dxa"/>
          </w:tcPr>
          <w:p w:rsidR="00026D75" w:rsidRPr="0056057F" w:rsidRDefault="00026D75" w:rsidP="00F35897">
            <w:pPr>
              <w:pStyle w:val="Tabletext"/>
              <w:rPr>
                <w:rFonts w:cstheme="majorBidi"/>
                <w:lang w:val="es-ES"/>
              </w:rPr>
            </w:pPr>
            <w:r w:rsidRPr="0056057F">
              <w:rPr>
                <w:rFonts w:cstheme="majorBidi"/>
                <w:lang w:val="es-ES"/>
              </w:rPr>
              <w:t>El GAR tomó nota de los informes sobre los resultados de la Asamblea de Radiocomunicaciones 2015 y de la Conferencia Mundial de Radiocomunicaciones 2015 y agradeció al Director y a su personal la excelente organización y funcionamiento de ambos eventos. El GAR también tomó nota de las medidas tomadas por la Oficina para la aplicación de las decisiones de la CMR-15, incluidas las actividades relacionadas con el desarrollo de software, la compilación de todas las decisiones de las CMR-15 no incluidas en las Actas Finales, pero que quedaron recogidas en las actas de las sesiones plenarias de la CMR-15, el envío a la RRB de una lista de Reglas de Procedimiento que puede ser necesario revisar como consecuencia de las decisiones de la CMR-15, así como una lista de disposiciones y decisiones de la CMR-15 que pueden requerir la elaboración de nuevas Reglas de Procedimiento, entre otras.</w:t>
            </w:r>
          </w:p>
          <w:p w:rsidR="00026D75" w:rsidRPr="0056057F" w:rsidRDefault="00026D75" w:rsidP="00FA376A">
            <w:pPr>
              <w:pStyle w:val="Tabletext"/>
              <w:rPr>
                <w:rFonts w:cstheme="majorBidi"/>
                <w:lang w:val="es-ES"/>
              </w:rPr>
            </w:pPr>
            <w:r w:rsidRPr="0056057F">
              <w:rPr>
                <w:rFonts w:cstheme="majorBidi"/>
                <w:lang w:val="es-ES"/>
              </w:rPr>
              <w:t>El GAR consideró el Documento RAG/16/12 de Francia que propone la creación de un Grupo de Relator para el seguimiento de las actividades de desarrollo del software relacionado con las Resoluciones 907 (Rev.CMR-15) y 908 (Rev.CMR-15). El GAR acordó la creación del Grupo, con el mandato que se incluye en el Anexo 1, bajo la presidencia del Sr. Alexandre Vallet (Francia). Se invita a los Miembros a que propongan relatores para su participación en el trabajo de este Grupo antes del 15 de junio de 2016. Las nominaciones deben remitirse al Sr.</w:t>
            </w:r>
            <w:r w:rsidR="00FA376A" w:rsidRPr="0056057F">
              <w:rPr>
                <w:rFonts w:cstheme="majorBidi"/>
                <w:lang w:val="es-ES"/>
              </w:rPr>
              <w:t> </w:t>
            </w:r>
            <w:r w:rsidRPr="0056057F">
              <w:rPr>
                <w:rFonts w:cstheme="majorBidi"/>
                <w:lang w:val="es-ES"/>
              </w:rPr>
              <w:t>Alexandre Vallet (</w:t>
            </w:r>
            <w:hyperlink r:id="rId20" w:history="1">
              <w:r w:rsidRPr="0056057F">
                <w:rPr>
                  <w:rFonts w:cstheme="majorBidi"/>
                  <w:color w:val="0000FF"/>
                  <w:lang w:val="es-ES"/>
                </w:rPr>
                <w:t>alexandre.vallet@anfr.fr</w:t>
              </w:r>
            </w:hyperlink>
            <w:r w:rsidRPr="0056057F">
              <w:rPr>
                <w:rFonts w:cstheme="majorBidi"/>
                <w:lang w:val="es-ES"/>
              </w:rPr>
              <w:t xml:space="preserve">) con copia a </w:t>
            </w:r>
            <w:hyperlink r:id="rId21" w:history="1">
              <w:r w:rsidRPr="0056057F">
                <w:rPr>
                  <w:rFonts w:cstheme="majorBidi"/>
                  <w:color w:val="0000FF"/>
                  <w:u w:val="single"/>
                  <w:lang w:val="es-ES"/>
                </w:rPr>
                <w:t>brrag@itu.int</w:t>
              </w:r>
            </w:hyperlink>
            <w:r w:rsidRPr="0056057F">
              <w:rPr>
                <w:lang w:val="es-ES"/>
              </w:rPr>
              <w:t>.</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t>5</w:t>
            </w:r>
          </w:p>
        </w:tc>
        <w:tc>
          <w:tcPr>
            <w:tcW w:w="3256" w:type="dxa"/>
          </w:tcPr>
          <w:p w:rsidR="00026D75" w:rsidRPr="0056057F" w:rsidRDefault="00FF22F9" w:rsidP="00F35897">
            <w:pPr>
              <w:pStyle w:val="Tabletext"/>
              <w:rPr>
                <w:rFonts w:cstheme="majorBidi"/>
                <w:lang w:val="es-ES"/>
              </w:rPr>
            </w:pPr>
            <w:r w:rsidRPr="0056057F">
              <w:rPr>
                <w:rFonts w:cstheme="majorBidi"/>
                <w:lang w:val="es-ES"/>
              </w:rPr>
              <w:t>Preparación de la AR/CMR-19</w:t>
            </w:r>
          </w:p>
          <w:p w:rsidR="00026D75" w:rsidRPr="0056057F" w:rsidRDefault="00026D75" w:rsidP="00F35897">
            <w:pPr>
              <w:pStyle w:val="Tabletext"/>
              <w:rPr>
                <w:rFonts w:cstheme="majorBidi"/>
                <w:i/>
                <w:iCs/>
                <w:lang w:val="es-ES"/>
              </w:rPr>
            </w:pPr>
            <w:r w:rsidRPr="0056057F">
              <w:rPr>
                <w:rFonts w:cstheme="majorBidi"/>
                <w:i/>
                <w:lang w:val="es-ES"/>
              </w:rPr>
              <w:t>(</w:t>
            </w:r>
            <w:r w:rsidRPr="0056057F">
              <w:rPr>
                <w:rFonts w:cstheme="majorBidi"/>
                <w:i/>
                <w:iCs/>
                <w:lang w:val="es-ES"/>
              </w:rPr>
              <w:t>Documentos</w:t>
            </w:r>
            <w:r w:rsidRPr="0056057F">
              <w:rPr>
                <w:rFonts w:cstheme="majorBidi"/>
                <w:i/>
                <w:lang w:val="es-ES"/>
              </w:rPr>
              <w:t xml:space="preserve"> RAG16/1(Rev.1), 6, 13, 14, 15)</w:t>
            </w:r>
          </w:p>
        </w:tc>
        <w:tc>
          <w:tcPr>
            <w:tcW w:w="9785" w:type="dxa"/>
          </w:tcPr>
          <w:p w:rsidR="00026D75" w:rsidRPr="0056057F" w:rsidRDefault="00026D75" w:rsidP="00FA376A">
            <w:pPr>
              <w:pStyle w:val="Tabletext"/>
              <w:rPr>
                <w:rFonts w:cstheme="majorBidi"/>
                <w:lang w:val="es-ES"/>
              </w:rPr>
            </w:pPr>
            <w:r w:rsidRPr="0056057F">
              <w:rPr>
                <w:rFonts w:cstheme="majorBidi"/>
                <w:lang w:val="es-ES"/>
              </w:rPr>
              <w:t>El GAR tomó nota del informe sobre la preparación de la AR/CMR-19 que se inició el año pasado con la celebración de la RPC19-1 (del 30 de noviembre al 1 de diciembre de 2015) para organizar los trabajos preparatorios para la CMR</w:t>
            </w:r>
            <w:r w:rsidR="00FA376A" w:rsidRPr="0056057F">
              <w:rPr>
                <w:rFonts w:cstheme="majorBidi"/>
                <w:lang w:val="es-ES"/>
              </w:rPr>
              <w:noBreakHyphen/>
            </w:r>
            <w:r w:rsidRPr="0056057F">
              <w:rPr>
                <w:rFonts w:cstheme="majorBidi"/>
                <w:lang w:val="es-ES"/>
              </w:rPr>
              <w:t>19. Los resultados de la reunión figuran en la Carta Circular CA/226, donde se identifican los Grupos de Trabajo del UIT-R responsables de cada uno de los puntos del orden del día de la CMR-19 y los puntos del orden del día preliminar de la CMR-23.</w:t>
            </w:r>
          </w:p>
          <w:p w:rsidR="00026D75" w:rsidRPr="0056057F" w:rsidRDefault="00026D75" w:rsidP="00F35897">
            <w:pPr>
              <w:pStyle w:val="Tabletext"/>
              <w:rPr>
                <w:rFonts w:cstheme="majorBidi"/>
                <w:lang w:val="es-ES"/>
              </w:rPr>
            </w:pPr>
            <w:r w:rsidRPr="0056057F">
              <w:rPr>
                <w:rFonts w:cstheme="majorBidi"/>
                <w:lang w:val="es-ES"/>
              </w:rPr>
              <w:t xml:space="preserve">El GAR también tomó nota de que la reunión del Consejo 2016 considerará el orden del día de la CMR-19, tal como figura en la Resolución 809 (CMR-15), y al que se invitará a adoptar una Resolución con el orden del día, el lugar propuesto para la reunión y las fechas de la CMR-19 y la AR-19. </w:t>
            </w:r>
          </w:p>
          <w:p w:rsidR="00026D75" w:rsidRPr="0056057F" w:rsidRDefault="00026D75" w:rsidP="00F35897">
            <w:pPr>
              <w:pStyle w:val="Tabletext"/>
              <w:rPr>
                <w:rFonts w:cstheme="majorBidi"/>
                <w:lang w:val="es-ES"/>
              </w:rPr>
            </w:pPr>
            <w:r w:rsidRPr="0056057F">
              <w:rPr>
                <w:rFonts w:cstheme="majorBidi"/>
                <w:lang w:val="es-ES"/>
              </w:rPr>
              <w:t>El GAR consideró el Documento RAG16/6 de China que propone que la fecha límite para la presentación de propuestas sobre el punto 10 del orden del día de la CMR-19 sea un mes antes de la Conferencia a fin de que los miembros dispongan un periodo de tiempo suficientemente amplio para elaborar sus consideraciones. El GAR tomó nota del documento y alentó a las administraciones a remitir contribuciones sobre el punto 10 del orden del día con la mayor antelación posible, preferiblemente un mes antes de la CMR-19.</w:t>
            </w:r>
          </w:p>
          <w:p w:rsidR="00026D75" w:rsidRPr="0056057F" w:rsidRDefault="00026D75" w:rsidP="00F35897">
            <w:pPr>
              <w:pStyle w:val="Tabletext"/>
              <w:rPr>
                <w:rFonts w:cstheme="majorBidi"/>
                <w:lang w:val="es-ES"/>
              </w:rPr>
            </w:pPr>
            <w:r w:rsidRPr="0056057F">
              <w:rPr>
                <w:rFonts w:cstheme="majorBidi"/>
                <w:lang w:val="es-ES"/>
              </w:rPr>
              <w:t>El GAR consideró el Documento RAG16/13 de Francia sobre una propuesta de examen de la Resolución 2 del UIT-R, que apoya el actual proceso de la RPC y que propone una posible reducción de la duración de la RPC-2 a 8 días laborales, de martes a jueves. El GAR tomó nota del documento y solicitó a los miembros que consideraran el proyecto de propuesta incluida en el documento de referencia para su discusión en la próxima reunión en 2017.</w:t>
            </w:r>
          </w:p>
          <w:p w:rsidR="00026D75" w:rsidRPr="0056057F" w:rsidRDefault="00026D75" w:rsidP="00F35897">
            <w:pPr>
              <w:pStyle w:val="Tabletext"/>
              <w:rPr>
                <w:rFonts w:cstheme="majorBidi"/>
                <w:lang w:val="es-ES"/>
              </w:rPr>
            </w:pPr>
            <w:r w:rsidRPr="0056057F">
              <w:rPr>
                <w:rFonts w:cstheme="majorBidi"/>
                <w:lang w:val="es-ES"/>
              </w:rPr>
              <w:t xml:space="preserve">El GAR también consideró el Documento RAG16/14 de los Estados Unidos relativo a los métodos de trabajo para la preparación de la CMR-19. El GAR tomó nota del documento y recordó que los métodos de trabajo están incluidos en la Resolución 1 del UIT-R. A la vista de que puede haber áreas no suficientemente claras, el GAR alentó a Estados Unidos a proponer modificaciones a los métodos de trabajo directamente a la Asamblea de Radiocomunicaciones. </w:t>
            </w:r>
          </w:p>
          <w:p w:rsidR="00026D75" w:rsidRPr="0056057F" w:rsidRDefault="00026D75" w:rsidP="00FA376A">
            <w:pPr>
              <w:pStyle w:val="Tabletext"/>
              <w:rPr>
                <w:rFonts w:cstheme="majorBidi"/>
                <w:lang w:val="es-ES"/>
              </w:rPr>
            </w:pPr>
            <w:r w:rsidRPr="0056057F">
              <w:rPr>
                <w:rFonts w:cstheme="majorBidi"/>
                <w:lang w:val="es-ES"/>
              </w:rPr>
              <w:lastRenderedPageBreak/>
              <w:t xml:space="preserve">El GAR consideró el Documento RAG16/15 de los Estados Unidos sobre </w:t>
            </w:r>
            <w:bookmarkStart w:id="7" w:name="lt_pId015"/>
            <w:r w:rsidRPr="0056057F">
              <w:rPr>
                <w:rFonts w:cstheme="majorBidi"/>
                <w:lang w:val="es-ES"/>
              </w:rPr>
              <w:t>el calendario del informe del Director de la Oficina de Radiocomunicaciones a la CMR</w:t>
            </w:r>
            <w:bookmarkEnd w:id="7"/>
            <w:r w:rsidRPr="0056057F">
              <w:rPr>
                <w:rFonts w:cstheme="majorBidi"/>
                <w:lang w:val="es-ES"/>
              </w:rPr>
              <w:t>. El GAR se hizo eco de la necesidad de disponer del informe con la mayor antelación posible, preferiblemente antes de la RPC-2, aunque reconoció que en esa fecha no podría estar disponible la versión final por haber asuntos sobre los que aún se deberá seguir trabajando, incluidos los asuntos que recoge el punto</w:t>
            </w:r>
            <w:r w:rsidR="00FA376A" w:rsidRPr="0056057F">
              <w:rPr>
                <w:rFonts w:cstheme="majorBidi"/>
                <w:lang w:val="es-ES"/>
              </w:rPr>
              <w:t> </w:t>
            </w:r>
            <w:r w:rsidRPr="0056057F">
              <w:rPr>
                <w:rFonts w:cstheme="majorBidi"/>
                <w:lang w:val="es-ES"/>
              </w:rPr>
              <w:t>9.1 del orden del día y los resultados de las reuniones regionales. Hubo un fuerte apoyo a la propuesta de una administración para que el informe se elabore de acuerdo con la estructura de la CMR en vez de hacerlo según la estructura de la RPC a fin de ajustar de forma más adecuada las partes del informe a las Comisiones de la CMR, una vez identificadas éstas. En conclusión, el GAR recomendó al Director que sea consciente de la utilidad de disponer de un proyecto de informe temprano con anterioridad a la RPC-2, así como de considerar asumir la propuesta de organizarlo de conformidad con la estructura prevista de la CMR.</w:t>
            </w:r>
          </w:p>
        </w:tc>
      </w:tr>
      <w:tr w:rsidR="00026D75" w:rsidRPr="0056057F" w:rsidTr="00F35897">
        <w:trPr>
          <w:jc w:val="center"/>
        </w:trPr>
        <w:tc>
          <w:tcPr>
            <w:tcW w:w="1037" w:type="dxa"/>
          </w:tcPr>
          <w:p w:rsidR="00026D75" w:rsidRPr="0056057F" w:rsidRDefault="00026D75" w:rsidP="00F3589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rPr>
            </w:pPr>
            <w:r w:rsidRPr="0056057F">
              <w:rPr>
                <w:rFonts w:cstheme="majorBidi"/>
                <w:sz w:val="22"/>
                <w:lang w:val="es-ES"/>
              </w:rPr>
              <w:lastRenderedPageBreak/>
              <w:t>6</w:t>
            </w:r>
          </w:p>
        </w:tc>
        <w:tc>
          <w:tcPr>
            <w:tcW w:w="3256" w:type="dxa"/>
          </w:tcPr>
          <w:p w:rsidR="00026D75" w:rsidRPr="0056057F" w:rsidRDefault="00026D75" w:rsidP="00F35897">
            <w:pPr>
              <w:pStyle w:val="Tabletext"/>
              <w:rPr>
                <w:rFonts w:cstheme="majorBidi"/>
                <w:lang w:val="es-ES"/>
              </w:rPr>
            </w:pPr>
            <w:r w:rsidRPr="0056057F">
              <w:rPr>
                <w:rFonts w:cstheme="majorBidi"/>
                <w:lang w:val="es-ES"/>
              </w:rPr>
              <w:t xml:space="preserve">Actividades de las Comisiones de Estudio </w:t>
            </w:r>
          </w:p>
          <w:p w:rsidR="00026D75" w:rsidRPr="0056057F" w:rsidRDefault="00026D75" w:rsidP="00F35897">
            <w:pPr>
              <w:pStyle w:val="Tabletext"/>
              <w:rPr>
                <w:rFonts w:cstheme="majorBidi"/>
                <w:i/>
                <w:iCs/>
                <w:lang w:val="es-ES"/>
              </w:rPr>
            </w:pPr>
            <w:r w:rsidRPr="0056057F">
              <w:rPr>
                <w:rFonts w:cstheme="majorBidi"/>
                <w:i/>
                <w:lang w:val="es-ES"/>
              </w:rPr>
              <w:t>(</w:t>
            </w:r>
            <w:r w:rsidRPr="0056057F">
              <w:rPr>
                <w:rFonts w:cstheme="majorBidi"/>
                <w:i/>
                <w:iCs/>
                <w:lang w:val="es-ES"/>
              </w:rPr>
              <w:t>Documentos</w:t>
            </w:r>
            <w:r w:rsidRPr="0056057F">
              <w:rPr>
                <w:rFonts w:cstheme="majorBidi"/>
                <w:i/>
                <w:lang w:val="es-ES"/>
              </w:rPr>
              <w:t xml:space="preserve"> RAG16/1(Add.1), 11(Rev.1), 8)</w:t>
            </w:r>
          </w:p>
        </w:tc>
        <w:tc>
          <w:tcPr>
            <w:tcW w:w="9785" w:type="dxa"/>
          </w:tcPr>
          <w:p w:rsidR="00026D75" w:rsidRPr="0056057F" w:rsidRDefault="00026D75" w:rsidP="00F35897">
            <w:pPr>
              <w:pStyle w:val="Tabletext"/>
              <w:rPr>
                <w:rFonts w:cstheme="majorBidi"/>
                <w:lang w:val="es-ES"/>
              </w:rPr>
            </w:pPr>
            <w:r w:rsidRPr="0056057F">
              <w:rPr>
                <w:rFonts w:cstheme="majorBidi"/>
                <w:lang w:val="es-ES"/>
              </w:rPr>
              <w:t>El GAR tomó nota del informe sobre las actividades de las Comisiones de Estudio y recomendó que se armonice la forma en la que se disponen los documentos de trabajo en los sitios web SharePoint de los diversos subgrupos de las Comisiones de Estudio. También hizo hincapié en la importancia de evitar que la reunión del GAR se solape con reuniones de las Comisiones de Estudio del UIT-R o con reuniones de alguno de los grupos regionales. Dado que uno de los problemas de la preparación del calendario de reuniones de las Comisiones de Estudio es la disponibilidad de salas de reuniones en los edificios de la UIT, el GAR instó a que sus miembros tengan en cuenta esta circunstancia en la preparación de los debates en el Consejo sobre las instalaciones del nuevo edificio de Varembé. El GAR también señaló la necesidad de que el nuevo edificio disponga de medios para el acceso de personas con discapacidad.</w:t>
            </w:r>
          </w:p>
          <w:p w:rsidR="00026D75" w:rsidRPr="0056057F" w:rsidRDefault="00026D75" w:rsidP="00FA376A">
            <w:pPr>
              <w:pStyle w:val="Tabletext"/>
              <w:rPr>
                <w:rFonts w:cstheme="majorBidi"/>
                <w:lang w:val="es-ES"/>
              </w:rPr>
            </w:pPr>
            <w:r w:rsidRPr="0056057F">
              <w:rPr>
                <w:rFonts w:cstheme="majorBidi"/>
                <w:lang w:val="es-ES"/>
              </w:rPr>
              <w:t>El GAR también tomó nota de las directrices revisadas de los métodos de trabajo de la AR, las Comisiones de Estudio del UIT-R y los grupos conexos preparadas por la Secretaría como consecuencia de las decisiones tomadas por la AR</w:t>
            </w:r>
            <w:r w:rsidR="00FA376A" w:rsidRPr="0056057F">
              <w:rPr>
                <w:rFonts w:cstheme="majorBidi"/>
                <w:lang w:val="es-ES"/>
              </w:rPr>
              <w:noBreakHyphen/>
            </w:r>
            <w:r w:rsidRPr="0056057F">
              <w:rPr>
                <w:rFonts w:cstheme="majorBidi"/>
                <w:lang w:val="es-ES"/>
              </w:rPr>
              <w:t>15 e hizo algunas modificaciones al documento propuesto cuya versión final figura en el Anexo 2.</w:t>
            </w:r>
          </w:p>
          <w:p w:rsidR="00026D75" w:rsidRPr="0056057F" w:rsidRDefault="00026D75" w:rsidP="00F35897">
            <w:pPr>
              <w:pStyle w:val="Tabletext"/>
              <w:rPr>
                <w:rFonts w:cstheme="majorBidi"/>
                <w:lang w:val="es-ES"/>
              </w:rPr>
            </w:pPr>
            <w:r w:rsidRPr="0056057F">
              <w:rPr>
                <w:rFonts w:cstheme="majorBidi"/>
                <w:lang w:val="es-ES"/>
              </w:rPr>
              <w:t>El GAR consideró el Documento RAG16/8 de Azerbaiyán que trata de la necesidad de utilizar la banda 694-790 MHz en la región donde se encuentra dicho país, con garantías de que no se produzca interferencia perjudicial. El Director indicó que los países que forman parte del Acuerdo GE06 deben lograr el acuerdo sobre el uso del espectro de sus vecinos afectados. Ello requiere actividades de coordinación del espectro multilaterales, que ya se han llevado a cabo, con el apoyo de la Oficina, en África, la Región Árabe y más recientemente se ha iniciado en Europa. El GAR señaló que debe realizarse un ejercicio de coordinación multilateral e invitó a Azerbaiyán a coordinar dicho esfuerzo con sus vecinos en la región de la CEI y países adyacentes, para lo cual puede solicitar, si así lo desea, la ayuda de la Oficina, teniendo en cuenta los puntos de vista de las administraciones afectadas por dicha coordinación.</w:t>
            </w:r>
          </w:p>
        </w:tc>
      </w:tr>
      <w:tr w:rsidR="00026D75" w:rsidRPr="0056057F" w:rsidTr="00542D5D">
        <w:trPr>
          <w:cantSplit/>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lastRenderedPageBreak/>
              <w:t>7</w:t>
            </w:r>
          </w:p>
        </w:tc>
        <w:tc>
          <w:tcPr>
            <w:tcW w:w="3256" w:type="dxa"/>
          </w:tcPr>
          <w:p w:rsidR="00026D75" w:rsidRPr="0056057F" w:rsidRDefault="00026D75" w:rsidP="00F35897">
            <w:pPr>
              <w:pStyle w:val="Tabletext"/>
              <w:rPr>
                <w:rFonts w:cstheme="majorBidi"/>
                <w:lang w:val="es-ES"/>
              </w:rPr>
            </w:pPr>
            <w:r w:rsidRPr="0056057F">
              <w:rPr>
                <w:rFonts w:cstheme="majorBidi"/>
                <w:lang w:val="es-ES"/>
              </w:rPr>
              <w:t>Coordinación intersectorial</w:t>
            </w:r>
            <w:r w:rsidRPr="0056057F">
              <w:rPr>
                <w:rFonts w:cstheme="majorBidi"/>
                <w:i/>
                <w:lang w:val="es-ES"/>
              </w:rPr>
              <w:t xml:space="preserve"> </w:t>
            </w:r>
            <w:r w:rsidRPr="0056057F">
              <w:rPr>
                <w:rFonts w:cstheme="majorBidi"/>
                <w:lang w:val="es-ES"/>
              </w:rPr>
              <w:br/>
            </w:r>
            <w:r w:rsidRPr="0056057F">
              <w:rPr>
                <w:rFonts w:cstheme="majorBidi"/>
                <w:i/>
                <w:lang w:val="es-ES"/>
              </w:rPr>
              <w:t>(</w:t>
            </w:r>
            <w:r w:rsidRPr="0056057F">
              <w:rPr>
                <w:rFonts w:cstheme="majorBidi"/>
                <w:i/>
                <w:iCs/>
                <w:lang w:val="es-ES"/>
              </w:rPr>
              <w:t>Documentos</w:t>
            </w:r>
            <w:r w:rsidRPr="0056057F">
              <w:rPr>
                <w:rFonts w:cstheme="majorBidi"/>
                <w:i/>
                <w:lang w:val="es-ES"/>
              </w:rPr>
              <w:t xml:space="preserve"> RAG16/2, 3, 4, 16)</w:t>
            </w:r>
          </w:p>
        </w:tc>
        <w:tc>
          <w:tcPr>
            <w:tcW w:w="9785" w:type="dxa"/>
          </w:tcPr>
          <w:p w:rsidR="00026D75" w:rsidRPr="0056057F" w:rsidRDefault="00026D75" w:rsidP="00F35897">
            <w:pPr>
              <w:pStyle w:val="Tabletext"/>
              <w:rPr>
                <w:rFonts w:cstheme="majorBidi"/>
                <w:lang w:val="es-ES"/>
              </w:rPr>
            </w:pPr>
            <w:r w:rsidRPr="0056057F">
              <w:rPr>
                <w:rFonts w:cstheme="majorBidi"/>
                <w:lang w:val="es-ES"/>
              </w:rPr>
              <w:t>El GAR tomó nota de la Declaración de coordinación de la Comisión de Estudio 20 del UIT-T que informa de la creación de dicha nueva Comisión de Estudio que trabajará sobre la Internet de las Cosas y sus aplicaciones, incluidas las ciudades y comunidades inteligentes, y alentó la participación de los miembros en los trabajos de esa Comisión y en las Comisiones de Estudio del UIT-R y que a tal fin nominen un Relator de coordinación o responsables de coordinación que asistan y contribuyan a las actividades de la Comisión de Estudio 20 del UIT-T.</w:t>
            </w:r>
          </w:p>
          <w:p w:rsidR="00026D75" w:rsidRPr="0056057F" w:rsidRDefault="00026D75" w:rsidP="00FA376A">
            <w:pPr>
              <w:pStyle w:val="Tabletext"/>
              <w:keepNext/>
              <w:keepLines/>
              <w:rPr>
                <w:rFonts w:cstheme="majorBidi"/>
                <w:lang w:val="es-ES"/>
              </w:rPr>
            </w:pPr>
            <w:r w:rsidRPr="0056057F">
              <w:rPr>
                <w:rFonts w:cstheme="majorBidi"/>
                <w:lang w:val="es-ES"/>
              </w:rPr>
              <w:t>El GAR tomó nota además de las Declaraciones de coordinación del GANT y del GADT sobre la coordinación intersectorial, así como los informes del Sr. Fabio Bigi (Italia), Presidente del Equipo de coordinación intersectorial sobre asuntos de interés mutuo y del Prof. Vladimir Minkin (Federación de Rusia), Presidente del GADT. El GAR expresó su agradecimiento por los informes detallados y confirmó su compromiso de continuar participando en la labor del Equipo de coordinación intersectorial sobre asuntos de interés mutuo. El GAR manifestó su apoyo a que el Sr.</w:t>
            </w:r>
            <w:r w:rsidR="00FA376A" w:rsidRPr="0056057F">
              <w:rPr>
                <w:rFonts w:cstheme="majorBidi"/>
                <w:lang w:val="es-ES"/>
              </w:rPr>
              <w:t> </w:t>
            </w:r>
            <w:r w:rsidRPr="0056057F">
              <w:rPr>
                <w:rFonts w:cstheme="majorBidi"/>
                <w:lang w:val="es-ES"/>
              </w:rPr>
              <w:t>Peter Major (Hungría) y el Sr. Albert Nalbandian (Armenia) sean los representantes del GAR en el Equipo de coordinación intersectorial.</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br w:type="page"/>
              <w:t>8</w:t>
            </w:r>
          </w:p>
        </w:tc>
        <w:tc>
          <w:tcPr>
            <w:tcW w:w="3256" w:type="dxa"/>
          </w:tcPr>
          <w:p w:rsidR="00026D75" w:rsidRPr="0056057F" w:rsidRDefault="00026D75" w:rsidP="00F35897">
            <w:pPr>
              <w:pStyle w:val="Tabletext"/>
              <w:rPr>
                <w:rFonts w:cstheme="majorBidi"/>
                <w:lang w:val="es-ES"/>
              </w:rPr>
            </w:pPr>
            <w:r w:rsidRPr="0056057F">
              <w:rPr>
                <w:rFonts w:cstheme="majorBidi"/>
                <w:lang w:val="es-ES"/>
              </w:rPr>
              <w:t xml:space="preserve">110º Aniversario del Reglamento de Radiocomunicaciones </w:t>
            </w:r>
          </w:p>
          <w:p w:rsidR="00026D75" w:rsidRPr="0056057F" w:rsidRDefault="00026D75" w:rsidP="00F35897">
            <w:pPr>
              <w:pStyle w:val="Tabletext"/>
              <w:rPr>
                <w:rFonts w:cstheme="majorBidi"/>
                <w:lang w:val="es-ES"/>
              </w:rPr>
            </w:pPr>
            <w:r w:rsidRPr="0056057F">
              <w:rPr>
                <w:rFonts w:cstheme="majorBidi"/>
                <w:i/>
                <w:lang w:val="es-ES"/>
              </w:rPr>
              <w:t>(</w:t>
            </w:r>
            <w:r w:rsidRPr="0056057F">
              <w:rPr>
                <w:rFonts w:cstheme="majorBidi"/>
                <w:i/>
                <w:iCs/>
                <w:lang w:val="es-ES"/>
              </w:rPr>
              <w:t>Documentos</w:t>
            </w:r>
            <w:r w:rsidRPr="0056057F">
              <w:rPr>
                <w:rFonts w:cstheme="majorBidi"/>
                <w:i/>
                <w:lang w:val="es-ES"/>
              </w:rPr>
              <w:t xml:space="preserve"> RAG16/9,10)</w:t>
            </w:r>
          </w:p>
        </w:tc>
        <w:tc>
          <w:tcPr>
            <w:tcW w:w="9785" w:type="dxa"/>
          </w:tcPr>
          <w:p w:rsidR="00026D75" w:rsidRPr="0056057F" w:rsidRDefault="00026D75" w:rsidP="00FA376A">
            <w:pPr>
              <w:pStyle w:val="Tabletext"/>
              <w:rPr>
                <w:rFonts w:cstheme="majorBidi"/>
                <w:lang w:val="es-ES"/>
              </w:rPr>
            </w:pPr>
            <w:r w:rsidRPr="0056057F">
              <w:rPr>
                <w:rFonts w:cstheme="majorBidi"/>
                <w:lang w:val="es-ES"/>
              </w:rPr>
              <w:t>El GAR recibió con beneplácito el plan propuesto por la Oficina para la celebración de 110º Aniversario del Reglamento de Radiocomunicaciones y sugirió que se invite a personalidades internacionales a la ceremonia que se celebrará coincidiendo con la apertura del Seminario Mundial de Radiocomunicaciones a celebrar en diciembre de</w:t>
            </w:r>
            <w:r w:rsidR="00FA376A" w:rsidRPr="0056057F">
              <w:rPr>
                <w:rFonts w:cstheme="majorBidi"/>
                <w:lang w:val="es-ES"/>
              </w:rPr>
              <w:t> </w:t>
            </w:r>
            <w:r w:rsidRPr="0056057F">
              <w:rPr>
                <w:rFonts w:cstheme="majorBidi"/>
                <w:lang w:val="es-ES"/>
              </w:rPr>
              <w:t>2016 en Ginebra. Además propuso que se rindiera homenaje a los anteriores miembros de la IFRB y la RBB por su valiosa contribución a la Unión. Se pidió al Director que considere cuál puede ser la mejor forma de organizar este tributo especial en el marco de la celebración prevista.</w:t>
            </w:r>
          </w:p>
          <w:p w:rsidR="00026D75" w:rsidRPr="0056057F" w:rsidRDefault="00026D75" w:rsidP="00F35897">
            <w:pPr>
              <w:pStyle w:val="Tabletext"/>
              <w:rPr>
                <w:rFonts w:cstheme="majorBidi"/>
                <w:lang w:val="es-ES"/>
              </w:rPr>
            </w:pPr>
            <w:r w:rsidRPr="0056057F">
              <w:rPr>
                <w:rFonts w:cstheme="majorBidi"/>
                <w:lang w:val="es-ES"/>
              </w:rPr>
              <w:t>El GAR consideró el Documento RAG16/10 de la Federación de Rusia que propone la creación de secciones históricas en las páginas web del UIT-R y de sus Comisiones de Estudio para publicitar el éxito de la UIT a lo largo del tiempo. El GAR tomó nota de que dicho material sería elaborado por voluntarios de entre los participantes actuales y pasados en las actividades del UIT-R, con el apoyo del Servicio de Biblioteca y Archivos de la UIT. El GAR tomó además nota de que si bien estas actividades no deben afectar al presupuesto de la Oficina, serán supervisadas por la BR para asegurar la fiabilidad de la información que se coloque en la web. El GAR señaló que las actividades relacionadas con este proyecto no deben tener prioridad sobre las actividades regulares de la Oficina. En conclusión, el GAR apoya ir adelante con la propuesta (teniendo en cuenta las limitaciones presupuestarias y las prioridades) y alentó al Director a que invite a las administraciones a que contribuyan a esta iniciativa con material pertinente.</w:t>
            </w:r>
          </w:p>
        </w:tc>
      </w:tr>
      <w:tr w:rsidR="00026D75" w:rsidRPr="0056057F" w:rsidTr="004D6EC4">
        <w:trPr>
          <w:cantSplit/>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lastRenderedPageBreak/>
              <w:t>9</w:t>
            </w:r>
          </w:p>
        </w:tc>
        <w:tc>
          <w:tcPr>
            <w:tcW w:w="3256" w:type="dxa"/>
          </w:tcPr>
          <w:p w:rsidR="00026D75" w:rsidRPr="0056057F" w:rsidRDefault="00026D75" w:rsidP="00F35897">
            <w:pPr>
              <w:pStyle w:val="Tabletext"/>
              <w:rPr>
                <w:rFonts w:cstheme="majorBidi"/>
                <w:lang w:val="es-ES"/>
              </w:rPr>
            </w:pPr>
            <w:r w:rsidRPr="0056057F">
              <w:rPr>
                <w:rFonts w:cstheme="majorBidi"/>
                <w:lang w:val="es-ES"/>
              </w:rPr>
              <w:t xml:space="preserve">Consejo-16: Política de acceso a los documentos </w:t>
            </w:r>
          </w:p>
          <w:p w:rsidR="00026D75" w:rsidRPr="0056057F" w:rsidRDefault="00026D75" w:rsidP="00F35897">
            <w:pPr>
              <w:pStyle w:val="Tabletext"/>
              <w:rPr>
                <w:rFonts w:cstheme="majorBidi"/>
                <w:b/>
                <w:lang w:val="es-ES"/>
              </w:rPr>
            </w:pPr>
            <w:r w:rsidRPr="0056057F">
              <w:rPr>
                <w:rFonts w:cstheme="majorBidi"/>
                <w:i/>
                <w:lang w:val="es-ES"/>
              </w:rPr>
              <w:t>(Documento RAG16/INFO/2)</w:t>
            </w:r>
          </w:p>
        </w:tc>
        <w:tc>
          <w:tcPr>
            <w:tcW w:w="9785" w:type="dxa"/>
          </w:tcPr>
          <w:p w:rsidR="00026D75" w:rsidRPr="0056057F" w:rsidRDefault="00026D75" w:rsidP="00F35897">
            <w:pPr>
              <w:pStyle w:val="Tabletext"/>
              <w:rPr>
                <w:rFonts w:cstheme="majorBidi"/>
                <w:lang w:val="es-ES"/>
              </w:rPr>
            </w:pPr>
            <w:r w:rsidRPr="0056057F">
              <w:rPr>
                <w:rFonts w:cstheme="majorBidi"/>
                <w:lang w:val="es-ES"/>
              </w:rPr>
              <w:t>El GAR tomó nota del informe del Presidente del Grupo especializado sobre la política de la UIT relativa al acceso a la información y los documentos remitido al Grupo de Trabajo del Consejo sobre recursos humanos y financieros, en particular de su sección 3.5, en la que se consulta a los Grupos Asesores de los Sectores sobre la política de apertura al público del acceso a contribuciones y otros documentos dirigidos a las Comisiones de Estudio. El GAR recibió con beneplácito la posición aperturista que la UIT adopta con esta nueva política, que se considera un paso en la dirección correcta. No obstante, en relación con el acceso a las contribuciones y otros documentos dirigidos a las Comisión de Estudio, se expresaron varias opiniones:</w:t>
            </w:r>
          </w:p>
          <w:p w:rsidR="00026D75" w:rsidRPr="0056057F" w:rsidRDefault="00026D75" w:rsidP="00F35897">
            <w:pPr>
              <w:pStyle w:val="Tabletext"/>
              <w:rPr>
                <w:rFonts w:cstheme="majorBidi"/>
                <w:lang w:val="es-ES"/>
              </w:rPr>
            </w:pPr>
            <w:r w:rsidRPr="0056057F">
              <w:rPr>
                <w:rFonts w:cstheme="majorBidi"/>
                <w:lang w:val="es-ES"/>
              </w:rPr>
              <w:t xml:space="preserve">Una de ellas señaló que los documentos de entrada a las Comisiones de Estudio (incluidos grupos de trabajo y grupos de tareas especiales) deberían ser accesibles públicamente. </w:t>
            </w:r>
          </w:p>
          <w:p w:rsidR="00026D75" w:rsidRPr="0056057F" w:rsidRDefault="00026D75" w:rsidP="00F35897">
            <w:pPr>
              <w:pStyle w:val="Tabletext"/>
              <w:rPr>
                <w:rFonts w:cstheme="majorBidi"/>
                <w:lang w:val="es-ES"/>
              </w:rPr>
            </w:pPr>
            <w:r w:rsidRPr="0056057F">
              <w:rPr>
                <w:rFonts w:cstheme="majorBidi"/>
                <w:lang w:val="es-ES"/>
              </w:rPr>
              <w:t>Otra opinión señalaba que sólo deberían ser accesibles públicamente los documentos de entrada y los documentos finales de las Comisiones de Estudio, ya que los documentos remitidos a los grupos de trabajo y a otros subgrupos están insuficientemente elaborados o aún no están suficientemente maduros y podrían generar confusión al público, en particular a la industria.</w:t>
            </w:r>
          </w:p>
          <w:p w:rsidR="00026D75" w:rsidRPr="0056057F" w:rsidRDefault="00026D75" w:rsidP="00F35897">
            <w:pPr>
              <w:pStyle w:val="Tabletext"/>
              <w:rPr>
                <w:rFonts w:cstheme="majorBidi"/>
                <w:lang w:val="es-ES"/>
              </w:rPr>
            </w:pPr>
            <w:r w:rsidRPr="0056057F">
              <w:rPr>
                <w:rFonts w:cstheme="majorBidi"/>
                <w:lang w:val="es-ES"/>
              </w:rPr>
              <w:t>En ambos casos debería seguirse el mismo criterio de actuación que el aplicado a la CMR-15 (véase CA/219 (Add.2).</w:t>
            </w:r>
            <w:r w:rsidRPr="0056057F">
              <w:rPr>
                <w:rFonts w:cstheme="majorBidi"/>
                <w:position w:val="6"/>
                <w:sz w:val="14"/>
                <w:szCs w:val="14"/>
                <w:lang w:val="es-ES"/>
              </w:rPr>
              <w:footnoteReference w:id="1"/>
            </w:r>
            <w:r w:rsidRPr="0056057F">
              <w:rPr>
                <w:rFonts w:cstheme="majorBidi"/>
                <w:sz w:val="14"/>
                <w:szCs w:val="14"/>
                <w:lang w:val="es-ES"/>
              </w:rPr>
              <w:t xml:space="preserve"> </w:t>
            </w:r>
          </w:p>
          <w:p w:rsidR="00026D75" w:rsidRPr="0056057F" w:rsidRDefault="00026D75" w:rsidP="00F35897">
            <w:pPr>
              <w:pStyle w:val="Tabletext"/>
              <w:rPr>
                <w:rFonts w:cstheme="majorBidi"/>
                <w:lang w:val="es-ES"/>
              </w:rPr>
            </w:pPr>
            <w:r w:rsidRPr="0056057F">
              <w:rPr>
                <w:rFonts w:cstheme="majorBidi"/>
                <w:lang w:val="es-ES"/>
              </w:rPr>
              <w:t>El GAR observó además que el acceso a los documentos debía diferenciarse del acceso a las bases de datos, ya que lo documentos tienen una fuente única (autor) mientras que la información de las bases de datos es fruto de la colaboración de varias fuentes. Por tanto, puede ser necesaria una política para el acceso a los datos y otra diferente para el acceso a los documentos/información.</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t>10</w:t>
            </w:r>
          </w:p>
        </w:tc>
        <w:tc>
          <w:tcPr>
            <w:tcW w:w="3256" w:type="dxa"/>
          </w:tcPr>
          <w:p w:rsidR="00026D75" w:rsidRPr="0056057F" w:rsidRDefault="00026D75" w:rsidP="00F35897">
            <w:pPr>
              <w:pStyle w:val="Tabletext"/>
              <w:rPr>
                <w:rFonts w:cstheme="majorBidi"/>
                <w:lang w:val="es-ES"/>
              </w:rPr>
            </w:pPr>
            <w:r w:rsidRPr="0056057F">
              <w:rPr>
                <w:rFonts w:cstheme="majorBidi"/>
                <w:lang w:val="es-ES"/>
              </w:rPr>
              <w:t xml:space="preserve">Sistema de información de la BR </w:t>
            </w:r>
          </w:p>
          <w:p w:rsidR="00026D75" w:rsidRPr="0056057F" w:rsidRDefault="00026D75" w:rsidP="00F35897">
            <w:pPr>
              <w:pStyle w:val="Tabletext"/>
              <w:rPr>
                <w:rFonts w:cstheme="majorBidi"/>
                <w:lang w:val="es-ES"/>
              </w:rPr>
            </w:pPr>
            <w:r w:rsidRPr="0056057F">
              <w:rPr>
                <w:rFonts w:cstheme="majorBidi"/>
                <w:i/>
                <w:lang w:val="es-ES"/>
              </w:rPr>
              <w:t>(</w:t>
            </w:r>
            <w:r w:rsidRPr="0056057F">
              <w:rPr>
                <w:rFonts w:cstheme="majorBidi"/>
                <w:i/>
                <w:iCs/>
                <w:lang w:val="es-ES"/>
              </w:rPr>
              <w:t>Documento</w:t>
            </w:r>
            <w:r w:rsidRPr="0056057F">
              <w:rPr>
                <w:rFonts w:cstheme="majorBidi"/>
                <w:i/>
                <w:lang w:val="es-ES"/>
              </w:rPr>
              <w:t xml:space="preserve"> RAG16(Rev.1))</w:t>
            </w:r>
          </w:p>
        </w:tc>
        <w:tc>
          <w:tcPr>
            <w:tcW w:w="9785" w:type="dxa"/>
          </w:tcPr>
          <w:p w:rsidR="00026D75" w:rsidRPr="0056057F" w:rsidRDefault="00026D75" w:rsidP="00F35897">
            <w:pPr>
              <w:pStyle w:val="Tabletext"/>
              <w:rPr>
                <w:rFonts w:cstheme="majorBidi"/>
                <w:lang w:val="es-ES"/>
              </w:rPr>
            </w:pPr>
            <w:r w:rsidRPr="0056057F">
              <w:rPr>
                <w:rFonts w:cstheme="majorBidi"/>
                <w:lang w:val="es-ES"/>
              </w:rPr>
              <w:t xml:space="preserve">EL GAR agradeció la reciente disponibilidad de la herramienta de navegación del Reglamento de Radiocomunicaciones, un instrumento útil que ayuda a los usuarios a examinar el Reglamento de Radiocomunicaciones. El GAR tomó nota de que se ha establecido un precio de la herramienta en concepto de recuperación de costes de 100 CHF y consideró que podría ser beneficioso disponer de este instrumento gratuitamente, principalmente para países en desarrollo. </w:t>
            </w:r>
          </w:p>
          <w:p w:rsidR="00026D75" w:rsidRPr="0056057F" w:rsidRDefault="00026D75" w:rsidP="00F35897">
            <w:pPr>
              <w:pStyle w:val="Tabletext"/>
              <w:rPr>
                <w:rFonts w:cstheme="majorBidi"/>
                <w:lang w:val="es-ES"/>
              </w:rPr>
            </w:pPr>
            <w:r w:rsidRPr="0056057F">
              <w:rPr>
                <w:rFonts w:cstheme="majorBidi"/>
                <w:lang w:val="es-ES"/>
              </w:rPr>
              <w:t>El GAR agradeció los avances logrados en relación con el desarrollo del software para la aplicación de las decisiones de la CMR-15, así como la continuación de las actividades incluidas en la hoja de ruta recomendada en la 19ª reunión del GAR, que entre otras cosas instó a seguir desarrollando el sistema de información de la BR. El GAR tomó nota de que la migración prevista de bases de datos Access a SQLite será progresiva sin apenas impacto para las administraciones, ya que la Oficina ofrecerá herramientas de fácil utilización y sobre las que se hará una demostración en el próximo Seminario Mundial de Radiocomunicaciones (SMR-16).</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lastRenderedPageBreak/>
              <w:t>11</w:t>
            </w:r>
          </w:p>
        </w:tc>
        <w:tc>
          <w:tcPr>
            <w:tcW w:w="3256" w:type="dxa"/>
          </w:tcPr>
          <w:p w:rsidR="00026D75" w:rsidRPr="0056057F" w:rsidRDefault="00026D75" w:rsidP="00F35897">
            <w:pPr>
              <w:pStyle w:val="Tabletext"/>
              <w:rPr>
                <w:rFonts w:eastAsia="Arial Unicode MS" w:cstheme="majorBidi"/>
                <w:lang w:val="es-ES"/>
              </w:rPr>
            </w:pPr>
            <w:r w:rsidRPr="0056057F">
              <w:rPr>
                <w:rFonts w:eastAsia="Arial Unicode MS" w:cstheme="majorBidi"/>
                <w:lang w:val="es-ES"/>
              </w:rPr>
              <w:t>Proyecto de Plan Operacional renovable para el periodo 2017</w:t>
            </w:r>
            <w:r w:rsidRPr="0056057F">
              <w:rPr>
                <w:rFonts w:eastAsia="Arial Unicode MS" w:cstheme="majorBidi"/>
                <w:lang w:val="es-ES"/>
              </w:rPr>
              <w:noBreakHyphen/>
              <w:t>2020</w:t>
            </w:r>
            <w:r w:rsidRPr="0056057F">
              <w:rPr>
                <w:rFonts w:eastAsia="Arial Unicode MS" w:cstheme="majorBidi"/>
                <w:lang w:val="es-ES"/>
              </w:rPr>
              <w:br/>
            </w:r>
            <w:r w:rsidRPr="0056057F">
              <w:rPr>
                <w:rFonts w:cstheme="majorBidi"/>
                <w:i/>
                <w:lang w:val="es-ES"/>
              </w:rPr>
              <w:t>(</w:t>
            </w:r>
            <w:r w:rsidRPr="0056057F">
              <w:rPr>
                <w:rFonts w:cstheme="majorBidi"/>
                <w:i/>
                <w:iCs/>
                <w:lang w:val="es-ES"/>
              </w:rPr>
              <w:t>Documentos</w:t>
            </w:r>
            <w:r w:rsidRPr="0056057F">
              <w:rPr>
                <w:rFonts w:cstheme="majorBidi"/>
                <w:i/>
                <w:lang w:val="es-ES"/>
              </w:rPr>
              <w:t xml:space="preserve"> RAG16/1(Add.2), 5, 7)</w:t>
            </w:r>
          </w:p>
        </w:tc>
        <w:tc>
          <w:tcPr>
            <w:tcW w:w="9785" w:type="dxa"/>
          </w:tcPr>
          <w:p w:rsidR="00026D75" w:rsidRPr="0056057F" w:rsidRDefault="00026D75" w:rsidP="00FA376A">
            <w:pPr>
              <w:pStyle w:val="Tabletext"/>
              <w:rPr>
                <w:rFonts w:cstheme="majorBidi"/>
                <w:lang w:val="es-ES"/>
              </w:rPr>
            </w:pPr>
            <w:r w:rsidRPr="0056057F">
              <w:rPr>
                <w:rFonts w:cstheme="majorBidi"/>
                <w:lang w:val="es-ES"/>
              </w:rPr>
              <w:t>El GAR tomó nota de los elementos fundamentales del Plan Operacional renovable del UIT-R para el periodo 2017</w:t>
            </w:r>
            <w:r w:rsidR="00FA376A" w:rsidRPr="0056057F">
              <w:rPr>
                <w:rFonts w:cstheme="majorBidi"/>
                <w:lang w:val="es-ES"/>
              </w:rPr>
              <w:noBreakHyphen/>
            </w:r>
            <w:r w:rsidRPr="0056057F">
              <w:rPr>
                <w:rFonts w:cstheme="majorBidi"/>
                <w:lang w:val="es-ES"/>
              </w:rPr>
              <w:t>2020, y en particular de los resultados, productos e indicadores de resultados para cada objetivo.</w:t>
            </w:r>
          </w:p>
          <w:p w:rsidR="00026D75" w:rsidRPr="0056057F" w:rsidRDefault="00026D75" w:rsidP="00F35897">
            <w:pPr>
              <w:pStyle w:val="Tabletext"/>
              <w:rPr>
                <w:rFonts w:cstheme="majorBidi"/>
                <w:lang w:val="es-ES"/>
              </w:rPr>
            </w:pPr>
            <w:r w:rsidRPr="0056057F">
              <w:rPr>
                <w:rFonts w:cstheme="majorBidi"/>
                <w:lang w:val="es-ES"/>
              </w:rPr>
              <w:t>El GAR también tomó nota de la proyección de los recursos financieros asignados a los productos de la BR para el periodo 2017-2020.</w:t>
            </w:r>
          </w:p>
          <w:p w:rsidR="00026D75" w:rsidRPr="0056057F" w:rsidRDefault="00026D75" w:rsidP="00FA376A">
            <w:pPr>
              <w:pStyle w:val="Tabletext"/>
              <w:rPr>
                <w:rFonts w:cstheme="majorBidi"/>
                <w:lang w:val="es-ES"/>
              </w:rPr>
            </w:pPr>
            <w:r w:rsidRPr="0056057F">
              <w:rPr>
                <w:rFonts w:cstheme="majorBidi"/>
                <w:lang w:val="es-ES"/>
              </w:rPr>
              <w:t>El GAR tomó nota además de que algunos indicadores de resultados se han ajustado para reflejar mejor el nivel de cumplimiento de los correspondientes resultados y que para cada resultado se han incluido valores de línea de base, anuales y objetivos, así como la fuente de las cifras presentadas. El GAR observó que algunos valores no podrían lograrse o que resultan excesivamente onerosos de obtener de fuentes externas, y que la BR está trabajando con la BDT para incluirlos en la encuesta anual que se remite a los Estados Miembros para recopilar datos estadísticos sobre las</w:t>
            </w:r>
            <w:r w:rsidR="00FA376A" w:rsidRPr="0056057F">
              <w:rPr>
                <w:rFonts w:cstheme="majorBidi"/>
                <w:lang w:val="es-ES"/>
              </w:rPr>
              <w:t> </w:t>
            </w:r>
            <w:r w:rsidRPr="0056057F">
              <w:rPr>
                <w:rFonts w:cstheme="majorBidi"/>
                <w:lang w:val="es-ES"/>
              </w:rPr>
              <w:t>TIC.</w:t>
            </w:r>
          </w:p>
          <w:p w:rsidR="00026D75" w:rsidRPr="0056057F" w:rsidRDefault="00026D75" w:rsidP="00F35897">
            <w:pPr>
              <w:pStyle w:val="Tabletext"/>
              <w:rPr>
                <w:rFonts w:cstheme="majorBidi"/>
                <w:lang w:val="es-ES"/>
              </w:rPr>
            </w:pPr>
            <w:r w:rsidRPr="0056057F">
              <w:rPr>
                <w:rFonts w:cstheme="majorBidi"/>
                <w:lang w:val="es-ES"/>
              </w:rPr>
              <w:t>El GAR respaldó la propuesta de proyecto de Plan Operacional renovable del UIT-R para 2017-2020 con algunas modificaciones, tal como se incluye en el Anexo 3 y solicitó al Director que tenga en consideración los aspectos siguientes para la preparación del Plan Estratégico y los correspondientes Planes Operacionales del UIT-R para el próximo ciclo:</w:t>
            </w:r>
          </w:p>
          <w:p w:rsidR="00026D75" w:rsidRPr="0056057F" w:rsidRDefault="00026D75" w:rsidP="00F35897">
            <w:pPr>
              <w:pStyle w:val="Tabletext"/>
              <w:keepNext/>
              <w:keepLines/>
              <w:tabs>
                <w:tab w:val="clear" w:pos="284"/>
                <w:tab w:val="clear" w:pos="567"/>
                <w:tab w:val="clear" w:pos="851"/>
                <w:tab w:val="left" w:pos="518"/>
              </w:tabs>
              <w:ind w:left="284" w:hanging="284"/>
              <w:rPr>
                <w:rFonts w:cstheme="majorBidi"/>
                <w:lang w:val="es-ES"/>
              </w:rPr>
            </w:pPr>
            <w:r w:rsidRPr="0056057F">
              <w:rPr>
                <w:rFonts w:cstheme="majorBidi"/>
                <w:lang w:val="es-ES"/>
              </w:rPr>
              <w:t>–</w:t>
            </w:r>
            <w:r w:rsidRPr="0056057F">
              <w:rPr>
                <w:rFonts w:cstheme="majorBidi"/>
                <w:lang w:val="es-ES"/>
              </w:rPr>
              <w:tab/>
              <w:t>distinguir entre los objetivos del UIT-R y de la Oficina;</w:t>
            </w:r>
          </w:p>
          <w:p w:rsidR="00026D75" w:rsidRPr="0056057F" w:rsidRDefault="00026D75" w:rsidP="00F35897">
            <w:pPr>
              <w:pStyle w:val="Tabletext"/>
              <w:keepNext/>
              <w:keepLines/>
              <w:tabs>
                <w:tab w:val="clear" w:pos="284"/>
                <w:tab w:val="clear" w:pos="567"/>
                <w:tab w:val="clear" w:pos="851"/>
                <w:tab w:val="left" w:pos="518"/>
              </w:tabs>
              <w:ind w:left="284" w:hanging="284"/>
              <w:rPr>
                <w:rFonts w:cstheme="majorBidi"/>
                <w:lang w:val="es-ES"/>
              </w:rPr>
            </w:pPr>
            <w:r w:rsidRPr="0056057F">
              <w:rPr>
                <w:rFonts w:cstheme="majorBidi"/>
                <w:lang w:val="es-ES"/>
              </w:rPr>
              <w:t>–</w:t>
            </w:r>
            <w:r w:rsidRPr="0056057F">
              <w:rPr>
                <w:rFonts w:cstheme="majorBidi"/>
                <w:lang w:val="es-ES"/>
              </w:rPr>
              <w:tab/>
              <w:t>el Plan Operacional del UIT-R debe disociarse de los planes de los miembros; es necesario que el Consejo tenga esto en cuenta cuando prepare el proyecto de Plan Estratégico de la Unión para 2020</w:t>
            </w:r>
            <w:r w:rsidRPr="0056057F">
              <w:rPr>
                <w:rFonts w:cstheme="majorBidi"/>
                <w:lang w:val="es-ES"/>
              </w:rPr>
              <w:noBreakHyphen/>
              <w:t>2024;</w:t>
            </w:r>
          </w:p>
          <w:p w:rsidR="00026D75" w:rsidRPr="0056057F" w:rsidRDefault="00026D75" w:rsidP="00F35897">
            <w:pPr>
              <w:pStyle w:val="Tabletext"/>
              <w:keepNext/>
              <w:keepLines/>
              <w:tabs>
                <w:tab w:val="clear" w:pos="284"/>
                <w:tab w:val="clear" w:pos="567"/>
                <w:tab w:val="clear" w:pos="851"/>
                <w:tab w:val="left" w:pos="518"/>
              </w:tabs>
              <w:ind w:left="284" w:hanging="284"/>
              <w:rPr>
                <w:rFonts w:cstheme="majorBidi"/>
                <w:lang w:val="es-ES"/>
              </w:rPr>
            </w:pPr>
            <w:r w:rsidRPr="0056057F">
              <w:rPr>
                <w:rFonts w:cstheme="majorBidi"/>
                <w:lang w:val="es-ES"/>
              </w:rPr>
              <w:t>–</w:t>
            </w:r>
            <w:r w:rsidRPr="0056057F">
              <w:rPr>
                <w:rFonts w:cstheme="majorBidi"/>
                <w:lang w:val="es-ES"/>
              </w:rPr>
              <w:tab/>
              <w:t>en el producto relativo a las conferencias regionales de radiocomunicaciones y los acuerdos regionales debe incluirse una mención del tipo «de existir alguno»;</w:t>
            </w:r>
          </w:p>
          <w:p w:rsidR="00026D75" w:rsidRPr="0056057F" w:rsidRDefault="00026D75" w:rsidP="00F35897">
            <w:pPr>
              <w:pStyle w:val="Tabletext"/>
              <w:keepNext/>
              <w:keepLines/>
              <w:tabs>
                <w:tab w:val="clear" w:pos="284"/>
                <w:tab w:val="clear" w:pos="567"/>
                <w:tab w:val="clear" w:pos="851"/>
                <w:tab w:val="left" w:pos="518"/>
              </w:tabs>
              <w:ind w:left="284" w:hanging="284"/>
              <w:rPr>
                <w:rFonts w:cstheme="majorBidi"/>
                <w:lang w:val="es-ES"/>
              </w:rPr>
            </w:pPr>
            <w:r w:rsidRPr="0056057F">
              <w:rPr>
                <w:rFonts w:cstheme="majorBidi"/>
                <w:lang w:val="es-ES"/>
              </w:rPr>
              <w:t>–</w:t>
            </w:r>
            <w:r w:rsidRPr="0056057F">
              <w:rPr>
                <w:rFonts w:cstheme="majorBidi"/>
                <w:lang w:val="es-ES"/>
              </w:rPr>
              <w:tab/>
              <w:t>debe armonizarse la descripción de los resultados, por ejemplo, comenzando determinadas frases con «aumento» o «reducción» del número de …</w:t>
            </w:r>
          </w:p>
          <w:p w:rsidR="00026D75" w:rsidRPr="0056057F" w:rsidRDefault="00026D75" w:rsidP="00F35897">
            <w:pPr>
              <w:pStyle w:val="Tabletext"/>
              <w:rPr>
                <w:rFonts w:cstheme="majorBidi"/>
                <w:lang w:val="es-ES"/>
              </w:rPr>
            </w:pPr>
            <w:r w:rsidRPr="0056057F">
              <w:rPr>
                <w:rFonts w:cstheme="majorBidi"/>
                <w:lang w:val="es-ES"/>
              </w:rPr>
              <w:t>El GAR tomó nota además del Plan Operacional renovable para 2017-2020 de la Secretaría General y sugirió algunas modificaciones editoriales y en relación con las estadísticas que presenta el documento.</w:t>
            </w:r>
          </w:p>
          <w:p w:rsidR="00026D75" w:rsidRPr="0056057F" w:rsidRDefault="00026D75" w:rsidP="00F35897">
            <w:pPr>
              <w:pStyle w:val="Tabletext"/>
              <w:keepNext/>
              <w:keepLines/>
              <w:rPr>
                <w:rFonts w:cstheme="majorBidi"/>
                <w:lang w:val="es-ES"/>
              </w:rPr>
            </w:pPr>
            <w:r w:rsidRPr="0056057F">
              <w:rPr>
                <w:rFonts w:cstheme="majorBidi"/>
                <w:lang w:val="es-ES"/>
              </w:rPr>
              <w:t>El GAR tomó nota del documento que establece una correspondencia entre actividades y objetivos del UIT</w:t>
            </w:r>
            <w:r w:rsidRPr="0056057F">
              <w:rPr>
                <w:rFonts w:cstheme="majorBidi"/>
                <w:lang w:val="es-ES"/>
              </w:rPr>
              <w:noBreakHyphen/>
              <w:t xml:space="preserve">R y los Objetivos de Desarrollo Sostenible (ODS), agradeció al Director el ejercicio realizado por la Secretaría al respecto e hizo algunas propuestas para la mejora del documento, algunas de las cuales se reflejan en la </w:t>
            </w:r>
            <w:hyperlink r:id="rId22" w:history="1">
              <w:r w:rsidRPr="0056057F">
                <w:rPr>
                  <w:rFonts w:cstheme="majorBidi"/>
                  <w:color w:val="0000FF"/>
                  <w:u w:val="single"/>
                  <w:lang w:val="es-ES"/>
                </w:rPr>
                <w:t>Revisión 2 al Documento RAG16/5</w:t>
              </w:r>
            </w:hyperlink>
            <w:r w:rsidRPr="0056057F">
              <w:rPr>
                <w:rFonts w:cstheme="majorBidi"/>
                <w:lang w:val="es-ES"/>
              </w:rPr>
              <w:t>. El GAR invita a los Miembros a enviar comentarios adicionales al Director para mejora reste documento vivo. Se sugirió que se proporcionaran ejemplos concretos de cómo las actuaciones del UIT-R propician, aunque sea de un modo indirecto, la consecución de los ODS.</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t>12</w:t>
            </w:r>
          </w:p>
        </w:tc>
        <w:tc>
          <w:tcPr>
            <w:tcW w:w="3256" w:type="dxa"/>
          </w:tcPr>
          <w:p w:rsidR="00026D75" w:rsidRPr="0056057F" w:rsidRDefault="00026D75" w:rsidP="00F35897">
            <w:pPr>
              <w:pStyle w:val="Tabletext"/>
              <w:rPr>
                <w:rFonts w:eastAsia="Arial Unicode MS" w:cstheme="majorBidi"/>
                <w:lang w:val="es-ES"/>
              </w:rPr>
            </w:pPr>
            <w:r w:rsidRPr="0056057F">
              <w:rPr>
                <w:rFonts w:cstheme="majorBidi"/>
                <w:lang w:val="es-ES"/>
              </w:rPr>
              <w:t>Fecha de la próxima reunión</w:t>
            </w:r>
          </w:p>
        </w:tc>
        <w:tc>
          <w:tcPr>
            <w:tcW w:w="9785" w:type="dxa"/>
          </w:tcPr>
          <w:p w:rsidR="00026D75" w:rsidRPr="0056057F" w:rsidRDefault="00026D75" w:rsidP="00F35897">
            <w:pPr>
              <w:pStyle w:val="Tabletext"/>
              <w:rPr>
                <w:rFonts w:cstheme="majorBidi"/>
                <w:lang w:val="es-ES"/>
              </w:rPr>
            </w:pPr>
            <w:r w:rsidRPr="0056057F">
              <w:rPr>
                <w:rFonts w:cstheme="majorBidi"/>
                <w:lang w:val="es-ES"/>
              </w:rPr>
              <w:t xml:space="preserve">Está previsto que la 24ª reunión del GAR se celebre del 25 al 27 de abril de 2017. </w:t>
            </w:r>
          </w:p>
        </w:tc>
      </w:tr>
      <w:tr w:rsidR="00026D75" w:rsidRPr="0056057F" w:rsidTr="00F35897">
        <w:trPr>
          <w:jc w:val="center"/>
        </w:trPr>
        <w:tc>
          <w:tcPr>
            <w:tcW w:w="1037" w:type="dxa"/>
          </w:tcPr>
          <w:p w:rsidR="00026D75" w:rsidRPr="0056057F" w:rsidRDefault="00026D75" w:rsidP="00F35897">
            <w:pPr>
              <w:pStyle w:val="Tabletext"/>
              <w:jc w:val="center"/>
              <w:rPr>
                <w:rFonts w:cstheme="majorBidi"/>
                <w:lang w:val="es-ES"/>
              </w:rPr>
            </w:pPr>
            <w:r w:rsidRPr="0056057F">
              <w:rPr>
                <w:rFonts w:cstheme="majorBidi"/>
                <w:lang w:val="es-ES"/>
              </w:rPr>
              <w:t>13</w:t>
            </w:r>
          </w:p>
        </w:tc>
        <w:tc>
          <w:tcPr>
            <w:tcW w:w="3256" w:type="dxa"/>
          </w:tcPr>
          <w:p w:rsidR="00026D75" w:rsidRPr="0056057F" w:rsidRDefault="00026D75" w:rsidP="00F35897">
            <w:pPr>
              <w:pStyle w:val="Tabletext"/>
              <w:rPr>
                <w:rFonts w:eastAsia="Arial Unicode MS" w:cstheme="majorBidi"/>
                <w:lang w:val="es-ES"/>
              </w:rPr>
            </w:pPr>
            <w:r w:rsidRPr="0056057F">
              <w:rPr>
                <w:rFonts w:cstheme="majorBidi"/>
                <w:lang w:val="es-ES"/>
              </w:rPr>
              <w:t>O</w:t>
            </w:r>
            <w:r w:rsidRPr="0056057F">
              <w:rPr>
                <w:rFonts w:eastAsia="Arial Unicode MS" w:cstheme="majorBidi"/>
                <w:lang w:val="es-ES"/>
              </w:rPr>
              <w:t>tros asuntos</w:t>
            </w:r>
          </w:p>
        </w:tc>
        <w:tc>
          <w:tcPr>
            <w:tcW w:w="9785" w:type="dxa"/>
          </w:tcPr>
          <w:p w:rsidR="00026D75" w:rsidRPr="0056057F" w:rsidRDefault="00026D75" w:rsidP="00F35897">
            <w:pPr>
              <w:pStyle w:val="Tabletext"/>
              <w:rPr>
                <w:rFonts w:cstheme="majorBidi"/>
                <w:lang w:val="es-ES"/>
              </w:rPr>
            </w:pPr>
          </w:p>
        </w:tc>
      </w:tr>
    </w:tbl>
    <w:p w:rsidR="00542D5D" w:rsidRPr="0056057F" w:rsidRDefault="00542D5D" w:rsidP="00026D75">
      <w:pPr>
        <w:rPr>
          <w:u w:val="single"/>
          <w:lang w:val="es-ES"/>
        </w:rPr>
      </w:pPr>
    </w:p>
    <w:p w:rsidR="00026D75" w:rsidRPr="0056057F" w:rsidRDefault="00026D75" w:rsidP="00026D75">
      <w:pPr>
        <w:rPr>
          <w:rFonts w:cs="Times New Roman"/>
          <w:lang w:val="es-ES"/>
        </w:rPr>
      </w:pPr>
      <w:r w:rsidRPr="0056057F">
        <w:rPr>
          <w:rFonts w:cs="Times New Roman"/>
          <w:u w:val="single"/>
          <w:lang w:val="es-ES"/>
        </w:rPr>
        <w:lastRenderedPageBreak/>
        <w:t>ANEXOS</w:t>
      </w:r>
      <w:r w:rsidRPr="0056057F">
        <w:rPr>
          <w:rFonts w:cs="Times New Roman"/>
          <w:lang w:val="es-ES"/>
        </w:rPr>
        <w:t>:</w:t>
      </w:r>
    </w:p>
    <w:p w:rsidR="00026D75" w:rsidRPr="0056057F" w:rsidRDefault="004D6EC4" w:rsidP="007C124F">
      <w:pPr>
        <w:rPr>
          <w:lang w:val="es-ES"/>
        </w:rPr>
      </w:pPr>
      <w:r w:rsidRPr="0056057F">
        <w:rPr>
          <w:lang w:val="es-ES"/>
        </w:rPr>
        <w:t>ANEXO 1:</w:t>
      </w:r>
      <w:r w:rsidR="00026D75" w:rsidRPr="0056057F">
        <w:rPr>
          <w:lang w:val="es-ES"/>
        </w:rPr>
        <w:tab/>
        <w:t>Mandato del Grupo de Relator sobre la aplicación de las Resoluciones 907 (Rev.CMR-15) y 908 (Rev.CMR-15)</w:t>
      </w:r>
    </w:p>
    <w:p w:rsidR="00026D75" w:rsidRPr="0056057F" w:rsidRDefault="004D6EC4" w:rsidP="007C124F">
      <w:pPr>
        <w:ind w:left="1191" w:hanging="1191"/>
        <w:rPr>
          <w:lang w:val="es-ES"/>
        </w:rPr>
      </w:pPr>
      <w:r w:rsidRPr="0056057F">
        <w:rPr>
          <w:lang w:val="es-ES"/>
        </w:rPr>
        <w:t>ANEXO 2:</w:t>
      </w:r>
      <w:r w:rsidR="00026D75" w:rsidRPr="0056057F">
        <w:rPr>
          <w:lang w:val="es-ES"/>
        </w:rPr>
        <w:tab/>
        <w:t>Directrices actualizadas para los métodos de trabajo de la Asamblea de Radiocomunicaciones, Comisiones de Estudio del</w:t>
      </w:r>
      <w:r w:rsidR="00FA376A" w:rsidRPr="0056057F">
        <w:rPr>
          <w:lang w:val="es-ES"/>
        </w:rPr>
        <w:t> </w:t>
      </w:r>
      <w:r w:rsidR="00026D75" w:rsidRPr="0056057F">
        <w:rPr>
          <w:lang w:val="es-ES"/>
        </w:rPr>
        <w:t>UIT-R y grupos conexos</w:t>
      </w:r>
    </w:p>
    <w:p w:rsidR="00026D75" w:rsidRPr="0056057F" w:rsidRDefault="004D6EC4" w:rsidP="007C124F">
      <w:pPr>
        <w:rPr>
          <w:lang w:val="es-ES"/>
        </w:rPr>
      </w:pPr>
      <w:r w:rsidRPr="0056057F">
        <w:rPr>
          <w:lang w:val="es-ES"/>
        </w:rPr>
        <w:t>ANEXO 3:</w:t>
      </w:r>
      <w:r w:rsidR="00026D75" w:rsidRPr="0056057F">
        <w:rPr>
          <w:lang w:val="es-ES"/>
        </w:rPr>
        <w:tab/>
        <w:t>Proyecto de Plan Operacional renovable a cuatro años del Sector de Radiocomunicaciones para el periodo 2017-2020</w:t>
      </w:r>
    </w:p>
    <w:p w:rsidR="00026D75" w:rsidRPr="0056057F" w:rsidRDefault="00026D75" w:rsidP="00026D75">
      <w:pPr>
        <w:rPr>
          <w:lang w:val="es-ES"/>
        </w:rPr>
      </w:pPr>
    </w:p>
    <w:p w:rsidR="00026D75" w:rsidRPr="0056057F" w:rsidRDefault="00026D75" w:rsidP="00026D75">
      <w:pPr>
        <w:jc w:val="center"/>
        <w:rPr>
          <w:lang w:val="es-ES"/>
        </w:rPr>
        <w:sectPr w:rsidR="00026D75" w:rsidRPr="0056057F" w:rsidSect="00D44DD2">
          <w:headerReference w:type="even" r:id="rId23"/>
          <w:headerReference w:type="first" r:id="rId24"/>
          <w:footerReference w:type="first" r:id="rId25"/>
          <w:pgSz w:w="15840" w:h="12240" w:orient="landscape"/>
          <w:pgMar w:top="1134" w:right="1418" w:bottom="1134" w:left="1418" w:header="709" w:footer="709" w:gutter="0"/>
          <w:cols w:space="708"/>
          <w:docGrid w:linePitch="360"/>
        </w:sectPr>
      </w:pPr>
    </w:p>
    <w:p w:rsidR="00026D75" w:rsidRPr="0056057F" w:rsidRDefault="00026D75" w:rsidP="00026D75">
      <w:pPr>
        <w:pStyle w:val="AnnexNotitle0"/>
        <w:rPr>
          <w:rFonts w:ascii="Calibri" w:hAnsi="Calibri"/>
          <w:b w:val="0"/>
          <w:bCs/>
          <w:lang w:val="es-ES"/>
        </w:rPr>
      </w:pPr>
      <w:r w:rsidRPr="0056057F">
        <w:rPr>
          <w:rFonts w:ascii="Calibri" w:hAnsi="Calibri"/>
          <w:b w:val="0"/>
          <w:bCs/>
          <w:lang w:val="es-ES"/>
        </w:rPr>
        <w:lastRenderedPageBreak/>
        <w:t>ANEXO 1</w:t>
      </w:r>
    </w:p>
    <w:p w:rsidR="00026D75" w:rsidRPr="0056057F" w:rsidRDefault="00026D75" w:rsidP="00026D75">
      <w:pPr>
        <w:pStyle w:val="Annextitle"/>
        <w:rPr>
          <w:rFonts w:ascii="Calibri" w:hAnsi="Calibri"/>
          <w:lang w:val="es-ES"/>
        </w:rPr>
      </w:pPr>
      <w:r w:rsidRPr="0056057F">
        <w:rPr>
          <w:rFonts w:ascii="Calibri" w:hAnsi="Calibri"/>
          <w:lang w:val="es-ES"/>
        </w:rPr>
        <w:t>Mandato del Grupo de Relator sobre la aplicación de las</w:t>
      </w:r>
      <w:r w:rsidRPr="0056057F">
        <w:rPr>
          <w:rFonts w:ascii="Calibri" w:hAnsi="Calibri"/>
          <w:lang w:val="es-ES"/>
        </w:rPr>
        <w:br/>
        <w:t>Resoluciones 907 (Rev.CMR-15) y 908 (Rev.CMR-15)</w:t>
      </w:r>
    </w:p>
    <w:p w:rsidR="00026D75" w:rsidRPr="0056057F" w:rsidRDefault="00026D75" w:rsidP="00D44DD2">
      <w:pPr>
        <w:pStyle w:val="Normalaftertitle"/>
        <w:rPr>
          <w:lang w:val="es-ES"/>
        </w:rPr>
      </w:pPr>
      <w:r w:rsidRPr="0056057F">
        <w:rPr>
          <w:lang w:val="es-ES"/>
        </w:rPr>
        <w:t>El mandato del este Grupo de Relator es el siguiente:</w:t>
      </w:r>
    </w:p>
    <w:p w:rsidR="00026D75" w:rsidRPr="0056057F" w:rsidRDefault="00026D75" w:rsidP="00026D75">
      <w:pPr>
        <w:pStyle w:val="enumlev1"/>
        <w:rPr>
          <w:lang w:val="es-ES"/>
        </w:rPr>
      </w:pPr>
      <w:r w:rsidRPr="0056057F">
        <w:rPr>
          <w:lang w:val="es-ES"/>
        </w:rPr>
        <w:t>–</w:t>
      </w:r>
      <w:r w:rsidRPr="0056057F">
        <w:rPr>
          <w:lang w:val="es-ES"/>
        </w:rPr>
        <w:tab/>
        <w:t xml:space="preserve">facilitar la aplicación de las Resoluciones </w:t>
      </w:r>
      <w:r w:rsidRPr="0056057F">
        <w:rPr>
          <w:b/>
          <w:bCs/>
          <w:lang w:val="es-ES"/>
        </w:rPr>
        <w:t>907 (Rev.CMR-15)</w:t>
      </w:r>
      <w:r w:rsidRPr="0056057F">
        <w:rPr>
          <w:lang w:val="es-ES"/>
        </w:rPr>
        <w:t xml:space="preserve"> y </w:t>
      </w:r>
      <w:r w:rsidRPr="0056057F">
        <w:rPr>
          <w:b/>
          <w:bCs/>
          <w:lang w:val="es-ES"/>
        </w:rPr>
        <w:t>908 (Rev.CMR-15)</w:t>
      </w:r>
      <w:r w:rsidRPr="0056057F">
        <w:rPr>
          <w:lang w:val="es-ES"/>
        </w:rPr>
        <w:t xml:space="preserve"> mediante la creación de un foro en el que participen administraciones y la Oficina; </w:t>
      </w:r>
    </w:p>
    <w:p w:rsidR="00026D75" w:rsidRPr="0056057F" w:rsidRDefault="00026D75" w:rsidP="00D44DD2">
      <w:pPr>
        <w:pStyle w:val="enumlev1"/>
        <w:rPr>
          <w:lang w:val="es-ES"/>
        </w:rPr>
      </w:pPr>
      <w:r w:rsidRPr="0056057F">
        <w:rPr>
          <w:lang w:val="es-ES"/>
        </w:rPr>
        <w:t>–</w:t>
      </w:r>
      <w:r w:rsidRPr="0056057F">
        <w:rPr>
          <w:lang w:val="es-ES"/>
        </w:rPr>
        <w:tab/>
      </w:r>
      <w:r w:rsidR="00FA376A" w:rsidRPr="0056057F">
        <w:rPr>
          <w:lang w:val="es-ES"/>
        </w:rPr>
        <w:t>d</w:t>
      </w:r>
      <w:r w:rsidRPr="0056057F">
        <w:rPr>
          <w:lang w:val="es-ES"/>
        </w:rPr>
        <w:t>ebatir los diversos requisitos de los usuarios y un cronograma detallado para la implantación del software para la aplicación de ambas Resoluciones;</w:t>
      </w:r>
    </w:p>
    <w:p w:rsidR="00026D75" w:rsidRPr="0056057F" w:rsidRDefault="00026D75" w:rsidP="00026D75">
      <w:pPr>
        <w:pStyle w:val="enumlev1"/>
        <w:rPr>
          <w:lang w:val="es-ES"/>
        </w:rPr>
      </w:pPr>
      <w:r w:rsidRPr="0056057F">
        <w:rPr>
          <w:lang w:val="es-ES"/>
        </w:rPr>
        <w:t>–</w:t>
      </w:r>
      <w:r w:rsidRPr="0056057F">
        <w:rPr>
          <w:lang w:val="es-ES"/>
        </w:rPr>
        <w:tab/>
        <w:t>asegurar el aprovechamiento de la información que aporten las administraciones en una fase temprana del desarrollo de las herramientas requeridas por ambas Resoluciones o la integración de dicha información en las citadas herramientas;</w:t>
      </w:r>
    </w:p>
    <w:p w:rsidR="00026D75" w:rsidRPr="0056057F" w:rsidRDefault="00026D75" w:rsidP="00026D75">
      <w:pPr>
        <w:pStyle w:val="enumlev1"/>
        <w:rPr>
          <w:lang w:val="es-ES"/>
        </w:rPr>
      </w:pPr>
      <w:r w:rsidRPr="0056057F">
        <w:rPr>
          <w:lang w:val="es-ES"/>
        </w:rPr>
        <w:t>–</w:t>
      </w:r>
      <w:r w:rsidRPr="0056057F">
        <w:rPr>
          <w:lang w:val="es-ES"/>
        </w:rPr>
        <w:tab/>
        <w:t>crear una comunidad de «probadores beta» que incremente el número de personas que prueban el software antes de ponerlo en producción final.</w:t>
      </w:r>
    </w:p>
    <w:p w:rsidR="00026D75" w:rsidRPr="0056057F" w:rsidRDefault="00026D75" w:rsidP="00D44DD2">
      <w:pPr>
        <w:rPr>
          <w:lang w:val="es-ES"/>
        </w:rPr>
      </w:pPr>
      <w:r w:rsidRPr="0056057F">
        <w:rPr>
          <w:lang w:val="es-ES"/>
        </w:rPr>
        <w:t xml:space="preserve">De conformidad con el § A1.3.2.7 de la Resolución 1-7 del UIT-R, este Grupo de Relator trabajará principalmente por correspondencia. No obstante, si es necesario podrá celebrar reuniones virtuales para avanzar en su trabajo. El Grupo de Relator informará de sus conclusiones al GAR. </w:t>
      </w:r>
    </w:p>
    <w:p w:rsidR="00026D75" w:rsidRPr="0056057F" w:rsidRDefault="00026D75" w:rsidP="00D44DD2">
      <w:pPr>
        <w:rPr>
          <w:lang w:val="es-ES"/>
        </w:rPr>
      </w:pPr>
      <w:r w:rsidRPr="0056057F">
        <w:rPr>
          <w:lang w:val="es-ES"/>
        </w:rPr>
        <w:t>El Presidente del Grupo de Relator es el Sr. Alexandre Vallet (Francia).</w:t>
      </w:r>
    </w:p>
    <w:p w:rsidR="00026D75" w:rsidRPr="0056057F" w:rsidRDefault="00026D75" w:rsidP="00026D75">
      <w:pPr>
        <w:tabs>
          <w:tab w:val="clear" w:pos="794"/>
          <w:tab w:val="clear" w:pos="1191"/>
          <w:tab w:val="clear" w:pos="1588"/>
          <w:tab w:val="clear" w:pos="1985"/>
        </w:tabs>
        <w:overflowPunct/>
        <w:autoSpaceDE/>
        <w:autoSpaceDN/>
        <w:adjustRightInd/>
        <w:textAlignment w:val="auto"/>
        <w:rPr>
          <w:lang w:val="es-ES"/>
        </w:rPr>
      </w:pPr>
      <w:r w:rsidRPr="0056057F">
        <w:rPr>
          <w:lang w:val="es-ES"/>
        </w:rPr>
        <w:br w:type="page"/>
      </w:r>
    </w:p>
    <w:p w:rsidR="00026D75" w:rsidRPr="0056057F" w:rsidRDefault="00026D75" w:rsidP="00542D5D">
      <w:pPr>
        <w:pStyle w:val="AnnexNotitle0"/>
        <w:rPr>
          <w:rFonts w:ascii="Calibri" w:hAnsi="Calibri"/>
          <w:b w:val="0"/>
          <w:bCs/>
          <w:lang w:val="es-ES"/>
        </w:rPr>
      </w:pPr>
      <w:r w:rsidRPr="0056057F">
        <w:rPr>
          <w:rFonts w:ascii="Calibri" w:hAnsi="Calibri"/>
          <w:b w:val="0"/>
          <w:bCs/>
          <w:lang w:val="es-ES"/>
        </w:rPr>
        <w:lastRenderedPageBreak/>
        <w:t>ANEXO 2</w:t>
      </w:r>
    </w:p>
    <w:p w:rsidR="00026D75" w:rsidRPr="0056057F" w:rsidRDefault="00026D75" w:rsidP="00026D75">
      <w:pPr>
        <w:pStyle w:val="Annextitle"/>
        <w:rPr>
          <w:rFonts w:ascii="Calibri" w:hAnsi="Calibri"/>
          <w:lang w:val="es-ES"/>
        </w:rPr>
      </w:pPr>
      <w:r w:rsidRPr="0056057F">
        <w:rPr>
          <w:rFonts w:ascii="Calibri" w:hAnsi="Calibri"/>
          <w:lang w:val="es-ES"/>
        </w:rPr>
        <w:t>Directrices actualizadas para los métodos de trabajo</w:t>
      </w:r>
      <w:r w:rsidR="00FA376A" w:rsidRPr="0056057F">
        <w:rPr>
          <w:rFonts w:ascii="Calibri" w:hAnsi="Calibri"/>
          <w:lang w:val="es-ES"/>
        </w:rPr>
        <w:t xml:space="preserve"> </w:t>
      </w:r>
      <w:r w:rsidR="00FA376A" w:rsidRPr="0056057F">
        <w:rPr>
          <w:rFonts w:ascii="Calibri" w:hAnsi="Calibri"/>
          <w:lang w:val="es-ES"/>
        </w:rPr>
        <w:br/>
      </w:r>
      <w:r w:rsidRPr="0056057F">
        <w:rPr>
          <w:rFonts w:ascii="Calibri" w:hAnsi="Calibri"/>
          <w:lang w:val="es-ES"/>
        </w:rPr>
        <w:t>de la Asamblea de Radiocomunicaciones,</w:t>
      </w:r>
      <w:r w:rsidRPr="0056057F">
        <w:rPr>
          <w:rFonts w:ascii="Calibri" w:hAnsi="Calibri"/>
          <w:lang w:val="es-ES"/>
        </w:rPr>
        <w:br/>
        <w:t>las Comisiones de Estudio del UIT-R y los grupos conexos</w:t>
      </w:r>
    </w:p>
    <w:p w:rsidR="00026D75" w:rsidRPr="0056057F" w:rsidRDefault="00026D75" w:rsidP="00D44DD2">
      <w:pPr>
        <w:pStyle w:val="Heading1"/>
        <w:rPr>
          <w:lang w:val="es-ES"/>
        </w:rPr>
      </w:pPr>
      <w:bookmarkStart w:id="8" w:name="_Toc78875693"/>
      <w:bookmarkStart w:id="9" w:name="_Toc78942512"/>
      <w:bookmarkStart w:id="10" w:name="_Toc79307783"/>
      <w:bookmarkStart w:id="11" w:name="_Toc214178197"/>
      <w:bookmarkStart w:id="12" w:name="_Toc215371324"/>
      <w:bookmarkStart w:id="13" w:name="_Toc450136707"/>
      <w:r w:rsidRPr="0056057F">
        <w:rPr>
          <w:lang w:val="es-ES"/>
        </w:rPr>
        <w:t>1</w:t>
      </w:r>
      <w:r w:rsidRPr="0056057F">
        <w:rPr>
          <w:lang w:val="es-ES"/>
        </w:rPr>
        <w:tab/>
        <w:t>Antecedentes</w:t>
      </w:r>
      <w:bookmarkEnd w:id="8"/>
      <w:bookmarkEnd w:id="9"/>
      <w:bookmarkEnd w:id="10"/>
      <w:bookmarkEnd w:id="11"/>
      <w:bookmarkEnd w:id="12"/>
      <w:bookmarkEnd w:id="13"/>
    </w:p>
    <w:p w:rsidR="00026D75" w:rsidRPr="0056057F" w:rsidRDefault="00026D75" w:rsidP="00D44DD2">
      <w:pPr>
        <w:rPr>
          <w:lang w:val="es-ES"/>
        </w:rPr>
      </w:pPr>
      <w:r w:rsidRPr="0056057F">
        <w:rPr>
          <w:lang w:val="es-ES"/>
        </w:rPr>
        <w:t>Los métodos de trabajo de la Asamblea de Radiocomunicaciones (AR) y de las Comisiones de Estudio del Sector de Radiocomunicaciones se estipulan en la Resolución UIT-R 1</w:t>
      </w:r>
      <w:r w:rsidRPr="0056057F">
        <w:rPr>
          <w:position w:val="6"/>
          <w:sz w:val="18"/>
          <w:lang w:val="es-ES"/>
        </w:rPr>
        <w:footnoteReference w:customMarkFollows="1" w:id="2"/>
        <w:sym w:font="Symbol" w:char="F02A"/>
      </w:r>
      <w:r w:rsidRPr="0056057F">
        <w:rPr>
          <w:lang w:val="es-ES"/>
        </w:rPr>
        <w:t xml:space="preserve">. A su vez, en dicha Resolución se indica que el Director publica </w:t>
      </w:r>
      <w:r w:rsidRPr="0056057F">
        <w:rPr>
          <w:i/>
          <w:iCs/>
          <w:lang w:val="es-ES"/>
        </w:rPr>
        <w:t>Directrices</w:t>
      </w:r>
      <w:r w:rsidRPr="0056057F">
        <w:rPr>
          <w:lang w:val="es-ES"/>
        </w:rPr>
        <w:t xml:space="preserve"> sobre métodos de trabajo que complementan y son adicionales a la citada Resolución.</w:t>
      </w:r>
    </w:p>
    <w:p w:rsidR="00026D75" w:rsidRPr="0056057F" w:rsidRDefault="00026D75" w:rsidP="00D44DD2">
      <w:pPr>
        <w:rPr>
          <w:lang w:val="es-ES"/>
        </w:rPr>
      </w:pPr>
      <w:r w:rsidRPr="0056057F">
        <w:rPr>
          <w:lang w:val="es-ES"/>
        </w:rPr>
        <w:t xml:space="preserve">La presente edición de las </w:t>
      </w:r>
      <w:r w:rsidRPr="0056057F">
        <w:rPr>
          <w:i/>
          <w:iCs/>
          <w:lang w:val="es-ES"/>
        </w:rPr>
        <w:t>Directrices</w:t>
      </w:r>
      <w:r w:rsidRPr="0056057F">
        <w:rPr>
          <w:lang w:val="es-ES"/>
        </w:rPr>
        <w:t xml:space="preserve"> complementa la Resolución UIT-R 1-7 aprobada por la AR</w:t>
      </w:r>
      <w:r w:rsidRPr="0056057F">
        <w:rPr>
          <w:lang w:val="es-ES"/>
        </w:rPr>
        <w:noBreakHyphen/>
        <w:t>15.</w:t>
      </w:r>
    </w:p>
    <w:p w:rsidR="00026D75" w:rsidRPr="0056057F" w:rsidRDefault="00026D75" w:rsidP="00026D75">
      <w:pPr>
        <w:pStyle w:val="Heading1"/>
        <w:rPr>
          <w:lang w:val="es-ES"/>
        </w:rPr>
      </w:pPr>
      <w:bookmarkStart w:id="14" w:name="_Toc521226237"/>
      <w:bookmarkStart w:id="15" w:name="_Toc7599958"/>
      <w:bookmarkStart w:id="16" w:name="_Toc78875694"/>
      <w:bookmarkStart w:id="17" w:name="_Toc78942513"/>
      <w:bookmarkStart w:id="18" w:name="_Toc79307784"/>
      <w:bookmarkStart w:id="19" w:name="_Toc214178198"/>
      <w:bookmarkStart w:id="20" w:name="_Toc215371325"/>
      <w:bookmarkStart w:id="21" w:name="_Toc450136708"/>
      <w:r w:rsidRPr="0056057F">
        <w:rPr>
          <w:lang w:val="es-ES"/>
        </w:rPr>
        <w:t>2</w:t>
      </w:r>
      <w:r w:rsidRPr="0056057F">
        <w:rPr>
          <w:lang w:val="es-ES"/>
        </w:rPr>
        <w:tab/>
        <w:t xml:space="preserve">Disposiciones para las </w:t>
      </w:r>
      <w:bookmarkEnd w:id="14"/>
      <w:bookmarkEnd w:id="15"/>
      <w:bookmarkEnd w:id="16"/>
      <w:bookmarkEnd w:id="17"/>
      <w:bookmarkEnd w:id="18"/>
      <w:bookmarkEnd w:id="19"/>
      <w:bookmarkEnd w:id="20"/>
      <w:r w:rsidRPr="0056057F">
        <w:rPr>
          <w:lang w:val="es-ES"/>
        </w:rPr>
        <w:t>reuniones</w:t>
      </w:r>
      <w:bookmarkEnd w:id="21"/>
    </w:p>
    <w:p w:rsidR="00026D75" w:rsidRPr="0056057F" w:rsidRDefault="00026D75" w:rsidP="00D44DD2">
      <w:pPr>
        <w:pStyle w:val="Heading2"/>
        <w:rPr>
          <w:lang w:val="es-ES"/>
        </w:rPr>
      </w:pPr>
      <w:bookmarkStart w:id="22" w:name="_Toc450136709"/>
      <w:r w:rsidRPr="0056057F">
        <w:rPr>
          <w:lang w:val="es-ES"/>
        </w:rPr>
        <w:t>2.1</w:t>
      </w:r>
      <w:r w:rsidRPr="0056057F">
        <w:rPr>
          <w:lang w:val="es-ES"/>
        </w:rPr>
        <w:tab/>
        <w:t>Reuniones</w:t>
      </w:r>
      <w:bookmarkEnd w:id="22"/>
    </w:p>
    <w:p w:rsidR="00026D75" w:rsidRPr="0056057F" w:rsidRDefault="00026D75" w:rsidP="00D44DD2">
      <w:pPr>
        <w:pStyle w:val="Heading3"/>
        <w:rPr>
          <w:lang w:val="es-ES"/>
        </w:rPr>
      </w:pPr>
      <w:bookmarkStart w:id="23" w:name="_Toc521226238"/>
      <w:bookmarkStart w:id="24" w:name="_Toc7599959"/>
      <w:bookmarkStart w:id="25" w:name="_Toc78875695"/>
      <w:bookmarkStart w:id="26" w:name="_Toc78942514"/>
      <w:bookmarkStart w:id="27" w:name="_Toc79307785"/>
      <w:bookmarkStart w:id="28" w:name="_Toc214178199"/>
      <w:bookmarkStart w:id="29" w:name="_Toc215371326"/>
      <w:bookmarkStart w:id="30" w:name="_Toc450136710"/>
      <w:r w:rsidRPr="0056057F">
        <w:rPr>
          <w:lang w:val="es-ES"/>
        </w:rPr>
        <w:t>2.1.1</w:t>
      </w:r>
      <w:r w:rsidRPr="0056057F">
        <w:rPr>
          <w:lang w:val="es-ES"/>
        </w:rPr>
        <w:tab/>
        <w:t>Asamblea de Radiocomunicaciones (AR)</w:t>
      </w:r>
      <w:bookmarkEnd w:id="23"/>
      <w:bookmarkEnd w:id="24"/>
      <w:bookmarkEnd w:id="25"/>
      <w:bookmarkEnd w:id="26"/>
      <w:bookmarkEnd w:id="27"/>
      <w:bookmarkEnd w:id="28"/>
      <w:bookmarkEnd w:id="29"/>
      <w:bookmarkEnd w:id="30"/>
    </w:p>
    <w:p w:rsidR="00026D75" w:rsidRPr="0056057F" w:rsidRDefault="00026D75" w:rsidP="00D44DD2">
      <w:pPr>
        <w:rPr>
          <w:lang w:val="es-ES"/>
        </w:rPr>
      </w:pPr>
      <w:r w:rsidRPr="0056057F">
        <w:rPr>
          <w:lang w:val="es-ES"/>
        </w:rPr>
        <w:t>En el artículo 13 de la Constitución y el Artículo 8 del Convenio se especifican las obligaciones y funciones de las Asambleas de Radiocomunicaciones. Los métodos de trabajo de las AR se definen en el § A1.2 del Anexo 1 a la Resolución UIT-R 1.</w:t>
      </w:r>
    </w:p>
    <w:p w:rsidR="00026D75" w:rsidRPr="0056057F" w:rsidRDefault="00026D75" w:rsidP="00D44DD2">
      <w:pPr>
        <w:rPr>
          <w:lang w:val="es-ES"/>
        </w:rPr>
      </w:pPr>
      <w:r w:rsidRPr="0056057F">
        <w:rPr>
          <w:lang w:val="es-ES"/>
        </w:rPr>
        <w:t>Poco después de una AR se envía una Circular Administrativa (CA) a los Estados Miembros y a los Miembros del Sector de Radiocomunicaciones de la UIT, en la cual se invita a éstos a participar en el trabajo de las Comisiones de Estudio de Radiocomunicaciones y sus Grupos subordinados</w:t>
      </w:r>
      <w:r w:rsidRPr="0056057F">
        <w:rPr>
          <w:position w:val="6"/>
          <w:sz w:val="18"/>
          <w:lang w:val="es-ES"/>
        </w:rPr>
        <w:footnoteReference w:customMarkFollows="1" w:id="3"/>
        <w:sym w:font="Symbol" w:char="F02A"/>
      </w:r>
      <w:r w:rsidRPr="0056057F">
        <w:rPr>
          <w:position w:val="6"/>
          <w:sz w:val="18"/>
          <w:lang w:val="es-ES"/>
        </w:rPr>
        <w:sym w:font="Symbol" w:char="F02A"/>
      </w:r>
      <w:r w:rsidRPr="0056057F">
        <w:rPr>
          <w:lang w:val="es-ES"/>
        </w:rPr>
        <w:t>. En la Circular, en la que se indican todos los Grupos actuales, se pide además a los Miembros que consulten la Circular CA/225 de la BR de 6 de julio de 2015 para obtener información sobre la manera de recibir notificaciones por correo electrónico cuando se publiquen Circulares Administrativas y Cartas Circulares de la BR en el sitio web de la UIT, así como otros documentos de interés de la UIT.</w:t>
      </w:r>
    </w:p>
    <w:p w:rsidR="00026D75" w:rsidRPr="0056057F" w:rsidRDefault="00026D75" w:rsidP="00026D75">
      <w:pPr>
        <w:pStyle w:val="Heading3"/>
        <w:rPr>
          <w:lang w:val="es-ES"/>
        </w:rPr>
      </w:pPr>
      <w:bookmarkStart w:id="31" w:name="_Toc521226239"/>
      <w:bookmarkStart w:id="32" w:name="_Toc7599960"/>
      <w:bookmarkStart w:id="33" w:name="_Toc78875696"/>
      <w:bookmarkStart w:id="34" w:name="_Toc78942515"/>
      <w:bookmarkStart w:id="35" w:name="_Toc79307786"/>
      <w:bookmarkStart w:id="36" w:name="_Toc214178200"/>
      <w:bookmarkStart w:id="37" w:name="_Toc215371327"/>
      <w:bookmarkStart w:id="38" w:name="_Toc450136711"/>
      <w:r w:rsidRPr="0056057F">
        <w:rPr>
          <w:lang w:val="es-ES"/>
        </w:rPr>
        <w:t>2.1.2</w:t>
      </w:r>
      <w:r w:rsidRPr="0056057F">
        <w:rPr>
          <w:lang w:val="es-ES"/>
        </w:rPr>
        <w:tab/>
        <w:t>Reunión Preparatoria de la Conferencia (RPC)</w:t>
      </w:r>
      <w:bookmarkEnd w:id="31"/>
      <w:bookmarkEnd w:id="32"/>
      <w:bookmarkEnd w:id="33"/>
      <w:bookmarkEnd w:id="34"/>
      <w:bookmarkEnd w:id="35"/>
      <w:bookmarkEnd w:id="36"/>
      <w:bookmarkEnd w:id="37"/>
      <w:bookmarkEnd w:id="38"/>
    </w:p>
    <w:p w:rsidR="00026D75" w:rsidRPr="0056057F" w:rsidRDefault="00026D75" w:rsidP="00D44DD2">
      <w:pPr>
        <w:rPr>
          <w:lang w:val="es-ES"/>
        </w:rPr>
      </w:pPr>
      <w:r w:rsidRPr="0056057F">
        <w:rPr>
          <w:lang w:val="es-ES"/>
        </w:rPr>
        <w:t>Como se señala en el § A1.5 del Anexo 1 a la Resolución UIT-R 1, en la Resolución UIT-R 2 se estipulan las obligaciones y funciones de la RPC; en su Anexo 1 se detallan sus métodos de trabajo y en su Anexo 2 se facilitan las Directrices para la preparación del Informe de la RPC. Además, el § 11 del Anexo 1 a la Resolución UIT</w:t>
      </w:r>
      <w:r w:rsidRPr="0056057F">
        <w:rPr>
          <w:lang w:val="es-ES"/>
        </w:rPr>
        <w:noBreakHyphen/>
        <w:t>R 2 estipula que las demás disposiciones relativas al método de trabajo se ajustarán a la Resolución UIT</w:t>
      </w:r>
      <w:r w:rsidRPr="0056057F">
        <w:rPr>
          <w:lang w:val="es-ES"/>
        </w:rPr>
        <w:noBreakHyphen/>
        <w:t xml:space="preserve">R 1. </w:t>
      </w:r>
    </w:p>
    <w:p w:rsidR="00026D75" w:rsidRPr="0056057F" w:rsidRDefault="00026D75" w:rsidP="00D44DD2">
      <w:pPr>
        <w:rPr>
          <w:lang w:val="es-ES"/>
        </w:rPr>
      </w:pPr>
      <w:r w:rsidRPr="0056057F">
        <w:rPr>
          <w:lang w:val="es-ES"/>
        </w:rPr>
        <w:t>Por consiguiente, a menos que se indique otra cosa, también se aplica a la RPC la información que figura en los § 2.4, 3, 4.4 y 7.</w:t>
      </w:r>
    </w:p>
    <w:p w:rsidR="00026D75" w:rsidRPr="0056057F" w:rsidRDefault="00026D75" w:rsidP="00D44DD2">
      <w:pPr>
        <w:pStyle w:val="Heading3"/>
        <w:rPr>
          <w:lang w:val="es-ES"/>
        </w:rPr>
      </w:pPr>
      <w:bookmarkStart w:id="39" w:name="_Toc521226240"/>
      <w:bookmarkStart w:id="40" w:name="_Toc7599961"/>
      <w:bookmarkStart w:id="41" w:name="_Toc78875697"/>
      <w:bookmarkStart w:id="42" w:name="_Toc78942516"/>
      <w:bookmarkStart w:id="43" w:name="_Toc79307787"/>
      <w:bookmarkStart w:id="44" w:name="_Toc214178201"/>
      <w:bookmarkStart w:id="45" w:name="_Toc215371328"/>
      <w:bookmarkStart w:id="46" w:name="_Toc450136712"/>
      <w:r w:rsidRPr="0056057F">
        <w:rPr>
          <w:lang w:val="es-ES"/>
        </w:rPr>
        <w:lastRenderedPageBreak/>
        <w:t>2.1.3</w:t>
      </w:r>
      <w:r w:rsidRPr="0056057F">
        <w:rPr>
          <w:lang w:val="es-ES"/>
        </w:rPr>
        <w:tab/>
        <w:t>Presidentes y Vicepresidentes de Comisiones de Estudio</w:t>
      </w:r>
      <w:bookmarkEnd w:id="39"/>
      <w:r w:rsidRPr="0056057F">
        <w:rPr>
          <w:lang w:val="es-ES"/>
        </w:rPr>
        <w:t xml:space="preserve"> del UIT-R</w:t>
      </w:r>
      <w:bookmarkEnd w:id="40"/>
      <w:bookmarkEnd w:id="41"/>
      <w:bookmarkEnd w:id="42"/>
      <w:bookmarkEnd w:id="43"/>
      <w:bookmarkEnd w:id="44"/>
      <w:bookmarkEnd w:id="45"/>
      <w:r w:rsidRPr="0056057F">
        <w:rPr>
          <w:lang w:val="es-ES"/>
        </w:rPr>
        <w:t xml:space="preserve"> (CVC)</w:t>
      </w:r>
      <w:bookmarkEnd w:id="46"/>
    </w:p>
    <w:p w:rsidR="00026D75" w:rsidRPr="0056057F" w:rsidRDefault="00026D75" w:rsidP="00D44DD2">
      <w:pPr>
        <w:rPr>
          <w:lang w:val="es-ES"/>
        </w:rPr>
      </w:pPr>
      <w:r w:rsidRPr="0056057F">
        <w:rPr>
          <w:lang w:val="es-ES"/>
        </w:rPr>
        <w:t xml:space="preserve">En el punto A1.6.1.1 del Anexo 1 a la Resolución UIT-R 1 se proporciona información sobre la celebración de estas reuniones. </w:t>
      </w:r>
    </w:p>
    <w:p w:rsidR="00026D75" w:rsidRPr="0056057F" w:rsidRDefault="00026D75" w:rsidP="00026D75">
      <w:pPr>
        <w:pStyle w:val="Heading3"/>
        <w:rPr>
          <w:lang w:val="es-ES"/>
        </w:rPr>
      </w:pPr>
      <w:bookmarkStart w:id="47" w:name="_Toc521224798"/>
      <w:bookmarkStart w:id="48" w:name="_Toc7593587"/>
      <w:bookmarkStart w:id="49" w:name="_Toc122947273"/>
      <w:bookmarkStart w:id="50" w:name="_Toc354672813"/>
      <w:bookmarkStart w:id="51" w:name="_Toc450136713"/>
      <w:r w:rsidRPr="0056057F">
        <w:rPr>
          <w:lang w:val="es-ES"/>
        </w:rPr>
        <w:t>2.1.4</w:t>
      </w:r>
      <w:r w:rsidRPr="0056057F">
        <w:rPr>
          <w:lang w:val="es-ES"/>
        </w:rPr>
        <w:tab/>
      </w:r>
      <w:bookmarkEnd w:id="47"/>
      <w:bookmarkEnd w:id="48"/>
      <w:bookmarkEnd w:id="49"/>
      <w:bookmarkEnd w:id="50"/>
      <w:r w:rsidRPr="0056057F">
        <w:rPr>
          <w:lang w:val="es-ES"/>
        </w:rPr>
        <w:t>Comisiones de Estudio, Comité de Coordinación de Vocabulario (CCV), Grupos subordinados (Grupos de Trabajo (GT), Grupos de Tareas Especiales (GTE), Grupos de Trabajo Mixtos (GTM), Grupos de Tareas Especiales Mixtos (GTEM), Grupos de Relator (GR), Grupos Mixtos de Relator (GMR), Grupos por Correspondencia (GC)) y Relatores</w:t>
      </w:r>
      <w:bookmarkEnd w:id="51"/>
    </w:p>
    <w:p w:rsidR="00026D75" w:rsidRPr="0056057F" w:rsidRDefault="00026D75" w:rsidP="00D44DD2">
      <w:pPr>
        <w:rPr>
          <w:lang w:val="es-ES"/>
        </w:rPr>
      </w:pPr>
      <w:r w:rsidRPr="0056057F">
        <w:rPr>
          <w:lang w:val="es-ES"/>
        </w:rPr>
        <w:t>En los Artículos 11 y 20 del Convenio se especifican las obligaciones, las funciones y la organización de las Comisiones de Estudio de Radiocomunicaciones. Los métodos de trabajo de las Comisiones de Estudio y de sus Grupos subordinados se señalan en el § A1.3 del Anexo 1 a la Resolución UIT</w:t>
      </w:r>
      <w:r w:rsidRPr="0056057F">
        <w:rPr>
          <w:lang w:val="es-ES"/>
        </w:rPr>
        <w:noBreakHyphen/>
        <w:t>R 1. En particular, en los §§§ A1.3.1.8 y A1.3.2.6 a A1.3.2.10 del Anexo 1 se describen con detalle la diferencia entre Relatores, Grupos de Relator, Grupos Mixtos de Relator y Grupos por Correspondencia así como las disposiciones que se aplican a los mismos.</w:t>
      </w:r>
    </w:p>
    <w:p w:rsidR="00026D75" w:rsidRPr="0056057F" w:rsidRDefault="00026D75" w:rsidP="00D44DD2">
      <w:pPr>
        <w:rPr>
          <w:lang w:val="es-ES"/>
        </w:rPr>
      </w:pPr>
      <w:r w:rsidRPr="0056057F">
        <w:rPr>
          <w:lang w:val="es-ES"/>
        </w:rPr>
        <w:t xml:space="preserve">Cabe señalar que los Grupos de Relator, Grupos Mixtos de Relator y Grupos por Correspondencia están sujetos a un apoyo presupuestario y de secretaría limitado. </w:t>
      </w:r>
    </w:p>
    <w:p w:rsidR="00026D75" w:rsidRPr="0056057F" w:rsidRDefault="00026D75" w:rsidP="00D44DD2">
      <w:pPr>
        <w:pStyle w:val="Heading2"/>
        <w:rPr>
          <w:lang w:val="es-ES"/>
        </w:rPr>
      </w:pPr>
      <w:bookmarkStart w:id="52" w:name="_Toc521226242"/>
      <w:bookmarkStart w:id="53" w:name="_Toc7599963"/>
      <w:bookmarkStart w:id="54" w:name="_Toc78875699"/>
      <w:bookmarkStart w:id="55" w:name="_Toc78942518"/>
      <w:bookmarkStart w:id="56" w:name="_Toc79307789"/>
      <w:bookmarkStart w:id="57" w:name="_Toc214178203"/>
      <w:bookmarkStart w:id="58" w:name="_Toc215371330"/>
      <w:bookmarkStart w:id="59" w:name="_Toc450136714"/>
      <w:r w:rsidRPr="0056057F">
        <w:rPr>
          <w:lang w:val="es-ES"/>
        </w:rPr>
        <w:t>2.2</w:t>
      </w:r>
      <w:r w:rsidRPr="0056057F">
        <w:rPr>
          <w:lang w:val="es-ES"/>
        </w:rPr>
        <w:tab/>
        <w:t>Participación en las reuniones</w:t>
      </w:r>
      <w:bookmarkEnd w:id="52"/>
      <w:bookmarkEnd w:id="53"/>
      <w:bookmarkEnd w:id="54"/>
      <w:bookmarkEnd w:id="55"/>
      <w:bookmarkEnd w:id="56"/>
      <w:bookmarkEnd w:id="57"/>
      <w:bookmarkEnd w:id="58"/>
      <w:bookmarkEnd w:id="59"/>
    </w:p>
    <w:p w:rsidR="00026D75" w:rsidRPr="0056057F" w:rsidRDefault="00026D75" w:rsidP="00D44DD2">
      <w:pPr>
        <w:rPr>
          <w:lang w:val="es-ES"/>
        </w:rPr>
      </w:pPr>
      <w:r w:rsidRPr="0056057F">
        <w:rPr>
          <w:lang w:val="es-ES"/>
        </w:rPr>
        <w:t>Los Estados Miembros y los Miembros del Sector de Radiocomunicaciones están facultados para participar en las reuniones mencionadas en la Resolución UIT</w:t>
      </w:r>
      <w:r w:rsidRPr="0056057F">
        <w:rPr>
          <w:lang w:val="es-ES"/>
        </w:rPr>
        <w:noBreakHyphen/>
        <w:t>R 1. Si bien los Estados Miembros y los Miembros del Sector de Radiocomunicaciones gozan de un pleno derecho de participación (véase el Artículo 3 de la Constitución), se aplican ciertas restricciones a la participación de los Miembros del Sector de Radiocomunicaciones en lo que concierne a la adopción y/o aprobación de textos tales como Resoluciones, Recomendaciones, Informes, Manuales, Opiniones y Cuestiones.</w:t>
      </w:r>
    </w:p>
    <w:p w:rsidR="00026D75" w:rsidRPr="0056057F" w:rsidRDefault="00026D75" w:rsidP="00D44DD2">
      <w:pPr>
        <w:rPr>
          <w:lang w:val="es-ES"/>
        </w:rPr>
      </w:pPr>
      <w:r w:rsidRPr="0056057F">
        <w:rPr>
          <w:lang w:val="es-ES"/>
        </w:rPr>
        <w:t>Se permite que los Asociados participen en las actividades de una determinada Comisión de Estudio (incluidos sus grupos subordinados), pero sin derecho a hacerlo en la adopción de decisiones o las actividades de coordinación de esa Comisión de Estudio (véanse los números 241A y 248B del Convenio). Los derechos de los Asociados están contemplados en la Resolución UIT-R 43.</w:t>
      </w:r>
    </w:p>
    <w:p w:rsidR="00026D75" w:rsidRPr="0056057F" w:rsidRDefault="00026D75" w:rsidP="00D44DD2">
      <w:pPr>
        <w:rPr>
          <w:lang w:val="es-ES"/>
        </w:rPr>
      </w:pPr>
      <w:r w:rsidRPr="0056057F">
        <w:rPr>
          <w:lang w:val="es-ES"/>
        </w:rPr>
        <w:t>Las escuelas, los institutos, las universidades y sus centros de investigación asociados interesados en el desarrollo de las telecomunicaciones/TIC (en adelante «Instituciones Académicas») pueden participar en los Grupos de Trabajo de las Comisiones de Estudio del Sector de Radiocomunicaciones. La admisión de instituciones Académicas para participar en los trabajos de la Unión está contemplada en la Resolución 169 (Rev. Busán, 2014).</w:t>
      </w:r>
    </w:p>
    <w:p w:rsidR="00026D75" w:rsidRPr="0056057F" w:rsidRDefault="00026D75" w:rsidP="00D44DD2">
      <w:pPr>
        <w:rPr>
          <w:lang w:val="es-ES"/>
        </w:rPr>
      </w:pPr>
      <w:r w:rsidRPr="0056057F">
        <w:rPr>
          <w:lang w:val="es-ES"/>
        </w:rPr>
        <w:t xml:space="preserve">En consulta con el Presidente de la Comisión de Estudio de que se trate, el Director puede invitar a una organización que no participe en el Sector de Radiocomunicaciones a enviar un representante con el fin de intervenir en el examen de un determinado asunto en la Comisión de Estudio competente o sus Grupos subordinados (véase el número 248A del Convenio; véase también el § 6 de estas </w:t>
      </w:r>
      <w:r w:rsidRPr="0056057F">
        <w:rPr>
          <w:i/>
          <w:iCs/>
          <w:lang w:val="es-ES"/>
        </w:rPr>
        <w:t>Directrices</w:t>
      </w:r>
      <w:r w:rsidRPr="0056057F">
        <w:rPr>
          <w:lang w:val="es-ES"/>
        </w:rPr>
        <w:t>. En los números 1001 y 1002 del Anexo al Convenio se definen los expertos y observadores).</w:t>
      </w:r>
    </w:p>
    <w:p w:rsidR="00026D75" w:rsidRPr="0056057F" w:rsidRDefault="00026D75" w:rsidP="00D44DD2">
      <w:pPr>
        <w:pStyle w:val="Heading2"/>
        <w:rPr>
          <w:rFonts w:eastAsia="Arial Unicode MS"/>
          <w:lang w:val="es-ES"/>
        </w:rPr>
      </w:pPr>
      <w:bookmarkStart w:id="60" w:name="_Toc7599964"/>
      <w:bookmarkStart w:id="61" w:name="_Toc78875700"/>
      <w:bookmarkStart w:id="62" w:name="_Toc78942519"/>
      <w:bookmarkStart w:id="63" w:name="_Toc79307790"/>
      <w:bookmarkStart w:id="64" w:name="_Toc214178204"/>
      <w:bookmarkStart w:id="65" w:name="_Toc215371331"/>
      <w:bookmarkStart w:id="66" w:name="_Toc450136715"/>
      <w:r w:rsidRPr="0056057F">
        <w:rPr>
          <w:lang w:val="es-ES"/>
        </w:rPr>
        <w:t>2.3</w:t>
      </w:r>
      <w:r w:rsidRPr="0056057F">
        <w:rPr>
          <w:lang w:val="es-ES"/>
        </w:rPr>
        <w:tab/>
        <w:t>Calendario de reuniones</w:t>
      </w:r>
      <w:bookmarkEnd w:id="60"/>
      <w:bookmarkEnd w:id="61"/>
      <w:bookmarkEnd w:id="62"/>
      <w:bookmarkEnd w:id="63"/>
      <w:bookmarkEnd w:id="64"/>
      <w:bookmarkEnd w:id="65"/>
      <w:bookmarkEnd w:id="66"/>
    </w:p>
    <w:p w:rsidR="00026D75" w:rsidRPr="0056057F" w:rsidRDefault="00026D75" w:rsidP="00D44DD2">
      <w:pPr>
        <w:rPr>
          <w:lang w:val="es-ES"/>
        </w:rPr>
      </w:pPr>
      <w:r w:rsidRPr="0056057F">
        <w:rPr>
          <w:lang w:val="es-ES"/>
        </w:rPr>
        <w:t>Las reuniones de las Comisiones de Estudio y de sus Grupos subordinados se organizan en el tiempo de conformidad con el plan de reuniones preparado por el Director en consulta con los Presidentes de las Comisiones de Estudio. Este Plan se ha desarrollado teniendo debidamente en cuenta el Plan Operativo del UIT</w:t>
      </w:r>
      <w:r w:rsidRPr="0056057F">
        <w:rPr>
          <w:lang w:val="es-ES"/>
        </w:rPr>
        <w:noBreakHyphen/>
        <w:t xml:space="preserve">R y el presupuesto atribuido a las reuniones de las Comisiones de Estudio. </w:t>
      </w:r>
      <w:r w:rsidRPr="0056057F">
        <w:rPr>
          <w:lang w:val="es-ES"/>
        </w:rPr>
        <w:lastRenderedPageBreak/>
        <w:t>Además, se mantiene un calendario de reuniones actualizado en la siguiente dirección web del UIT</w:t>
      </w:r>
      <w:r w:rsidR="00542D5D" w:rsidRPr="0056057F">
        <w:rPr>
          <w:lang w:val="es-ES"/>
        </w:rPr>
        <w:noBreakHyphen/>
      </w:r>
      <w:r w:rsidRPr="0056057F">
        <w:rPr>
          <w:lang w:val="es-ES"/>
        </w:rPr>
        <w:t xml:space="preserve">R: </w:t>
      </w:r>
      <w:hyperlink r:id="rId26" w:history="1">
        <w:r w:rsidRPr="0056057F">
          <w:rPr>
            <w:rStyle w:val="Hyperlink"/>
            <w:rFonts w:cs="Times New Roman"/>
            <w:lang w:val="es-ES"/>
          </w:rPr>
          <w:t>http://www.itu.int/en/events/Pages/Calendar-Events.aspx?sector=ITU-R</w:t>
        </w:r>
      </w:hyperlink>
    </w:p>
    <w:p w:rsidR="00026D75" w:rsidRPr="0056057F" w:rsidRDefault="00026D75" w:rsidP="00D44DD2">
      <w:pPr>
        <w:pStyle w:val="Heading2"/>
        <w:rPr>
          <w:rFonts w:eastAsia="Arial Unicode MS"/>
          <w:lang w:val="es-ES"/>
        </w:rPr>
      </w:pPr>
      <w:bookmarkStart w:id="67" w:name="_Toc7599965"/>
      <w:bookmarkStart w:id="68" w:name="_Toc78875701"/>
      <w:bookmarkStart w:id="69" w:name="_Toc78942520"/>
      <w:bookmarkStart w:id="70" w:name="_Toc79307791"/>
      <w:bookmarkStart w:id="71" w:name="_Toc214178205"/>
      <w:bookmarkStart w:id="72" w:name="_Toc215371332"/>
      <w:bookmarkStart w:id="73" w:name="_Toc450136716"/>
      <w:bookmarkStart w:id="74" w:name="_Toc122947278"/>
      <w:r w:rsidRPr="0056057F">
        <w:rPr>
          <w:lang w:val="es-ES"/>
        </w:rPr>
        <w:t>2.4</w:t>
      </w:r>
      <w:r w:rsidRPr="0056057F">
        <w:rPr>
          <w:lang w:val="es-ES"/>
        </w:rPr>
        <w:tab/>
        <w:t>Anuncio de reuniones</w:t>
      </w:r>
      <w:bookmarkEnd w:id="67"/>
      <w:bookmarkEnd w:id="68"/>
      <w:bookmarkEnd w:id="69"/>
      <w:bookmarkEnd w:id="70"/>
      <w:bookmarkEnd w:id="71"/>
      <w:bookmarkEnd w:id="72"/>
      <w:bookmarkEnd w:id="73"/>
    </w:p>
    <w:p w:rsidR="00026D75" w:rsidRPr="0056057F" w:rsidRDefault="00026D75" w:rsidP="00D44DD2">
      <w:pPr>
        <w:pStyle w:val="Heading3"/>
        <w:rPr>
          <w:rFonts w:eastAsia="Arial Unicode MS"/>
          <w:lang w:val="es-ES"/>
        </w:rPr>
      </w:pPr>
      <w:bookmarkStart w:id="75" w:name="_Toc79307792"/>
      <w:bookmarkStart w:id="76" w:name="_Toc214178206"/>
      <w:bookmarkStart w:id="77" w:name="_Toc215371333"/>
      <w:bookmarkStart w:id="78" w:name="_Toc450136717"/>
      <w:r w:rsidRPr="0056057F">
        <w:rPr>
          <w:lang w:val="es-ES"/>
        </w:rPr>
        <w:t>2.4.1</w:t>
      </w:r>
      <w:r w:rsidRPr="0056057F">
        <w:rPr>
          <w:lang w:val="es-ES"/>
        </w:rPr>
        <w:tab/>
        <w:t xml:space="preserve">Asamblea de </w:t>
      </w:r>
      <w:bookmarkEnd w:id="75"/>
      <w:bookmarkEnd w:id="76"/>
      <w:r w:rsidRPr="0056057F">
        <w:rPr>
          <w:lang w:val="es-ES"/>
        </w:rPr>
        <w:t>Radiocomunicaciones</w:t>
      </w:r>
      <w:bookmarkEnd w:id="77"/>
      <w:bookmarkEnd w:id="78"/>
    </w:p>
    <w:p w:rsidR="00026D75" w:rsidRPr="0056057F" w:rsidRDefault="00026D75" w:rsidP="00D44DD2">
      <w:pPr>
        <w:rPr>
          <w:lang w:val="es-ES"/>
        </w:rPr>
      </w:pPr>
      <w:r w:rsidRPr="0056057F">
        <w:rPr>
          <w:lang w:val="es-ES"/>
        </w:rPr>
        <w:t>Las AR se anuncian con mucha antelación (como mínimo 6 meses antes) mediante Circular Administrativa (CACE) acompañada por una invitación del Secretario General. Estas Circulares se envían a todos los Estados Miembros y Miembros de Sector del UIT-R y contienen, entre otras cosas, información sobre la documentación prevista, la estructura provisional de las Comisiones, las contribuciones y las disposiciones adoptadas en cuanto a la participación.</w:t>
      </w:r>
    </w:p>
    <w:p w:rsidR="00026D75" w:rsidRPr="0056057F" w:rsidRDefault="00026D75" w:rsidP="00026D75">
      <w:pPr>
        <w:pStyle w:val="Heading3"/>
        <w:rPr>
          <w:lang w:val="es-ES"/>
        </w:rPr>
      </w:pPr>
      <w:bookmarkStart w:id="79" w:name="_Toc214178207"/>
      <w:bookmarkStart w:id="80" w:name="_Toc215371334"/>
      <w:bookmarkStart w:id="81" w:name="_Toc450136718"/>
      <w:r w:rsidRPr="0056057F">
        <w:rPr>
          <w:lang w:val="es-ES"/>
        </w:rPr>
        <w:t>2.4.2</w:t>
      </w:r>
      <w:r w:rsidRPr="0056057F">
        <w:rPr>
          <w:lang w:val="es-ES"/>
        </w:rPr>
        <w:tab/>
        <w:t>Reuniones de la RPC</w:t>
      </w:r>
      <w:bookmarkEnd w:id="79"/>
      <w:bookmarkEnd w:id="80"/>
      <w:bookmarkEnd w:id="81"/>
    </w:p>
    <w:p w:rsidR="00026D75" w:rsidRPr="0056057F" w:rsidRDefault="00026D75" w:rsidP="00D44DD2">
      <w:pPr>
        <w:rPr>
          <w:lang w:val="es-ES"/>
        </w:rPr>
      </w:pPr>
      <w:r w:rsidRPr="0056057F">
        <w:rPr>
          <w:lang w:val="es-ES"/>
        </w:rPr>
        <w:t>Las reuniones de la RPC se anuncian mediante Circular Administrativa (CA) al menos cuatro meses antes de la primera sesión y al menos seis meses antes de la segunda sesión. Las Circulares se envían a todos los Estados Miembros y Miembros del Sector de Radiocomunicaciones.</w:t>
      </w:r>
    </w:p>
    <w:p w:rsidR="00026D75" w:rsidRPr="0056057F" w:rsidRDefault="00026D75" w:rsidP="00026D75">
      <w:pPr>
        <w:pStyle w:val="Heading3"/>
        <w:rPr>
          <w:lang w:val="es-ES"/>
        </w:rPr>
      </w:pPr>
      <w:bookmarkStart w:id="82" w:name="_Toc79307793"/>
      <w:bookmarkStart w:id="83" w:name="_Toc214178208"/>
      <w:bookmarkStart w:id="84" w:name="_Toc215371335"/>
      <w:bookmarkStart w:id="85" w:name="_Toc450136719"/>
      <w:bookmarkEnd w:id="74"/>
      <w:r w:rsidRPr="0056057F">
        <w:rPr>
          <w:lang w:val="es-ES"/>
        </w:rPr>
        <w:t>2.4.3</w:t>
      </w:r>
      <w:r w:rsidRPr="0056057F">
        <w:rPr>
          <w:lang w:val="es-ES"/>
        </w:rPr>
        <w:tab/>
        <w:t>Reuniones de las Comisiones de Estudio</w:t>
      </w:r>
      <w:bookmarkEnd w:id="82"/>
      <w:bookmarkEnd w:id="83"/>
      <w:bookmarkEnd w:id="84"/>
      <w:r w:rsidRPr="0056057F">
        <w:rPr>
          <w:lang w:val="es-ES"/>
        </w:rPr>
        <w:t xml:space="preserve"> (incluido el CCV)</w:t>
      </w:r>
      <w:bookmarkEnd w:id="85"/>
    </w:p>
    <w:p w:rsidR="00026D75" w:rsidRPr="0056057F" w:rsidRDefault="00026D75" w:rsidP="00D44DD2">
      <w:pPr>
        <w:rPr>
          <w:lang w:val="es-ES"/>
        </w:rPr>
      </w:pPr>
      <w:r w:rsidRPr="0056057F">
        <w:rPr>
          <w:lang w:val="es-ES"/>
        </w:rPr>
        <w:t>Las reuniones de las Comisiones de Estudio (incluido el CCV) se anuncian mediante Circular Administrativa (CACE) como mínimo tres meses por adelantado. Las Circulares se envían a todos los Estados Miembros, Miembros de Sector y Asociados (para la Comisión de Estudio pertinente) del</w:t>
      </w:r>
      <w:r w:rsidR="00542D5D" w:rsidRPr="0056057F">
        <w:rPr>
          <w:lang w:val="es-ES"/>
        </w:rPr>
        <w:t> </w:t>
      </w:r>
      <w:r w:rsidRPr="0056057F">
        <w:rPr>
          <w:lang w:val="es-ES"/>
        </w:rPr>
        <w:t>UIT-R.</w:t>
      </w:r>
    </w:p>
    <w:p w:rsidR="00026D75" w:rsidRPr="0056057F" w:rsidRDefault="00026D75" w:rsidP="00026D75">
      <w:pPr>
        <w:pStyle w:val="Heading3"/>
        <w:rPr>
          <w:lang w:val="es-ES"/>
        </w:rPr>
      </w:pPr>
      <w:bookmarkStart w:id="86" w:name="_Toc79307794"/>
      <w:bookmarkStart w:id="87" w:name="_Toc214178209"/>
      <w:bookmarkStart w:id="88" w:name="_Toc215371336"/>
      <w:bookmarkStart w:id="89" w:name="_Toc450136720"/>
      <w:r w:rsidRPr="0056057F">
        <w:rPr>
          <w:lang w:val="es-ES"/>
        </w:rPr>
        <w:t>2.4.4</w:t>
      </w:r>
      <w:r w:rsidRPr="0056057F">
        <w:rPr>
          <w:lang w:val="es-ES"/>
        </w:rPr>
        <w:tab/>
        <w:t>Grupos subordinados (GT, GTE, etc.)</w:t>
      </w:r>
      <w:bookmarkEnd w:id="86"/>
      <w:bookmarkEnd w:id="87"/>
      <w:bookmarkEnd w:id="88"/>
      <w:bookmarkEnd w:id="89"/>
    </w:p>
    <w:p w:rsidR="00026D75" w:rsidRPr="0056057F" w:rsidRDefault="00026D75" w:rsidP="00D44DD2">
      <w:pPr>
        <w:rPr>
          <w:lang w:val="es-ES"/>
        </w:rPr>
      </w:pPr>
      <w:r w:rsidRPr="0056057F">
        <w:rPr>
          <w:lang w:val="es-ES"/>
        </w:rPr>
        <w:t>Las reuniones de los Grupos de Trabajo, los Grupos de Tareas Especiales, etc., se anuncian al menos tres meses antes mediante Carta Circular (LCCE) enviada a los Estados Miembros, los Miembros del Sector de Radiocomunicaciones, Asociados e Instituciones académicas que hayan indicado a la BR su intención de participar en las actividades de los correspondientes Grupos. En caso de urgencia deben autorizarse plazos de anuncio más breves (por ejemplo, en el caso de una reunión urgente de un Grupo de Tareas Especiales).</w:t>
      </w:r>
    </w:p>
    <w:p w:rsidR="00026D75" w:rsidRPr="0056057F" w:rsidRDefault="00026D75" w:rsidP="00D44DD2">
      <w:pPr>
        <w:rPr>
          <w:lang w:val="es-ES"/>
        </w:rPr>
      </w:pPr>
      <w:r w:rsidRPr="0056057F">
        <w:rPr>
          <w:lang w:val="es-ES"/>
        </w:rPr>
        <w:t xml:space="preserve">El anuncio de las reuniones de varios Grupos relacionados con una Comisión de Estudio se hace normalmente en una sola Carta Circular, con anexos separados para proporcionar información pormenorizada sobre cada reunión. </w:t>
      </w:r>
      <w:bookmarkStart w:id="90" w:name="_Toc521224802"/>
      <w:bookmarkStart w:id="91" w:name="_Toc7593591"/>
      <w:bookmarkStart w:id="92" w:name="_Toc122947280"/>
    </w:p>
    <w:p w:rsidR="00026D75" w:rsidRPr="0056057F" w:rsidRDefault="00026D75" w:rsidP="00D44DD2">
      <w:pPr>
        <w:pStyle w:val="Heading2"/>
        <w:rPr>
          <w:rFonts w:eastAsia="Arial Unicode MS"/>
          <w:lang w:val="es-ES"/>
        </w:rPr>
      </w:pPr>
      <w:bookmarkStart w:id="93" w:name="_Toc7599966"/>
      <w:bookmarkStart w:id="94" w:name="_Toc78875702"/>
      <w:bookmarkStart w:id="95" w:name="_Toc78942521"/>
      <w:bookmarkStart w:id="96" w:name="_Toc79307795"/>
      <w:bookmarkStart w:id="97" w:name="_Toc214178210"/>
      <w:bookmarkStart w:id="98" w:name="_Toc215371337"/>
      <w:bookmarkStart w:id="99" w:name="_Toc450136721"/>
      <w:bookmarkEnd w:id="90"/>
      <w:bookmarkEnd w:id="91"/>
      <w:bookmarkEnd w:id="92"/>
      <w:r w:rsidRPr="0056057F">
        <w:rPr>
          <w:lang w:val="es-ES"/>
        </w:rPr>
        <w:t>2.5</w:t>
      </w:r>
      <w:r w:rsidRPr="0056057F">
        <w:rPr>
          <w:lang w:val="es-ES"/>
        </w:rPr>
        <w:tab/>
        <w:t>Disposiciones relativas a las reuniones celebradas en la Sede de la UIT en Ginebra</w:t>
      </w:r>
      <w:bookmarkEnd w:id="93"/>
      <w:bookmarkEnd w:id="94"/>
      <w:bookmarkEnd w:id="95"/>
      <w:bookmarkEnd w:id="96"/>
      <w:bookmarkEnd w:id="97"/>
      <w:bookmarkEnd w:id="98"/>
      <w:bookmarkEnd w:id="99"/>
    </w:p>
    <w:p w:rsidR="00026D75" w:rsidRPr="0056057F" w:rsidRDefault="00026D75" w:rsidP="00D44DD2">
      <w:pPr>
        <w:rPr>
          <w:lang w:val="es-ES"/>
        </w:rPr>
      </w:pPr>
      <w:r w:rsidRPr="0056057F">
        <w:rPr>
          <w:lang w:val="es-ES"/>
        </w:rPr>
        <w:t xml:space="preserve">En los documentos informativos (INFO) que se publicarán al inicio de cada reunión (o bloque de reuniones) se dará información general a los participantes. </w:t>
      </w:r>
    </w:p>
    <w:p w:rsidR="00026D75" w:rsidRPr="0056057F" w:rsidRDefault="00026D75" w:rsidP="00026D75">
      <w:pPr>
        <w:pStyle w:val="Heading3"/>
        <w:rPr>
          <w:lang w:val="es-ES"/>
        </w:rPr>
      </w:pPr>
      <w:bookmarkStart w:id="100" w:name="_Toc79307796"/>
      <w:bookmarkStart w:id="101" w:name="_Toc214178211"/>
      <w:bookmarkStart w:id="102" w:name="_Toc215371338"/>
      <w:bookmarkStart w:id="103" w:name="_Toc450136722"/>
      <w:r w:rsidRPr="0056057F">
        <w:rPr>
          <w:lang w:val="es-ES"/>
        </w:rPr>
        <w:t>2.5.1</w:t>
      </w:r>
      <w:r w:rsidRPr="0056057F">
        <w:rPr>
          <w:lang w:val="es-ES"/>
        </w:rPr>
        <w:tab/>
        <w:t>Inscripción de los participantes</w:t>
      </w:r>
      <w:bookmarkEnd w:id="100"/>
      <w:bookmarkEnd w:id="101"/>
      <w:bookmarkEnd w:id="102"/>
      <w:bookmarkEnd w:id="103"/>
    </w:p>
    <w:p w:rsidR="00026D75" w:rsidRPr="0056057F" w:rsidRDefault="00026D75" w:rsidP="00D44DD2">
      <w:pPr>
        <w:rPr>
          <w:lang w:val="es-ES"/>
        </w:rPr>
      </w:pPr>
      <w:r w:rsidRPr="0056057F">
        <w:rPr>
          <w:lang w:val="es-ES"/>
        </w:rPr>
        <w:t>La inscripción para las actividades de las Comisiones de Estudio del UIT</w:t>
      </w:r>
      <w:r w:rsidRPr="0056057F">
        <w:rPr>
          <w:lang w:val="es-ES"/>
        </w:rPr>
        <w:noBreakHyphen/>
        <w:t xml:space="preserve">R se realiza exclusivamente en línea a través del Sistema de registro de eventos del UIT-R (véase </w:t>
      </w:r>
      <w:hyperlink r:id="rId27" w:history="1">
        <w:r w:rsidRPr="0056057F">
          <w:rPr>
            <w:rStyle w:val="Hyperlink"/>
            <w:rFonts w:cs="Times New Roman"/>
            <w:lang w:val="es-ES"/>
          </w:rPr>
          <w:t>www.itu.int/en/ITU-R/information/events</w:t>
        </w:r>
      </w:hyperlink>
      <w:hyperlink r:id="rId28" w:history="1"/>
      <w:r w:rsidRPr="0056057F">
        <w:rPr>
          <w:lang w:val="es-ES"/>
        </w:rPr>
        <w:t>), utilizando del coordinador designado (DFP).</w:t>
      </w:r>
    </w:p>
    <w:p w:rsidR="00026D75" w:rsidRPr="0056057F" w:rsidRDefault="00026D75" w:rsidP="00026D75">
      <w:pPr>
        <w:pStyle w:val="Heading3"/>
        <w:rPr>
          <w:lang w:val="es-ES"/>
        </w:rPr>
      </w:pPr>
      <w:bookmarkStart w:id="104" w:name="_Toc79307797"/>
      <w:bookmarkStart w:id="105" w:name="_Toc214178212"/>
      <w:bookmarkStart w:id="106" w:name="_Toc215371339"/>
      <w:bookmarkStart w:id="107" w:name="_Toc450136723"/>
      <w:r w:rsidRPr="0056057F">
        <w:rPr>
          <w:lang w:val="es-ES"/>
        </w:rPr>
        <w:t>2.5.2</w:t>
      </w:r>
      <w:r w:rsidRPr="0056057F">
        <w:rPr>
          <w:lang w:val="es-ES"/>
        </w:rPr>
        <w:tab/>
        <w:t>Disponibilidad de documentos en las reuniones</w:t>
      </w:r>
      <w:bookmarkEnd w:id="104"/>
      <w:bookmarkEnd w:id="105"/>
      <w:bookmarkEnd w:id="106"/>
      <w:bookmarkEnd w:id="107"/>
    </w:p>
    <w:p w:rsidR="00026D75" w:rsidRPr="0056057F" w:rsidRDefault="00026D75" w:rsidP="00D44DD2">
      <w:pPr>
        <w:rPr>
          <w:lang w:val="es-ES"/>
        </w:rPr>
      </w:pPr>
      <w:r w:rsidRPr="0056057F">
        <w:rPr>
          <w:lang w:val="es-ES"/>
        </w:rPr>
        <w:t>Todas las contribuciones para las reuniones del UIT</w:t>
      </w:r>
      <w:r w:rsidRPr="0056057F">
        <w:rPr>
          <w:lang w:val="es-ES"/>
        </w:rPr>
        <w:noBreakHyphen/>
        <w:t xml:space="preserve">R se ponen a disposición en la dirección web de la UIT tan pronto como sea posible tras su recepción por la Secretaría en Ginebra (véanse los § 3.1, 3.3 y 3.4). </w:t>
      </w:r>
    </w:p>
    <w:p w:rsidR="00026D75" w:rsidRPr="0056057F" w:rsidRDefault="00026D75" w:rsidP="00D44DD2">
      <w:pPr>
        <w:rPr>
          <w:lang w:val="es-ES"/>
        </w:rPr>
      </w:pPr>
      <w:r w:rsidRPr="0056057F">
        <w:rPr>
          <w:lang w:val="es-ES"/>
        </w:rPr>
        <w:lastRenderedPageBreak/>
        <w:t>Los documentos «temporales» (TEMP) están disponibles en formato electrónico y puede accederse a ellos en la dirección web del UIT</w:t>
      </w:r>
      <w:r w:rsidRPr="0056057F">
        <w:rPr>
          <w:lang w:val="es-ES"/>
        </w:rPr>
        <w:noBreakHyphen/>
        <w:t xml:space="preserve">R en el transcurso de una reunión y hasta que la correspondiente información se incluya en el Informe de la reunión y se publique en la dirección web (por ejemplo, como Anexos al Informe del Presidente o Resumen de los Debates). </w:t>
      </w:r>
    </w:p>
    <w:p w:rsidR="00026D75" w:rsidRPr="0056057F" w:rsidRDefault="00026D75" w:rsidP="00D44DD2">
      <w:pPr>
        <w:rPr>
          <w:lang w:val="es-ES"/>
        </w:rPr>
      </w:pPr>
      <w:r w:rsidRPr="0056057F">
        <w:rPr>
          <w:lang w:val="es-ES"/>
        </w:rPr>
        <w:t>Los documentos administrativos (ADM) e informativos (INFO) se encuentran disponibles en formato electrónico.</w:t>
      </w:r>
    </w:p>
    <w:p w:rsidR="00026D75" w:rsidRPr="0056057F" w:rsidRDefault="00026D75" w:rsidP="00D44DD2">
      <w:pPr>
        <w:rPr>
          <w:lang w:val="es-ES"/>
        </w:rPr>
      </w:pPr>
      <w:r w:rsidRPr="0056057F">
        <w:rPr>
          <w:lang w:val="es-ES"/>
        </w:rPr>
        <w:t xml:space="preserve">Únicamente tendrán acceso a los documentos de las Comisiones de Estudio y sus Grupos Subordinados los usuarios registrados en TIES. </w:t>
      </w:r>
    </w:p>
    <w:p w:rsidR="00026D75" w:rsidRPr="0056057F" w:rsidRDefault="00026D75" w:rsidP="00026D75">
      <w:pPr>
        <w:pStyle w:val="Heading3"/>
        <w:rPr>
          <w:lang w:val="es-ES"/>
        </w:rPr>
      </w:pPr>
      <w:bookmarkStart w:id="108" w:name="_Toc79307798"/>
      <w:bookmarkStart w:id="109" w:name="_Toc214178213"/>
      <w:bookmarkStart w:id="110" w:name="_Toc215371340"/>
      <w:bookmarkStart w:id="111" w:name="_Toc450136724"/>
      <w:r w:rsidRPr="0056057F">
        <w:rPr>
          <w:lang w:val="es-ES"/>
        </w:rPr>
        <w:t>2.5.3</w:t>
      </w:r>
      <w:r w:rsidRPr="0056057F">
        <w:rPr>
          <w:lang w:val="es-ES"/>
        </w:rPr>
        <w:tab/>
        <w:t>Interpretación</w:t>
      </w:r>
      <w:bookmarkEnd w:id="108"/>
      <w:r w:rsidRPr="0056057F">
        <w:rPr>
          <w:lang w:val="es-ES"/>
        </w:rPr>
        <w:t xml:space="preserve"> simultánea en los idiomas oficiales de la Unión</w:t>
      </w:r>
      <w:bookmarkEnd w:id="109"/>
      <w:bookmarkEnd w:id="110"/>
      <w:bookmarkEnd w:id="111"/>
    </w:p>
    <w:p w:rsidR="00026D75" w:rsidRPr="0056057F" w:rsidRDefault="00026D75" w:rsidP="00D44DD2">
      <w:pPr>
        <w:rPr>
          <w:lang w:val="es-ES"/>
        </w:rPr>
      </w:pPr>
      <w:r w:rsidRPr="0056057F">
        <w:rPr>
          <w:lang w:val="es-ES"/>
        </w:rPr>
        <w:t>En todas las reuniones de las Comisiones de Estudio, basándose en la participación anunciada, se proporciona normalmente interpretación simultánea en todos los idiomas oficiales de la Unión.</w:t>
      </w:r>
    </w:p>
    <w:p w:rsidR="00026D75" w:rsidRPr="0056057F" w:rsidRDefault="00026D75" w:rsidP="00D44DD2">
      <w:pPr>
        <w:pStyle w:val="Heading2"/>
        <w:rPr>
          <w:rFonts w:eastAsia="Arial Unicode MS"/>
          <w:lang w:val="es-ES"/>
        </w:rPr>
      </w:pPr>
      <w:bookmarkStart w:id="112" w:name="_Toc7599967"/>
      <w:bookmarkStart w:id="113" w:name="_Toc78875703"/>
      <w:bookmarkStart w:id="114" w:name="_Toc78942522"/>
      <w:bookmarkStart w:id="115" w:name="_Toc79307799"/>
      <w:bookmarkStart w:id="116" w:name="_Toc214178214"/>
      <w:bookmarkStart w:id="117" w:name="_Toc215371341"/>
      <w:bookmarkStart w:id="118" w:name="_Toc450136725"/>
      <w:r w:rsidRPr="0056057F">
        <w:rPr>
          <w:lang w:val="es-ES"/>
        </w:rPr>
        <w:t>2.6</w:t>
      </w:r>
      <w:r w:rsidRPr="0056057F">
        <w:rPr>
          <w:lang w:val="es-ES"/>
        </w:rPr>
        <w:tab/>
        <w:t>Disposiciones relativas a las reuniones celebradas fuera de Ginebra</w:t>
      </w:r>
      <w:bookmarkEnd w:id="112"/>
      <w:bookmarkEnd w:id="113"/>
      <w:bookmarkEnd w:id="114"/>
      <w:bookmarkEnd w:id="115"/>
      <w:bookmarkEnd w:id="116"/>
      <w:bookmarkEnd w:id="117"/>
      <w:bookmarkEnd w:id="118"/>
    </w:p>
    <w:p w:rsidR="00026D75" w:rsidRPr="0056057F" w:rsidRDefault="00026D75" w:rsidP="00D44DD2">
      <w:pPr>
        <w:rPr>
          <w:lang w:val="es-ES"/>
        </w:rPr>
      </w:pPr>
      <w:r w:rsidRPr="0056057F">
        <w:rPr>
          <w:lang w:val="es-ES"/>
        </w:rPr>
        <w:t>En el § A1.3.1.11 del Anexo 1 a la Resolución UIT</w:t>
      </w:r>
      <w:r w:rsidRPr="0056057F">
        <w:rPr>
          <w:lang w:val="es-ES"/>
        </w:rPr>
        <w:noBreakHyphen/>
        <w:t xml:space="preserve">R 1 se consignan las disposiciones aplicables a las reuniones celebradas fuera de Ginebra. </w:t>
      </w:r>
    </w:p>
    <w:p w:rsidR="00026D75" w:rsidRPr="0056057F" w:rsidRDefault="00026D75" w:rsidP="00D44DD2">
      <w:pPr>
        <w:pStyle w:val="Heading1"/>
        <w:rPr>
          <w:rFonts w:eastAsia="Arial Unicode MS"/>
          <w:lang w:val="es-ES"/>
        </w:rPr>
      </w:pPr>
      <w:bookmarkStart w:id="119" w:name="_Toc7599968"/>
      <w:bookmarkStart w:id="120" w:name="_Toc78875704"/>
      <w:bookmarkStart w:id="121" w:name="_Toc78942523"/>
      <w:bookmarkStart w:id="122" w:name="_Toc79307800"/>
      <w:bookmarkStart w:id="123" w:name="_Toc214178215"/>
      <w:bookmarkStart w:id="124" w:name="_Toc215371342"/>
      <w:bookmarkStart w:id="125" w:name="_Toc450136726"/>
      <w:bookmarkStart w:id="126" w:name="_Toc521224808"/>
      <w:bookmarkStart w:id="127" w:name="_Toc7593597"/>
      <w:bookmarkStart w:id="128" w:name="_Toc122947289"/>
      <w:r w:rsidRPr="0056057F">
        <w:rPr>
          <w:lang w:val="es-ES"/>
        </w:rPr>
        <w:t>3</w:t>
      </w:r>
      <w:r w:rsidRPr="0056057F">
        <w:rPr>
          <w:lang w:val="es-ES"/>
        </w:rPr>
        <w:tab/>
        <w:t>Documentación</w:t>
      </w:r>
      <w:bookmarkEnd w:id="119"/>
      <w:bookmarkEnd w:id="120"/>
      <w:bookmarkEnd w:id="121"/>
      <w:bookmarkEnd w:id="122"/>
      <w:bookmarkEnd w:id="123"/>
      <w:bookmarkEnd w:id="124"/>
      <w:bookmarkEnd w:id="125"/>
    </w:p>
    <w:p w:rsidR="00026D75" w:rsidRPr="0056057F" w:rsidRDefault="00026D75" w:rsidP="00D44DD2">
      <w:pPr>
        <w:rPr>
          <w:lang w:val="es-ES"/>
        </w:rPr>
      </w:pPr>
      <w:r w:rsidRPr="0056057F">
        <w:rPr>
          <w:lang w:val="es-ES"/>
        </w:rPr>
        <w:t xml:space="preserve">Las directrices siguientes se aplican, </w:t>
      </w:r>
      <w:r w:rsidRPr="0056057F">
        <w:rPr>
          <w:i/>
          <w:iCs/>
          <w:lang w:val="es-ES"/>
        </w:rPr>
        <w:t>mutatis mutandis</w:t>
      </w:r>
      <w:r w:rsidRPr="0056057F">
        <w:rPr>
          <w:lang w:val="es-ES"/>
        </w:rPr>
        <w:t>, a la preparación y presentación de documentos a la Asamblea de Radiocomunicaciones, a ambas sesiones de la RPC y a las Comisiones de Estudio, así como a sus Grupos subordinados correspondientes.</w:t>
      </w:r>
    </w:p>
    <w:p w:rsidR="00026D75" w:rsidRPr="0056057F" w:rsidRDefault="00026D75" w:rsidP="00D44DD2">
      <w:pPr>
        <w:rPr>
          <w:lang w:val="es-ES"/>
        </w:rPr>
      </w:pPr>
      <w:r w:rsidRPr="0056057F">
        <w:rPr>
          <w:lang w:val="es-ES"/>
        </w:rPr>
        <w:t>El Documento 1 de cada Comisión de Estudio contiene la atribución de textos a sus Grupos subordinados. Esos textos son Cuestiones, Recomendaciones, Informes, Manuales, Resoluciones, Opiniones y Decisiones vigentes del UIT-R que han sido desarrollados y deben ser mantenidos por la Comisión de Estudio, así como Resoluciones y Recomendaciones de la C(A)MR relacionados con los trabajos de la Comisión de Estudio.</w:t>
      </w:r>
    </w:p>
    <w:p w:rsidR="00026D75" w:rsidRPr="0056057F" w:rsidRDefault="00026D75" w:rsidP="00D44DD2">
      <w:pPr>
        <w:pStyle w:val="Heading2"/>
        <w:rPr>
          <w:rFonts w:eastAsia="Arial Unicode MS"/>
          <w:lang w:val="es-ES"/>
        </w:rPr>
      </w:pPr>
      <w:bookmarkStart w:id="129" w:name="_Toc7599969"/>
      <w:bookmarkStart w:id="130" w:name="_Toc78875705"/>
      <w:bookmarkStart w:id="131" w:name="_Toc78942524"/>
      <w:bookmarkStart w:id="132" w:name="_Toc79307801"/>
      <w:bookmarkStart w:id="133" w:name="_Toc214178216"/>
      <w:bookmarkStart w:id="134" w:name="_Toc215371343"/>
      <w:bookmarkStart w:id="135" w:name="_Toc450136727"/>
      <w:r w:rsidRPr="0056057F">
        <w:rPr>
          <w:lang w:val="es-ES"/>
        </w:rPr>
        <w:t>3.1</w:t>
      </w:r>
      <w:r w:rsidRPr="0056057F">
        <w:rPr>
          <w:lang w:val="es-ES"/>
        </w:rPr>
        <w:tab/>
        <w:t>Presentación de contribuciones a las reuniones</w:t>
      </w:r>
      <w:bookmarkEnd w:id="129"/>
      <w:bookmarkEnd w:id="130"/>
      <w:bookmarkEnd w:id="131"/>
      <w:bookmarkEnd w:id="132"/>
      <w:bookmarkEnd w:id="133"/>
      <w:bookmarkEnd w:id="134"/>
      <w:bookmarkEnd w:id="135"/>
    </w:p>
    <w:p w:rsidR="00026D75" w:rsidRPr="0056057F" w:rsidRDefault="00026D75" w:rsidP="00D44DD2">
      <w:pPr>
        <w:rPr>
          <w:lang w:val="es-ES"/>
        </w:rPr>
      </w:pPr>
      <w:r w:rsidRPr="0056057F">
        <w:rPr>
          <w:lang w:val="es-ES"/>
        </w:rPr>
        <w:t>En los § A1.6.2.2 del Anexo 1 y A.2.2.3 del Anexo 2 a la Resolución UIT</w:t>
      </w:r>
      <w:r w:rsidRPr="0056057F">
        <w:rPr>
          <w:lang w:val="es-ES"/>
        </w:rPr>
        <w:noBreakHyphen/>
        <w:t>R 1 aparece información sobre las contribuciones a la labor de las Comisiones de Estudio. En particular cabe señalar que, las contribuciones para las reuniones de las Comisiones de Estudio y sus Grupos subordinados deberían enviarse a la BR por correo electrónico a la dirección de correo electrónico que figure en la carta de anuncio de la reunión (véanse los § A2.2.3.2 a A2.2.3.5 del Anexo 2 a la Resolución UIT</w:t>
      </w:r>
      <w:r w:rsidRPr="0056057F">
        <w:rPr>
          <w:lang w:val="es-ES"/>
        </w:rPr>
        <w:noBreakHyphen/>
        <w:t>R 1).</w:t>
      </w:r>
    </w:p>
    <w:p w:rsidR="00026D75" w:rsidRPr="0056057F" w:rsidRDefault="00026D75" w:rsidP="00D44DD2">
      <w:pPr>
        <w:rPr>
          <w:lang w:val="es-ES"/>
        </w:rPr>
      </w:pPr>
      <w:r w:rsidRPr="0056057F">
        <w:rPr>
          <w:lang w:val="es-ES"/>
        </w:rPr>
        <w:t>En el anexo a estas directrices figura el formato común obligatorio para las Recomendaciones nuevas y revisadas del UIT-R.</w:t>
      </w:r>
    </w:p>
    <w:p w:rsidR="00026D75" w:rsidRPr="0056057F" w:rsidRDefault="00026D75" w:rsidP="00026D75">
      <w:pPr>
        <w:pStyle w:val="Heading2"/>
        <w:rPr>
          <w:lang w:val="es-ES"/>
        </w:rPr>
      </w:pPr>
      <w:bookmarkStart w:id="136" w:name="_Toc7599970"/>
      <w:bookmarkStart w:id="137" w:name="_Toc78875706"/>
      <w:bookmarkStart w:id="138" w:name="_Toc78942525"/>
      <w:bookmarkStart w:id="139" w:name="_Toc79307802"/>
      <w:bookmarkStart w:id="140" w:name="_Toc214178217"/>
      <w:bookmarkStart w:id="141" w:name="_Toc215371344"/>
      <w:bookmarkStart w:id="142" w:name="_Toc450136728"/>
      <w:r w:rsidRPr="0056057F">
        <w:rPr>
          <w:lang w:val="es-ES"/>
        </w:rPr>
        <w:t>3.2</w:t>
      </w:r>
      <w:r w:rsidRPr="0056057F">
        <w:rPr>
          <w:lang w:val="es-ES"/>
        </w:rPr>
        <w:tab/>
        <w:t>Preparación de contribuciones</w:t>
      </w:r>
      <w:bookmarkEnd w:id="136"/>
      <w:bookmarkEnd w:id="137"/>
      <w:bookmarkEnd w:id="138"/>
      <w:bookmarkEnd w:id="139"/>
      <w:bookmarkEnd w:id="140"/>
      <w:bookmarkEnd w:id="141"/>
      <w:bookmarkEnd w:id="142"/>
    </w:p>
    <w:p w:rsidR="00026D75" w:rsidRPr="0056057F" w:rsidRDefault="00026D75" w:rsidP="00D44DD2">
      <w:pPr>
        <w:rPr>
          <w:rFonts w:eastAsia="Arial Unicode MS"/>
          <w:lang w:val="es-ES"/>
        </w:rPr>
      </w:pPr>
      <w:r w:rsidRPr="0056057F">
        <w:rPr>
          <w:rFonts w:eastAsia="Arial Unicode MS"/>
          <w:lang w:val="es-ES"/>
        </w:rPr>
        <w:t>Las directrices sobre la preparación de las contribuciones presentadas a las reuniones aparecen en los</w:t>
      </w:r>
      <w:r w:rsidR="00542D5D" w:rsidRPr="0056057F">
        <w:rPr>
          <w:rFonts w:eastAsia="Arial Unicode MS"/>
          <w:lang w:val="es-ES"/>
        </w:rPr>
        <w:t> </w:t>
      </w:r>
      <w:r w:rsidRPr="0056057F">
        <w:rPr>
          <w:rFonts w:eastAsia="Arial Unicode MS"/>
          <w:lang w:val="es-ES"/>
        </w:rPr>
        <w:t>§ A2.2.3.2 a A2.2.3.5 del Anexo 2 a la Resolución UIT-R 1.</w:t>
      </w:r>
    </w:p>
    <w:p w:rsidR="00026D75" w:rsidRPr="0056057F" w:rsidRDefault="00026D75" w:rsidP="00026D75">
      <w:pPr>
        <w:pStyle w:val="Heading2"/>
        <w:rPr>
          <w:lang w:val="es-ES"/>
        </w:rPr>
      </w:pPr>
      <w:bookmarkStart w:id="143" w:name="_Toc7599971"/>
      <w:bookmarkStart w:id="144" w:name="_Toc78875707"/>
      <w:bookmarkStart w:id="145" w:name="_Toc78942526"/>
      <w:bookmarkStart w:id="146" w:name="_Toc79307803"/>
      <w:bookmarkStart w:id="147" w:name="_Toc214178218"/>
      <w:bookmarkStart w:id="148" w:name="_Toc215371345"/>
      <w:bookmarkStart w:id="149" w:name="_Toc450136729"/>
      <w:r w:rsidRPr="0056057F">
        <w:rPr>
          <w:lang w:val="es-ES"/>
        </w:rPr>
        <w:lastRenderedPageBreak/>
        <w:t>3.3</w:t>
      </w:r>
      <w:r w:rsidRPr="0056057F">
        <w:rPr>
          <w:lang w:val="es-ES"/>
        </w:rPr>
        <w:tab/>
        <w:t>Plazos para la presentación de contribuciones</w:t>
      </w:r>
      <w:bookmarkEnd w:id="143"/>
      <w:bookmarkEnd w:id="144"/>
      <w:bookmarkEnd w:id="145"/>
      <w:bookmarkEnd w:id="146"/>
      <w:bookmarkEnd w:id="147"/>
      <w:bookmarkEnd w:id="148"/>
      <w:bookmarkEnd w:id="149"/>
    </w:p>
    <w:p w:rsidR="00026D75" w:rsidRPr="0056057F" w:rsidRDefault="00026D75" w:rsidP="00D44DD2">
      <w:pPr>
        <w:rPr>
          <w:rFonts w:eastAsia="Arial Unicode MS"/>
          <w:lang w:val="es-ES"/>
        </w:rPr>
      </w:pPr>
      <w:r w:rsidRPr="0056057F">
        <w:rPr>
          <w:rFonts w:eastAsia="Arial Unicode MS"/>
          <w:lang w:val="es-ES"/>
        </w:rPr>
        <w:t>Los plazos para la presentación de contribuciones figuran en el § A2.2.3.1 del Anexo 2 a la Resolución UIT-R 1.</w:t>
      </w:r>
      <w:r w:rsidRPr="0056057F">
        <w:rPr>
          <w:lang w:val="es-ES"/>
        </w:rPr>
        <w:t xml:space="preserve"> A las segundas reuniones de la RPC se aplican plazos especiales </w:t>
      </w:r>
      <w:r w:rsidRPr="0056057F">
        <w:rPr>
          <w:rFonts w:eastAsia="Arial Unicode MS"/>
          <w:lang w:val="es-ES"/>
        </w:rPr>
        <w:t>(véase también el § 2.4 del Anexo 1 a la Resolución ITU-R 2).</w:t>
      </w:r>
    </w:p>
    <w:p w:rsidR="00026D75" w:rsidRPr="0056057F" w:rsidRDefault="00026D75" w:rsidP="00026D75">
      <w:pPr>
        <w:pStyle w:val="Heading2"/>
        <w:rPr>
          <w:lang w:val="es-ES"/>
        </w:rPr>
      </w:pPr>
      <w:bookmarkStart w:id="150" w:name="_Toc7599972"/>
      <w:bookmarkStart w:id="151" w:name="_Toc78875708"/>
      <w:bookmarkStart w:id="152" w:name="_Toc78942527"/>
      <w:bookmarkStart w:id="153" w:name="_Toc79307804"/>
      <w:bookmarkStart w:id="154" w:name="_Toc214178219"/>
      <w:bookmarkStart w:id="155" w:name="_Toc215371346"/>
      <w:bookmarkStart w:id="156" w:name="_Toc450136730"/>
      <w:bookmarkEnd w:id="126"/>
      <w:bookmarkEnd w:id="127"/>
      <w:bookmarkEnd w:id="128"/>
      <w:r w:rsidRPr="0056057F">
        <w:rPr>
          <w:lang w:val="es-ES"/>
        </w:rPr>
        <w:t>3.4</w:t>
      </w:r>
      <w:r w:rsidRPr="0056057F">
        <w:rPr>
          <w:lang w:val="es-ES"/>
        </w:rPr>
        <w:tab/>
        <w:t>Inclusión electrónica de documentos</w:t>
      </w:r>
      <w:bookmarkEnd w:id="150"/>
      <w:bookmarkEnd w:id="151"/>
      <w:bookmarkEnd w:id="152"/>
      <w:bookmarkEnd w:id="153"/>
      <w:bookmarkEnd w:id="154"/>
      <w:bookmarkEnd w:id="155"/>
      <w:bookmarkEnd w:id="156"/>
    </w:p>
    <w:p w:rsidR="00026D75" w:rsidRPr="0056057F" w:rsidRDefault="00026D75" w:rsidP="00D44DD2">
      <w:pPr>
        <w:rPr>
          <w:lang w:val="es-ES"/>
        </w:rPr>
      </w:pPr>
      <w:r w:rsidRPr="0056057F">
        <w:rPr>
          <w:lang w:val="es-ES"/>
        </w:rPr>
        <w:t>En la página web creada a tal efecto se publicarán las contribuciones «tal y como se reciben», en el plazo de un día hábil y versiones oficiales se publicarán en el sitio web en el plazo de tres días hábiles. Las Administraciones deberán presentar sus contribuciones empleando la plantilla facilitada por el</w:t>
      </w:r>
      <w:r w:rsidR="00542D5D" w:rsidRPr="0056057F">
        <w:rPr>
          <w:lang w:val="es-ES"/>
        </w:rPr>
        <w:t> </w:t>
      </w:r>
      <w:r w:rsidRPr="0056057F">
        <w:rPr>
          <w:lang w:val="es-ES"/>
        </w:rPr>
        <w:t xml:space="preserve">UIT-R. </w:t>
      </w:r>
    </w:p>
    <w:p w:rsidR="00026D75" w:rsidRPr="0056057F" w:rsidRDefault="00026D75" w:rsidP="00D44DD2">
      <w:pPr>
        <w:rPr>
          <w:lang w:val="es-ES"/>
        </w:rPr>
      </w:pPr>
      <w:r w:rsidRPr="0056057F">
        <w:rPr>
          <w:lang w:val="es-ES"/>
        </w:rPr>
        <w:t>Se aconseja a los participantes registrados en TIES que utilicen el «sistema de notificación web de la</w:t>
      </w:r>
      <w:r w:rsidR="00542D5D" w:rsidRPr="0056057F">
        <w:rPr>
          <w:lang w:val="es-ES"/>
        </w:rPr>
        <w:t> </w:t>
      </w:r>
      <w:r w:rsidRPr="0056057F">
        <w:rPr>
          <w:lang w:val="es-ES"/>
        </w:rPr>
        <w:t xml:space="preserve">UIT» (vaya a </w:t>
      </w:r>
      <w:hyperlink w:history="1"/>
      <w:hyperlink r:id="rId29" w:history="1">
        <w:r w:rsidRPr="0056057F">
          <w:rPr>
            <w:rStyle w:val="Hyperlink"/>
            <w:rFonts w:cs="Times New Roman"/>
            <w:lang w:val="es-ES"/>
          </w:rPr>
          <w:t>http://www.itu.int/online/mm/scripts/notify</w:t>
        </w:r>
      </w:hyperlink>
      <w:r w:rsidRPr="0056057F">
        <w:rPr>
          <w:lang w:val="es-ES"/>
        </w:rPr>
        <w:t>), que les comunicará inmediatamente, por correo electrónico, de toda nueva Carta Circular que se coloque en el sitio del UIT</w:t>
      </w:r>
      <w:r w:rsidRPr="0056057F">
        <w:rPr>
          <w:lang w:val="es-ES"/>
        </w:rPr>
        <w:noBreakHyphen/>
        <w:t>R en la web.</w:t>
      </w:r>
    </w:p>
    <w:p w:rsidR="00026D75" w:rsidRPr="0056057F" w:rsidRDefault="00026D75" w:rsidP="00026D75">
      <w:pPr>
        <w:pStyle w:val="Heading2"/>
        <w:rPr>
          <w:lang w:val="es-ES"/>
        </w:rPr>
      </w:pPr>
      <w:bookmarkStart w:id="157" w:name="_Toc521224809"/>
      <w:bookmarkStart w:id="158" w:name="_Toc7593598"/>
      <w:bookmarkStart w:id="159" w:name="_Toc122947290"/>
      <w:bookmarkStart w:id="160" w:name="_Toc354672831"/>
      <w:bookmarkStart w:id="161" w:name="_Toc450136731"/>
      <w:r w:rsidRPr="0056057F">
        <w:rPr>
          <w:lang w:val="es-ES"/>
        </w:rPr>
        <w:t>3.5</w:t>
      </w:r>
      <w:r w:rsidRPr="0056057F">
        <w:rPr>
          <w:lang w:val="es-ES"/>
        </w:rPr>
        <w:tab/>
      </w:r>
      <w:bookmarkEnd w:id="157"/>
      <w:bookmarkEnd w:id="158"/>
      <w:bookmarkEnd w:id="159"/>
      <w:bookmarkEnd w:id="160"/>
      <w:r w:rsidRPr="0056057F">
        <w:rPr>
          <w:lang w:val="es-ES"/>
        </w:rPr>
        <w:t>Series de documentos</w:t>
      </w:r>
      <w:bookmarkEnd w:id="161"/>
    </w:p>
    <w:p w:rsidR="00026D75" w:rsidRPr="0056057F" w:rsidRDefault="00026D75" w:rsidP="00D44DD2">
      <w:pPr>
        <w:pStyle w:val="Heading3"/>
        <w:rPr>
          <w:rFonts w:eastAsia="Arial Unicode MS"/>
          <w:lang w:val="es-ES"/>
        </w:rPr>
      </w:pPr>
      <w:bookmarkStart w:id="162" w:name="_Toc7599974"/>
      <w:bookmarkStart w:id="163" w:name="_Toc78875710"/>
      <w:bookmarkStart w:id="164" w:name="_Toc78942529"/>
      <w:bookmarkStart w:id="165" w:name="_Toc79307806"/>
      <w:bookmarkStart w:id="166" w:name="_Toc214178221"/>
      <w:bookmarkStart w:id="167" w:name="_Toc215371348"/>
      <w:bookmarkStart w:id="168" w:name="_Toc450136732"/>
      <w:r w:rsidRPr="0056057F">
        <w:rPr>
          <w:lang w:val="es-ES"/>
        </w:rPr>
        <w:t>3.5.1</w:t>
      </w:r>
      <w:r w:rsidRPr="0056057F">
        <w:rPr>
          <w:lang w:val="es-ES"/>
        </w:rPr>
        <w:tab/>
      </w:r>
      <w:bookmarkEnd w:id="162"/>
      <w:bookmarkEnd w:id="163"/>
      <w:bookmarkEnd w:id="164"/>
      <w:bookmarkEnd w:id="165"/>
      <w:bookmarkEnd w:id="166"/>
      <w:bookmarkEnd w:id="167"/>
      <w:r w:rsidRPr="0056057F">
        <w:rPr>
          <w:lang w:val="es-ES"/>
        </w:rPr>
        <w:t>Contribuciones</w:t>
      </w:r>
      <w:bookmarkEnd w:id="168"/>
    </w:p>
    <w:p w:rsidR="00026D75" w:rsidRPr="0056057F" w:rsidRDefault="00026D75" w:rsidP="00D44DD2">
      <w:pPr>
        <w:rPr>
          <w:lang w:val="es-ES"/>
        </w:rPr>
      </w:pPr>
      <w:r w:rsidRPr="0056057F">
        <w:rPr>
          <w:lang w:val="es-ES"/>
        </w:rPr>
        <w:t>Cada Grupo cuenta con su propia serie de contribuciones, que aparecen en la dirección web del Grupo correspondiente y se siguen publicando a lo largo de un periodo de estudios, esto es de una AR a la siguiente. Estas series contienen todas las contribuciones presentadas a los Grupos y los Informes de sus Presidentes. En el caso de la RPC, la serie de documentos se vuelve a iniciar en cada sesión. Tras la apertura de la reunión se utilizan únicamente documentos temporales, como se indica en el § 3.5.2 a continuación. Las declaraciones de coordinación presentadas una vez finalizado el plazo estipulado en el § 3.3 se incluirán en la serie de contribuciones del Grupo correspondiente, como Informes de los Presidentes de los Grupos o de alguna otra persona designada por un Grupo (por ejemplo, el Relator) aunque debe hacerse todo lo posible para presentar dichos informes antes de que expire el plazo previsto. Los documentos enviados a las Comisiones de Estudio por los Grupos de Trabajo y los Grupos de Tareas Especiales también serán aceptados una vez expirado el plazo de tiempo.</w:t>
      </w:r>
    </w:p>
    <w:p w:rsidR="00026D75" w:rsidRPr="0056057F" w:rsidRDefault="00026D75" w:rsidP="00026D75">
      <w:pPr>
        <w:pStyle w:val="Heading3"/>
        <w:rPr>
          <w:lang w:val="es-ES"/>
        </w:rPr>
      </w:pPr>
      <w:bookmarkStart w:id="169" w:name="_Toc7599975"/>
      <w:bookmarkStart w:id="170" w:name="_Toc78875711"/>
      <w:bookmarkStart w:id="171" w:name="_Toc78942530"/>
      <w:bookmarkStart w:id="172" w:name="_Toc79307807"/>
      <w:bookmarkStart w:id="173" w:name="_Toc214178222"/>
      <w:bookmarkStart w:id="174" w:name="_Toc215371349"/>
      <w:bookmarkStart w:id="175" w:name="_Toc450136733"/>
      <w:r w:rsidRPr="0056057F">
        <w:rPr>
          <w:lang w:val="es-ES"/>
        </w:rPr>
        <w:t>3.5.2</w:t>
      </w:r>
      <w:r w:rsidRPr="0056057F">
        <w:rPr>
          <w:lang w:val="es-ES"/>
        </w:rPr>
        <w:tab/>
        <w:t>Documentos temporales</w:t>
      </w:r>
      <w:bookmarkEnd w:id="169"/>
      <w:bookmarkEnd w:id="170"/>
      <w:bookmarkEnd w:id="171"/>
      <w:bookmarkEnd w:id="172"/>
      <w:r w:rsidRPr="0056057F">
        <w:rPr>
          <w:lang w:val="es-ES"/>
        </w:rPr>
        <w:t xml:space="preserve"> (TEMP)</w:t>
      </w:r>
      <w:bookmarkEnd w:id="173"/>
      <w:bookmarkEnd w:id="174"/>
      <w:bookmarkEnd w:id="175"/>
    </w:p>
    <w:p w:rsidR="00026D75" w:rsidRPr="0056057F" w:rsidRDefault="00026D75" w:rsidP="00D44DD2">
      <w:pPr>
        <w:rPr>
          <w:lang w:val="es-ES"/>
        </w:rPr>
      </w:pPr>
      <w:r w:rsidRPr="0056057F">
        <w:rPr>
          <w:lang w:val="es-ES"/>
        </w:rPr>
        <w:t>Los documentos que se preparan durante una reunión se designan temporales y se publican en la dirección web del Grupo correspondiente. Como su nombre indica, se trata de documentos de trabajo en los que se registran los conceptos e ideas que han surgido durante una reunión y, por otra parte, permiten preparar textos para su posible adopción por el Grupo. Al final de una reunión, los documentos temporales que contienen material que debe conservarse se utilizan para preparar documentos finales. Ejemplos típicos:</w:t>
      </w:r>
    </w:p>
    <w:p w:rsidR="00026D75" w:rsidRPr="0056057F" w:rsidRDefault="00026D75" w:rsidP="00D44DD2">
      <w:pPr>
        <w:pStyle w:val="enumlev1"/>
        <w:rPr>
          <w:lang w:val="es-ES"/>
        </w:rPr>
      </w:pPr>
      <w:r w:rsidRPr="0056057F">
        <w:rPr>
          <w:lang w:val="es-ES"/>
        </w:rPr>
        <w:t>–</w:t>
      </w:r>
      <w:r w:rsidRPr="0056057F">
        <w:rPr>
          <w:lang w:val="es-ES"/>
        </w:rPr>
        <w:tab/>
        <w:t>Proyectos de Recomendaciones, Informes o Cuestiones nuevos o revisados, o cualesquiera otros textos del UIT-R que ha de considerar ulteriormente la Comisión de Estudio.</w:t>
      </w:r>
    </w:p>
    <w:p w:rsidR="00026D75" w:rsidRPr="0056057F" w:rsidRDefault="00026D75" w:rsidP="00D44DD2">
      <w:pPr>
        <w:pStyle w:val="enumlev1"/>
        <w:rPr>
          <w:lang w:val="es-ES"/>
        </w:rPr>
      </w:pPr>
      <w:r w:rsidRPr="0056057F">
        <w:rPr>
          <w:lang w:val="es-ES"/>
        </w:rPr>
        <w:t>–</w:t>
      </w:r>
      <w:r w:rsidRPr="0056057F">
        <w:rPr>
          <w:lang w:val="es-ES"/>
        </w:rPr>
        <w:tab/>
        <w:t>Proyectos de revisiones editoriales de Recomendaciones, Informes o Cuestiones, o cualesquiera otros textos del UIT-R que ha de considerar ulteriormente la Comisión de Estudio.</w:t>
      </w:r>
    </w:p>
    <w:p w:rsidR="00026D75" w:rsidRPr="0056057F" w:rsidRDefault="00026D75" w:rsidP="00026D75">
      <w:pPr>
        <w:pStyle w:val="enumlev1"/>
        <w:rPr>
          <w:lang w:val="es-ES"/>
        </w:rPr>
      </w:pPr>
      <w:r w:rsidRPr="0056057F">
        <w:rPr>
          <w:lang w:val="es-ES"/>
        </w:rPr>
        <w:t>–</w:t>
      </w:r>
      <w:r w:rsidRPr="0056057F">
        <w:rPr>
          <w:lang w:val="es-ES"/>
        </w:rPr>
        <w:tab/>
        <w:t>Anteproyectos de Recomendaciones nuevas o revisadas, Informes, Cuestiones o cualesquiera otros textos del UIT-R que han de considerar ulteriormente las reuniones siguientes.</w:t>
      </w:r>
    </w:p>
    <w:p w:rsidR="00026D75" w:rsidRPr="0056057F" w:rsidRDefault="00026D75" w:rsidP="00026D75">
      <w:pPr>
        <w:pStyle w:val="enumlev1"/>
        <w:rPr>
          <w:lang w:val="es-ES"/>
        </w:rPr>
      </w:pPr>
      <w:r w:rsidRPr="0056057F">
        <w:rPr>
          <w:lang w:val="es-ES"/>
        </w:rPr>
        <w:t>–</w:t>
      </w:r>
      <w:r w:rsidRPr="0056057F">
        <w:rPr>
          <w:lang w:val="es-ES"/>
        </w:rPr>
        <w:tab/>
        <w:t>Material o documentos de trabajo para los textos preliminares mencionados que han de considerar ulteriormente las reuniones siguientes.</w:t>
      </w:r>
    </w:p>
    <w:p w:rsidR="00026D75" w:rsidRPr="0056057F" w:rsidRDefault="00026D75" w:rsidP="00026D75">
      <w:pPr>
        <w:pStyle w:val="enumlev1"/>
        <w:rPr>
          <w:lang w:val="es-ES"/>
        </w:rPr>
      </w:pPr>
      <w:r w:rsidRPr="0056057F">
        <w:rPr>
          <w:lang w:val="es-ES"/>
        </w:rPr>
        <w:lastRenderedPageBreak/>
        <w:t>–</w:t>
      </w:r>
      <w:r w:rsidRPr="0056057F">
        <w:rPr>
          <w:lang w:val="es-ES"/>
        </w:rPr>
        <w:tab/>
        <w:t>Otros elementos para el informe del Presidente.</w:t>
      </w:r>
    </w:p>
    <w:p w:rsidR="00026D75" w:rsidRPr="0056057F" w:rsidRDefault="00026D75" w:rsidP="00026D75">
      <w:pPr>
        <w:pStyle w:val="enumlev1"/>
        <w:rPr>
          <w:lang w:val="es-ES"/>
        </w:rPr>
      </w:pPr>
      <w:r w:rsidRPr="0056057F">
        <w:rPr>
          <w:lang w:val="es-ES"/>
        </w:rPr>
        <w:t>–</w:t>
      </w:r>
      <w:r w:rsidRPr="0056057F">
        <w:rPr>
          <w:lang w:val="es-ES"/>
        </w:rPr>
        <w:tab/>
        <w:t>Declaraciones de coordinación a otros Grupos.</w:t>
      </w:r>
    </w:p>
    <w:p w:rsidR="00026D75" w:rsidRPr="0056057F" w:rsidRDefault="00026D75" w:rsidP="00D44DD2">
      <w:pPr>
        <w:rPr>
          <w:lang w:val="es-ES"/>
        </w:rPr>
      </w:pPr>
      <w:r w:rsidRPr="0056057F">
        <w:rPr>
          <w:lang w:val="es-ES"/>
        </w:rPr>
        <w:t>Una vez preparados y disponibles en la dirección web del UIT</w:t>
      </w:r>
      <w:r w:rsidRPr="0056057F">
        <w:rPr>
          <w:lang w:val="es-ES"/>
        </w:rPr>
        <w:noBreakHyphen/>
        <w:t>R, toda referencia posterior debe hacerse a estos documentos y no a los documentos temporales (véase también el § 2.4.4.2). Esto reviste importancia para garantizar que sea la versión más reciente del texto, versión que suele contener modificaciones en relación con los documentos temporales originales, la que quede para ulterior estudio. En este contexto, véase el § 3.5.6, relativo a los Anexos a los Informes de los Presidentes.</w:t>
      </w:r>
    </w:p>
    <w:p w:rsidR="00026D75" w:rsidRPr="0056057F" w:rsidRDefault="00026D75" w:rsidP="00026D75">
      <w:pPr>
        <w:pStyle w:val="Heading3"/>
        <w:rPr>
          <w:lang w:val="es-ES"/>
        </w:rPr>
      </w:pPr>
      <w:bookmarkStart w:id="176" w:name="_Toc78875712"/>
      <w:bookmarkStart w:id="177" w:name="_Toc78942531"/>
      <w:bookmarkStart w:id="178" w:name="_Toc79307808"/>
      <w:bookmarkStart w:id="179" w:name="_Toc214178223"/>
      <w:bookmarkStart w:id="180" w:name="_Toc215371350"/>
      <w:bookmarkStart w:id="181" w:name="_Toc450136734"/>
      <w:bookmarkStart w:id="182" w:name="_Toc521224812"/>
      <w:bookmarkStart w:id="183" w:name="_Toc7593601"/>
      <w:r w:rsidRPr="0056057F">
        <w:rPr>
          <w:lang w:val="es-ES"/>
        </w:rPr>
        <w:t>3.5.3</w:t>
      </w:r>
      <w:r w:rsidRPr="0056057F">
        <w:rPr>
          <w:lang w:val="es-ES"/>
        </w:rPr>
        <w:tab/>
        <w:t>Documentos administrativos</w:t>
      </w:r>
      <w:bookmarkEnd w:id="176"/>
      <w:bookmarkEnd w:id="177"/>
      <w:bookmarkEnd w:id="178"/>
      <w:r w:rsidRPr="0056057F">
        <w:rPr>
          <w:lang w:val="es-ES"/>
        </w:rPr>
        <w:t xml:space="preserve"> (ADM)</w:t>
      </w:r>
      <w:bookmarkEnd w:id="179"/>
      <w:bookmarkEnd w:id="180"/>
      <w:bookmarkEnd w:id="181"/>
    </w:p>
    <w:p w:rsidR="00026D75" w:rsidRPr="0056057F" w:rsidRDefault="00026D75" w:rsidP="00D44DD2">
      <w:pPr>
        <w:rPr>
          <w:lang w:val="es-ES"/>
        </w:rPr>
      </w:pPr>
      <w:r w:rsidRPr="0056057F">
        <w:rPr>
          <w:lang w:val="es-ES"/>
        </w:rPr>
        <w:t>Esta serie de documentos se utiliza para los órdenes del día y los asuntos de gestión relativos a la organización de los trabajos de un grupo o grupos; por ejemplo, mandatos de los subgrupos; calendarios de reuniones, etc.</w:t>
      </w:r>
    </w:p>
    <w:p w:rsidR="00026D75" w:rsidRPr="0056057F" w:rsidRDefault="00026D75" w:rsidP="00026D75">
      <w:pPr>
        <w:pStyle w:val="Heading3"/>
        <w:rPr>
          <w:lang w:val="es-ES"/>
        </w:rPr>
      </w:pPr>
      <w:bookmarkStart w:id="184" w:name="_Toc214178224"/>
      <w:bookmarkStart w:id="185" w:name="_Toc215371351"/>
      <w:bookmarkStart w:id="186" w:name="_Toc450136735"/>
      <w:r w:rsidRPr="0056057F">
        <w:rPr>
          <w:lang w:val="es-ES"/>
        </w:rPr>
        <w:t>3.5.4</w:t>
      </w:r>
      <w:r w:rsidRPr="0056057F">
        <w:rPr>
          <w:lang w:val="es-ES"/>
        </w:rPr>
        <w:tab/>
        <w:t>Documentos informativos (INFO)</w:t>
      </w:r>
      <w:bookmarkEnd w:id="184"/>
      <w:bookmarkEnd w:id="185"/>
      <w:bookmarkEnd w:id="186"/>
      <w:r w:rsidRPr="0056057F">
        <w:rPr>
          <w:lang w:val="es-ES"/>
        </w:rPr>
        <w:t xml:space="preserve"> </w:t>
      </w:r>
    </w:p>
    <w:p w:rsidR="00026D75" w:rsidRPr="0056057F" w:rsidRDefault="00026D75" w:rsidP="00D44DD2">
      <w:pPr>
        <w:rPr>
          <w:lang w:val="es-ES"/>
        </w:rPr>
      </w:pPr>
      <w:r w:rsidRPr="0056057F">
        <w:rPr>
          <w:lang w:val="es-ES"/>
        </w:rPr>
        <w:t xml:space="preserve">Los documentos INFO proporcionan información general relativa a una reunión (o reuniones) en curso. Como se indica en el § 2.4.4 pueden proporcionar información sobre asuntos organizativos; por ejemplo, preparación de la documentación o reserva de salas, pero adicionalmente pueden utilizarse para comunicar a los delegados información sobre acontecimientos sociales y locales. Cabe señalar que los documentos INFO </w:t>
      </w:r>
      <w:r w:rsidRPr="0056057F">
        <w:rPr>
          <w:u w:val="single"/>
          <w:lang w:val="es-ES"/>
        </w:rPr>
        <w:t>no</w:t>
      </w:r>
      <w:r w:rsidRPr="0056057F">
        <w:rPr>
          <w:lang w:val="es-ES"/>
        </w:rPr>
        <w:t xml:space="preserve"> deben utilizarse para informar sobre asuntos de carácter técnico, de procedimiento u operativo relativos a la reunión (o reuniones) correspondientes. </w:t>
      </w:r>
    </w:p>
    <w:p w:rsidR="00026D75" w:rsidRPr="0056057F" w:rsidRDefault="00026D75" w:rsidP="00026D75">
      <w:pPr>
        <w:pStyle w:val="Heading3"/>
        <w:rPr>
          <w:lang w:val="es-ES"/>
        </w:rPr>
      </w:pPr>
      <w:bookmarkStart w:id="187" w:name="_Toc7599976"/>
      <w:bookmarkStart w:id="188" w:name="_Toc78875713"/>
      <w:bookmarkStart w:id="189" w:name="_Toc78942532"/>
      <w:bookmarkStart w:id="190" w:name="_Toc79307809"/>
      <w:bookmarkStart w:id="191" w:name="_Toc214178225"/>
      <w:bookmarkStart w:id="192" w:name="_Toc215371352"/>
      <w:bookmarkStart w:id="193" w:name="_Toc450136736"/>
      <w:bookmarkEnd w:id="182"/>
      <w:bookmarkEnd w:id="183"/>
      <w:r w:rsidRPr="0056057F">
        <w:rPr>
          <w:lang w:val="es-ES"/>
        </w:rPr>
        <w:t>3.5.5</w:t>
      </w:r>
      <w:r w:rsidRPr="0056057F">
        <w:rPr>
          <w:lang w:val="es-ES"/>
        </w:rPr>
        <w:tab/>
        <w:t>Informes resumidos para la Comisión de Estudio</w:t>
      </w:r>
      <w:bookmarkEnd w:id="187"/>
      <w:bookmarkEnd w:id="188"/>
      <w:bookmarkEnd w:id="189"/>
      <w:bookmarkEnd w:id="190"/>
      <w:bookmarkEnd w:id="191"/>
      <w:bookmarkEnd w:id="192"/>
      <w:bookmarkEnd w:id="193"/>
    </w:p>
    <w:p w:rsidR="00026D75" w:rsidRPr="0056057F" w:rsidRDefault="00026D75" w:rsidP="00D44DD2">
      <w:pPr>
        <w:rPr>
          <w:lang w:val="es-ES"/>
        </w:rPr>
      </w:pPr>
      <w:r w:rsidRPr="0056057F">
        <w:rPr>
          <w:lang w:val="es-ES"/>
        </w:rPr>
        <w:t>Cada Grupo de Trabajo y Grupo de Tareas Especiales prepara un informe resumido para su examen en la siguiente reunión de la correspondiente Comisión de Estudio. Se trata de un documento que forma parte de la serie de contribuciones de la Comisión de Estudio. En el informe resumido debería describirse la situación de los trabajos del Grupo de que se trate, destacar los progresos y conclusiones a los que se haya llegado desde la anterior reunión de la Comisión de Estudio. En los informes resumidos, que deberían ser concisos (normalmente, menos de 5 páginas), habría que omitir información detallada sobre la documentación, las disposiciones adoptadas y las deliberaciones celebradas durante las reuniones del Grupo subordinado.</w:t>
      </w:r>
    </w:p>
    <w:p w:rsidR="00026D75" w:rsidRPr="0056057F" w:rsidRDefault="00026D75" w:rsidP="00026D75">
      <w:pPr>
        <w:pStyle w:val="Heading3"/>
        <w:rPr>
          <w:lang w:val="es-ES"/>
        </w:rPr>
      </w:pPr>
      <w:bookmarkStart w:id="194" w:name="_Toc7599977"/>
      <w:bookmarkStart w:id="195" w:name="_Toc78875714"/>
      <w:bookmarkStart w:id="196" w:name="_Toc78942533"/>
      <w:bookmarkStart w:id="197" w:name="_Toc79307810"/>
      <w:bookmarkStart w:id="198" w:name="_Toc214178226"/>
      <w:bookmarkStart w:id="199" w:name="_Toc215371353"/>
      <w:bookmarkStart w:id="200" w:name="_Toc450136737"/>
      <w:r w:rsidRPr="0056057F">
        <w:rPr>
          <w:lang w:val="es-ES"/>
        </w:rPr>
        <w:t>3.5.6</w:t>
      </w:r>
      <w:r w:rsidRPr="0056057F">
        <w:rPr>
          <w:lang w:val="es-ES"/>
        </w:rPr>
        <w:tab/>
        <w:t>Informe del Presidente de un Grupo a su reunión siguiente</w:t>
      </w:r>
      <w:bookmarkEnd w:id="194"/>
      <w:bookmarkEnd w:id="195"/>
      <w:bookmarkEnd w:id="196"/>
      <w:bookmarkEnd w:id="197"/>
      <w:bookmarkEnd w:id="198"/>
      <w:bookmarkEnd w:id="199"/>
      <w:bookmarkEnd w:id="200"/>
      <w:r w:rsidRPr="0056057F">
        <w:rPr>
          <w:lang w:val="es-ES"/>
        </w:rPr>
        <w:t xml:space="preserve"> </w:t>
      </w:r>
    </w:p>
    <w:p w:rsidR="00026D75" w:rsidRPr="0056057F" w:rsidRDefault="00026D75" w:rsidP="00D44DD2">
      <w:pPr>
        <w:rPr>
          <w:lang w:val="es-ES"/>
        </w:rPr>
      </w:pPr>
      <w:r w:rsidRPr="0056057F">
        <w:rPr>
          <w:lang w:val="es-ES"/>
        </w:rPr>
        <w:t>El Informe del Presidente a su siguiente reunión es un documento que forma parte de la serie de contribuciones de este Grupo. El informe debe ponerse a disposición de la BR para que lo incluya en la dirección web del UIT</w:t>
      </w:r>
      <w:r w:rsidRPr="0056057F">
        <w:rPr>
          <w:lang w:val="es-ES"/>
        </w:rPr>
        <w:noBreakHyphen/>
        <w:t>R dentro del mes siguiente a la clausura de la reunión. El Informe del Presidente, en el cual se detalla la situación de las labores del Grupo, contiene anexos en que se incluye material para su examen en la reunión siguiente, por ejemplo anteproyectos de nuevas Recomendaciones y material que sirva para preservar un registro permanente de las actividades del Grupo. Habría que evitar adjuntar en anexo a este Informe contribuciones no modificadas, para las cuales habría que recurrir al correspondiente sitio del UIT</w:t>
      </w:r>
      <w:r w:rsidRPr="0056057F">
        <w:rPr>
          <w:lang w:val="es-ES"/>
        </w:rPr>
        <w:noBreakHyphen/>
        <w:t>R.</w:t>
      </w:r>
    </w:p>
    <w:p w:rsidR="00026D75" w:rsidRPr="0056057F" w:rsidRDefault="00026D75" w:rsidP="00D44DD2">
      <w:pPr>
        <w:rPr>
          <w:lang w:val="es-ES"/>
        </w:rPr>
      </w:pPr>
      <w:r w:rsidRPr="0056057F">
        <w:rPr>
          <w:lang w:val="es-ES"/>
        </w:rPr>
        <w:t xml:space="preserve">El Informe del Presidente se deberá preparar, siempre que sea posible, en el curso del mes siguiente a la reunión de que se trate. La BR publicará, durante las dos semanas siguientes a la reunión correspondiente, los Anexos al Informe del Presidente en la dirección web del UIT-R. Los Anexos se incluyen por separado para permitir una descarga selectiva. </w:t>
      </w:r>
    </w:p>
    <w:p w:rsidR="00026D75" w:rsidRPr="0056057F" w:rsidRDefault="00026D75" w:rsidP="00D44DD2">
      <w:pPr>
        <w:rPr>
          <w:lang w:val="es-ES"/>
        </w:rPr>
      </w:pPr>
      <w:r w:rsidRPr="0056057F">
        <w:rPr>
          <w:lang w:val="es-ES"/>
        </w:rPr>
        <w:t xml:space="preserve">El Presidente del Grupo puede actualizar el Informe con un Addéndum antes de la siguiente reunión del grupo, en el que informe sobre los nuevos progresos hechos en el periodo transcurrido. En lo </w:t>
      </w:r>
      <w:r w:rsidRPr="0056057F">
        <w:rPr>
          <w:lang w:val="es-ES"/>
        </w:rPr>
        <w:lastRenderedPageBreak/>
        <w:t>que respecta a otros asuntos o novedades importantes desde la última reunión, el Presidente hará una contribución separada.</w:t>
      </w:r>
    </w:p>
    <w:p w:rsidR="00026D75" w:rsidRPr="0056057F" w:rsidRDefault="00026D75" w:rsidP="00026D75">
      <w:pPr>
        <w:pStyle w:val="Heading3"/>
        <w:rPr>
          <w:lang w:val="es-ES"/>
        </w:rPr>
      </w:pPr>
      <w:bookmarkStart w:id="201" w:name="_Toc214178227"/>
      <w:bookmarkStart w:id="202" w:name="_Toc215371354"/>
      <w:bookmarkStart w:id="203" w:name="_Toc450136738"/>
      <w:bookmarkStart w:id="204" w:name="_Toc521224814"/>
      <w:bookmarkStart w:id="205" w:name="_Toc7593603"/>
      <w:bookmarkStart w:id="206" w:name="_Toc122947297"/>
      <w:r w:rsidRPr="0056057F">
        <w:rPr>
          <w:lang w:val="es-ES"/>
        </w:rPr>
        <w:t>3.5.7</w:t>
      </w:r>
      <w:r w:rsidRPr="0056057F">
        <w:rPr>
          <w:lang w:val="es-ES"/>
        </w:rPr>
        <w:tab/>
        <w:t>Resumen de los debates de las reuniones de la Comisión de Estudio</w:t>
      </w:r>
      <w:bookmarkEnd w:id="201"/>
      <w:bookmarkEnd w:id="202"/>
      <w:bookmarkEnd w:id="203"/>
    </w:p>
    <w:p w:rsidR="00026D75" w:rsidRPr="0056057F" w:rsidRDefault="00026D75" w:rsidP="00D44DD2">
      <w:pPr>
        <w:rPr>
          <w:lang w:val="es-ES"/>
        </w:rPr>
      </w:pPr>
      <w:r w:rsidRPr="0056057F">
        <w:rPr>
          <w:lang w:val="es-ES"/>
        </w:rPr>
        <w:t>En cada reunión de una Comisión de Estudio, el Presidente elabora un resumen de los debates con la ayuda de un Relator nombrado entre los delegados que asisten a dicha reunión. El objetivo principal de este resumen de los debates es registrar las decisiones tomadas durante la reunión pero no supone una transcripción palabra por palabra y al pie de la letra de cada intervención. El resumen de los debates debe prepararse en el plazo de 30 días una vez finalizada la reunión y se incluye en la dirección web del UIT</w:t>
      </w:r>
      <w:r w:rsidRPr="0056057F">
        <w:rPr>
          <w:lang w:val="es-ES"/>
        </w:rPr>
        <w:noBreakHyphen/>
        <w:t>R para la recepción de comentarios. Este documento pertenece a la serie de contribuciones de la Comisión de Estudio. Podrán incluirse también Anexos/Addenda elaborados como resultado del debate (p.ej. la declaración de un Estado Miembro) o la creación de documentos temporales durante la reunión, llegado el caso.</w:t>
      </w:r>
    </w:p>
    <w:p w:rsidR="00026D75" w:rsidRPr="0056057F" w:rsidRDefault="00026D75" w:rsidP="00D44DD2">
      <w:pPr>
        <w:rPr>
          <w:lang w:val="es-ES"/>
        </w:rPr>
      </w:pPr>
      <w:r w:rsidRPr="0056057F">
        <w:rPr>
          <w:lang w:val="es-ES"/>
        </w:rPr>
        <w:t>Las modificaciones editoriales y la confirmación de las declaraciones efectuadas por los miembros durante la reunión conviene presentarlas al Presidente en el plazo de 15 días. No obstante, el resumen de los debates permanecerá abierto para recibir comentarios formales de los miembros hasta la siguiente reunión de la Comisión de Estudio correspondiente, en la que se tomará nota del resumen y de los comentarios.</w:t>
      </w:r>
    </w:p>
    <w:p w:rsidR="00026D75" w:rsidRPr="0056057F" w:rsidRDefault="00026D75" w:rsidP="00026D75">
      <w:pPr>
        <w:pStyle w:val="Heading3"/>
        <w:rPr>
          <w:lang w:val="es-ES"/>
        </w:rPr>
      </w:pPr>
      <w:bookmarkStart w:id="207" w:name="_Toc521226257"/>
      <w:bookmarkStart w:id="208" w:name="_Toc7599978"/>
      <w:bookmarkStart w:id="209" w:name="_Toc78875715"/>
      <w:bookmarkStart w:id="210" w:name="_Toc78942534"/>
      <w:bookmarkStart w:id="211" w:name="_Toc79307811"/>
      <w:bookmarkStart w:id="212" w:name="_Toc214178228"/>
      <w:bookmarkStart w:id="213" w:name="_Toc215371355"/>
      <w:bookmarkStart w:id="214" w:name="_Toc450136739"/>
      <w:bookmarkEnd w:id="204"/>
      <w:bookmarkEnd w:id="205"/>
      <w:bookmarkEnd w:id="206"/>
      <w:r w:rsidRPr="0056057F">
        <w:rPr>
          <w:lang w:val="es-ES"/>
        </w:rPr>
        <w:t>3.5.8</w:t>
      </w:r>
      <w:r w:rsidRPr="0056057F">
        <w:rPr>
          <w:lang w:val="es-ES"/>
        </w:rPr>
        <w:tab/>
        <w:t>Declaraciones de coordinación</w:t>
      </w:r>
      <w:bookmarkEnd w:id="207"/>
      <w:bookmarkEnd w:id="208"/>
      <w:bookmarkEnd w:id="209"/>
      <w:bookmarkEnd w:id="210"/>
      <w:bookmarkEnd w:id="211"/>
      <w:bookmarkEnd w:id="212"/>
      <w:bookmarkEnd w:id="213"/>
      <w:bookmarkEnd w:id="214"/>
    </w:p>
    <w:p w:rsidR="00026D75" w:rsidRPr="0056057F" w:rsidRDefault="00026D75" w:rsidP="00D44DD2">
      <w:pPr>
        <w:rPr>
          <w:lang w:val="es-ES"/>
        </w:rPr>
      </w:pPr>
      <w:r w:rsidRPr="0056057F">
        <w:rPr>
          <w:lang w:val="es-ES"/>
        </w:rPr>
        <w:t>Se pueden preparar declaraciones de coordinación para transmitir información importante o pedir información de otros grupos de la UIT o ajenos a la UIT. Éstas deben indicar claramente cuáles son los grupos que las formulan y aquellos a que están destinadas, el asunto de la declaración y, en su caso, las medidas cuya adopción se solicita. En el caso de declaraciones de coordinación a múltiples destinatarios, es útil indicar, cuando proceda, i) cuál es el Grupo destinatario principal, ii) cuáles son los Grupos a los que se solicita que adopten medidas, iii) cuáles son los Grupos a los que se envía el documento sólo con fines de información. Asimismo, resulta útil que la declaración incluya la fecha en que debería responder el Grupo al que se destina y la persona con la que habría que entrar en contacto para mantener discusiones oficiosas.</w:t>
      </w:r>
    </w:p>
    <w:p w:rsidR="00026D75" w:rsidRPr="0056057F" w:rsidRDefault="00026D75" w:rsidP="00026D75">
      <w:pPr>
        <w:pStyle w:val="Heading3"/>
        <w:rPr>
          <w:lang w:val="es-ES"/>
        </w:rPr>
      </w:pPr>
      <w:bookmarkStart w:id="215" w:name="_Toc521226259"/>
      <w:bookmarkStart w:id="216" w:name="_Toc7599980"/>
      <w:bookmarkStart w:id="217" w:name="_Toc78875717"/>
      <w:bookmarkStart w:id="218" w:name="_Toc78942536"/>
      <w:bookmarkStart w:id="219" w:name="_Toc79307813"/>
      <w:bookmarkStart w:id="220" w:name="_Toc214178230"/>
      <w:bookmarkStart w:id="221" w:name="_Toc215371357"/>
      <w:bookmarkStart w:id="222" w:name="_Toc450136740"/>
      <w:r w:rsidRPr="0056057F">
        <w:rPr>
          <w:lang w:val="es-ES"/>
        </w:rPr>
        <w:t>3.5.9</w:t>
      </w:r>
      <w:r w:rsidRPr="0056057F">
        <w:rPr>
          <w:lang w:val="es-ES"/>
        </w:rPr>
        <w:tab/>
      </w:r>
      <w:bookmarkEnd w:id="215"/>
      <w:bookmarkEnd w:id="216"/>
      <w:bookmarkEnd w:id="217"/>
      <w:bookmarkEnd w:id="218"/>
      <w:bookmarkEnd w:id="219"/>
      <w:bookmarkEnd w:id="220"/>
      <w:bookmarkEnd w:id="221"/>
      <w:r w:rsidRPr="0056057F">
        <w:rPr>
          <w:lang w:val="es-ES"/>
        </w:rPr>
        <w:t>Comisiones de Estudio</w:t>
      </w:r>
      <w:bookmarkEnd w:id="222"/>
      <w:r w:rsidRPr="0056057F">
        <w:rPr>
          <w:lang w:val="es-ES"/>
        </w:rPr>
        <w:t>/documentos de la serie 1000</w:t>
      </w:r>
    </w:p>
    <w:p w:rsidR="00026D75" w:rsidRPr="0056057F" w:rsidRDefault="00026D75" w:rsidP="00D44DD2">
      <w:pPr>
        <w:rPr>
          <w:lang w:val="es-ES"/>
        </w:rPr>
      </w:pPr>
      <w:r w:rsidRPr="0056057F">
        <w:rPr>
          <w:lang w:val="es-ES"/>
        </w:rPr>
        <w:t xml:space="preserve">Esta serie de documentos se utiliza para identificar las contribuciones </w:t>
      </w:r>
      <w:r w:rsidRPr="0056057F">
        <w:rPr>
          <w:u w:val="single"/>
          <w:lang w:val="es-ES"/>
        </w:rPr>
        <w:t>de las Comisiones de Estudio y de los Presidentes de las Comisiones de Estudio</w:t>
      </w:r>
      <w:r w:rsidRPr="0056057F">
        <w:rPr>
          <w:lang w:val="es-ES"/>
        </w:rPr>
        <w:t xml:space="preserve"> a la Asamblea de Radiocomunicaciones (AR). Normalmente contiene proyectos de Recomendaciones y proyectos de Cuestiones que se presentan con miras a su aprobación, así como versiones provisionales de las Resoluciones del UIT</w:t>
      </w:r>
      <w:r w:rsidRPr="0056057F">
        <w:rPr>
          <w:lang w:val="es-ES"/>
        </w:rPr>
        <w:noBreakHyphen/>
        <w:t>R que tienen que ver con trabajos específicos de una Comisión de Estudio.</w:t>
      </w:r>
    </w:p>
    <w:p w:rsidR="00026D75" w:rsidRPr="0056057F" w:rsidRDefault="00026D75" w:rsidP="00026D75">
      <w:pPr>
        <w:pStyle w:val="Heading3"/>
        <w:rPr>
          <w:lang w:val="es-ES"/>
        </w:rPr>
      </w:pPr>
      <w:bookmarkStart w:id="223" w:name="_Toc521226260"/>
      <w:bookmarkStart w:id="224" w:name="_Toc7599981"/>
      <w:bookmarkStart w:id="225" w:name="_Toc78875718"/>
      <w:bookmarkStart w:id="226" w:name="_Toc78942537"/>
      <w:bookmarkStart w:id="227" w:name="_Toc79307814"/>
      <w:bookmarkStart w:id="228" w:name="_Toc214178231"/>
      <w:bookmarkStart w:id="229" w:name="_Toc215371358"/>
      <w:bookmarkStart w:id="230" w:name="_Toc450136741"/>
      <w:r w:rsidRPr="0056057F">
        <w:rPr>
          <w:lang w:val="es-ES"/>
        </w:rPr>
        <w:t>3.5.10</w:t>
      </w:r>
      <w:r w:rsidRPr="0056057F">
        <w:rPr>
          <w:lang w:val="es-ES"/>
        </w:rPr>
        <w:tab/>
        <w:t>Serie de documentos «PLEN</w:t>
      </w:r>
      <w:bookmarkEnd w:id="223"/>
      <w:bookmarkEnd w:id="224"/>
      <w:r w:rsidRPr="0056057F">
        <w:rPr>
          <w:lang w:val="es-ES"/>
        </w:rPr>
        <w:t>»</w:t>
      </w:r>
      <w:bookmarkEnd w:id="225"/>
      <w:bookmarkEnd w:id="226"/>
      <w:bookmarkEnd w:id="227"/>
      <w:bookmarkEnd w:id="228"/>
      <w:bookmarkEnd w:id="229"/>
      <w:bookmarkEnd w:id="230"/>
    </w:p>
    <w:p w:rsidR="00026D75" w:rsidRPr="0056057F" w:rsidRDefault="00026D75" w:rsidP="007823E7">
      <w:pPr>
        <w:rPr>
          <w:lang w:val="es-ES"/>
        </w:rPr>
      </w:pPr>
      <w:r w:rsidRPr="0056057F">
        <w:rPr>
          <w:lang w:val="es-ES"/>
        </w:rPr>
        <w:t>Esta serie se utiliza durante las AR para toda documentación distinta de los documentos de Comisiones de Estudio. En particular, se emplea para las contribuciones de los Miembros.</w:t>
      </w:r>
    </w:p>
    <w:p w:rsidR="00026D75" w:rsidRPr="0056057F" w:rsidRDefault="00026D75" w:rsidP="00026D75">
      <w:pPr>
        <w:pStyle w:val="Heading3"/>
        <w:rPr>
          <w:lang w:val="es-ES"/>
        </w:rPr>
      </w:pPr>
      <w:bookmarkStart w:id="231" w:name="_Toc450136742"/>
      <w:r w:rsidRPr="0056057F">
        <w:rPr>
          <w:lang w:val="es-ES"/>
        </w:rPr>
        <w:t>3.5.11</w:t>
      </w:r>
      <w:r w:rsidRPr="0056057F">
        <w:rPr>
          <w:lang w:val="es-ES"/>
        </w:rPr>
        <w:tab/>
        <w:t xml:space="preserve">Documentos en los sitios Sharepoint </w:t>
      </w:r>
      <w:bookmarkEnd w:id="231"/>
      <w:r w:rsidRPr="0056057F">
        <w:rPr>
          <w:lang w:val="es-ES"/>
        </w:rPr>
        <w:t>de las Comisiones</w:t>
      </w:r>
    </w:p>
    <w:p w:rsidR="00026D75" w:rsidRPr="0056057F" w:rsidRDefault="00026D75" w:rsidP="007823E7">
      <w:pPr>
        <w:rPr>
          <w:lang w:val="es-ES"/>
        </w:rPr>
      </w:pPr>
      <w:r w:rsidRPr="0056057F">
        <w:rPr>
          <w:lang w:val="es-ES"/>
        </w:rPr>
        <w:t>Para cada Comisión se ha creado un área en la que se comparten documentos, denominada «Share Folder» (carpeta para compartir) en un sitio web Sharepoint. Estos sitios se utilizan para que los participantes compartan documentos. Los participantes que tengan una cuenta TIES de la UIT pueden cargar y descargar cualquier fichero electrónico utilizado en los debates y en la elaboración de proyectos de textos durante las reuniones, antes de remitir dichos proyectos de textos a la Secretaría de la BR para su preparación como documentos TEMP formales.</w:t>
      </w:r>
    </w:p>
    <w:p w:rsidR="00026D75" w:rsidRPr="0056057F" w:rsidRDefault="00026D75" w:rsidP="007823E7">
      <w:pPr>
        <w:pStyle w:val="Heading1"/>
        <w:rPr>
          <w:rFonts w:eastAsiaTheme="minorEastAsia"/>
          <w:lang w:val="es-ES"/>
        </w:rPr>
      </w:pPr>
      <w:bookmarkStart w:id="232" w:name="_Toc521226261"/>
      <w:bookmarkStart w:id="233" w:name="_Toc7599982"/>
      <w:bookmarkStart w:id="234" w:name="_Toc78875719"/>
      <w:bookmarkStart w:id="235" w:name="_Toc78942538"/>
      <w:bookmarkStart w:id="236" w:name="_Toc79307815"/>
      <w:bookmarkStart w:id="237" w:name="_Toc214178232"/>
      <w:bookmarkStart w:id="238" w:name="_Toc215371359"/>
      <w:bookmarkStart w:id="239" w:name="_Toc450136743"/>
      <w:r w:rsidRPr="0056057F">
        <w:rPr>
          <w:rFonts w:eastAsiaTheme="minorEastAsia"/>
          <w:lang w:val="es-ES"/>
        </w:rPr>
        <w:lastRenderedPageBreak/>
        <w:t>4</w:t>
      </w:r>
      <w:r w:rsidRPr="0056057F">
        <w:rPr>
          <w:rFonts w:eastAsiaTheme="minorEastAsia"/>
          <w:lang w:val="es-ES"/>
        </w:rPr>
        <w:tab/>
        <w:t>Procedimientos aplicables a las reuniones de las Comisiones de Estudio</w:t>
      </w:r>
      <w:bookmarkEnd w:id="232"/>
      <w:bookmarkEnd w:id="233"/>
      <w:bookmarkEnd w:id="234"/>
      <w:bookmarkEnd w:id="235"/>
      <w:bookmarkEnd w:id="236"/>
      <w:bookmarkEnd w:id="237"/>
      <w:bookmarkEnd w:id="238"/>
      <w:bookmarkEnd w:id="239"/>
    </w:p>
    <w:p w:rsidR="00026D75" w:rsidRPr="0056057F" w:rsidRDefault="00026D75" w:rsidP="007823E7">
      <w:pPr>
        <w:pStyle w:val="Heading2"/>
        <w:rPr>
          <w:lang w:val="es-ES"/>
        </w:rPr>
      </w:pPr>
      <w:bookmarkStart w:id="240" w:name="_Toc78875720"/>
      <w:bookmarkStart w:id="241" w:name="_Toc78942539"/>
      <w:bookmarkStart w:id="242" w:name="_Toc79307816"/>
      <w:bookmarkStart w:id="243" w:name="_Toc214178233"/>
      <w:bookmarkStart w:id="244" w:name="_Toc215371360"/>
      <w:bookmarkStart w:id="245" w:name="_Toc450136744"/>
      <w:r w:rsidRPr="0056057F">
        <w:rPr>
          <w:lang w:val="es-ES"/>
        </w:rPr>
        <w:t>4.1</w:t>
      </w:r>
      <w:r w:rsidRPr="0056057F">
        <w:rPr>
          <w:lang w:val="es-ES"/>
        </w:rPr>
        <w:tab/>
        <w:t>Consideración de proyectos de Recomendaciones</w:t>
      </w:r>
      <w:bookmarkEnd w:id="240"/>
      <w:bookmarkEnd w:id="241"/>
      <w:bookmarkEnd w:id="242"/>
      <w:bookmarkEnd w:id="243"/>
      <w:bookmarkEnd w:id="244"/>
      <w:bookmarkEnd w:id="245"/>
    </w:p>
    <w:p w:rsidR="00026D75" w:rsidRPr="0056057F" w:rsidRDefault="00026D75" w:rsidP="007823E7">
      <w:pPr>
        <w:pStyle w:val="Heading3"/>
        <w:rPr>
          <w:lang w:val="es-ES"/>
        </w:rPr>
      </w:pPr>
      <w:bookmarkStart w:id="246" w:name="_Toc521226262"/>
      <w:bookmarkStart w:id="247" w:name="_Toc7599983"/>
      <w:bookmarkStart w:id="248" w:name="_Toc78875721"/>
      <w:bookmarkStart w:id="249" w:name="_Toc78942540"/>
      <w:bookmarkStart w:id="250" w:name="_Toc79307817"/>
      <w:bookmarkStart w:id="251" w:name="_Toc214178234"/>
      <w:bookmarkStart w:id="252" w:name="_Toc215371361"/>
      <w:bookmarkStart w:id="253" w:name="_Toc450136745"/>
      <w:r w:rsidRPr="0056057F">
        <w:rPr>
          <w:lang w:val="es-ES"/>
        </w:rPr>
        <w:t>4.1.1</w:t>
      </w:r>
      <w:r w:rsidRPr="0056057F">
        <w:rPr>
          <w:lang w:val="es-ES"/>
        </w:rPr>
        <w:tab/>
        <w:t>Adopción de proyectos de Recomendaciones en las reuniones de las Comisiones de Estudio</w:t>
      </w:r>
      <w:bookmarkEnd w:id="246"/>
      <w:bookmarkEnd w:id="247"/>
      <w:bookmarkEnd w:id="248"/>
      <w:bookmarkEnd w:id="249"/>
      <w:bookmarkEnd w:id="250"/>
      <w:bookmarkEnd w:id="251"/>
      <w:bookmarkEnd w:id="252"/>
      <w:bookmarkEnd w:id="253"/>
    </w:p>
    <w:p w:rsidR="00026D75" w:rsidRPr="0056057F" w:rsidRDefault="00026D75" w:rsidP="007823E7">
      <w:pPr>
        <w:rPr>
          <w:lang w:val="es-ES"/>
        </w:rPr>
      </w:pPr>
      <w:r w:rsidRPr="0056057F">
        <w:rPr>
          <w:lang w:val="es-ES"/>
        </w:rPr>
        <w:t>El procedimiento de adopción de un proyecto de Recomendación en una reunión de Comisión de Estudio se describe en el § A2.6.2.2.2 del Anexo 2 a la Resolución UIT</w:t>
      </w:r>
      <w:r w:rsidRPr="0056057F">
        <w:rPr>
          <w:lang w:val="es-ES"/>
        </w:rPr>
        <w:noBreakHyphen/>
        <w:t xml:space="preserve">R 1. </w:t>
      </w:r>
    </w:p>
    <w:p w:rsidR="00026D75" w:rsidRPr="0056057F" w:rsidRDefault="00026D75" w:rsidP="00026D75">
      <w:pPr>
        <w:pStyle w:val="Heading3"/>
        <w:rPr>
          <w:lang w:val="es-ES"/>
        </w:rPr>
      </w:pPr>
      <w:bookmarkStart w:id="254" w:name="_Toc521226263"/>
      <w:bookmarkStart w:id="255" w:name="_Toc7599984"/>
      <w:bookmarkStart w:id="256" w:name="_Toc78875722"/>
      <w:bookmarkStart w:id="257" w:name="_Toc78942541"/>
      <w:bookmarkStart w:id="258" w:name="_Toc79307818"/>
      <w:bookmarkStart w:id="259" w:name="_Toc214178235"/>
      <w:bookmarkStart w:id="260" w:name="_Toc215371362"/>
      <w:bookmarkStart w:id="261" w:name="_Toc450136746"/>
      <w:r w:rsidRPr="0056057F">
        <w:rPr>
          <w:lang w:val="es-ES"/>
        </w:rPr>
        <w:t>4.1.2</w:t>
      </w:r>
      <w:r w:rsidRPr="0056057F">
        <w:rPr>
          <w:lang w:val="es-ES"/>
        </w:rPr>
        <w:tab/>
        <w:t>Adopción de proyectos de Recomendaciones por correspondencia</w:t>
      </w:r>
      <w:bookmarkEnd w:id="254"/>
      <w:bookmarkEnd w:id="255"/>
      <w:bookmarkEnd w:id="256"/>
      <w:bookmarkEnd w:id="257"/>
      <w:bookmarkEnd w:id="258"/>
      <w:bookmarkEnd w:id="259"/>
      <w:bookmarkEnd w:id="260"/>
      <w:bookmarkEnd w:id="261"/>
    </w:p>
    <w:p w:rsidR="00026D75" w:rsidRPr="0056057F" w:rsidRDefault="00026D75" w:rsidP="007823E7">
      <w:pPr>
        <w:rPr>
          <w:lang w:val="es-ES"/>
        </w:rPr>
      </w:pPr>
      <w:r w:rsidRPr="0056057F">
        <w:rPr>
          <w:lang w:val="es-ES"/>
        </w:rPr>
        <w:t xml:space="preserve">El procedimiento para adoptar proyectos de Recomendaciones por correspondencia se describe en el § A2.6.2.2.3 del Anexo 2 a la Resolución UIT-R 1. Además, si ningún Estado Miembro que asista a la reunión formula una objeción y la Recomendación no está incorporada por referencia en el Reglamento de Radiocomunicaciones, se aplicará el procedimiento de adopción y aprobación simultáneas (PAAS) descrito en el § A2.6.2.4 del Anexo 2 a la Resolución UIT-R 1 (véase también el § 5.1 más abajo). </w:t>
      </w:r>
    </w:p>
    <w:p w:rsidR="00026D75" w:rsidRPr="0056057F" w:rsidRDefault="00026D75" w:rsidP="00026D75">
      <w:pPr>
        <w:pStyle w:val="Heading3"/>
        <w:rPr>
          <w:lang w:val="es-ES"/>
        </w:rPr>
      </w:pPr>
      <w:bookmarkStart w:id="262" w:name="_Toc78875723"/>
      <w:bookmarkStart w:id="263" w:name="_Toc78942542"/>
      <w:bookmarkStart w:id="264" w:name="_Toc79307819"/>
      <w:bookmarkStart w:id="265" w:name="_Toc214178236"/>
      <w:bookmarkStart w:id="266" w:name="_Toc215371363"/>
      <w:bookmarkStart w:id="267" w:name="_Toc450136747"/>
      <w:bookmarkStart w:id="268" w:name="_Toc521224821"/>
      <w:bookmarkStart w:id="269" w:name="_Toc7593610"/>
      <w:r w:rsidRPr="0056057F">
        <w:rPr>
          <w:lang w:val="es-ES"/>
        </w:rPr>
        <w:t>4.1.3</w:t>
      </w:r>
      <w:r w:rsidRPr="0056057F">
        <w:rPr>
          <w:lang w:val="es-ES"/>
        </w:rPr>
        <w:tab/>
        <w:t>Decisión sobre el procedimiento de aprobación</w:t>
      </w:r>
      <w:bookmarkEnd w:id="262"/>
      <w:bookmarkEnd w:id="263"/>
      <w:bookmarkEnd w:id="264"/>
      <w:bookmarkEnd w:id="265"/>
      <w:bookmarkEnd w:id="266"/>
      <w:bookmarkEnd w:id="267"/>
    </w:p>
    <w:p w:rsidR="00026D75" w:rsidRPr="0056057F" w:rsidRDefault="00026D75" w:rsidP="007823E7">
      <w:pPr>
        <w:rPr>
          <w:lang w:val="es-ES"/>
        </w:rPr>
      </w:pPr>
      <w:r w:rsidRPr="0056057F">
        <w:rPr>
          <w:lang w:val="es-ES"/>
        </w:rPr>
        <w:t>En su reunión, la Comisión de Estudio deberá decidir sobre el procedimiento definitivo que debe seguirse para solicitar la aprobación de cada proyecto de Recomendación de conformidad con el §</w:t>
      </w:r>
      <w:r w:rsidR="00542D5D" w:rsidRPr="0056057F">
        <w:rPr>
          <w:lang w:val="es-ES"/>
        </w:rPr>
        <w:t> </w:t>
      </w:r>
      <w:r w:rsidRPr="0056057F">
        <w:rPr>
          <w:lang w:val="es-ES"/>
        </w:rPr>
        <w:t>A2.6.2.3.3 del Anexo 2 a la Resolución UIT</w:t>
      </w:r>
      <w:r w:rsidRPr="0056057F">
        <w:rPr>
          <w:lang w:val="es-ES"/>
        </w:rPr>
        <w:noBreakHyphen/>
        <w:t xml:space="preserve">R 1. </w:t>
      </w:r>
    </w:p>
    <w:p w:rsidR="00026D75" w:rsidRPr="0056057F" w:rsidRDefault="00026D75" w:rsidP="00026D75">
      <w:pPr>
        <w:pStyle w:val="Heading3"/>
        <w:rPr>
          <w:lang w:val="es-ES"/>
        </w:rPr>
      </w:pPr>
      <w:bookmarkStart w:id="270" w:name="_Toc214178237"/>
      <w:bookmarkStart w:id="271" w:name="_Toc215371364"/>
      <w:bookmarkStart w:id="272" w:name="_Toc450136748"/>
      <w:bookmarkStart w:id="273" w:name="_Toc354672850"/>
      <w:bookmarkEnd w:id="268"/>
      <w:bookmarkEnd w:id="269"/>
      <w:r w:rsidRPr="0056057F">
        <w:rPr>
          <w:lang w:val="es-ES"/>
        </w:rPr>
        <w:t>4.1.4</w:t>
      </w:r>
      <w:r w:rsidRPr="0056057F">
        <w:rPr>
          <w:lang w:val="es-ES"/>
        </w:rPr>
        <w:tab/>
        <w:t>Alcance de la Recomendación</w:t>
      </w:r>
      <w:bookmarkEnd w:id="270"/>
      <w:bookmarkEnd w:id="271"/>
      <w:bookmarkEnd w:id="272"/>
      <w:r w:rsidRPr="0056057F">
        <w:rPr>
          <w:lang w:val="es-ES"/>
        </w:rPr>
        <w:t xml:space="preserve"> </w:t>
      </w:r>
    </w:p>
    <w:p w:rsidR="00026D75" w:rsidRPr="0056057F" w:rsidRDefault="00026D75" w:rsidP="007823E7">
      <w:pPr>
        <w:rPr>
          <w:lang w:val="es-ES"/>
        </w:rPr>
      </w:pPr>
      <w:r w:rsidRPr="0056057F">
        <w:rPr>
          <w:lang w:val="es-ES"/>
        </w:rPr>
        <w:t xml:space="preserve">Cada Recomendación, cuando sea propuesta para su adopción y/o aprobación, debe incluir un texto relativo al «alcance» de dicha Recomendación que aclare el objetivo de la misma y que deberá permanecer en el texto de la propia Recomendación una vez aprobada. </w:t>
      </w:r>
    </w:p>
    <w:p w:rsidR="00026D75" w:rsidRPr="0056057F" w:rsidRDefault="00026D75" w:rsidP="007823E7">
      <w:pPr>
        <w:pStyle w:val="Heading2"/>
        <w:rPr>
          <w:lang w:val="es-ES"/>
        </w:rPr>
      </w:pPr>
      <w:bookmarkStart w:id="274" w:name="_Toc78875724"/>
      <w:bookmarkStart w:id="275" w:name="_Toc78942543"/>
      <w:bookmarkStart w:id="276" w:name="_Toc79307820"/>
      <w:bookmarkStart w:id="277" w:name="_Toc214178238"/>
      <w:bookmarkStart w:id="278" w:name="_Toc215371365"/>
      <w:bookmarkStart w:id="279" w:name="_Toc450136749"/>
      <w:r w:rsidRPr="0056057F">
        <w:rPr>
          <w:lang w:val="es-ES"/>
        </w:rPr>
        <w:t>4.2</w:t>
      </w:r>
      <w:r w:rsidRPr="0056057F">
        <w:rPr>
          <w:lang w:val="es-ES"/>
        </w:rPr>
        <w:tab/>
        <w:t>Examen de Cuestiones por una Comisión de Estudio</w:t>
      </w:r>
      <w:bookmarkEnd w:id="274"/>
      <w:bookmarkEnd w:id="275"/>
      <w:bookmarkEnd w:id="276"/>
      <w:bookmarkEnd w:id="277"/>
      <w:bookmarkEnd w:id="278"/>
      <w:bookmarkEnd w:id="279"/>
    </w:p>
    <w:p w:rsidR="00026D75" w:rsidRPr="0056057F" w:rsidRDefault="00026D75" w:rsidP="00026D75">
      <w:pPr>
        <w:pStyle w:val="Heading3"/>
        <w:rPr>
          <w:lang w:val="es-ES"/>
        </w:rPr>
      </w:pPr>
      <w:bookmarkStart w:id="280" w:name="_Toc78875725"/>
      <w:bookmarkStart w:id="281" w:name="_Toc78942544"/>
      <w:bookmarkStart w:id="282" w:name="_Toc79307821"/>
      <w:bookmarkStart w:id="283" w:name="_Toc214178239"/>
      <w:bookmarkStart w:id="284" w:name="_Toc215371366"/>
      <w:bookmarkStart w:id="285" w:name="_Toc450136750"/>
      <w:bookmarkEnd w:id="273"/>
      <w:r w:rsidRPr="0056057F">
        <w:rPr>
          <w:lang w:val="es-ES"/>
        </w:rPr>
        <w:t>4.2.1</w:t>
      </w:r>
      <w:r w:rsidRPr="0056057F">
        <w:rPr>
          <w:lang w:val="es-ES"/>
        </w:rPr>
        <w:tab/>
        <w:t>Directrices sobre Cuestiones de las Comisiones de Estudio</w:t>
      </w:r>
      <w:bookmarkEnd w:id="280"/>
      <w:bookmarkEnd w:id="281"/>
      <w:bookmarkEnd w:id="282"/>
      <w:bookmarkEnd w:id="283"/>
      <w:bookmarkEnd w:id="284"/>
      <w:bookmarkEnd w:id="285"/>
    </w:p>
    <w:p w:rsidR="00026D75" w:rsidRPr="0056057F" w:rsidRDefault="00026D75" w:rsidP="007823E7">
      <w:pPr>
        <w:rPr>
          <w:lang w:val="es-ES"/>
        </w:rPr>
      </w:pPr>
      <w:r w:rsidRPr="0056057F">
        <w:rPr>
          <w:lang w:val="es-ES"/>
        </w:rPr>
        <w:t>Las directrices que deben aplicar las Comisiones de Estudio al examinar las Cuestiones que se les haya asignado están contenidas en los §§</w:t>
      </w:r>
      <w:r w:rsidRPr="0056057F">
        <w:rPr>
          <w:rFonts w:eastAsiaTheme="minorEastAsia"/>
          <w:sz w:val="22"/>
          <w:lang w:val="es-ES" w:eastAsia="zh-CN"/>
        </w:rPr>
        <w:t xml:space="preserve"> </w:t>
      </w:r>
      <w:r w:rsidRPr="0056057F">
        <w:rPr>
          <w:lang w:val="es-ES"/>
        </w:rPr>
        <w:t>A1.3.1.16 del Anexo 1 y A2.5.2.1.2 del Anexo 2 a la Resolución UIT</w:t>
      </w:r>
      <w:r w:rsidRPr="0056057F">
        <w:rPr>
          <w:lang w:val="es-ES"/>
        </w:rPr>
        <w:noBreakHyphen/>
        <w:t>R 1.6. Las directrices (§ A1.3.1.16 del Anexo 1) consideran dos aspectos: i) que las Cuestiones correspondan al mandato del UIT</w:t>
      </w:r>
      <w:r w:rsidRPr="0056057F">
        <w:rPr>
          <w:lang w:val="es-ES"/>
        </w:rPr>
        <w:noBreakHyphen/>
        <w:t>R (de conformidad con los números 150</w:t>
      </w:r>
      <w:r w:rsidRPr="0056057F">
        <w:rPr>
          <w:lang w:val="es-ES"/>
        </w:rPr>
        <w:noBreakHyphen/>
        <w:t>154 y 159 del Convenio de la UIT); y ii) que las Cuestiones no dupliquen estudios ya realizados por otras entidades internacionales. Además, la Resolución (§</w:t>
      </w:r>
      <w:r w:rsidRPr="0056057F">
        <w:rPr>
          <w:i/>
          <w:iCs/>
          <w:lang w:val="es-ES"/>
        </w:rPr>
        <w:t xml:space="preserve"> </w:t>
      </w:r>
      <w:r w:rsidRPr="0056057F">
        <w:rPr>
          <w:lang w:val="es-ES"/>
        </w:rPr>
        <w:t>A2.5.2.1.2 del Anexo 2) solicita a las Comisiones de Estudio que evalúen los proyectos de nuevas Cuestiones que se sometan para su adopción en base a estas directrices y que incluyan dicha evaluación cuando se envíen los proyectos de Cuestiones a las administraciones para su aprobación.</w:t>
      </w:r>
    </w:p>
    <w:p w:rsidR="00026D75" w:rsidRPr="0056057F" w:rsidRDefault="00026D75" w:rsidP="007823E7">
      <w:pPr>
        <w:rPr>
          <w:lang w:val="es-ES"/>
        </w:rPr>
      </w:pPr>
      <w:r w:rsidRPr="0056057F">
        <w:rPr>
          <w:lang w:val="es-ES"/>
        </w:rPr>
        <w:t>Para satisfacer esta petición, cada proyecto de nueva Cuestión presentado a aprobación debe ir precedido por un texto breve que justifique la adopción del proyecto de Cuestión de conformidad con las directrices mencionadas.</w:t>
      </w:r>
    </w:p>
    <w:p w:rsidR="00026D75" w:rsidRPr="0056057F" w:rsidRDefault="00026D75" w:rsidP="007823E7">
      <w:pPr>
        <w:rPr>
          <w:lang w:val="es-ES"/>
        </w:rPr>
      </w:pPr>
      <w:r w:rsidRPr="0056057F">
        <w:rPr>
          <w:lang w:val="es-ES"/>
        </w:rPr>
        <w:t>Sería muy apropiado que los grupos subordinados considerasen las directrices contenidas en los</w:t>
      </w:r>
      <w:r w:rsidR="00542D5D" w:rsidRPr="0056057F">
        <w:rPr>
          <w:lang w:val="es-ES"/>
        </w:rPr>
        <w:t> </w:t>
      </w:r>
      <w:r w:rsidRPr="0056057F">
        <w:rPr>
          <w:lang w:val="es-ES"/>
        </w:rPr>
        <w:t>§§ A1.3.1.16 del Anexo 1 y A2.5.2.1.2 del Anexo 2 cuando elaboren proyectos de nuevas Cuestiones. Además, sería conveniente que redactasen el texto breve que justifica la posterior aprobación.</w:t>
      </w:r>
    </w:p>
    <w:p w:rsidR="00026D75" w:rsidRPr="0056057F" w:rsidRDefault="00026D75" w:rsidP="00026D75">
      <w:pPr>
        <w:pStyle w:val="Heading3"/>
        <w:rPr>
          <w:lang w:val="es-ES"/>
        </w:rPr>
      </w:pPr>
      <w:bookmarkStart w:id="286" w:name="_Toc78875726"/>
      <w:bookmarkStart w:id="287" w:name="_Toc78942545"/>
      <w:bookmarkStart w:id="288" w:name="_Toc79307822"/>
      <w:bookmarkStart w:id="289" w:name="_Toc214178240"/>
      <w:bookmarkStart w:id="290" w:name="_Toc215371367"/>
      <w:bookmarkStart w:id="291" w:name="_Toc450136751"/>
      <w:r w:rsidRPr="0056057F">
        <w:rPr>
          <w:lang w:val="es-ES"/>
        </w:rPr>
        <w:lastRenderedPageBreak/>
        <w:t>4.2.2</w:t>
      </w:r>
      <w:r w:rsidRPr="0056057F">
        <w:rPr>
          <w:lang w:val="es-ES"/>
        </w:rPr>
        <w:tab/>
        <w:t>Adopción y aprobación de Cuestiones</w:t>
      </w:r>
      <w:bookmarkEnd w:id="286"/>
      <w:bookmarkEnd w:id="287"/>
      <w:bookmarkEnd w:id="288"/>
      <w:bookmarkEnd w:id="289"/>
      <w:bookmarkEnd w:id="290"/>
      <w:bookmarkEnd w:id="291"/>
    </w:p>
    <w:p w:rsidR="00026D75" w:rsidRPr="0056057F" w:rsidRDefault="00026D75" w:rsidP="007823E7">
      <w:pPr>
        <w:rPr>
          <w:lang w:val="es-ES"/>
        </w:rPr>
      </w:pPr>
      <w:r w:rsidRPr="0056057F">
        <w:rPr>
          <w:lang w:val="es-ES"/>
        </w:rPr>
        <w:t>De conformidad con los §§ A1.3.1.2 del Anexo 1, A2.5.2.1.1, A2.5.2.1.3, A2.5.2.1.4, A2.5.2.1.5 y A2.5.3.1 del Anexo 2 a la Resolución UIT</w:t>
      </w:r>
      <w:r w:rsidRPr="0056057F">
        <w:rPr>
          <w:lang w:val="es-ES"/>
        </w:rPr>
        <w:noBreakHyphen/>
        <w:t xml:space="preserve">R 1, una Comisión de Estudio podrá adoptar las Cuestiones nuevas o revisadas que se le hayan asignado, Cuestiones que serán aprobadas sea en una Asamblea de Radiocomunicaciones o por consulta entre los Estados Miembros. </w:t>
      </w:r>
    </w:p>
    <w:p w:rsidR="00026D75" w:rsidRPr="0056057F" w:rsidRDefault="00026D75" w:rsidP="007823E7">
      <w:pPr>
        <w:pStyle w:val="Heading2"/>
        <w:rPr>
          <w:lang w:val="es-ES"/>
        </w:rPr>
      </w:pPr>
      <w:bookmarkStart w:id="292" w:name="_Toc521226265"/>
      <w:bookmarkStart w:id="293" w:name="_Toc7599986"/>
      <w:bookmarkStart w:id="294" w:name="_Toc78875727"/>
      <w:bookmarkStart w:id="295" w:name="_Toc78942546"/>
      <w:bookmarkStart w:id="296" w:name="_Toc79307823"/>
      <w:bookmarkStart w:id="297" w:name="_Toc214178241"/>
      <w:bookmarkStart w:id="298" w:name="_Toc215371368"/>
      <w:bookmarkStart w:id="299" w:name="_Toc450136752"/>
      <w:bookmarkStart w:id="300" w:name="_Toc521224825"/>
      <w:bookmarkStart w:id="301" w:name="_Toc7593614"/>
      <w:bookmarkStart w:id="302" w:name="_Toc122947312"/>
      <w:bookmarkStart w:id="303" w:name="_Toc354672855"/>
      <w:r w:rsidRPr="0056057F">
        <w:rPr>
          <w:lang w:val="es-ES"/>
        </w:rPr>
        <w:t>4.3</w:t>
      </w:r>
      <w:r w:rsidRPr="0056057F">
        <w:rPr>
          <w:lang w:val="es-ES"/>
        </w:rPr>
        <w:tab/>
        <w:t>Aprobación de Manuales</w:t>
      </w:r>
      <w:bookmarkEnd w:id="292"/>
      <w:bookmarkEnd w:id="293"/>
      <w:bookmarkEnd w:id="294"/>
      <w:bookmarkEnd w:id="295"/>
      <w:bookmarkEnd w:id="296"/>
      <w:bookmarkEnd w:id="297"/>
      <w:bookmarkEnd w:id="298"/>
      <w:bookmarkEnd w:id="299"/>
    </w:p>
    <w:p w:rsidR="00026D75" w:rsidRPr="0056057F" w:rsidRDefault="00026D75" w:rsidP="007823E7">
      <w:pPr>
        <w:rPr>
          <w:lang w:val="es-ES"/>
        </w:rPr>
      </w:pPr>
      <w:r w:rsidRPr="0056057F">
        <w:rPr>
          <w:lang w:val="es-ES"/>
        </w:rPr>
        <w:t>Con arreglo al § A2.8.2 del Anexo 2 a la Resolución UIT</w:t>
      </w:r>
      <w:r w:rsidRPr="0056057F">
        <w:rPr>
          <w:lang w:val="es-ES"/>
        </w:rPr>
        <w:noBreakHyphen/>
        <w:t>R 1, las Comisiones de Estudio pueden aprobar Manuales. Para acelerar el procedimiento, es práctica reconocida que la correspondiente Comisión de Estudio autorice al Grupo subordinado que prepara el Manual a que apruebe el texto final, a reserva del acuerdo del Presidente de la Comisión de Estudio y del Grupo subordinado. Esto rige en particular en el caso en que el material se encuentre en estado avanzado de preparación.</w:t>
      </w:r>
    </w:p>
    <w:p w:rsidR="00026D75" w:rsidRPr="0056057F" w:rsidRDefault="00026D75" w:rsidP="00026D75">
      <w:pPr>
        <w:pStyle w:val="Heading2"/>
        <w:rPr>
          <w:lang w:val="es-ES"/>
        </w:rPr>
      </w:pPr>
      <w:bookmarkStart w:id="304" w:name="_Toc521226266"/>
      <w:bookmarkStart w:id="305" w:name="_Toc7599987"/>
      <w:bookmarkStart w:id="306" w:name="_Toc78875728"/>
      <w:bookmarkStart w:id="307" w:name="_Toc78942547"/>
      <w:bookmarkStart w:id="308" w:name="_Toc79307824"/>
      <w:bookmarkStart w:id="309" w:name="_Toc214178242"/>
      <w:bookmarkStart w:id="310" w:name="_Toc215371369"/>
      <w:bookmarkStart w:id="311" w:name="_Toc450136753"/>
      <w:r w:rsidRPr="0056057F">
        <w:rPr>
          <w:lang w:val="es-ES"/>
        </w:rPr>
        <w:t>4.4</w:t>
      </w:r>
      <w:r w:rsidRPr="0056057F">
        <w:rPr>
          <w:lang w:val="es-ES"/>
        </w:rPr>
        <w:tab/>
        <w:t>Examen de proyectos de Resoluciones, Decisiones, Ruegos e Informes por parte de las Comisiones de Estudio</w:t>
      </w:r>
      <w:bookmarkEnd w:id="304"/>
      <w:bookmarkEnd w:id="305"/>
      <w:bookmarkEnd w:id="306"/>
      <w:bookmarkEnd w:id="307"/>
      <w:bookmarkEnd w:id="308"/>
      <w:bookmarkEnd w:id="309"/>
      <w:bookmarkEnd w:id="310"/>
      <w:bookmarkEnd w:id="311"/>
    </w:p>
    <w:p w:rsidR="00026D75" w:rsidRPr="0056057F" w:rsidRDefault="00026D75" w:rsidP="007823E7">
      <w:pPr>
        <w:rPr>
          <w:lang w:val="es-ES"/>
        </w:rPr>
      </w:pPr>
      <w:r w:rsidRPr="0056057F">
        <w:rPr>
          <w:lang w:val="es-ES"/>
        </w:rPr>
        <w:t>Las disposiciones del § A2.3.2.1 del Anexo 2 a la Resolución UIT</w:t>
      </w:r>
      <w:r w:rsidRPr="0056057F">
        <w:rPr>
          <w:lang w:val="es-ES"/>
        </w:rPr>
        <w:noBreakHyphen/>
        <w:t>R 1 se aplican a la aprobación de proyectos de Resoluciones. Las disposiciones de los §§ A2.4.2, A2.9.2 y A2.7.2.1 del Anexo 2 a la Resolución UIT</w:t>
      </w:r>
      <w:r w:rsidRPr="0056057F">
        <w:rPr>
          <w:lang w:val="es-ES"/>
        </w:rPr>
        <w:noBreakHyphen/>
        <w:t>R 1 se aplican a la aprobación de Decisiones, Ruegos e Informes.</w:t>
      </w:r>
    </w:p>
    <w:p w:rsidR="00026D75" w:rsidRPr="0056057F" w:rsidRDefault="00026D75" w:rsidP="00026D75">
      <w:pPr>
        <w:pStyle w:val="Heading2"/>
        <w:rPr>
          <w:lang w:val="es-ES"/>
        </w:rPr>
      </w:pPr>
      <w:bookmarkStart w:id="312" w:name="_Toc78875729"/>
      <w:bookmarkStart w:id="313" w:name="_Toc78942548"/>
      <w:bookmarkStart w:id="314" w:name="_Toc79307825"/>
      <w:bookmarkStart w:id="315" w:name="_Toc214178243"/>
      <w:bookmarkStart w:id="316" w:name="_Toc215371370"/>
      <w:bookmarkStart w:id="317" w:name="_Toc521226267"/>
      <w:bookmarkStart w:id="318" w:name="_Toc7599988"/>
      <w:bookmarkStart w:id="319" w:name="_Toc450136754"/>
      <w:r w:rsidRPr="0056057F">
        <w:rPr>
          <w:lang w:val="es-ES"/>
        </w:rPr>
        <w:t>4.5</w:t>
      </w:r>
      <w:r w:rsidRPr="0056057F">
        <w:rPr>
          <w:lang w:val="es-ES"/>
        </w:rPr>
        <w:tab/>
      </w:r>
      <w:bookmarkEnd w:id="312"/>
      <w:bookmarkEnd w:id="313"/>
      <w:bookmarkEnd w:id="314"/>
      <w:bookmarkEnd w:id="315"/>
      <w:bookmarkEnd w:id="316"/>
      <w:bookmarkEnd w:id="317"/>
      <w:bookmarkEnd w:id="318"/>
      <w:r w:rsidRPr="0056057F">
        <w:rPr>
          <w:lang w:val="es-ES"/>
        </w:rPr>
        <w:t>Relatores de Coordinación con el CCV</w:t>
      </w:r>
      <w:bookmarkEnd w:id="319"/>
    </w:p>
    <w:p w:rsidR="00026D75" w:rsidRPr="0056057F" w:rsidRDefault="00026D75" w:rsidP="007823E7">
      <w:pPr>
        <w:rPr>
          <w:lang w:val="es-ES"/>
        </w:rPr>
      </w:pPr>
      <w:r w:rsidRPr="0056057F">
        <w:rPr>
          <w:lang w:val="es-ES"/>
        </w:rPr>
        <w:t>En el §A1.3.2.11 del Anexo 1 a la Resolución UIT-R 1 se describe la forma en que las Comisiones de Estudio pueden nombrar a uno o varios Relatores de Coordinación con el CCV.</w:t>
      </w:r>
    </w:p>
    <w:p w:rsidR="00026D75" w:rsidRPr="0056057F" w:rsidRDefault="00026D75" w:rsidP="00026D75">
      <w:pPr>
        <w:pStyle w:val="Heading2"/>
        <w:rPr>
          <w:lang w:val="es-ES"/>
        </w:rPr>
      </w:pPr>
      <w:bookmarkStart w:id="320" w:name="_Toc450136755"/>
      <w:bookmarkStart w:id="321" w:name="_Toc521226268"/>
      <w:bookmarkStart w:id="322" w:name="_Toc7599989"/>
      <w:bookmarkStart w:id="323" w:name="_Toc78875730"/>
      <w:bookmarkStart w:id="324" w:name="_Toc78942549"/>
      <w:bookmarkStart w:id="325" w:name="_Toc79307826"/>
      <w:bookmarkStart w:id="326" w:name="_Toc214178244"/>
      <w:bookmarkStart w:id="327" w:name="_Toc215371371"/>
      <w:bookmarkEnd w:id="300"/>
      <w:bookmarkEnd w:id="301"/>
      <w:bookmarkEnd w:id="302"/>
      <w:bookmarkEnd w:id="303"/>
      <w:r w:rsidRPr="0056057F">
        <w:rPr>
          <w:lang w:val="es-ES"/>
        </w:rPr>
        <w:t>4.6</w:t>
      </w:r>
      <w:r w:rsidRPr="0056057F">
        <w:rPr>
          <w:lang w:val="es-ES"/>
        </w:rPr>
        <w:tab/>
        <w:t>Actualización o supresión de Recomendaciones, Informes y Cuestiones</w:t>
      </w:r>
      <w:bookmarkEnd w:id="320"/>
      <w:r w:rsidRPr="0056057F">
        <w:rPr>
          <w:lang w:val="es-ES"/>
        </w:rPr>
        <w:t xml:space="preserve"> </w:t>
      </w:r>
      <w:bookmarkEnd w:id="321"/>
      <w:bookmarkEnd w:id="322"/>
      <w:bookmarkEnd w:id="323"/>
      <w:bookmarkEnd w:id="324"/>
      <w:bookmarkEnd w:id="325"/>
      <w:bookmarkEnd w:id="326"/>
      <w:bookmarkEnd w:id="327"/>
    </w:p>
    <w:p w:rsidR="00026D75" w:rsidRPr="0056057F" w:rsidRDefault="00026D75" w:rsidP="007823E7">
      <w:pPr>
        <w:rPr>
          <w:lang w:val="es-ES"/>
        </w:rPr>
      </w:pPr>
      <w:r w:rsidRPr="0056057F">
        <w:rPr>
          <w:lang w:val="es-ES"/>
        </w:rPr>
        <w:t>En los §§ A2.6.2.1.9, A2.6.2.5, A2.6.3, A2.7.2, A.2.7.3, A2.5.2.1.6, A2.5.2.4 y A2.5.3 del Anexo 2 a la Resolución UIT</w:t>
      </w:r>
      <w:r w:rsidRPr="0056057F">
        <w:rPr>
          <w:lang w:val="es-ES"/>
        </w:rPr>
        <w:noBreakHyphen/>
        <w:t>R 1 se encarga a las Comisiones de Estudio que examinen sus Recomendaciones, Informes y Cuestiones que sigan vigentes, especialmente los textos más antiguos, y si se considera que ya no son necesarias o han quedado obsoletas, se proponga su revisión o supresión. Además, en los §§ A2.6.2.5.1 y A.2.5.2.4.1 del Anexo 2 a la Resolución UIT</w:t>
      </w:r>
      <w:r w:rsidRPr="0056057F">
        <w:rPr>
          <w:lang w:val="es-ES"/>
        </w:rPr>
        <w:noBreakHyphen/>
        <w:t>R 1 también se alienta a las Comisiones de Estudio a que mantengan actualizadas las Recomendaciones y Cuestiones. Las revisiones editoriales no deben considerarse como proyectos de revisión de las Recomendaciones y Cuestiones, como se especifica en los §§ A2.6.2.5.2 y A.2.5.2.4.2 del Anexo 2 a la Resolución UIT</w:t>
      </w:r>
      <w:r w:rsidRPr="0056057F">
        <w:rPr>
          <w:lang w:val="es-ES"/>
        </w:rPr>
        <w:noBreakHyphen/>
        <w:t xml:space="preserve">R 1. Los resultados de los exámenes deben comunicarse a la siguiente Asamblea de Radiocomunicaciones. </w:t>
      </w:r>
    </w:p>
    <w:p w:rsidR="00026D75" w:rsidRPr="0056057F" w:rsidRDefault="00026D75" w:rsidP="00026D75">
      <w:pPr>
        <w:pStyle w:val="Heading1"/>
        <w:rPr>
          <w:rFonts w:eastAsiaTheme="minorEastAsia"/>
          <w:lang w:val="es-ES"/>
        </w:rPr>
      </w:pPr>
      <w:bookmarkStart w:id="328" w:name="_Toc521226269"/>
      <w:bookmarkStart w:id="329" w:name="_Toc7599990"/>
      <w:bookmarkStart w:id="330" w:name="_Toc78875731"/>
      <w:bookmarkStart w:id="331" w:name="_Toc78942550"/>
      <w:bookmarkStart w:id="332" w:name="_Toc79307827"/>
      <w:bookmarkStart w:id="333" w:name="_Toc214178245"/>
      <w:bookmarkStart w:id="334" w:name="_Toc215371372"/>
      <w:bookmarkStart w:id="335" w:name="_Toc450136756"/>
      <w:r w:rsidRPr="0056057F">
        <w:rPr>
          <w:rFonts w:eastAsiaTheme="minorEastAsia"/>
          <w:lang w:val="es-ES"/>
        </w:rPr>
        <w:t>5</w:t>
      </w:r>
      <w:r w:rsidRPr="0056057F">
        <w:rPr>
          <w:rFonts w:eastAsiaTheme="minorEastAsia"/>
          <w:lang w:val="es-ES"/>
        </w:rPr>
        <w:tab/>
        <w:t>Aprobación de Recomendaciones</w:t>
      </w:r>
      <w:bookmarkEnd w:id="328"/>
      <w:bookmarkEnd w:id="329"/>
      <w:bookmarkEnd w:id="330"/>
      <w:bookmarkEnd w:id="331"/>
      <w:bookmarkEnd w:id="332"/>
      <w:bookmarkEnd w:id="333"/>
      <w:bookmarkEnd w:id="334"/>
      <w:bookmarkEnd w:id="335"/>
    </w:p>
    <w:p w:rsidR="00026D75" w:rsidRPr="0056057F" w:rsidRDefault="00026D75" w:rsidP="00026D75">
      <w:pPr>
        <w:pStyle w:val="Heading2"/>
        <w:rPr>
          <w:lang w:val="es-ES"/>
        </w:rPr>
      </w:pPr>
      <w:bookmarkStart w:id="336" w:name="_Toc78875733"/>
      <w:bookmarkStart w:id="337" w:name="_Toc78942552"/>
      <w:bookmarkStart w:id="338" w:name="_Toc79307829"/>
      <w:bookmarkStart w:id="339" w:name="_Toc214178247"/>
      <w:bookmarkStart w:id="340" w:name="_Toc215371374"/>
      <w:bookmarkStart w:id="341" w:name="_Toc450136757"/>
      <w:r w:rsidRPr="0056057F">
        <w:rPr>
          <w:lang w:val="es-ES"/>
        </w:rPr>
        <w:t>5.1</w:t>
      </w:r>
      <w:r w:rsidRPr="0056057F">
        <w:rPr>
          <w:lang w:val="es-ES"/>
        </w:rPr>
        <w:tab/>
        <w:t>Aplicación del procedimiento de adopción y aprobación simultáneas (PAAS)</w:t>
      </w:r>
      <w:bookmarkEnd w:id="336"/>
      <w:bookmarkEnd w:id="337"/>
      <w:bookmarkEnd w:id="338"/>
      <w:bookmarkEnd w:id="339"/>
      <w:bookmarkEnd w:id="340"/>
      <w:bookmarkEnd w:id="341"/>
    </w:p>
    <w:p w:rsidR="00026D75" w:rsidRPr="0056057F" w:rsidRDefault="00026D75" w:rsidP="007823E7">
      <w:pPr>
        <w:rPr>
          <w:lang w:val="es-ES"/>
        </w:rPr>
      </w:pPr>
      <w:r w:rsidRPr="0056057F">
        <w:rPr>
          <w:lang w:val="es-ES"/>
        </w:rPr>
        <w:t>A menos que la Comisión de Estudio haya decidido otra cosa y si la Recomendación no está incorporada por referencia en el Reglamento de Radiocomunicaciones, se deberá aplicar el procedimiento de adopción y aprobación simultáneas de proyectos de Recomendaciones de acuerdo con el § A2.6.2.4 del Anexo 2 a la Resolución UIT</w:t>
      </w:r>
      <w:r w:rsidRPr="0056057F">
        <w:rPr>
          <w:lang w:val="es-ES"/>
        </w:rPr>
        <w:noBreakHyphen/>
        <w:t>R 1 (véase el § 4.1.2 anterior). Si durante el periodo de consulta estatutaria no se reciben objeciones de los Estados Miembros, al finalizar este periodo el proyecto de Recomendación no sólo se considerará adoptado sino también aprobado.</w:t>
      </w:r>
    </w:p>
    <w:p w:rsidR="00026D75" w:rsidRPr="0056057F" w:rsidRDefault="00026D75" w:rsidP="00026D75">
      <w:pPr>
        <w:pStyle w:val="Heading2"/>
        <w:rPr>
          <w:lang w:val="es-ES"/>
        </w:rPr>
      </w:pPr>
      <w:bookmarkStart w:id="342" w:name="_Toc521226271"/>
      <w:bookmarkStart w:id="343" w:name="_Toc7599992"/>
      <w:bookmarkStart w:id="344" w:name="_Toc78875734"/>
      <w:bookmarkStart w:id="345" w:name="_Toc78942553"/>
      <w:bookmarkStart w:id="346" w:name="_Toc79307830"/>
      <w:bookmarkStart w:id="347" w:name="_Toc214178248"/>
      <w:bookmarkStart w:id="348" w:name="_Toc215371375"/>
      <w:bookmarkStart w:id="349" w:name="_Toc450136758"/>
      <w:r w:rsidRPr="0056057F">
        <w:rPr>
          <w:lang w:val="es-ES"/>
        </w:rPr>
        <w:lastRenderedPageBreak/>
        <w:t>5.2</w:t>
      </w:r>
      <w:r w:rsidRPr="0056057F">
        <w:rPr>
          <w:lang w:val="es-ES"/>
        </w:rPr>
        <w:tab/>
        <w:t>Procedimiento de aprobación de Recomendaciones</w:t>
      </w:r>
      <w:bookmarkEnd w:id="342"/>
      <w:bookmarkEnd w:id="343"/>
      <w:bookmarkEnd w:id="344"/>
      <w:bookmarkEnd w:id="345"/>
      <w:bookmarkEnd w:id="346"/>
      <w:bookmarkEnd w:id="347"/>
      <w:bookmarkEnd w:id="348"/>
      <w:bookmarkEnd w:id="349"/>
    </w:p>
    <w:p w:rsidR="00026D75" w:rsidRPr="0056057F" w:rsidRDefault="00026D75" w:rsidP="007823E7">
      <w:pPr>
        <w:rPr>
          <w:lang w:val="es-ES"/>
        </w:rPr>
      </w:pPr>
      <w:r w:rsidRPr="0056057F">
        <w:rPr>
          <w:lang w:val="es-ES"/>
        </w:rPr>
        <w:t>Después de que un proyecto de Recomendación se adopte en una Comisión de Estudio mediante aplicación de cualquiera de los dos procedimientos antes descritos en los § 4.1.1 y 4.1.2 (pero no aplicando el PAAS), existen dos procedimientos para la aprobación de Recomendaciones por los Estados Miembros, a saber, aprobación por consulta y aprobación en una Asamblea de Radiocomunicaciones (véanse los §§ A2.6.2.1.7, A2.6.2.1.8 y A2.6.2.3 del Anexo 2 a la Resolución</w:t>
      </w:r>
      <w:r w:rsidR="00542D5D" w:rsidRPr="0056057F">
        <w:rPr>
          <w:lang w:val="es-ES"/>
        </w:rPr>
        <w:t> </w:t>
      </w:r>
      <w:r w:rsidRPr="0056057F">
        <w:rPr>
          <w:lang w:val="es-ES"/>
        </w:rPr>
        <w:t xml:space="preserve">UIT-R 1). </w:t>
      </w:r>
    </w:p>
    <w:p w:rsidR="00026D75" w:rsidRPr="0056057F" w:rsidRDefault="00026D75" w:rsidP="00026D75">
      <w:pPr>
        <w:pStyle w:val="Heading1"/>
        <w:rPr>
          <w:rFonts w:eastAsiaTheme="minorEastAsia"/>
          <w:lang w:val="es-ES"/>
        </w:rPr>
      </w:pPr>
      <w:bookmarkStart w:id="350" w:name="_Toc78875735"/>
      <w:bookmarkStart w:id="351" w:name="_Toc78942554"/>
      <w:bookmarkStart w:id="352" w:name="_Toc79307831"/>
      <w:bookmarkStart w:id="353" w:name="_Toc214178249"/>
      <w:bookmarkStart w:id="354" w:name="_Toc215371376"/>
      <w:bookmarkStart w:id="355" w:name="_Toc450136759"/>
      <w:bookmarkStart w:id="356" w:name="_Toc122947318"/>
      <w:r w:rsidRPr="0056057F">
        <w:rPr>
          <w:rFonts w:eastAsiaTheme="minorEastAsia"/>
          <w:lang w:val="es-ES"/>
        </w:rPr>
        <w:t>6</w:t>
      </w:r>
      <w:r w:rsidRPr="0056057F">
        <w:rPr>
          <w:rFonts w:eastAsiaTheme="minorEastAsia"/>
          <w:lang w:val="es-ES"/>
        </w:rPr>
        <w:tab/>
        <w:t>Coordinación y colaboración del UIT-R con el UIT-T, el UIT-D y otras organizaciones</w:t>
      </w:r>
      <w:bookmarkEnd w:id="350"/>
      <w:bookmarkEnd w:id="351"/>
      <w:bookmarkEnd w:id="352"/>
      <w:bookmarkEnd w:id="353"/>
      <w:bookmarkEnd w:id="354"/>
      <w:bookmarkEnd w:id="355"/>
    </w:p>
    <w:p w:rsidR="00026D75" w:rsidRPr="0056057F" w:rsidRDefault="00026D75" w:rsidP="00026D75">
      <w:pPr>
        <w:pStyle w:val="Heading2"/>
        <w:rPr>
          <w:lang w:val="es-ES"/>
        </w:rPr>
      </w:pPr>
      <w:r w:rsidRPr="0056057F">
        <w:rPr>
          <w:lang w:val="es-ES"/>
        </w:rPr>
        <w:t>6.1</w:t>
      </w:r>
      <w:r w:rsidRPr="0056057F">
        <w:rPr>
          <w:lang w:val="es-ES"/>
        </w:rPr>
        <w:tab/>
        <w:t xml:space="preserve">Coordinación y colaboración con el UIT-T y el UIT-D </w:t>
      </w:r>
    </w:p>
    <w:p w:rsidR="00026D75" w:rsidRPr="0056057F" w:rsidRDefault="00026D75" w:rsidP="007823E7">
      <w:pPr>
        <w:rPr>
          <w:lang w:val="es-ES"/>
        </w:rPr>
      </w:pPr>
      <w:r w:rsidRPr="0056057F">
        <w:rPr>
          <w:lang w:val="es-ES"/>
        </w:rPr>
        <w:t xml:space="preserve">La coordinación y colaboración con el Sector de Normalización de las Telecomunicaciones de la UIT y el Sector de Desarrollo de las Telecomunicaciones de la UIT se abordan respectivamente en las Resoluciones UIT-R 6 y 7, y ambos están disponibles en </w:t>
      </w:r>
      <w:hyperlink r:id="rId30" w:history="1">
        <w:r w:rsidRPr="0056057F">
          <w:rPr>
            <w:rStyle w:val="Hyperlink"/>
            <w:rFonts w:cs="Times New Roman"/>
            <w:lang w:val="es-ES"/>
          </w:rPr>
          <w:t>http://www.itu.int/pub/R-RES</w:t>
        </w:r>
      </w:hyperlink>
      <w:r w:rsidRPr="0056057F">
        <w:rPr>
          <w:lang w:val="es-ES"/>
        </w:rPr>
        <w:t>.</w:t>
      </w:r>
    </w:p>
    <w:p w:rsidR="00026D75" w:rsidRPr="0056057F" w:rsidRDefault="00026D75" w:rsidP="00026D75">
      <w:pPr>
        <w:pStyle w:val="Heading2"/>
        <w:rPr>
          <w:lang w:val="es-ES"/>
        </w:rPr>
      </w:pPr>
      <w:r w:rsidRPr="0056057F">
        <w:rPr>
          <w:lang w:val="es-ES"/>
        </w:rPr>
        <w:t>6.2</w:t>
      </w:r>
      <w:r w:rsidRPr="0056057F">
        <w:rPr>
          <w:lang w:val="es-ES"/>
        </w:rPr>
        <w:tab/>
        <w:t xml:space="preserve">Coordinación y colaboración con otras organizaciones </w:t>
      </w:r>
    </w:p>
    <w:p w:rsidR="00026D75" w:rsidRPr="0056057F" w:rsidRDefault="00026D75" w:rsidP="007823E7">
      <w:pPr>
        <w:rPr>
          <w:lang w:val="es-ES"/>
        </w:rPr>
      </w:pPr>
      <w:r w:rsidRPr="0056057F">
        <w:rPr>
          <w:lang w:val="es-ES"/>
        </w:rPr>
        <w:t>La coordinación y colaboración con otras organizaciones pertinentes, en particular la ISO, la CEI y el CISPR, se considera en la Resolución UIT</w:t>
      </w:r>
      <w:r w:rsidRPr="0056057F">
        <w:rPr>
          <w:lang w:val="es-ES"/>
        </w:rPr>
        <w:noBreakHyphen/>
        <w:t>R 9. Las directrices antes mencionadas, elaboradas de conformidad con la Resolución UIT</w:t>
      </w:r>
      <w:r w:rsidRPr="0056057F">
        <w:rPr>
          <w:lang w:val="es-ES"/>
        </w:rPr>
        <w:noBreakHyphen/>
        <w:t xml:space="preserve">R 9, se publican por separado en </w:t>
      </w:r>
      <w:hyperlink r:id="rId31" w:history="1">
        <w:r w:rsidRPr="0056057F">
          <w:rPr>
            <w:rStyle w:val="Hyperlink"/>
            <w:rFonts w:cs="Times New Roman"/>
            <w:lang w:val="es-ES"/>
          </w:rPr>
          <w:t>http://www.itu.int/en/ITU-R/study-groups/Pages/extcoop.aspx</w:t>
        </w:r>
      </w:hyperlink>
      <w:r w:rsidRPr="0056057F">
        <w:rPr>
          <w:lang w:val="es-ES"/>
        </w:rPr>
        <w:t>).</w:t>
      </w:r>
    </w:p>
    <w:p w:rsidR="00026D75" w:rsidRPr="0056057F" w:rsidRDefault="00026D75" w:rsidP="00026D75">
      <w:pPr>
        <w:pStyle w:val="Heading1"/>
        <w:rPr>
          <w:rFonts w:eastAsiaTheme="minorEastAsia"/>
          <w:lang w:val="es-ES"/>
        </w:rPr>
      </w:pPr>
      <w:bookmarkStart w:id="357" w:name="_Toc450136760"/>
      <w:r w:rsidRPr="0056057F">
        <w:rPr>
          <w:rFonts w:eastAsiaTheme="minorEastAsia"/>
          <w:lang w:val="es-ES"/>
        </w:rPr>
        <w:t>7</w:t>
      </w:r>
      <w:r w:rsidRPr="0056057F">
        <w:rPr>
          <w:rFonts w:eastAsiaTheme="minorEastAsia"/>
          <w:lang w:val="es-ES"/>
        </w:rPr>
        <w:tab/>
        <w:t>Participación a distancia</w:t>
      </w:r>
      <w:bookmarkEnd w:id="357"/>
    </w:p>
    <w:p w:rsidR="00026D75" w:rsidRPr="0056057F" w:rsidRDefault="00026D75" w:rsidP="007823E7">
      <w:pPr>
        <w:rPr>
          <w:lang w:val="es-ES" w:eastAsia="zh-CN"/>
        </w:rPr>
      </w:pPr>
      <w:r w:rsidRPr="0056057F">
        <w:rPr>
          <w:lang w:val="es-ES" w:eastAsia="zh-CN"/>
        </w:rPr>
        <w:t>Los usuarios registrados en TIES tienen acceso a las difusiones audio por la web de las sesiones plenarias de todas las Comisiones de Estudio y todos los Grupos de Trabajo, cuando dichas reuniones se celebran en Ginebra. Se alienta a los participantes que sólo deseen escuchar lo que se ha tratado en las reuniones a utilizar el sistema de difusión por la web. Para utilizar este sistema, no es necesario que los participantes se inscriban en la reunión.</w:t>
      </w:r>
    </w:p>
    <w:p w:rsidR="00026D75" w:rsidRPr="0056057F" w:rsidRDefault="00026D75" w:rsidP="007823E7">
      <w:pPr>
        <w:rPr>
          <w:szCs w:val="24"/>
          <w:lang w:val="es-ES"/>
        </w:rPr>
      </w:pPr>
      <w:r w:rsidRPr="0056057F">
        <w:rPr>
          <w:lang w:val="es-ES"/>
        </w:rPr>
        <w:t>En armonía con las orientaciones facilitadas por el Grupo Asesor de Radiocomunicaciones, se han tomado las disposiciones necesarias para que los participantes a distancia puedan participar activamente durante las sesiones importantes de una reunión de Grupos de Trabajo cuando no se esté llevando a cabo ningún procedimiento de decisión oficial (como, por ejemplo, presentar una contribución o hacer una presentación a distancia). Si bien la Secretaría hará todo lo posible para facilitar la participación activa, cabe señalar que en algunas ocasiones quizás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 Se solicita a los delegados interesados en utilizar los servicios de participación a distancia interactivos que coordinen su participación con el Consejero del Grupo de Trabajo correspondiente al menos un mes antes de la reunión.</w:t>
      </w:r>
    </w:p>
    <w:p w:rsidR="00026D75" w:rsidRPr="0056057F" w:rsidRDefault="00026D75" w:rsidP="007823E7">
      <w:pPr>
        <w:rPr>
          <w:lang w:val="es-ES"/>
        </w:rPr>
      </w:pPr>
      <w:r w:rsidRPr="0056057F">
        <w:rPr>
          <w:lang w:val="es-ES"/>
        </w:rPr>
        <w:t>En cuanto a las reuniones celebradas fuera de Ginebra, los sistemas de difusión por la web y de participación activa a distancia sólo podrán ofrecerse si se dispone de servicios adecuados en el lugar de celebración de las reuniones.</w:t>
      </w:r>
    </w:p>
    <w:p w:rsidR="00026D75" w:rsidRPr="0056057F" w:rsidRDefault="00026D75" w:rsidP="00026D75">
      <w:pPr>
        <w:pStyle w:val="Heading1"/>
        <w:rPr>
          <w:rFonts w:eastAsiaTheme="minorEastAsia"/>
          <w:lang w:val="es-ES"/>
        </w:rPr>
      </w:pPr>
      <w:bookmarkStart w:id="358" w:name="_Toc450136761"/>
      <w:r w:rsidRPr="0056057F">
        <w:rPr>
          <w:rFonts w:eastAsiaTheme="minorEastAsia"/>
          <w:lang w:val="es-ES"/>
        </w:rPr>
        <w:lastRenderedPageBreak/>
        <w:t>8</w:t>
      </w:r>
      <w:r w:rsidRPr="0056057F">
        <w:rPr>
          <w:rFonts w:eastAsiaTheme="minorEastAsia"/>
          <w:lang w:val="es-ES"/>
        </w:rPr>
        <w:tab/>
        <w:t>Subtitulado</w:t>
      </w:r>
      <w:bookmarkEnd w:id="358"/>
    </w:p>
    <w:p w:rsidR="00026D75" w:rsidRPr="0056057F" w:rsidRDefault="00026D75" w:rsidP="007823E7">
      <w:pPr>
        <w:rPr>
          <w:lang w:val="es-ES"/>
        </w:rPr>
      </w:pPr>
      <w:r w:rsidRPr="0056057F">
        <w:rPr>
          <w:lang w:val="es-ES"/>
        </w:rPr>
        <w:t>Todas las sesiones plenarias de la AR y de las Comisiones de Estudio disponen de un servicio de subtitulado en inglés en directo. Las transcripciones de las sesiones se publican posteriormente en el sitio web de la UIT.</w:t>
      </w:r>
    </w:p>
    <w:p w:rsidR="00026D75" w:rsidRPr="0056057F" w:rsidRDefault="00026D75" w:rsidP="00026D75">
      <w:pPr>
        <w:pStyle w:val="Heading1"/>
        <w:rPr>
          <w:rFonts w:eastAsiaTheme="minorEastAsia"/>
          <w:lang w:val="es-ES"/>
        </w:rPr>
      </w:pPr>
      <w:bookmarkStart w:id="359" w:name="_Toc78942555"/>
      <w:bookmarkStart w:id="360" w:name="_Toc79307832"/>
      <w:bookmarkStart w:id="361" w:name="_Toc214178250"/>
      <w:bookmarkStart w:id="362" w:name="_Toc215371377"/>
      <w:bookmarkStart w:id="363" w:name="_Toc450136762"/>
      <w:bookmarkEnd w:id="356"/>
      <w:r w:rsidRPr="0056057F">
        <w:rPr>
          <w:rFonts w:eastAsiaTheme="minorEastAsia"/>
          <w:lang w:val="es-ES"/>
        </w:rPr>
        <w:t>9</w:t>
      </w:r>
      <w:r w:rsidRPr="0056057F">
        <w:rPr>
          <w:rFonts w:eastAsiaTheme="minorEastAsia"/>
          <w:lang w:val="es-ES"/>
        </w:rPr>
        <w:tab/>
        <w:t>Política sobre Derechos de Propiedad Intelectual</w:t>
      </w:r>
      <w:bookmarkEnd w:id="359"/>
      <w:bookmarkEnd w:id="360"/>
      <w:bookmarkEnd w:id="361"/>
      <w:bookmarkEnd w:id="362"/>
      <w:bookmarkEnd w:id="363"/>
    </w:p>
    <w:p w:rsidR="00026D75" w:rsidRPr="0056057F" w:rsidRDefault="00026D75" w:rsidP="007823E7">
      <w:pPr>
        <w:rPr>
          <w:lang w:val="es-ES"/>
        </w:rPr>
      </w:pPr>
      <w:r w:rsidRPr="0056057F">
        <w:rPr>
          <w:lang w:val="es-ES"/>
        </w:rPr>
        <w:t>La política del UIT</w:t>
      </w:r>
      <w:r w:rsidRPr="0056057F">
        <w:rPr>
          <w:lang w:val="es-ES"/>
        </w:rPr>
        <w:noBreakHyphen/>
        <w:t>R sobre Derechos de Propiedad Intelectual se describe en la Política Común de Patentes UIT</w:t>
      </w:r>
      <w:r w:rsidRPr="0056057F">
        <w:rPr>
          <w:lang w:val="es-ES"/>
        </w:rPr>
        <w:noBreakHyphen/>
        <w:t>T/UIT</w:t>
      </w:r>
      <w:r w:rsidRPr="0056057F">
        <w:rPr>
          <w:lang w:val="es-ES"/>
        </w:rPr>
        <w:noBreakHyphen/>
        <w:t>R/ISO/CEI a la que se hace referencia en la NOTA 2 del § A2.6.1 del Anexo 2 a la Resolución UIT</w:t>
      </w:r>
      <w:r w:rsidRPr="0056057F">
        <w:rPr>
          <w:lang w:val="es-ES"/>
        </w:rPr>
        <w:noBreakHyphen/>
        <w:t xml:space="preserve">R 1. Los formularios que deben utilizarse en la declaración sobre patentes y utilización de patentes por los titulares de las mismas figuran en la dirección web </w:t>
      </w:r>
      <w:hyperlink r:id="rId32" w:history="1">
        <w:r w:rsidRPr="0056057F">
          <w:rPr>
            <w:rStyle w:val="Hyperlink"/>
            <w:rFonts w:cs="Times New Roman"/>
            <w:lang w:val="es-ES"/>
          </w:rPr>
          <w:t>http://itu.int/go/ITUpatents</w:t>
        </w:r>
      </w:hyperlink>
      <w:r w:rsidRPr="0056057F">
        <w:rPr>
          <w:lang w:val="es-ES"/>
        </w:rPr>
        <w:t>, donde también aparecen las Directrices para la implementación de la Política Común de Patentes UIT</w:t>
      </w:r>
      <w:r w:rsidRPr="0056057F">
        <w:rPr>
          <w:lang w:val="es-ES"/>
        </w:rPr>
        <w:noBreakHyphen/>
        <w:t>T/UIT</w:t>
      </w:r>
      <w:r w:rsidRPr="0056057F">
        <w:rPr>
          <w:lang w:val="es-ES"/>
        </w:rPr>
        <w:noBreakHyphen/>
        <w:t>R/ISO/CEI y la base de datos sobre información de patentes del UIT</w:t>
      </w:r>
      <w:r w:rsidRPr="0056057F">
        <w:rPr>
          <w:lang w:val="es-ES"/>
        </w:rPr>
        <w:noBreakHyphen/>
        <w:t>R.</w:t>
      </w:r>
    </w:p>
    <w:p w:rsidR="00026D75" w:rsidRPr="0056057F" w:rsidRDefault="00026D75" w:rsidP="007823E7">
      <w:pPr>
        <w:pStyle w:val="Heading1"/>
        <w:rPr>
          <w:rFonts w:eastAsiaTheme="minorEastAsia"/>
          <w:lang w:val="es-ES"/>
        </w:rPr>
      </w:pPr>
      <w:bookmarkStart w:id="364" w:name="_Toc450136763"/>
      <w:r w:rsidRPr="0056057F">
        <w:rPr>
          <w:rFonts w:eastAsiaTheme="minorEastAsia"/>
          <w:lang w:val="es-ES"/>
        </w:rPr>
        <w:t>10</w:t>
      </w:r>
      <w:r w:rsidRPr="0056057F">
        <w:rPr>
          <w:rFonts w:eastAsiaTheme="minorEastAsia"/>
          <w:lang w:val="es-ES"/>
        </w:rPr>
        <w:tab/>
        <w:t>Derecho de autor del software: directrices y formularios</w:t>
      </w:r>
      <w:bookmarkEnd w:id="364"/>
      <w:r w:rsidRPr="0056057F">
        <w:rPr>
          <w:rFonts w:eastAsiaTheme="minorEastAsia"/>
          <w:lang w:val="es-ES"/>
        </w:rPr>
        <w:t xml:space="preserve"> </w:t>
      </w:r>
    </w:p>
    <w:p w:rsidR="00026D75" w:rsidRPr="0056057F" w:rsidRDefault="00026D75" w:rsidP="007823E7">
      <w:pPr>
        <w:rPr>
          <w:rFonts w:eastAsiaTheme="minorEastAsia"/>
          <w:lang w:val="es-ES"/>
        </w:rPr>
      </w:pPr>
      <w:r w:rsidRPr="0056057F">
        <w:rPr>
          <w:rFonts w:eastAsiaTheme="minorEastAsia"/>
          <w:lang w:val="es-ES"/>
        </w:rPr>
        <w:t xml:space="preserve">Las Directrices sobre el derecho de autor del software, que orientan a las Comisiones de Estudio a la hora de examinar la incorporación en las Recomendaciones del UIT-R de material protegido por la legislación en materia de derecho de autor, están disponibles en </w:t>
      </w:r>
      <w:hyperlink r:id="rId33" w:history="1">
        <w:r w:rsidRPr="0056057F">
          <w:rPr>
            <w:rStyle w:val="Hyperlink"/>
            <w:rFonts w:cs="Times New Roman"/>
            <w:lang w:val="es-ES"/>
          </w:rPr>
          <w:t>http://www.itu.int/oth/T0404000004/en</w:t>
        </w:r>
      </w:hyperlink>
      <w:r w:rsidRPr="0056057F">
        <w:rPr>
          <w:lang w:val="es-ES"/>
        </w:rPr>
        <w:t xml:space="preserve">. Los formularios que deben utilizarse para la presentación de declaraciones de derecho de autor del software y de declaraciones de concesión de licencias por titulares del derecho de autor del software pueden obtenerse en </w:t>
      </w:r>
      <w:hyperlink r:id="rId34" w:history="1">
        <w:r w:rsidRPr="0056057F">
          <w:rPr>
            <w:rStyle w:val="Hyperlink"/>
            <w:rFonts w:cs="Times New Roman"/>
            <w:lang w:val="es-ES"/>
          </w:rPr>
          <w:t>http://www.itu.int/oth/T0404000005/en</w:t>
        </w:r>
      </w:hyperlink>
      <w:r w:rsidRPr="0056057F">
        <w:rPr>
          <w:lang w:val="es-ES"/>
        </w:rPr>
        <w:t>.</w:t>
      </w:r>
    </w:p>
    <w:p w:rsidR="00026D75" w:rsidRPr="0056057F" w:rsidRDefault="00026D75" w:rsidP="00026D75">
      <w:pPr>
        <w:tabs>
          <w:tab w:val="clear" w:pos="794"/>
          <w:tab w:val="clear" w:pos="1191"/>
          <w:tab w:val="clear" w:pos="1588"/>
          <w:tab w:val="clear" w:pos="1985"/>
        </w:tabs>
        <w:overflowPunct/>
        <w:autoSpaceDE/>
        <w:autoSpaceDN/>
        <w:adjustRightInd/>
        <w:spacing w:before="0"/>
        <w:textAlignment w:val="auto"/>
        <w:rPr>
          <w:lang w:val="es-ES"/>
        </w:rPr>
      </w:pPr>
      <w:r w:rsidRPr="0056057F">
        <w:rPr>
          <w:lang w:val="es-ES"/>
        </w:rPr>
        <w:br w:type="page"/>
      </w:r>
    </w:p>
    <w:p w:rsidR="00026D75" w:rsidRPr="0056057F" w:rsidRDefault="00542D5D" w:rsidP="00542D5D">
      <w:pPr>
        <w:pStyle w:val="AnnexNotitle0"/>
        <w:rPr>
          <w:rFonts w:ascii="Calibri" w:hAnsi="Calibri"/>
          <w:b w:val="0"/>
          <w:bCs/>
          <w:lang w:val="es-ES"/>
        </w:rPr>
      </w:pPr>
      <w:r w:rsidRPr="0056057F">
        <w:rPr>
          <w:rFonts w:ascii="Calibri" w:hAnsi="Calibri"/>
          <w:b w:val="0"/>
          <w:bCs/>
          <w:lang w:val="es-ES"/>
        </w:rPr>
        <w:lastRenderedPageBreak/>
        <w:t>ANEXO</w:t>
      </w:r>
    </w:p>
    <w:p w:rsidR="00026D75" w:rsidRPr="0056057F" w:rsidRDefault="00026D75" w:rsidP="00026D75">
      <w:pPr>
        <w:pStyle w:val="Annextitle"/>
        <w:rPr>
          <w:rFonts w:ascii="Calibri" w:hAnsi="Calibri"/>
          <w:lang w:val="es-ES"/>
        </w:rPr>
      </w:pPr>
      <w:r w:rsidRPr="0056057F">
        <w:rPr>
          <w:rFonts w:ascii="Calibri" w:hAnsi="Calibri"/>
          <w:lang w:val="es-ES"/>
        </w:rPr>
        <w:t>Formato común obligatorio</w:t>
      </w:r>
      <w:r w:rsidR="00542D5D" w:rsidRPr="0056057F">
        <w:rPr>
          <w:rFonts w:ascii="Calibri" w:hAnsi="Calibri"/>
          <w:lang w:val="es-ES"/>
        </w:rPr>
        <w:t xml:space="preserve"> para las Recomendaciones UIT-R</w:t>
      </w:r>
    </w:p>
    <w:p w:rsidR="00026D75" w:rsidRPr="0056057F" w:rsidRDefault="00026D75" w:rsidP="007823E7">
      <w:pPr>
        <w:pStyle w:val="Headingb"/>
        <w:spacing w:after="120"/>
        <w:rPr>
          <w:lang w:val="es-ES"/>
        </w:rPr>
      </w:pPr>
      <w:r w:rsidRPr="0056057F">
        <w:rPr>
          <w:lang w:val="es-ES"/>
        </w:rPr>
        <w:t>Resumen</w:t>
      </w:r>
    </w:p>
    <w:tbl>
      <w:tblPr>
        <w:tblW w:w="0" w:type="auto"/>
        <w:jc w:val="center"/>
        <w:tblLayout w:type="fixed"/>
        <w:tblLook w:val="0000" w:firstRow="0" w:lastRow="0" w:firstColumn="0" w:lastColumn="0" w:noHBand="0" w:noVBand="0"/>
      </w:tblPr>
      <w:tblGrid>
        <w:gridCol w:w="10242"/>
      </w:tblGrid>
      <w:tr w:rsidR="00026D75" w:rsidRPr="0056057F" w:rsidTr="00F35897">
        <w:trPr>
          <w:cantSplit/>
          <w:trHeight w:val="284"/>
          <w:jc w:val="center"/>
        </w:trPr>
        <w:tc>
          <w:tcPr>
            <w:tcW w:w="10242" w:type="dxa"/>
            <w:tcBorders>
              <w:top w:val="single" w:sz="6" w:space="0" w:color="auto"/>
              <w:left w:val="single" w:sz="6" w:space="0" w:color="auto"/>
              <w:bottom w:val="single" w:sz="6" w:space="0" w:color="auto"/>
              <w:right w:val="single" w:sz="6" w:space="0" w:color="auto"/>
            </w:tcBorders>
          </w:tcPr>
          <w:p w:rsidR="00026D75" w:rsidRPr="0056057F" w:rsidRDefault="00026D75" w:rsidP="007823E7">
            <w:pPr>
              <w:rPr>
                <w:lang w:val="es-ES"/>
              </w:rPr>
            </w:pPr>
            <w:r w:rsidRPr="0056057F">
              <w:rPr>
                <w:lang w:val="es-ES"/>
              </w:rPr>
              <w:t>Este elemento se sitúa al principio de la Recomendación. Proporciona una breve visión de conjunto del objeto y contenido presentando las razones del estudio y los motivos para elaborar esta Recomendación, lo que permite de esa forma a los Miembros de la UIT y a los usuarios juzgar la utilidad que reviste para su trabajo.</w:t>
            </w:r>
          </w:p>
          <w:p w:rsidR="00026D75" w:rsidRPr="0056057F" w:rsidRDefault="00026D75" w:rsidP="007823E7">
            <w:pPr>
              <w:rPr>
                <w:lang w:val="es-ES"/>
              </w:rPr>
            </w:pPr>
            <w:r w:rsidRPr="0056057F">
              <w:rPr>
                <w:lang w:val="es-ES"/>
              </w:rPr>
              <w:t>En el caso de revisión/modificación de una Recomendación existente, este elemento debe incluir una breve descripción de los cambios concretos introducidos en la Recomendación, incorporada por referencia en el Reglamento de Radiocomunicaciones.</w:t>
            </w:r>
          </w:p>
          <w:p w:rsidR="00026D75" w:rsidRPr="0056057F" w:rsidRDefault="00026D75" w:rsidP="007823E7">
            <w:pPr>
              <w:rPr>
                <w:lang w:val="es-ES"/>
              </w:rPr>
            </w:pPr>
            <w:r w:rsidRPr="0056057F">
              <w:rPr>
                <w:lang w:val="es-ES"/>
              </w:rPr>
              <w:t xml:space="preserve">Este elemento define sin ambigüedad la finalidad o el tema de la Recomendación y </w:t>
            </w:r>
          </w:p>
          <w:p w:rsidR="00026D75" w:rsidRPr="0056057F" w:rsidRDefault="00026D75" w:rsidP="00026D75">
            <w:pPr>
              <w:pStyle w:val="TableText0"/>
              <w:keepNext/>
              <w:numPr>
                <w:ilvl w:val="0"/>
                <w:numId w:val="2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debe aclarar el objetivo de la Recomendación</w:t>
            </w:r>
          </w:p>
          <w:p w:rsidR="00026D75" w:rsidRPr="0056057F" w:rsidRDefault="00026D75" w:rsidP="00026D75">
            <w:pPr>
              <w:pStyle w:val="TableText0"/>
              <w:keepNext/>
              <w:numPr>
                <w:ilvl w:val="0"/>
                <w:numId w:val="2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lang w:val="es-ES"/>
              </w:rPr>
            </w:pPr>
            <w:r w:rsidRPr="0056057F">
              <w:rPr>
                <w:rFonts w:ascii="Calibri" w:hAnsi="Calibri" w:cstheme="majorBidi"/>
                <w:szCs w:val="24"/>
                <w:lang w:val="es-ES"/>
              </w:rPr>
              <w:t>debe indicar sus límites de aplicación</w:t>
            </w:r>
          </w:p>
          <w:p w:rsidR="00026D75" w:rsidRPr="0056057F" w:rsidRDefault="00026D75" w:rsidP="007823E7">
            <w:pPr>
              <w:spacing w:after="120"/>
              <w:rPr>
                <w:lang w:val="es-ES"/>
              </w:rPr>
            </w:pPr>
            <w:r w:rsidRPr="0056057F">
              <w:rPr>
                <w:lang w:val="es-ES"/>
              </w:rPr>
              <w:t>El Resumen no debe aparecer en el texto de la propia Recomendación una vez aprobada la misma.</w:t>
            </w:r>
          </w:p>
        </w:tc>
      </w:tr>
    </w:tbl>
    <w:p w:rsidR="00026D75" w:rsidRPr="0056057F" w:rsidRDefault="00026D75" w:rsidP="00026D75">
      <w:pPr>
        <w:pStyle w:val="TableText0"/>
        <w:tabs>
          <w:tab w:val="clear" w:pos="1985"/>
          <w:tab w:val="left" w:pos="5103"/>
        </w:tabs>
        <w:spacing w:before="0" w:after="0"/>
        <w:rPr>
          <w:rFonts w:ascii="Calibri" w:hAnsi="Calibri" w:cstheme="majorBidi"/>
          <w:szCs w:val="24"/>
          <w:lang w:val="es-ES"/>
        </w:rPr>
      </w:pPr>
      <w:r w:rsidRPr="0056057F">
        <w:rPr>
          <w:rFonts w:ascii="Calibri" w:hAnsi="Calibri" w:cstheme="majorBidi"/>
          <w:szCs w:val="24"/>
          <w:lang w:val="es-ES"/>
        </w:rPr>
        <w:tab/>
      </w:r>
      <w:r w:rsidRPr="0056057F">
        <w:rPr>
          <w:rFonts w:ascii="Calibri" w:hAnsi="Calibri" w:cstheme="majorBidi"/>
          <w:b/>
          <w:bCs/>
          <w:sz w:val="40"/>
          <w:szCs w:val="40"/>
          <w:lang w:val="es-ES"/>
        </w:rPr>
        <w:sym w:font="Wingdings 3" w:char="F03B"/>
      </w:r>
      <w:r w:rsidRPr="0056057F">
        <w:rPr>
          <w:rFonts w:ascii="Calibri" w:hAnsi="Calibri" w:cstheme="majorBidi"/>
          <w:b/>
          <w:bCs/>
          <w:sz w:val="32"/>
          <w:szCs w:val="32"/>
          <w:lang w:val="es-ES"/>
        </w:rPr>
        <w:t xml:space="preserve"> </w:t>
      </w:r>
      <w:r w:rsidRPr="0056057F">
        <w:rPr>
          <w:rFonts w:ascii="Calibri" w:hAnsi="Calibri" w:cstheme="majorBidi"/>
          <w:b/>
          <w:bCs/>
          <w:szCs w:val="24"/>
          <w:lang w:val="es-ES"/>
        </w:rPr>
        <w:t>[</w:t>
      </w:r>
      <w:r w:rsidRPr="0056057F">
        <w:rPr>
          <w:rFonts w:ascii="Calibri" w:hAnsi="Calibri" w:cstheme="majorBidi"/>
          <w:sz w:val="20"/>
          <w:lang w:val="es-ES"/>
        </w:rPr>
        <w:t>debe revisarla la CE pertinente</w:t>
      </w:r>
      <w:r w:rsidRPr="0056057F">
        <w:rPr>
          <w:rFonts w:ascii="Calibri" w:hAnsi="Calibri" w:cstheme="majorBidi"/>
          <w:szCs w:val="24"/>
          <w:lang w:val="es-ES"/>
        </w:rPr>
        <w:t>]</w:t>
      </w:r>
    </w:p>
    <w:p w:rsidR="00026D75" w:rsidRPr="0056057F" w:rsidRDefault="00026D75" w:rsidP="00026D75">
      <w:pPr>
        <w:pStyle w:val="TableText0"/>
        <w:spacing w:before="0" w:after="120"/>
        <w:jc w:val="center"/>
        <w:rPr>
          <w:rFonts w:ascii="Calibri" w:hAnsi="Calibri" w:cstheme="majorBidi"/>
          <w:b/>
          <w:bCs/>
          <w:sz w:val="28"/>
          <w:szCs w:val="28"/>
          <w:lang w:val="es-ES"/>
        </w:rPr>
      </w:pPr>
      <w:r w:rsidRPr="0056057F">
        <w:rPr>
          <w:rFonts w:ascii="Calibri" w:hAnsi="Calibri" w:cstheme="majorBidi"/>
          <w:b/>
          <w:bCs/>
          <w:sz w:val="28"/>
          <w:szCs w:val="28"/>
          <w:lang w:val="es-ES"/>
        </w:rPr>
        <w:t xml:space="preserve">Recomendación UIT-R (Serie).XXX-versión </w:t>
      </w:r>
      <w:r w:rsidRPr="0056057F">
        <w:rPr>
          <w:rFonts w:ascii="Calibri" w:hAnsi="Calibri" w:cstheme="majorBidi"/>
          <w:b/>
          <w:bCs/>
          <w:sz w:val="28"/>
          <w:szCs w:val="28"/>
          <w:vertAlign w:val="superscript"/>
          <w:lang w:val="es-ES"/>
        </w:rPr>
        <w:t>[*]</w:t>
      </w:r>
    </w:p>
    <w:p w:rsidR="00026D75" w:rsidRPr="0056057F" w:rsidRDefault="00026D75" w:rsidP="00026D75">
      <w:pPr>
        <w:pStyle w:val="TableText0"/>
        <w:tabs>
          <w:tab w:val="clear" w:pos="1985"/>
          <w:tab w:val="left" w:pos="6521"/>
        </w:tabs>
        <w:spacing w:before="0" w:after="0"/>
        <w:ind w:right="-846"/>
        <w:rPr>
          <w:rFonts w:ascii="Calibri" w:hAnsi="Calibri" w:cstheme="majorBidi"/>
          <w:b/>
          <w:bCs/>
          <w:sz w:val="40"/>
          <w:szCs w:val="40"/>
          <w:lang w:val="es-ES"/>
        </w:rPr>
      </w:pPr>
      <w:r w:rsidRPr="0056057F">
        <w:rPr>
          <w:rFonts w:ascii="Calibri" w:hAnsi="Calibri" w:cstheme="majorBidi"/>
          <w:b/>
          <w:bCs/>
          <w:sz w:val="28"/>
          <w:szCs w:val="28"/>
          <w:lang w:val="es-ES"/>
        </w:rPr>
        <w:tab/>
      </w:r>
      <w:r w:rsidRPr="0056057F">
        <w:rPr>
          <w:rFonts w:ascii="Calibri" w:hAnsi="Calibri" w:cstheme="majorBidi"/>
          <w:b/>
          <w:bCs/>
          <w:sz w:val="40"/>
          <w:szCs w:val="40"/>
          <w:lang w:val="es-ES"/>
        </w:rPr>
        <w:sym w:font="Wingdings 3" w:char="F039"/>
      </w:r>
      <w:r w:rsidRPr="0056057F">
        <w:rPr>
          <w:rFonts w:ascii="Calibri" w:hAnsi="Calibri" w:cstheme="majorBidi"/>
          <w:b/>
          <w:bCs/>
          <w:sz w:val="40"/>
          <w:szCs w:val="40"/>
          <w:lang w:val="es-ES"/>
        </w:rPr>
        <w:t xml:space="preserve"> </w:t>
      </w:r>
      <w:r w:rsidRPr="0056057F">
        <w:rPr>
          <w:rFonts w:ascii="Calibri" w:hAnsi="Calibri" w:cstheme="majorBidi"/>
          <w:szCs w:val="24"/>
          <w:lang w:val="es-ES"/>
        </w:rPr>
        <w:t>[</w:t>
      </w:r>
      <w:r w:rsidRPr="0056057F">
        <w:rPr>
          <w:rFonts w:ascii="Calibri" w:hAnsi="Calibri" w:cstheme="majorBidi"/>
          <w:sz w:val="20"/>
          <w:lang w:val="es-ES"/>
        </w:rPr>
        <w:t>comenzando por 0; por ejemplo 1154-0</w:t>
      </w:r>
      <w:r w:rsidRPr="0056057F">
        <w:rPr>
          <w:rFonts w:ascii="Calibri" w:hAnsi="Calibri" w:cstheme="majorBidi"/>
          <w:szCs w:val="24"/>
          <w:lang w:val="es-ES"/>
        </w:rPr>
        <w:t>]</w:t>
      </w:r>
    </w:p>
    <w:p w:rsidR="00026D75" w:rsidRPr="0056057F" w:rsidRDefault="00026D75" w:rsidP="007823E7">
      <w:pPr>
        <w:pStyle w:val="Title4"/>
        <w:rPr>
          <w:lang w:val="es-ES"/>
        </w:rPr>
      </w:pPr>
      <w:r w:rsidRPr="0056057F">
        <w:rPr>
          <w:lang w:val="es-ES"/>
        </w:rPr>
        <w:t>Título</w:t>
      </w:r>
    </w:p>
    <w:p w:rsidR="007823E7" w:rsidRPr="0056057F" w:rsidRDefault="007823E7" w:rsidP="007823E7">
      <w:pPr>
        <w:rPr>
          <w:lang w:val="es-ES"/>
        </w:rPr>
      </w:pPr>
    </w:p>
    <w:tbl>
      <w:tblPr>
        <w:tblW w:w="0" w:type="auto"/>
        <w:jc w:val="center"/>
        <w:tblLayout w:type="fixed"/>
        <w:tblLook w:val="0000" w:firstRow="0" w:lastRow="0" w:firstColumn="0" w:lastColumn="0" w:noHBand="0" w:noVBand="0"/>
      </w:tblPr>
      <w:tblGrid>
        <w:gridCol w:w="9717"/>
      </w:tblGrid>
      <w:tr w:rsidR="00026D75" w:rsidRPr="0056057F" w:rsidTr="00F35897">
        <w:trPr>
          <w:cantSplit/>
          <w:trHeight w:val="284"/>
          <w:jc w:val="center"/>
        </w:trPr>
        <w:tc>
          <w:tcPr>
            <w:tcW w:w="9717" w:type="dxa"/>
            <w:tcBorders>
              <w:top w:val="single" w:sz="6" w:space="0" w:color="auto"/>
              <w:left w:val="single" w:sz="6" w:space="0" w:color="auto"/>
              <w:bottom w:val="single" w:sz="6" w:space="0" w:color="auto"/>
              <w:right w:val="single" w:sz="6" w:space="0" w:color="auto"/>
            </w:tcBorders>
          </w:tcPr>
          <w:p w:rsidR="00026D75" w:rsidRPr="0056057F" w:rsidRDefault="00026D75" w:rsidP="00026D75">
            <w:pPr>
              <w:pStyle w:val="TableText0"/>
              <w:keepNext/>
              <w:numPr>
                <w:ilvl w:val="0"/>
                <w:numId w:val="2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debe reflejar el objetivo fundamental de la Recomendación</w:t>
            </w:r>
          </w:p>
          <w:p w:rsidR="00026D75" w:rsidRPr="0056057F" w:rsidRDefault="00026D75" w:rsidP="00026D75">
            <w:pPr>
              <w:pStyle w:val="TableText0"/>
              <w:keepNext/>
              <w:numPr>
                <w:ilvl w:val="0"/>
                <w:numId w:val="2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debe ofrecer una indicación del servicio o servicios principales y de la banda o bandas de frecuencia correspondientes, según el caso</w:t>
            </w:r>
          </w:p>
          <w:p w:rsidR="00026D75" w:rsidRPr="0056057F" w:rsidRDefault="00026D75" w:rsidP="00026D75">
            <w:pPr>
              <w:pStyle w:val="TableText0"/>
              <w:keepNext/>
              <w:numPr>
                <w:ilvl w:val="0"/>
                <w:numId w:val="2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 xml:space="preserve">no debe ser innecesariamente largo </w:t>
            </w:r>
          </w:p>
          <w:p w:rsidR="00026D75" w:rsidRPr="0056057F" w:rsidRDefault="00026D75" w:rsidP="00026D75">
            <w:pPr>
              <w:pStyle w:val="TableText0"/>
              <w:keepNext/>
              <w:numPr>
                <w:ilvl w:val="0"/>
                <w:numId w:val="2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la información importante debe aparecer en el Alcance</w:t>
            </w:r>
          </w:p>
        </w:tc>
      </w:tr>
    </w:tbl>
    <w:p w:rsidR="00026D75" w:rsidRPr="0056057F" w:rsidRDefault="00026D75" w:rsidP="00026D75">
      <w:pPr>
        <w:pStyle w:val="TableText0"/>
        <w:spacing w:before="120" w:after="120"/>
        <w:jc w:val="right"/>
        <w:rPr>
          <w:rFonts w:ascii="Calibri" w:hAnsi="Calibri" w:cstheme="majorBidi"/>
          <w:szCs w:val="24"/>
          <w:lang w:val="es-ES"/>
        </w:rPr>
      </w:pPr>
      <w:r w:rsidRPr="0056057F">
        <w:rPr>
          <w:rFonts w:ascii="Calibri" w:hAnsi="Calibri" w:cstheme="majorBidi"/>
          <w:szCs w:val="24"/>
          <w:lang w:val="es-ES"/>
        </w:rPr>
        <w:t>(años de aprobación)</w:t>
      </w:r>
    </w:p>
    <w:p w:rsidR="00026D75" w:rsidRPr="0056057F" w:rsidRDefault="00026D75" w:rsidP="00DB1035">
      <w:pPr>
        <w:pStyle w:val="Headingb"/>
        <w:spacing w:after="120"/>
        <w:rPr>
          <w:lang w:val="es-ES"/>
        </w:rPr>
      </w:pPr>
      <w:r w:rsidRPr="0056057F">
        <w:rPr>
          <w:lang w:val="es-ES"/>
        </w:rPr>
        <w:t>Alcance</w:t>
      </w:r>
    </w:p>
    <w:tbl>
      <w:tblPr>
        <w:tblW w:w="9728" w:type="dxa"/>
        <w:jc w:val="center"/>
        <w:tblLayout w:type="fixed"/>
        <w:tblLook w:val="0000" w:firstRow="0" w:lastRow="0" w:firstColumn="0" w:lastColumn="0" w:noHBand="0" w:noVBand="0"/>
      </w:tblPr>
      <w:tblGrid>
        <w:gridCol w:w="9728"/>
      </w:tblGrid>
      <w:tr w:rsidR="00026D75" w:rsidRPr="0056057F" w:rsidTr="00F35897">
        <w:trPr>
          <w:cantSplit/>
          <w:trHeight w:val="284"/>
          <w:jc w:val="center"/>
        </w:trPr>
        <w:tc>
          <w:tcPr>
            <w:tcW w:w="9728" w:type="dxa"/>
            <w:tcBorders>
              <w:top w:val="single" w:sz="6" w:space="0" w:color="auto"/>
              <w:left w:val="single" w:sz="6" w:space="0" w:color="auto"/>
              <w:bottom w:val="single" w:sz="6" w:space="0" w:color="auto"/>
              <w:right w:val="single" w:sz="6" w:space="0" w:color="auto"/>
            </w:tcBorders>
          </w:tcPr>
          <w:p w:rsidR="00026D75" w:rsidRPr="0056057F" w:rsidRDefault="00026D75" w:rsidP="00F35897">
            <w:pPr>
              <w:pStyle w:val="TableText0"/>
              <w:spacing w:before="120" w:after="120"/>
              <w:rPr>
                <w:rFonts w:ascii="Calibri" w:hAnsi="Calibri" w:cstheme="majorBidi"/>
                <w:szCs w:val="24"/>
                <w:lang w:val="es-ES"/>
              </w:rPr>
            </w:pPr>
            <w:r w:rsidRPr="0056057F">
              <w:rPr>
                <w:rFonts w:ascii="Calibri" w:hAnsi="Calibri" w:cstheme="majorBidi"/>
                <w:szCs w:val="24"/>
                <w:lang w:val="es-ES"/>
              </w:rPr>
              <w:t xml:space="preserve">Este elemento define, sin ambigüedad, la finalidad o el tema de la Recomendación y </w:t>
            </w:r>
          </w:p>
          <w:p w:rsidR="00026D75" w:rsidRPr="0056057F" w:rsidRDefault="00026D75" w:rsidP="00026D75">
            <w:pPr>
              <w:pStyle w:val="TableText0"/>
              <w:keepNext/>
              <w:numPr>
                <w:ilvl w:val="0"/>
                <w:numId w:val="2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debe aclarar el objetivo de la Recomendación</w:t>
            </w:r>
          </w:p>
          <w:p w:rsidR="00026D75" w:rsidRPr="0056057F" w:rsidRDefault="00026D75" w:rsidP="00026D75">
            <w:pPr>
              <w:pStyle w:val="TableText0"/>
              <w:keepNext/>
              <w:numPr>
                <w:ilvl w:val="0"/>
                <w:numId w:val="2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debe indicar sus límites de aplicación (por ejemplo, servicios, bandas de frecuencia, sistemas, aplicaciones, etc.)</w:t>
            </w:r>
          </w:p>
          <w:p w:rsidR="00026D75" w:rsidRPr="0056057F" w:rsidRDefault="00026D75" w:rsidP="00F35897">
            <w:pPr>
              <w:pStyle w:val="TableText0"/>
              <w:spacing w:before="120" w:after="120"/>
              <w:rPr>
                <w:rFonts w:ascii="Calibri" w:hAnsi="Calibri" w:cstheme="majorBidi"/>
                <w:szCs w:val="24"/>
                <w:lang w:val="es-ES"/>
              </w:rPr>
            </w:pPr>
            <w:r w:rsidRPr="0056057F">
              <w:rPr>
                <w:rFonts w:ascii="Calibri" w:hAnsi="Calibri" w:cstheme="majorBidi"/>
                <w:szCs w:val="24"/>
                <w:lang w:val="es-ES"/>
              </w:rPr>
              <w:t>El Alcance debe permanecer en el texto de la propia Recomendación tras su aprobación.</w:t>
            </w:r>
          </w:p>
        </w:tc>
      </w:tr>
    </w:tbl>
    <w:p w:rsidR="00026D75" w:rsidRPr="0056057F" w:rsidRDefault="00026D75" w:rsidP="00DB1035">
      <w:pPr>
        <w:pStyle w:val="Headingb"/>
        <w:spacing w:after="120"/>
        <w:rPr>
          <w:lang w:val="es-ES"/>
        </w:rPr>
      </w:pPr>
      <w:r w:rsidRPr="0056057F">
        <w:rPr>
          <w:lang w:val="es-ES"/>
        </w:rPr>
        <w:lastRenderedPageBreak/>
        <w:t>Palabras clave [que pueden incluirse como parte del Alcance]</w:t>
      </w:r>
    </w:p>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26D75" w:rsidRPr="0056057F" w:rsidTr="00DB1035">
        <w:trPr>
          <w:jc w:val="center"/>
        </w:trPr>
        <w:tc>
          <w:tcPr>
            <w:tcW w:w="9640" w:type="dxa"/>
          </w:tcPr>
          <w:p w:rsidR="00026D75" w:rsidRPr="0056057F" w:rsidRDefault="00026D75" w:rsidP="0071338E">
            <w:pPr>
              <w:pStyle w:val="TableText0"/>
              <w:keepNext/>
              <w:spacing w:before="120" w:after="120"/>
              <w:rPr>
                <w:rFonts w:ascii="Calibri" w:hAnsi="Calibri" w:cstheme="majorBidi"/>
                <w:szCs w:val="24"/>
                <w:lang w:val="es-ES"/>
              </w:rPr>
            </w:pPr>
            <w:r w:rsidRPr="0056057F">
              <w:rPr>
                <w:rFonts w:ascii="Calibri" w:hAnsi="Calibri" w:cstheme="majorBidi"/>
                <w:szCs w:val="24"/>
                <w:lang w:val="es-ES"/>
              </w:rPr>
              <w:t xml:space="preserve">Las Palabras clave específicas: </w:t>
            </w:r>
          </w:p>
          <w:p w:rsidR="00026D75" w:rsidRPr="0056057F" w:rsidRDefault="00026D75" w:rsidP="0071338E">
            <w:pPr>
              <w:pStyle w:val="TableText0"/>
              <w:keepNext/>
              <w:numPr>
                <w:ilvl w:val="0"/>
                <w:numId w:val="2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deben identificar los temas principales abordados por la Recomendación y se utilizan en la búsqueda electrónica de textos</w:t>
            </w:r>
          </w:p>
          <w:p w:rsidR="00026D75" w:rsidRPr="0056057F" w:rsidRDefault="00026D75" w:rsidP="0071338E">
            <w:pPr>
              <w:pStyle w:val="TableText0"/>
              <w:keepNext/>
              <w:numPr>
                <w:ilvl w:val="0"/>
                <w:numId w:val="2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Calibri" w:hAnsi="Calibri" w:cstheme="majorBidi"/>
                <w:szCs w:val="24"/>
                <w:lang w:val="es-ES"/>
              </w:rPr>
            </w:pPr>
            <w:r w:rsidRPr="0056057F">
              <w:rPr>
                <w:rFonts w:ascii="Calibri" w:hAnsi="Calibri" w:cstheme="majorBidi"/>
                <w:szCs w:val="24"/>
                <w:lang w:val="es-ES"/>
              </w:rPr>
              <w:t>normalmente no debe haber más de 5 palabras.</w:t>
            </w:r>
          </w:p>
        </w:tc>
      </w:tr>
    </w:tbl>
    <w:p w:rsidR="00026D75" w:rsidRPr="0056057F" w:rsidRDefault="00026D75" w:rsidP="00026D75">
      <w:pPr>
        <w:rPr>
          <w:rFonts w:cstheme="majorBidi"/>
          <w:i/>
          <w:iCs/>
          <w:szCs w:val="24"/>
          <w:lang w:val="es-ES"/>
        </w:rPr>
      </w:pPr>
    </w:p>
    <w:p w:rsidR="00026D75" w:rsidRPr="0056057F" w:rsidRDefault="00026D75" w:rsidP="00026D75">
      <w:pPr>
        <w:rPr>
          <w:rFonts w:cstheme="majorBidi"/>
          <w:i/>
          <w:iCs/>
          <w:szCs w:val="24"/>
          <w:lang w:val="es-ES"/>
        </w:rPr>
      </w:pPr>
      <w:r w:rsidRPr="0056057F">
        <w:rPr>
          <w:rFonts w:cstheme="majorBidi"/>
          <w:i/>
          <w:iCs/>
          <w:szCs w:val="24"/>
          <w:lang w:val="es-ES"/>
        </w:rPr>
        <w:t>Los siguientes dos elementos (Abreviaturas/Glosario y Recomendaciones e Informes de la UIT conexos) pueden figurar abajo como se indica o al final de la Recomendación.</w:t>
      </w:r>
    </w:p>
    <w:p w:rsidR="00026D75" w:rsidRPr="0056057F" w:rsidRDefault="00026D75" w:rsidP="00DB1035">
      <w:pPr>
        <w:pStyle w:val="Title4"/>
        <w:rPr>
          <w:lang w:val="es-ES"/>
        </w:rPr>
      </w:pPr>
      <w:r w:rsidRPr="0056057F">
        <w:rPr>
          <w:lang w:val="es-ES"/>
        </w:rPr>
        <w:t>Abreviaturas/Glosario</w:t>
      </w:r>
    </w:p>
    <w:p w:rsidR="00DB1035" w:rsidRPr="0056057F" w:rsidRDefault="00DB1035" w:rsidP="00DB1035">
      <w:pPr>
        <w:rPr>
          <w:lang w:val="es-ES"/>
        </w:rPr>
      </w:pPr>
    </w:p>
    <w:tbl>
      <w:tblPr>
        <w:tblW w:w="9631" w:type="dxa"/>
        <w:jc w:val="center"/>
        <w:tblLayout w:type="fixed"/>
        <w:tblLook w:val="0000" w:firstRow="0" w:lastRow="0" w:firstColumn="0" w:lastColumn="0" w:noHBand="0" w:noVBand="0"/>
      </w:tblPr>
      <w:tblGrid>
        <w:gridCol w:w="9631"/>
      </w:tblGrid>
      <w:tr w:rsidR="00026D75" w:rsidRPr="0056057F" w:rsidTr="00F35897">
        <w:trPr>
          <w:cantSplit/>
          <w:trHeight w:val="284"/>
          <w:jc w:val="center"/>
        </w:trPr>
        <w:tc>
          <w:tcPr>
            <w:tcW w:w="9631" w:type="dxa"/>
            <w:tcBorders>
              <w:top w:val="single" w:sz="6" w:space="0" w:color="auto"/>
              <w:left w:val="single" w:sz="6" w:space="0" w:color="auto"/>
              <w:bottom w:val="single" w:sz="6" w:space="0" w:color="auto"/>
              <w:right w:val="single" w:sz="6" w:space="0" w:color="auto"/>
            </w:tcBorders>
          </w:tcPr>
          <w:p w:rsidR="00026D75" w:rsidRPr="0056057F" w:rsidRDefault="00026D75" w:rsidP="00F35897">
            <w:pPr>
              <w:pStyle w:val="TableText0"/>
              <w:spacing w:before="120" w:after="120"/>
              <w:rPr>
                <w:rFonts w:ascii="Calibri" w:hAnsi="Calibri" w:cstheme="majorBidi"/>
                <w:szCs w:val="24"/>
                <w:lang w:val="es-ES"/>
              </w:rPr>
            </w:pPr>
            <w:r w:rsidRPr="0056057F">
              <w:rPr>
                <w:rFonts w:ascii="Calibri" w:hAnsi="Calibri" w:cstheme="majorBidi"/>
                <w:szCs w:val="24"/>
                <w:lang w:val="es-ES"/>
              </w:rPr>
              <w:t>Las Abreviaturas/Glosario (si hay más de 5 términos) utilizadas en la Recomendación deben aparecer en una lista por orden alfabético junto con su descripción.</w:t>
            </w:r>
          </w:p>
        </w:tc>
      </w:tr>
    </w:tbl>
    <w:p w:rsidR="00026D75" w:rsidRPr="0056057F" w:rsidRDefault="00026D75" w:rsidP="00DB1035">
      <w:pPr>
        <w:pStyle w:val="Title4"/>
        <w:rPr>
          <w:lang w:val="es-ES"/>
        </w:rPr>
      </w:pPr>
      <w:r w:rsidRPr="0056057F">
        <w:rPr>
          <w:lang w:val="es-ES"/>
        </w:rPr>
        <w:t>Recomendaciones e Informes de la UIT conexos</w:t>
      </w:r>
    </w:p>
    <w:p w:rsidR="00026D75" w:rsidRPr="0056057F" w:rsidRDefault="00026D75" w:rsidP="00DB1035">
      <w:pPr>
        <w:pStyle w:val="Note"/>
        <w:rPr>
          <w:lang w:val="es-ES"/>
        </w:rPr>
      </w:pPr>
      <w:r w:rsidRPr="0056057F">
        <w:rPr>
          <w:lang w:val="es-ES"/>
        </w:rPr>
        <w:t>NOTA – En todos los casos debe utilizarse la última edición de la Recomendación/Informe en vigor.</w:t>
      </w:r>
    </w:p>
    <w:p w:rsidR="00026D75" w:rsidRPr="0056057F" w:rsidRDefault="00DB1035" w:rsidP="00026D75">
      <w:pPr>
        <w:rPr>
          <w:rFonts w:cstheme="majorBidi"/>
          <w:lang w:val="es-ES"/>
        </w:rPr>
      </w:pPr>
      <w:r w:rsidRPr="0056057F">
        <w:rPr>
          <w:rFonts w:cstheme="majorBidi"/>
          <w:b/>
          <w:bCs/>
          <w:sz w:val="28"/>
          <w:szCs w:val="28"/>
          <w:vertAlign w:val="superscript"/>
          <w:lang w:val="es-ES"/>
        </w:rPr>
        <w:t>[*]</w:t>
      </w:r>
      <w:r w:rsidR="00026D75" w:rsidRPr="0056057F">
        <w:rPr>
          <w:rFonts w:cstheme="majorBidi"/>
          <w:b/>
          <w:bCs/>
          <w:sz w:val="28"/>
          <w:szCs w:val="28"/>
          <w:vertAlign w:val="superscript"/>
          <w:lang w:val="es-ES"/>
        </w:rPr>
        <w:tab/>
      </w:r>
      <w:r w:rsidR="00026D75" w:rsidRPr="0056057F">
        <w:rPr>
          <w:rFonts w:cstheme="majorBidi"/>
          <w:lang w:val="es-ES"/>
        </w:rPr>
        <w:t>Recomendación incorporada por referencia al Reglamento de Radiocomunicaciones, véase el Volumen 4.</w:t>
      </w:r>
    </w:p>
    <w:p w:rsidR="00026D75" w:rsidRPr="0056057F" w:rsidRDefault="00026D75" w:rsidP="00DB1035">
      <w:pPr>
        <w:pStyle w:val="Normalaftertitle"/>
        <w:rPr>
          <w:lang w:val="es-ES"/>
        </w:rPr>
      </w:pPr>
      <w:r w:rsidRPr="0056057F">
        <w:rPr>
          <w:lang w:val="es-ES"/>
        </w:rPr>
        <w:t>La Asamblea de Radiocomunicaciones de la UIT,</w:t>
      </w:r>
    </w:p>
    <w:p w:rsidR="00026D75" w:rsidRPr="0056057F" w:rsidRDefault="00026D75" w:rsidP="00026D75">
      <w:pPr>
        <w:pStyle w:val="Call"/>
        <w:rPr>
          <w:lang w:val="es-ES"/>
        </w:rPr>
      </w:pPr>
      <w:r w:rsidRPr="0056057F">
        <w:rPr>
          <w:lang w:val="es-ES"/>
        </w:rPr>
        <w:t>considerando (obligatorio)</w:t>
      </w:r>
    </w:p>
    <w:p w:rsidR="00026D75" w:rsidRPr="0056057F" w:rsidRDefault="00026D75" w:rsidP="00026D75">
      <w:pPr>
        <w:rPr>
          <w:lang w:val="es-ES"/>
        </w:rPr>
      </w:pPr>
    </w:p>
    <w:tbl>
      <w:tblPr>
        <w:tblW w:w="0" w:type="auto"/>
        <w:jc w:val="center"/>
        <w:tblLayout w:type="fixed"/>
        <w:tblLook w:val="0000" w:firstRow="0" w:lastRow="0" w:firstColumn="0" w:lastColumn="0" w:noHBand="0" w:noVBand="0"/>
      </w:tblPr>
      <w:tblGrid>
        <w:gridCol w:w="9499"/>
      </w:tblGrid>
      <w:tr w:rsidR="00026D75" w:rsidRPr="0056057F" w:rsidTr="00F35897">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026D75" w:rsidRPr="0056057F" w:rsidRDefault="00026D75" w:rsidP="00DB1035">
            <w:pPr>
              <w:rPr>
                <w:lang w:val="es-ES"/>
              </w:rPr>
            </w:pPr>
            <w:r w:rsidRPr="0056057F">
              <w:rPr>
                <w:lang w:val="es-ES"/>
              </w:rPr>
              <w:t>Esta parte debe contener varias referencias de fondo generales indicando las razones de su estudio y los motivos para elaborar esta Recomendación, debe responderse en la parte «</w:t>
            </w:r>
            <w:r w:rsidRPr="0056057F">
              <w:rPr>
                <w:i/>
                <w:iCs/>
                <w:lang w:val="es-ES"/>
              </w:rPr>
              <w:t>recomienda</w:t>
            </w:r>
            <w:r w:rsidRPr="0056057F">
              <w:rPr>
                <w:lang w:val="es-ES"/>
              </w:rPr>
              <w:t>»</w:t>
            </w:r>
            <w:r w:rsidRPr="0056057F">
              <w:rPr>
                <w:i/>
                <w:iCs/>
                <w:lang w:val="es-ES"/>
              </w:rPr>
              <w:t xml:space="preserve"> </w:t>
            </w:r>
            <w:r w:rsidRPr="0056057F">
              <w:rPr>
                <w:lang w:val="es-ES"/>
              </w:rPr>
              <w:t>y debe numerarse como sigue:</w:t>
            </w:r>
          </w:p>
        </w:tc>
      </w:tr>
    </w:tbl>
    <w:p w:rsidR="00026D75" w:rsidRPr="0056057F" w:rsidRDefault="00026D75" w:rsidP="00DB1035">
      <w:pPr>
        <w:rPr>
          <w:i/>
          <w:iCs/>
          <w:lang w:val="es-ES"/>
        </w:rPr>
      </w:pPr>
      <w:r w:rsidRPr="0056057F">
        <w:rPr>
          <w:i/>
          <w:iCs/>
          <w:lang w:val="es-ES"/>
        </w:rPr>
        <w:t>a)</w:t>
      </w:r>
    </w:p>
    <w:p w:rsidR="00026D75" w:rsidRPr="0056057F" w:rsidRDefault="00026D75" w:rsidP="00026D75">
      <w:pPr>
        <w:rPr>
          <w:i/>
          <w:iCs/>
          <w:lang w:val="es-ES"/>
        </w:rPr>
      </w:pPr>
      <w:r w:rsidRPr="0056057F">
        <w:rPr>
          <w:i/>
          <w:iCs/>
          <w:lang w:val="es-ES"/>
        </w:rPr>
        <w:t>b)</w:t>
      </w:r>
    </w:p>
    <w:p w:rsidR="00026D75" w:rsidRPr="0056057F" w:rsidRDefault="00026D75" w:rsidP="00026D75">
      <w:pPr>
        <w:rPr>
          <w:i/>
          <w:iCs/>
          <w:lang w:val="es-ES"/>
        </w:rPr>
      </w:pPr>
      <w:r w:rsidRPr="0056057F">
        <w:rPr>
          <w:i/>
          <w:iCs/>
          <w:lang w:val="es-ES"/>
        </w:rPr>
        <w:t>c)…… a z)</w:t>
      </w:r>
    </w:p>
    <w:p w:rsidR="00026D75" w:rsidRPr="0056057F" w:rsidRDefault="00026D75" w:rsidP="007823E7">
      <w:pPr>
        <w:pStyle w:val="Call"/>
        <w:rPr>
          <w:lang w:val="es-ES"/>
        </w:rPr>
      </w:pPr>
      <w:r w:rsidRPr="0056057F">
        <w:rPr>
          <w:lang w:val="es-ES"/>
        </w:rPr>
        <w:t>reconociendo (opcional)</w:t>
      </w:r>
    </w:p>
    <w:p w:rsidR="00026D75" w:rsidRPr="0056057F" w:rsidRDefault="00026D75" w:rsidP="00DB1035">
      <w:pPr>
        <w:rPr>
          <w:lang w:val="es-ES"/>
        </w:rPr>
      </w:pPr>
    </w:p>
    <w:tbl>
      <w:tblPr>
        <w:tblW w:w="9497" w:type="dxa"/>
        <w:jc w:val="center"/>
        <w:tblLayout w:type="fixed"/>
        <w:tblLook w:val="0000" w:firstRow="0" w:lastRow="0" w:firstColumn="0" w:lastColumn="0" w:noHBand="0" w:noVBand="0"/>
      </w:tblPr>
      <w:tblGrid>
        <w:gridCol w:w="9497"/>
      </w:tblGrid>
      <w:tr w:rsidR="00026D75" w:rsidRPr="0056057F" w:rsidTr="00F35897">
        <w:trPr>
          <w:cantSplit/>
          <w:trHeight w:val="284"/>
          <w:jc w:val="center"/>
        </w:trPr>
        <w:tc>
          <w:tcPr>
            <w:tcW w:w="9497" w:type="dxa"/>
            <w:tcBorders>
              <w:top w:val="single" w:sz="6" w:space="0" w:color="auto"/>
              <w:left w:val="single" w:sz="6" w:space="0" w:color="auto"/>
              <w:bottom w:val="single" w:sz="6" w:space="0" w:color="auto"/>
              <w:right w:val="single" w:sz="6" w:space="0" w:color="auto"/>
            </w:tcBorders>
          </w:tcPr>
          <w:p w:rsidR="00026D75" w:rsidRPr="0056057F" w:rsidRDefault="00026D75" w:rsidP="00DB1035">
            <w:pPr>
              <w:rPr>
                <w:lang w:val="es-ES"/>
              </w:rPr>
            </w:pPr>
            <w:r w:rsidRPr="0056057F">
              <w:rPr>
                <w:lang w:val="es-ES"/>
              </w:rPr>
              <w:t xml:space="preserve">Esta parte debe contener declaraciones fácticas concretas o estudios que han constituido la base de los trabajos y han sido tenidos en cuenta, según el caso; las referencias deben citar normalmente documentos de la UIT y deben numerarse como sigue: </w:t>
            </w:r>
          </w:p>
        </w:tc>
      </w:tr>
    </w:tbl>
    <w:p w:rsidR="00026D75" w:rsidRPr="0056057F" w:rsidRDefault="00026D75" w:rsidP="00026D75">
      <w:pPr>
        <w:rPr>
          <w:i/>
          <w:iCs/>
          <w:lang w:val="es-ES"/>
        </w:rPr>
      </w:pPr>
      <w:r w:rsidRPr="0056057F">
        <w:rPr>
          <w:i/>
          <w:iCs/>
          <w:lang w:val="es-ES"/>
        </w:rPr>
        <w:t>a)</w:t>
      </w:r>
    </w:p>
    <w:p w:rsidR="00026D75" w:rsidRPr="0056057F" w:rsidRDefault="00026D75" w:rsidP="00026D75">
      <w:pPr>
        <w:rPr>
          <w:i/>
          <w:iCs/>
          <w:lang w:val="es-ES"/>
        </w:rPr>
      </w:pPr>
      <w:r w:rsidRPr="0056057F">
        <w:rPr>
          <w:i/>
          <w:iCs/>
          <w:lang w:val="es-ES"/>
        </w:rPr>
        <w:t>b)</w:t>
      </w:r>
    </w:p>
    <w:p w:rsidR="00026D75" w:rsidRPr="0056057F" w:rsidRDefault="00026D75" w:rsidP="00026D75">
      <w:pPr>
        <w:rPr>
          <w:i/>
          <w:iCs/>
          <w:lang w:val="es-ES"/>
        </w:rPr>
      </w:pPr>
      <w:r w:rsidRPr="0056057F">
        <w:rPr>
          <w:i/>
          <w:iCs/>
          <w:lang w:val="es-ES"/>
        </w:rPr>
        <w:t>c)…… a z)</w:t>
      </w:r>
    </w:p>
    <w:p w:rsidR="00026D75" w:rsidRPr="0056057F" w:rsidRDefault="0071338E" w:rsidP="00026D75">
      <w:pPr>
        <w:pStyle w:val="Call"/>
        <w:rPr>
          <w:lang w:val="es-ES"/>
        </w:rPr>
      </w:pPr>
      <w:r w:rsidRPr="0056057F">
        <w:rPr>
          <w:lang w:val="es-ES"/>
        </w:rPr>
        <w:lastRenderedPageBreak/>
        <w:t>observando (opcional)</w:t>
      </w:r>
    </w:p>
    <w:p w:rsidR="00026D75" w:rsidRPr="0056057F" w:rsidRDefault="00026D75" w:rsidP="00DB1035">
      <w:pPr>
        <w:rPr>
          <w:lang w:val="es-ES"/>
        </w:rPr>
      </w:pPr>
    </w:p>
    <w:tbl>
      <w:tblPr>
        <w:tblW w:w="0" w:type="auto"/>
        <w:jc w:val="center"/>
        <w:tblLayout w:type="fixed"/>
        <w:tblLook w:val="0000" w:firstRow="0" w:lastRow="0" w:firstColumn="0" w:lastColumn="0" w:noHBand="0" w:noVBand="0"/>
      </w:tblPr>
      <w:tblGrid>
        <w:gridCol w:w="9499"/>
      </w:tblGrid>
      <w:tr w:rsidR="00026D75" w:rsidRPr="0056057F" w:rsidTr="00F35897">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026D75" w:rsidRPr="0056057F" w:rsidRDefault="00026D75" w:rsidP="00DB1035">
            <w:pPr>
              <w:rPr>
                <w:lang w:val="es-ES"/>
              </w:rPr>
            </w:pPr>
            <w:r w:rsidRPr="0056057F">
              <w:rPr>
                <w:lang w:val="es-ES"/>
              </w:rPr>
              <w:t>Esta parte debe indicar información generalmente aceptada que apoya y/o está relacionada con la Recomendación, debe incluir una referencia al Anexo correspondiente y debe numerarse como sigue:</w:t>
            </w:r>
          </w:p>
        </w:tc>
      </w:tr>
    </w:tbl>
    <w:p w:rsidR="00026D75" w:rsidRPr="0056057F" w:rsidRDefault="00026D75" w:rsidP="00026D75">
      <w:pPr>
        <w:rPr>
          <w:i/>
          <w:iCs/>
          <w:lang w:val="es-ES"/>
        </w:rPr>
      </w:pPr>
      <w:r w:rsidRPr="0056057F">
        <w:rPr>
          <w:i/>
          <w:iCs/>
          <w:lang w:val="es-ES"/>
        </w:rPr>
        <w:t>a)</w:t>
      </w:r>
    </w:p>
    <w:p w:rsidR="00026D75" w:rsidRPr="0056057F" w:rsidRDefault="00026D75" w:rsidP="00026D75">
      <w:pPr>
        <w:rPr>
          <w:i/>
          <w:iCs/>
          <w:lang w:val="es-ES"/>
        </w:rPr>
      </w:pPr>
      <w:r w:rsidRPr="0056057F">
        <w:rPr>
          <w:i/>
          <w:iCs/>
          <w:lang w:val="es-ES"/>
        </w:rPr>
        <w:t>b)</w:t>
      </w:r>
    </w:p>
    <w:p w:rsidR="00026D75" w:rsidRPr="0056057F" w:rsidRDefault="00026D75" w:rsidP="00026D75">
      <w:pPr>
        <w:rPr>
          <w:i/>
          <w:iCs/>
          <w:lang w:val="es-ES"/>
        </w:rPr>
      </w:pPr>
      <w:r w:rsidRPr="0056057F">
        <w:rPr>
          <w:i/>
          <w:iCs/>
          <w:lang w:val="es-ES"/>
        </w:rPr>
        <w:t>c)…… a z)</w:t>
      </w:r>
    </w:p>
    <w:p w:rsidR="00026D75" w:rsidRPr="0056057F" w:rsidRDefault="00026D75" w:rsidP="00026D75">
      <w:pPr>
        <w:pStyle w:val="Call"/>
        <w:rPr>
          <w:lang w:val="es-ES"/>
        </w:rPr>
      </w:pPr>
      <w:r w:rsidRPr="0056057F">
        <w:rPr>
          <w:lang w:val="es-ES"/>
        </w:rPr>
        <w:t>recomienda (obligatorio)</w:t>
      </w:r>
    </w:p>
    <w:p w:rsidR="00026D75" w:rsidRPr="0056057F" w:rsidRDefault="00026D75" w:rsidP="00DB1035">
      <w:pPr>
        <w:rPr>
          <w:lang w:val="es-ES"/>
        </w:rPr>
      </w:pPr>
    </w:p>
    <w:tbl>
      <w:tblPr>
        <w:tblW w:w="0" w:type="auto"/>
        <w:jc w:val="center"/>
        <w:tblLayout w:type="fixed"/>
        <w:tblLook w:val="0000" w:firstRow="0" w:lastRow="0" w:firstColumn="0" w:lastColumn="0" w:noHBand="0" w:noVBand="0"/>
      </w:tblPr>
      <w:tblGrid>
        <w:gridCol w:w="9499"/>
      </w:tblGrid>
      <w:tr w:rsidR="00026D75" w:rsidRPr="0056057F" w:rsidTr="00F35897">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026D75" w:rsidRPr="0056057F" w:rsidRDefault="00026D75" w:rsidP="007823E7">
            <w:pPr>
              <w:rPr>
                <w:lang w:val="es-ES"/>
              </w:rPr>
            </w:pPr>
            <w:r w:rsidRPr="0056057F">
              <w:rPr>
                <w:lang w:val="es-ES"/>
              </w:rPr>
              <w:t xml:space="preserve">Esta parte debe proporcionar: </w:t>
            </w:r>
          </w:p>
          <w:p w:rsidR="00026D75" w:rsidRPr="0056057F" w:rsidRDefault="00026D75" w:rsidP="007823E7">
            <w:pPr>
              <w:rPr>
                <w:lang w:val="es-ES"/>
              </w:rPr>
            </w:pPr>
            <w:r w:rsidRPr="0056057F">
              <w:rPr>
                <w:lang w:val="es-ES"/>
              </w:rPr>
              <w:t xml:space="preserve">especificaciones recomendadas, requisitos, datos u orientaciones sobre las formas recomendadas de abordar una tarea específica; o procedimientos recomendados para una aplicación especificada </w:t>
            </w:r>
            <w:r w:rsidRPr="0056057F">
              <w:rPr>
                <w:i/>
                <w:iCs/>
                <w:lang w:val="es-ES"/>
              </w:rPr>
              <w:t>y debe numerarse como sigue:</w:t>
            </w:r>
            <w:r w:rsidRPr="0056057F">
              <w:rPr>
                <w:lang w:val="es-ES"/>
              </w:rPr>
              <w:t xml:space="preserve"> </w:t>
            </w:r>
          </w:p>
          <w:p w:rsidR="00026D75" w:rsidRPr="0056057F" w:rsidRDefault="00026D75" w:rsidP="007823E7">
            <w:pPr>
              <w:rPr>
                <w:lang w:val="es-ES"/>
              </w:rPr>
            </w:pPr>
            <w:r w:rsidRPr="0056057F">
              <w:rPr>
                <w:lang w:val="es-ES"/>
              </w:rPr>
              <w:t>1</w:t>
            </w:r>
            <w:r w:rsidRPr="0056057F">
              <w:rPr>
                <w:lang w:val="es-ES"/>
              </w:rPr>
              <w:tab/>
            </w:r>
          </w:p>
          <w:p w:rsidR="00026D75" w:rsidRPr="0056057F" w:rsidRDefault="00026D75" w:rsidP="007823E7">
            <w:pPr>
              <w:rPr>
                <w:lang w:val="es-ES"/>
              </w:rPr>
            </w:pPr>
            <w:r w:rsidRPr="0056057F">
              <w:rPr>
                <w:lang w:val="es-ES"/>
              </w:rPr>
              <w:t>2</w:t>
            </w:r>
            <w:r w:rsidRPr="0056057F">
              <w:rPr>
                <w:lang w:val="es-ES"/>
              </w:rPr>
              <w:tab/>
            </w:r>
          </w:p>
          <w:p w:rsidR="00026D75" w:rsidRPr="0056057F" w:rsidRDefault="00026D75" w:rsidP="007823E7">
            <w:pPr>
              <w:rPr>
                <w:lang w:val="es-ES"/>
              </w:rPr>
            </w:pPr>
            <w:r w:rsidRPr="0056057F">
              <w:rPr>
                <w:lang w:val="es-ES"/>
              </w:rPr>
              <w:t>En esta parte pueden incluirse Notas individuales o comunes (por ejemplo, para señalar estudios que deben completarse)</w:t>
            </w:r>
          </w:p>
        </w:tc>
      </w:tr>
    </w:tbl>
    <w:p w:rsidR="00026D75" w:rsidRPr="0056057F" w:rsidRDefault="00026D75" w:rsidP="00026D75">
      <w:pPr>
        <w:pStyle w:val="AnnexNotitle0"/>
        <w:spacing w:after="120"/>
        <w:rPr>
          <w:rFonts w:ascii="Calibri" w:hAnsi="Calibri"/>
          <w:lang w:val="es-ES"/>
        </w:rPr>
      </w:pPr>
      <w:r w:rsidRPr="0056057F">
        <w:rPr>
          <w:rFonts w:ascii="Calibri" w:hAnsi="Calibri"/>
          <w:lang w:val="es-ES"/>
        </w:rPr>
        <w:t>Anexos</w:t>
      </w:r>
    </w:p>
    <w:tbl>
      <w:tblPr>
        <w:tblW w:w="0" w:type="auto"/>
        <w:jc w:val="center"/>
        <w:tblLayout w:type="fixed"/>
        <w:tblLook w:val="0000" w:firstRow="0" w:lastRow="0" w:firstColumn="0" w:lastColumn="0" w:noHBand="0" w:noVBand="0"/>
      </w:tblPr>
      <w:tblGrid>
        <w:gridCol w:w="9499"/>
      </w:tblGrid>
      <w:tr w:rsidR="00026D75" w:rsidRPr="0056057F" w:rsidTr="00F35897">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026D75" w:rsidRPr="0056057F" w:rsidRDefault="00026D75" w:rsidP="00DB1035">
            <w:pPr>
              <w:rPr>
                <w:lang w:val="es-ES"/>
              </w:rPr>
            </w:pPr>
            <w:r w:rsidRPr="0056057F">
              <w:rPr>
                <w:lang w:val="es-ES"/>
              </w:rPr>
              <w:t xml:space="preserve">Esta parte debe: </w:t>
            </w:r>
          </w:p>
          <w:p w:rsidR="00026D75" w:rsidRPr="0056057F" w:rsidRDefault="00026D75" w:rsidP="00026D75">
            <w:pPr>
              <w:pStyle w:val="ListParagraph"/>
              <w:numPr>
                <w:ilvl w:val="0"/>
                <w:numId w:val="25"/>
              </w:numPr>
              <w:tabs>
                <w:tab w:val="left" w:pos="794"/>
                <w:tab w:val="left" w:pos="1191"/>
                <w:tab w:val="left" w:pos="1588"/>
                <w:tab w:val="left" w:pos="1985"/>
              </w:tabs>
              <w:spacing w:before="120" w:after="0" w:line="240" w:lineRule="auto"/>
              <w:jc w:val="left"/>
              <w:rPr>
                <w:rFonts w:ascii="Calibri" w:hAnsi="Calibri" w:cstheme="majorBidi"/>
                <w:sz w:val="24"/>
                <w:szCs w:val="28"/>
                <w:lang w:val="es-ES"/>
              </w:rPr>
            </w:pPr>
            <w:r w:rsidRPr="0056057F">
              <w:rPr>
                <w:rFonts w:ascii="Calibri" w:hAnsi="Calibri" w:cstheme="majorBidi"/>
                <w:sz w:val="24"/>
                <w:szCs w:val="28"/>
                <w:lang w:val="es-ES"/>
              </w:rPr>
              <w:t>contener detalles técnicos o descripciones de los métodos/procedimientos</w:t>
            </w:r>
          </w:p>
          <w:p w:rsidR="00026D75" w:rsidRPr="0056057F" w:rsidRDefault="00026D75" w:rsidP="00026D75">
            <w:pPr>
              <w:pStyle w:val="ListParagraph"/>
              <w:numPr>
                <w:ilvl w:val="0"/>
                <w:numId w:val="24"/>
              </w:numPr>
              <w:tabs>
                <w:tab w:val="left" w:pos="794"/>
                <w:tab w:val="left" w:pos="1191"/>
                <w:tab w:val="left" w:pos="1588"/>
                <w:tab w:val="left" w:pos="1985"/>
              </w:tabs>
              <w:spacing w:before="120" w:after="0" w:line="240" w:lineRule="auto"/>
              <w:jc w:val="left"/>
              <w:rPr>
                <w:rFonts w:ascii="Calibri" w:hAnsi="Calibri" w:cstheme="majorBidi"/>
                <w:sz w:val="24"/>
                <w:szCs w:val="28"/>
                <w:lang w:val="es-ES"/>
              </w:rPr>
            </w:pPr>
            <w:r w:rsidRPr="0056057F">
              <w:rPr>
                <w:rFonts w:ascii="Calibri" w:hAnsi="Calibri" w:cstheme="majorBidi"/>
                <w:sz w:val="24"/>
                <w:szCs w:val="28"/>
                <w:lang w:val="es-ES"/>
              </w:rPr>
              <w:t>apoyar o aclarar las recomendaciones pertinentes</w:t>
            </w:r>
          </w:p>
          <w:p w:rsidR="00026D75" w:rsidRPr="0056057F" w:rsidRDefault="00026D75" w:rsidP="00026D75">
            <w:pPr>
              <w:pStyle w:val="ListParagraph"/>
              <w:numPr>
                <w:ilvl w:val="0"/>
                <w:numId w:val="24"/>
              </w:numPr>
              <w:tabs>
                <w:tab w:val="left" w:pos="794"/>
                <w:tab w:val="left" w:pos="1191"/>
                <w:tab w:val="left" w:pos="1588"/>
                <w:tab w:val="left" w:pos="1985"/>
              </w:tabs>
              <w:spacing w:before="120" w:after="0" w:line="240" w:lineRule="auto"/>
              <w:jc w:val="left"/>
              <w:rPr>
                <w:rFonts w:ascii="Calibri" w:hAnsi="Calibri" w:cstheme="majorBidi"/>
                <w:sz w:val="24"/>
                <w:szCs w:val="28"/>
                <w:lang w:val="es-ES"/>
              </w:rPr>
            </w:pPr>
            <w:r w:rsidRPr="0056057F">
              <w:rPr>
                <w:rFonts w:ascii="Calibri" w:hAnsi="Calibri" w:cstheme="majorBidi"/>
                <w:sz w:val="24"/>
                <w:szCs w:val="28"/>
                <w:lang w:val="es-ES"/>
              </w:rPr>
              <w:t>numerarse como Anexo 1, Anexo 2, etc.</w:t>
            </w:r>
          </w:p>
          <w:p w:rsidR="00026D75" w:rsidRPr="0056057F" w:rsidRDefault="00026D75" w:rsidP="00F35897">
            <w:pPr>
              <w:pStyle w:val="ListParagraph"/>
              <w:spacing w:line="240" w:lineRule="auto"/>
              <w:ind w:left="360"/>
              <w:rPr>
                <w:rFonts w:ascii="Calibri" w:hAnsi="Calibri" w:cstheme="majorBidi"/>
                <w:sz w:val="24"/>
                <w:szCs w:val="28"/>
                <w:lang w:val="es-ES"/>
              </w:rPr>
            </w:pPr>
            <w:r w:rsidRPr="0056057F">
              <w:rPr>
                <w:rFonts w:ascii="Calibri" w:hAnsi="Calibri" w:cstheme="majorBidi"/>
                <w:sz w:val="24"/>
                <w:szCs w:val="28"/>
                <w:lang w:val="es-ES"/>
              </w:rPr>
              <w:t>Es necesaria para que la Recomendación sea completa y comprensible</w:t>
            </w:r>
          </w:p>
          <w:p w:rsidR="00026D75" w:rsidRPr="0056057F" w:rsidRDefault="00026D75" w:rsidP="00DB1035">
            <w:pPr>
              <w:rPr>
                <w:lang w:val="es-ES"/>
              </w:rPr>
            </w:pPr>
            <w:r w:rsidRPr="0056057F">
              <w:rPr>
                <w:lang w:val="es-ES"/>
              </w:rPr>
              <w:t>Si el texto del Anexo cuenta con más de 5 páginas es necesario un ÍNDICE.</w:t>
            </w:r>
          </w:p>
        </w:tc>
      </w:tr>
    </w:tbl>
    <w:p w:rsidR="00026D75" w:rsidRPr="0056057F" w:rsidRDefault="00026D75" w:rsidP="00026D75">
      <w:pPr>
        <w:pStyle w:val="TableText0"/>
        <w:jc w:val="center"/>
        <w:rPr>
          <w:rFonts w:ascii="Calibri" w:hAnsi="Calibri" w:cstheme="majorBidi"/>
          <w:b/>
          <w:bCs/>
          <w:sz w:val="28"/>
          <w:szCs w:val="28"/>
          <w:lang w:val="es-ES"/>
        </w:rPr>
      </w:pPr>
    </w:p>
    <w:p w:rsidR="00026D75" w:rsidRPr="0056057F" w:rsidRDefault="00026D75" w:rsidP="00026D75">
      <w:pPr>
        <w:pStyle w:val="TableText0"/>
        <w:jc w:val="center"/>
        <w:rPr>
          <w:rFonts w:ascii="Calibri" w:hAnsi="Calibri" w:cstheme="majorBidi"/>
          <w:sz w:val="28"/>
          <w:szCs w:val="28"/>
          <w:lang w:val="es-ES"/>
        </w:rPr>
      </w:pPr>
      <w:r w:rsidRPr="0056057F">
        <w:rPr>
          <w:rFonts w:ascii="Calibri" w:hAnsi="Calibri" w:cstheme="majorBidi"/>
          <w:b/>
          <w:bCs/>
          <w:sz w:val="28"/>
          <w:szCs w:val="28"/>
          <w:lang w:val="es-ES"/>
        </w:rPr>
        <w:t>Apéndices</w:t>
      </w:r>
      <w:r w:rsidRPr="0056057F">
        <w:rPr>
          <w:rFonts w:ascii="Calibri" w:hAnsi="Calibri" w:cstheme="majorBidi"/>
          <w:sz w:val="28"/>
          <w:szCs w:val="28"/>
          <w:lang w:val="es-ES"/>
        </w:rPr>
        <w:t xml:space="preserve"> a los Anexos (en caso necesario):</w:t>
      </w:r>
    </w:p>
    <w:tbl>
      <w:tblPr>
        <w:tblW w:w="0" w:type="auto"/>
        <w:jc w:val="center"/>
        <w:tblLayout w:type="fixed"/>
        <w:tblLook w:val="0000" w:firstRow="0" w:lastRow="0" w:firstColumn="0" w:lastColumn="0" w:noHBand="0" w:noVBand="0"/>
      </w:tblPr>
      <w:tblGrid>
        <w:gridCol w:w="9499"/>
      </w:tblGrid>
      <w:tr w:rsidR="00026D75" w:rsidRPr="0056057F" w:rsidTr="00F35897">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026D75" w:rsidRPr="0056057F" w:rsidRDefault="00026D75" w:rsidP="007823E7">
            <w:pPr>
              <w:rPr>
                <w:lang w:val="es-ES"/>
              </w:rPr>
            </w:pPr>
            <w:r w:rsidRPr="0056057F">
              <w:rPr>
                <w:lang w:val="es-ES"/>
              </w:rPr>
              <w:t xml:space="preserve">Esta parte debe: </w:t>
            </w:r>
          </w:p>
          <w:p w:rsidR="00026D75" w:rsidRPr="0056057F" w:rsidRDefault="00026D75" w:rsidP="00026D75">
            <w:pPr>
              <w:pStyle w:val="ListParagraph"/>
              <w:numPr>
                <w:ilvl w:val="0"/>
                <w:numId w:val="24"/>
              </w:numPr>
              <w:tabs>
                <w:tab w:val="left" w:pos="794"/>
                <w:tab w:val="left" w:pos="1191"/>
                <w:tab w:val="left" w:pos="1588"/>
                <w:tab w:val="left" w:pos="1985"/>
              </w:tabs>
              <w:spacing w:before="120" w:after="0" w:line="240" w:lineRule="auto"/>
              <w:jc w:val="left"/>
              <w:rPr>
                <w:rFonts w:ascii="Calibri" w:hAnsi="Calibri" w:cstheme="majorBidi"/>
                <w:sz w:val="24"/>
                <w:szCs w:val="28"/>
                <w:lang w:val="es-ES"/>
              </w:rPr>
            </w:pPr>
            <w:r w:rsidRPr="0056057F">
              <w:rPr>
                <w:rFonts w:ascii="Calibri" w:hAnsi="Calibri" w:cstheme="majorBidi"/>
                <w:sz w:val="24"/>
                <w:szCs w:val="28"/>
                <w:lang w:val="es-ES"/>
              </w:rPr>
              <w:t>contener material complementario y asociado a un Anexo de una Recomendación;</w:t>
            </w:r>
          </w:p>
          <w:p w:rsidR="00026D75" w:rsidRPr="0056057F" w:rsidRDefault="00026D75" w:rsidP="00026D75">
            <w:pPr>
              <w:pStyle w:val="ListParagraph"/>
              <w:numPr>
                <w:ilvl w:val="0"/>
                <w:numId w:val="24"/>
              </w:numPr>
              <w:tabs>
                <w:tab w:val="left" w:pos="794"/>
                <w:tab w:val="left" w:pos="1191"/>
                <w:tab w:val="left" w:pos="1588"/>
                <w:tab w:val="left" w:pos="1985"/>
              </w:tabs>
              <w:spacing w:before="120" w:after="0" w:line="240" w:lineRule="auto"/>
              <w:jc w:val="left"/>
              <w:rPr>
                <w:rFonts w:ascii="Calibri" w:hAnsi="Calibri" w:cstheme="majorBidi"/>
                <w:sz w:val="24"/>
                <w:szCs w:val="28"/>
                <w:lang w:val="es-ES"/>
              </w:rPr>
            </w:pPr>
            <w:r w:rsidRPr="0056057F">
              <w:rPr>
                <w:rFonts w:ascii="Calibri" w:hAnsi="Calibri" w:cstheme="majorBidi"/>
                <w:sz w:val="24"/>
                <w:szCs w:val="28"/>
                <w:lang w:val="es-ES"/>
              </w:rPr>
              <w:t xml:space="preserve">aclarar los </w:t>
            </w:r>
            <w:r w:rsidRPr="0056057F">
              <w:rPr>
                <w:rFonts w:ascii="Calibri" w:hAnsi="Calibri" w:cstheme="majorBidi"/>
                <w:i/>
                <w:iCs/>
                <w:sz w:val="24"/>
                <w:szCs w:val="28"/>
                <w:lang w:val="es-ES"/>
              </w:rPr>
              <w:t>recomienda</w:t>
            </w:r>
            <w:r w:rsidRPr="0056057F">
              <w:rPr>
                <w:rFonts w:ascii="Calibri" w:hAnsi="Calibri" w:cstheme="majorBidi"/>
                <w:sz w:val="24"/>
                <w:szCs w:val="28"/>
                <w:lang w:val="es-ES"/>
              </w:rPr>
              <w:t xml:space="preserve"> pertinentes. </w:t>
            </w:r>
          </w:p>
          <w:p w:rsidR="00026D75" w:rsidRPr="0056057F" w:rsidRDefault="00026D75" w:rsidP="00F35897">
            <w:pPr>
              <w:pStyle w:val="ListParagraph"/>
              <w:spacing w:line="240" w:lineRule="auto"/>
              <w:ind w:left="360"/>
              <w:rPr>
                <w:rFonts w:ascii="Calibri" w:hAnsi="Calibri" w:cstheme="majorBidi"/>
                <w:sz w:val="24"/>
                <w:szCs w:val="28"/>
                <w:lang w:val="es-ES"/>
              </w:rPr>
            </w:pPr>
            <w:r w:rsidRPr="0056057F">
              <w:rPr>
                <w:rFonts w:ascii="Calibri" w:hAnsi="Calibri" w:cstheme="majorBidi"/>
                <w:sz w:val="24"/>
                <w:szCs w:val="28"/>
                <w:lang w:val="es-ES"/>
              </w:rPr>
              <w:t>No es indispensable para que la Recomendación sea completa y comprensible</w:t>
            </w:r>
          </w:p>
          <w:p w:rsidR="00026D75" w:rsidRPr="0056057F" w:rsidRDefault="00026D75" w:rsidP="007823E7">
            <w:pPr>
              <w:rPr>
                <w:lang w:val="es-ES"/>
              </w:rPr>
            </w:pPr>
            <w:r w:rsidRPr="0056057F">
              <w:rPr>
                <w:lang w:val="es-ES"/>
              </w:rPr>
              <w:t>Si el texto tiene más de 5 páginas es necesario un ÍNDICE.</w:t>
            </w:r>
          </w:p>
        </w:tc>
      </w:tr>
    </w:tbl>
    <w:p w:rsidR="00026D75" w:rsidRPr="0056057F" w:rsidRDefault="00026D75" w:rsidP="00026D75">
      <w:pPr>
        <w:pStyle w:val="TableText0"/>
        <w:jc w:val="center"/>
        <w:rPr>
          <w:rFonts w:ascii="Calibri" w:hAnsi="Calibri" w:cstheme="majorBidi"/>
          <w:szCs w:val="24"/>
          <w:lang w:val="es-ES"/>
        </w:rPr>
      </w:pPr>
    </w:p>
    <w:tbl>
      <w:tblPr>
        <w:tblW w:w="0" w:type="auto"/>
        <w:jc w:val="center"/>
        <w:tblLayout w:type="fixed"/>
        <w:tblLook w:val="0000" w:firstRow="0" w:lastRow="0" w:firstColumn="0" w:lastColumn="0" w:noHBand="0" w:noVBand="0"/>
      </w:tblPr>
      <w:tblGrid>
        <w:gridCol w:w="9451"/>
      </w:tblGrid>
      <w:tr w:rsidR="00026D75" w:rsidRPr="0056057F" w:rsidTr="00F35897">
        <w:trPr>
          <w:cantSplit/>
          <w:trHeight w:val="284"/>
          <w:jc w:val="center"/>
        </w:trPr>
        <w:tc>
          <w:tcPr>
            <w:tcW w:w="9451" w:type="dxa"/>
          </w:tcPr>
          <w:p w:rsidR="00026D75" w:rsidRPr="0056057F" w:rsidRDefault="00026D75" w:rsidP="007823E7">
            <w:pPr>
              <w:rPr>
                <w:lang w:val="es-ES"/>
              </w:rPr>
            </w:pPr>
            <w:r w:rsidRPr="0056057F">
              <w:rPr>
                <w:lang w:val="es-ES"/>
              </w:rPr>
              <w:t xml:space="preserve">Los </w:t>
            </w:r>
            <w:r w:rsidRPr="0056057F">
              <w:rPr>
                <w:b/>
                <w:bCs/>
                <w:lang w:val="es-ES"/>
              </w:rPr>
              <w:t>Apéndices</w:t>
            </w:r>
            <w:r w:rsidRPr="0056057F">
              <w:rPr>
                <w:lang w:val="es-ES"/>
              </w:rPr>
              <w:t xml:space="preserve"> no deben utilizarse como parte de la Recomendación para evitar confusiones con los </w:t>
            </w:r>
            <w:r w:rsidRPr="0056057F">
              <w:rPr>
                <w:b/>
                <w:bCs/>
                <w:lang w:val="es-ES"/>
              </w:rPr>
              <w:t>Apéndices</w:t>
            </w:r>
            <w:r w:rsidRPr="0056057F">
              <w:rPr>
                <w:lang w:val="es-ES"/>
              </w:rPr>
              <w:t xml:space="preserve"> del RR.</w:t>
            </w:r>
          </w:p>
        </w:tc>
      </w:tr>
    </w:tbl>
    <w:p w:rsidR="00026D75" w:rsidRPr="0056057F" w:rsidRDefault="00026D75" w:rsidP="00026D75">
      <w:pPr>
        <w:tabs>
          <w:tab w:val="clear" w:pos="794"/>
          <w:tab w:val="clear" w:pos="1191"/>
          <w:tab w:val="clear" w:pos="1588"/>
          <w:tab w:val="clear" w:pos="1985"/>
        </w:tabs>
        <w:overflowPunct/>
        <w:autoSpaceDE/>
        <w:autoSpaceDN/>
        <w:adjustRightInd/>
        <w:spacing w:before="0"/>
        <w:textAlignment w:val="auto"/>
        <w:rPr>
          <w:lang w:val="es-ES"/>
        </w:rPr>
      </w:pPr>
      <w:r w:rsidRPr="0056057F">
        <w:rPr>
          <w:lang w:val="es-ES"/>
        </w:rPr>
        <w:br w:type="page"/>
      </w:r>
    </w:p>
    <w:p w:rsidR="00026D75" w:rsidRPr="0056057F" w:rsidRDefault="00026D75" w:rsidP="0071338E">
      <w:pPr>
        <w:pStyle w:val="AnnexNotitle0"/>
        <w:rPr>
          <w:rFonts w:ascii="Calibri" w:hAnsi="Calibri"/>
          <w:b w:val="0"/>
          <w:bCs/>
          <w:lang w:val="es-ES"/>
        </w:rPr>
      </w:pPr>
      <w:r w:rsidRPr="0056057F">
        <w:rPr>
          <w:rFonts w:ascii="Calibri" w:hAnsi="Calibri"/>
          <w:b w:val="0"/>
          <w:bCs/>
          <w:lang w:val="es-ES"/>
        </w:rPr>
        <w:lastRenderedPageBreak/>
        <w:t>ANEXO 3</w:t>
      </w:r>
    </w:p>
    <w:p w:rsidR="00026D75" w:rsidRPr="0056057F" w:rsidRDefault="00026D75" w:rsidP="00026D75">
      <w:pPr>
        <w:pStyle w:val="Annextitle"/>
        <w:rPr>
          <w:rFonts w:ascii="Calibri" w:hAnsi="Calibri"/>
          <w:lang w:val="es-ES"/>
        </w:rPr>
      </w:pPr>
      <w:r w:rsidRPr="0056057F">
        <w:rPr>
          <w:rFonts w:ascii="Calibri" w:hAnsi="Calibri"/>
          <w:lang w:val="es-ES"/>
        </w:rPr>
        <w:t xml:space="preserve">Proyecto de Plan Operacional cuatrienal renovable del </w:t>
      </w:r>
      <w:r w:rsidRPr="0056057F">
        <w:rPr>
          <w:rFonts w:ascii="Calibri" w:hAnsi="Calibri"/>
          <w:lang w:val="es-ES"/>
        </w:rPr>
        <w:br/>
        <w:t>Sector de Radiocomunicaciones para 2017-2020</w:t>
      </w:r>
    </w:p>
    <w:p w:rsidR="00026D75" w:rsidRPr="0056057F" w:rsidRDefault="00026D75" w:rsidP="00DB1035">
      <w:pPr>
        <w:pStyle w:val="Normalaftertitle"/>
        <w:rPr>
          <w:lang w:val="es-ES"/>
        </w:rPr>
      </w:pPr>
      <w:r w:rsidRPr="0056057F">
        <w:rPr>
          <w:lang w:val="es-ES"/>
        </w:rPr>
        <w:t>En este documento se presentan un resumen y los principales elementos del Plan Operacional cuatrienal renovable del Sector de Radiocomunicaciones (UIT-R) para el periodo de 2017 a 2020, tal como ha sido enmendado durante la reunión especial del GAR celebrada el 11 de mayo de 2016.</w:t>
      </w:r>
    </w:p>
    <w:p w:rsidR="004D6EC4" w:rsidRPr="0056057F" w:rsidRDefault="004D6EC4" w:rsidP="00026D75">
      <w:pPr>
        <w:rPr>
          <w:lang w:val="es-ES"/>
        </w:rPr>
      </w:pPr>
    </w:p>
    <w:p w:rsidR="00026D75" w:rsidRPr="0056057F" w:rsidRDefault="00026D75" w:rsidP="00026D75">
      <w:pPr>
        <w:pStyle w:val="Heading1"/>
        <w:rPr>
          <w:lang w:val="es-ES"/>
        </w:rPr>
        <w:sectPr w:rsidR="00026D75" w:rsidRPr="0056057F" w:rsidSect="00F35897">
          <w:headerReference w:type="even" r:id="rId35"/>
          <w:headerReference w:type="default" r:id="rId36"/>
          <w:footerReference w:type="default" r:id="rId37"/>
          <w:headerReference w:type="first" r:id="rId38"/>
          <w:footerReference w:type="first" r:id="rId39"/>
          <w:pgSz w:w="11907" w:h="16834" w:code="9"/>
          <w:pgMar w:top="1134" w:right="1134" w:bottom="993" w:left="1134" w:header="567" w:footer="397" w:gutter="0"/>
          <w:cols w:space="720"/>
          <w:titlePg/>
          <w:docGrid w:linePitch="326"/>
        </w:sectPr>
      </w:pPr>
    </w:p>
    <w:p w:rsidR="00026D75" w:rsidRPr="0056057F" w:rsidRDefault="00026D75" w:rsidP="00DB1035">
      <w:pPr>
        <w:pStyle w:val="Heading1"/>
        <w:rPr>
          <w:lang w:val="es-ES"/>
        </w:rPr>
      </w:pPr>
      <w:r w:rsidRPr="0056057F">
        <w:rPr>
          <w:lang w:val="es-ES"/>
        </w:rPr>
        <w:lastRenderedPageBreak/>
        <w:t>1</w:t>
      </w:r>
      <w:r w:rsidRPr="0056057F">
        <w:rPr>
          <w:lang w:val="es-ES"/>
        </w:rPr>
        <w:tab/>
        <w:t>Introducción</w:t>
      </w:r>
    </w:p>
    <w:p w:rsidR="00026D75" w:rsidRPr="0056057F" w:rsidRDefault="00026D75" w:rsidP="00DB1035">
      <w:pPr>
        <w:rPr>
          <w:lang w:val="es-ES"/>
        </w:rPr>
      </w:pPr>
      <w:r w:rsidRPr="0056057F">
        <w:rPr>
          <w:lang w:val="es-ES"/>
        </w:rPr>
        <w:t>El Plan Operacional cuatrienal renovable del Sector de Radiocomunicaciones (UIT-R) se ha elaborado de conformidad con el Plan Estratégico de la UIT para 2017-2020, dentro de los límites fijados en el Plan Financiero para 2017-2020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026D75" w:rsidRPr="0056057F" w:rsidRDefault="00026D75" w:rsidP="00DB1035">
      <w:pPr>
        <w:rPr>
          <w:lang w:val="es-ES"/>
        </w:rPr>
      </w:pPr>
      <w:r w:rsidRPr="0056057F">
        <w:rPr>
          <w:lang w:val="es-ES"/>
        </w:rPr>
        <w:t>La planificación, la ejecución y el proceso de seguimiento y evaluación referentes a la Oficina de Radiocomunicaciones (BR) se complementarán con los siguientes mecanismos internos:</w:t>
      </w:r>
    </w:p>
    <w:p w:rsidR="00026D75" w:rsidRPr="0056057F" w:rsidRDefault="00026D75" w:rsidP="00DB1035">
      <w:pPr>
        <w:pStyle w:val="enumlev1"/>
        <w:rPr>
          <w:lang w:val="es-ES"/>
        </w:rPr>
      </w:pPr>
      <w:r w:rsidRPr="0056057F">
        <w:rPr>
          <w:lang w:val="es-ES"/>
        </w:rPr>
        <w:t>i)</w:t>
      </w:r>
      <w:r w:rsidRPr="0056057F">
        <w:rPr>
          <w:lang w:val="es-ES"/>
        </w:rPr>
        <w:tab/>
        <w:t>los planes de trabajo de los Departamentos y Divisiones de la BR; y</w:t>
      </w:r>
    </w:p>
    <w:p w:rsidR="00026D75" w:rsidRPr="0056057F" w:rsidRDefault="00026D75" w:rsidP="00DB1035">
      <w:pPr>
        <w:pStyle w:val="enumlev1"/>
        <w:rPr>
          <w:lang w:val="es-ES"/>
        </w:rPr>
      </w:pPr>
      <w:r w:rsidRPr="0056057F">
        <w:rPr>
          <w:lang w:val="es-ES"/>
        </w:rPr>
        <w:t>ii)</w:t>
      </w:r>
      <w:r w:rsidRPr="0056057F">
        <w:rPr>
          <w:lang w:val="es-ES"/>
        </w:rPr>
        <w:tab/>
        <w:t>los Acuerdos de Nivel de Servicio (SLA) para la planificación, supervisión y evaluación de los servicios de apoyo.</w:t>
      </w:r>
    </w:p>
    <w:p w:rsidR="00650368" w:rsidRPr="0056057F" w:rsidRDefault="00650368" w:rsidP="00DB1035">
      <w:pPr>
        <w:rPr>
          <w:lang w:val="es-ES"/>
        </w:rPr>
      </w:pPr>
    </w:p>
    <w:p w:rsidR="00650368" w:rsidRPr="0056057F" w:rsidRDefault="00650368" w:rsidP="00DB1035">
      <w:pPr>
        <w:pStyle w:val="Figure"/>
        <w:rPr>
          <w:lang w:val="es-ES"/>
        </w:rPr>
      </w:pPr>
      <w:r w:rsidRPr="0056057F">
        <w:rPr>
          <w:lang w:val="es-ES"/>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283.8pt" o:ole="">
            <v:imagedata r:id="rId40" o:title="" croptop="14725f"/>
          </v:shape>
          <o:OLEObject Type="Embed" ProgID="PowerPoint.Slide.12" ShapeID="_x0000_i1025" DrawAspect="Content" ObjectID="_1528029844" r:id="rId41"/>
        </w:object>
      </w:r>
    </w:p>
    <w:p w:rsidR="00026D75" w:rsidRPr="0056057F" w:rsidRDefault="00026D75" w:rsidP="00DB1035">
      <w:pPr>
        <w:pStyle w:val="Figuretitle"/>
        <w:rPr>
          <w:lang w:val="es-ES"/>
        </w:rPr>
      </w:pPr>
      <w:bookmarkStart w:id="365" w:name="_Ref404966541"/>
      <w:r w:rsidRPr="0056057F">
        <w:rPr>
          <w:lang w:val="es-ES"/>
        </w:rPr>
        <w:t xml:space="preserve">Figura </w:t>
      </w:r>
      <w:bookmarkEnd w:id="365"/>
      <w:r w:rsidRPr="0056057F">
        <w:rPr>
          <w:lang w:val="es-ES"/>
        </w:rPr>
        <w:t>1: Plan Operacional del ITU-R y marco estratégico de la UIT para 2017-2020</w:t>
      </w:r>
    </w:p>
    <w:p w:rsidR="00026D75" w:rsidRPr="0056057F" w:rsidRDefault="00026D75" w:rsidP="00DB1035">
      <w:pPr>
        <w:rPr>
          <w:sz w:val="28"/>
          <w:lang w:val="es-ES"/>
        </w:rPr>
      </w:pPr>
      <w:r w:rsidRPr="0056057F">
        <w:rPr>
          <w:lang w:val="es-ES"/>
        </w:rPr>
        <w:br w:type="page"/>
      </w:r>
    </w:p>
    <w:p w:rsidR="00026D75" w:rsidRPr="0056057F" w:rsidRDefault="00026D75" w:rsidP="00026D75">
      <w:pPr>
        <w:pStyle w:val="Heading1"/>
        <w:rPr>
          <w:lang w:val="es-ES"/>
        </w:rPr>
      </w:pPr>
      <w:r w:rsidRPr="0056057F">
        <w:rPr>
          <w:lang w:val="es-ES"/>
        </w:rPr>
        <w:lastRenderedPageBreak/>
        <w:t>2</w:t>
      </w:r>
      <w:r w:rsidRPr="0056057F">
        <w:rPr>
          <w:lang w:val="es-ES"/>
        </w:rPr>
        <w:tab/>
        <w:t>Contexto y prioridades fundamentales del Sector UIT-R</w:t>
      </w:r>
    </w:p>
    <w:p w:rsidR="00026D75" w:rsidRPr="0056057F" w:rsidRDefault="00026D75" w:rsidP="008045FB">
      <w:pPr>
        <w:rPr>
          <w:iCs/>
          <w:lang w:val="es-ES"/>
        </w:rPr>
      </w:pPr>
      <w:r w:rsidRPr="0056057F">
        <w:rPr>
          <w:lang w:val="es-ES"/>
        </w:rPr>
        <w:t>El periodo 2017-2020 se distinguirá por la aplicación de las decisiones de la AR-15 y la CMR-15, la preparación de la AR-19 y la CMR-19,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026D75" w:rsidRPr="0056057F" w:rsidRDefault="00026D75" w:rsidP="00026D75">
      <w:pPr>
        <w:pStyle w:val="Heading2"/>
        <w:rPr>
          <w:lang w:val="es-ES"/>
        </w:rPr>
      </w:pPr>
      <w:r w:rsidRPr="0056057F">
        <w:rPr>
          <w:lang w:val="es-ES"/>
        </w:rPr>
        <w:t>2.1</w:t>
      </w:r>
      <w:r w:rsidRPr="0056057F">
        <w:rPr>
          <w:lang w:val="es-ES"/>
        </w:rPr>
        <w:tab/>
        <w:t>Establecer y actualizar la reglamentación internacional sobre la utilización del espectro de radiofrecuencias y las órbitas de los satélites</w:t>
      </w:r>
    </w:p>
    <w:p w:rsidR="00026D75" w:rsidRPr="0056057F" w:rsidRDefault="00026D75" w:rsidP="008045FB">
      <w:pPr>
        <w:pStyle w:val="enumlev1"/>
        <w:rPr>
          <w:lang w:val="es-ES"/>
        </w:rPr>
      </w:pPr>
      <w:r w:rsidRPr="0056057F">
        <w:rPr>
          <w:lang w:val="es-ES"/>
        </w:rPr>
        <w:t>•</w:t>
      </w:r>
      <w:r w:rsidRPr="0056057F">
        <w:rPr>
          <w:lang w:val="es-ES"/>
        </w:rPr>
        <w:tab/>
        <w:t>Aplicar las decisiones de la CMR-15.</w:t>
      </w:r>
    </w:p>
    <w:p w:rsidR="00026D75" w:rsidRPr="0056057F" w:rsidRDefault="00026D75" w:rsidP="008045FB">
      <w:pPr>
        <w:pStyle w:val="enumlev1"/>
        <w:rPr>
          <w:lang w:val="es-ES"/>
        </w:rPr>
      </w:pPr>
      <w:r w:rsidRPr="0056057F">
        <w:rPr>
          <w:lang w:val="es-ES"/>
        </w:rPr>
        <w:t>•</w:t>
      </w:r>
      <w:r w:rsidRPr="0056057F">
        <w:rPr>
          <w:lang w:val="es-ES"/>
        </w:rPr>
        <w:tab/>
        <w:t>Adoptar las reglas de procedimiento conexas en el marco de la RRB.</w:t>
      </w:r>
    </w:p>
    <w:p w:rsidR="00026D75" w:rsidRPr="0056057F" w:rsidRDefault="00026D75" w:rsidP="00026D75">
      <w:pPr>
        <w:pStyle w:val="Heading2"/>
        <w:rPr>
          <w:lang w:val="es-ES"/>
        </w:rPr>
      </w:pPr>
      <w:r w:rsidRPr="0056057F">
        <w:rPr>
          <w:lang w:val="es-ES"/>
        </w:rPr>
        <w:t>2.2</w:t>
      </w:r>
      <w:r w:rsidRPr="0056057F">
        <w:rPr>
          <w:lang w:val="es-ES"/>
        </w:rPr>
        <w:tab/>
        <w:t>Implementar y aplicar la reglamentación internacional sobre la utilización del espectro de radiofrecuencias y las órbitas de los satélites</w:t>
      </w:r>
    </w:p>
    <w:p w:rsidR="00026D75" w:rsidRPr="0056057F" w:rsidRDefault="00026D75" w:rsidP="00026D75">
      <w:pPr>
        <w:pStyle w:val="enumlev1"/>
        <w:rPr>
          <w:lang w:val="es-ES"/>
        </w:rPr>
      </w:pPr>
      <w:r w:rsidRPr="0056057F">
        <w:rPr>
          <w:lang w:val="es-ES"/>
        </w:rPr>
        <w:t>•</w:t>
      </w:r>
      <w:r w:rsidRPr="0056057F">
        <w:rPr>
          <w:lang w:val="es-ES"/>
        </w:rPr>
        <w:tab/>
        <w:t>Poner en práctica las decisiones de la CMR-15 a medida que sea posible, en particular, mediante el desarrollo de herramientas de software conexas y su puesta a disposición de los miembros.</w:t>
      </w:r>
    </w:p>
    <w:p w:rsidR="00026D75" w:rsidRPr="0056057F" w:rsidRDefault="00026D75" w:rsidP="00026D75">
      <w:pPr>
        <w:pStyle w:val="enumlev1"/>
        <w:rPr>
          <w:lang w:val="es-ES"/>
        </w:rPr>
      </w:pPr>
      <w:r w:rsidRPr="0056057F">
        <w:rPr>
          <w:lang w:val="es-ES"/>
        </w:rPr>
        <w:t>•</w:t>
      </w:r>
      <w:r w:rsidRPr="0056057F">
        <w:rPr>
          <w:lang w:val="es-ES"/>
        </w:rPr>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026D75" w:rsidRPr="0056057F" w:rsidRDefault="00026D75" w:rsidP="00026D75">
      <w:pPr>
        <w:pStyle w:val="enumlev1"/>
        <w:rPr>
          <w:lang w:val="es-ES"/>
        </w:rPr>
      </w:pPr>
      <w:r w:rsidRPr="0056057F">
        <w:rPr>
          <w:lang w:val="es-ES"/>
        </w:rPr>
        <w:t>•</w:t>
      </w:r>
      <w:r w:rsidRPr="0056057F">
        <w:rPr>
          <w:lang w:val="es-ES"/>
        </w:rPr>
        <w:tab/>
        <w:t>Realizar un seguimiento de los casos de interferencia perjudicial y, en general, de los conflictos dimanantes del uso compartido de recursos del espectro de radiofrecuencias y las órbitas de satélites, y proceder a su resolución.</w:t>
      </w:r>
    </w:p>
    <w:p w:rsidR="00026D75" w:rsidRPr="0056057F" w:rsidRDefault="00026D75" w:rsidP="00026D75">
      <w:pPr>
        <w:pStyle w:val="enumlev1"/>
        <w:rPr>
          <w:lang w:val="es-ES"/>
        </w:rPr>
      </w:pPr>
      <w:r w:rsidRPr="0056057F">
        <w:rPr>
          <w:lang w:val="es-ES"/>
        </w:rPr>
        <w:t>•</w:t>
      </w:r>
      <w:r w:rsidRPr="0056057F">
        <w:rPr>
          <w:lang w:val="es-ES"/>
        </w:rPr>
        <w:tab/>
        <w:t>Las publicaciones asociadas (véanse la BR IFIC, las publicaciones relativas al servicio marítimo, el nomenclátor de las estaciones de comprobación técnica internacional de las emisiones, etc.).</w:t>
      </w:r>
    </w:p>
    <w:p w:rsidR="00026D75" w:rsidRPr="0056057F" w:rsidRDefault="00026D75" w:rsidP="00026D75">
      <w:pPr>
        <w:pStyle w:val="Heading2"/>
        <w:rPr>
          <w:lang w:val="es-ES"/>
        </w:rPr>
      </w:pPr>
      <w:r w:rsidRPr="0056057F">
        <w:rPr>
          <w:lang w:val="es-ES"/>
        </w:rPr>
        <w:t>2.3</w:t>
      </w:r>
      <w:r w:rsidRPr="0056057F">
        <w:rPr>
          <w:lang w:val="es-ES"/>
        </w:rPr>
        <w:tab/>
        <w:t>Establecer y actualizar Recomendaciones, Informes y Manuales de ámbito mundial para lograr una utilización más eficaz del espectro de radiofrecuencias y de las órbitas de los satélites</w:t>
      </w:r>
    </w:p>
    <w:p w:rsidR="00026D75" w:rsidRPr="0056057F" w:rsidRDefault="00026D75" w:rsidP="00026D75">
      <w:pPr>
        <w:pStyle w:val="enumlev1"/>
        <w:rPr>
          <w:lang w:val="es-ES"/>
        </w:rPr>
      </w:pPr>
      <w:r w:rsidRPr="0056057F">
        <w:rPr>
          <w:lang w:val="es-ES"/>
        </w:rPr>
        <w:t>•</w:t>
      </w:r>
      <w:r w:rsidRPr="0056057F">
        <w:rPr>
          <w:lang w:val="es-ES"/>
        </w:rPr>
        <w:tab/>
        <w:t>Preparar la AR-19 y la CMR-19 en el seno de las Comisiones de Estudio del UIT-R y, en estrecha colaboración con los Grupos Regionales, elaborar proyectos de textos técnicos, reglamentarios y de procedimiento en apoyo de la RPC19-2.</w:t>
      </w:r>
    </w:p>
    <w:p w:rsidR="00026D75" w:rsidRPr="0056057F" w:rsidRDefault="00026D75" w:rsidP="00026D75">
      <w:pPr>
        <w:pStyle w:val="enumlev1"/>
        <w:rPr>
          <w:lang w:val="es-ES"/>
        </w:rPr>
      </w:pPr>
      <w:r w:rsidRPr="0056057F">
        <w:rPr>
          <w:lang w:val="es-ES"/>
        </w:rPr>
        <w:t>•</w:t>
      </w:r>
      <w:r w:rsidRPr="0056057F">
        <w:rPr>
          <w:lang w:val="es-ES"/>
        </w:rPr>
        <w:tab/>
        <w:t>Elaborar Recomendaciones, Informes y Manuales clave, en particular, sobre la interfaz radioeléctrica de las IMT 2020, en estrecha colaboración con el UIT-T, las organizaciones regionales y otros organismos de normalización.</w:t>
      </w:r>
    </w:p>
    <w:p w:rsidR="00026D75" w:rsidRPr="0056057F" w:rsidRDefault="00026D75" w:rsidP="00026D75">
      <w:pPr>
        <w:pStyle w:val="Heading2"/>
        <w:rPr>
          <w:lang w:val="es-ES"/>
        </w:rPr>
      </w:pPr>
      <w:r w:rsidRPr="0056057F">
        <w:rPr>
          <w:lang w:val="es-ES"/>
        </w:rPr>
        <w:lastRenderedPageBreak/>
        <w:t>2.4</w:t>
      </w:r>
      <w:r w:rsidRPr="0056057F">
        <w:rPr>
          <w:lang w:val="es-ES"/>
        </w:rPr>
        <w:tab/>
        <w:t>Informar y ayudar a los Miembros del UIT-R en asuntos de radiocomunicaciones</w:t>
      </w:r>
    </w:p>
    <w:p w:rsidR="00026D75" w:rsidRPr="0056057F" w:rsidRDefault="00026D75" w:rsidP="00026D75">
      <w:pPr>
        <w:pStyle w:val="enumlev1"/>
        <w:rPr>
          <w:lang w:val="es-ES"/>
        </w:rPr>
      </w:pPr>
      <w:r w:rsidRPr="0056057F">
        <w:rPr>
          <w:lang w:val="es-ES"/>
        </w:rPr>
        <w:t>•</w:t>
      </w:r>
      <w:r w:rsidRPr="0056057F">
        <w:rPr>
          <w:lang w:val="es-ES"/>
        </w:rPr>
        <w:tab/>
        <w:t>Publicar y promover productos del UIT-R, tales como el Reglamento de Radiocomunicaciones, las Recomendaciones, los Informes y los Manuales.</w:t>
      </w:r>
    </w:p>
    <w:p w:rsidR="00026D75" w:rsidRPr="0056057F" w:rsidRDefault="00026D75" w:rsidP="00026D75">
      <w:pPr>
        <w:pStyle w:val="enumlev1"/>
        <w:rPr>
          <w:lang w:val="es-ES"/>
        </w:rPr>
      </w:pPr>
      <w:r w:rsidRPr="0056057F">
        <w:rPr>
          <w:lang w:val="es-ES"/>
        </w:rPr>
        <w:t>•</w:t>
      </w:r>
      <w:r w:rsidRPr="0056057F">
        <w:rPr>
          <w:lang w:val="es-ES"/>
        </w:rPr>
        <w:tab/>
        <w:t>En estrecha colaboración con los demás Sectores, las oficinas regionales de la UIT, las organizaciones regionales pertinentes y los miembros:</w:t>
      </w:r>
    </w:p>
    <w:p w:rsidR="00026D75" w:rsidRPr="0056057F" w:rsidRDefault="00026D75" w:rsidP="008045FB">
      <w:pPr>
        <w:pStyle w:val="enumlev2"/>
        <w:rPr>
          <w:lang w:val="es-ES"/>
        </w:rPr>
      </w:pPr>
      <w:r w:rsidRPr="0056057F">
        <w:rPr>
          <w:lang w:val="es-ES"/>
        </w:rPr>
        <w:t>–</w:t>
      </w:r>
      <w:r w:rsidRPr="0056057F">
        <w:rPr>
          <w:lang w:val="es-ES"/>
        </w:rPr>
        <w:tab/>
        <w:t>divulgar e intercambiar información, por ejemplo, en seminarios, conferencias, talleres y otros eventos mundiales o regionales relacionados con las radiocomunicaciones; y</w:t>
      </w:r>
    </w:p>
    <w:p w:rsidR="00026D75" w:rsidRPr="0056057F" w:rsidRDefault="00026D75" w:rsidP="008045FB">
      <w:pPr>
        <w:pStyle w:val="enumlev2"/>
        <w:rPr>
          <w:lang w:val="es-ES"/>
        </w:rPr>
      </w:pPr>
      <w:r w:rsidRPr="0056057F">
        <w:rPr>
          <w:lang w:val="es-ES"/>
        </w:rPr>
        <w:t>–</w:t>
      </w:r>
      <w:r w:rsidRPr="0056057F">
        <w:rPr>
          <w:lang w:val="es-ES"/>
        </w:rPr>
        <w:tab/>
        <w:t>prestar asistencia a los miembros que experimenten dificultades en el desarrollo de sus servicios de radiocomunicaciones, en particular, con respecto a la transición a la radiodifusión de televisión digital y a la atribución del dividendo digital.</w:t>
      </w:r>
    </w:p>
    <w:p w:rsidR="00026D75" w:rsidRPr="0056057F" w:rsidRDefault="00026D75" w:rsidP="00DB1035">
      <w:pPr>
        <w:pStyle w:val="Heading2"/>
        <w:rPr>
          <w:lang w:val="es-ES"/>
        </w:rPr>
      </w:pPr>
      <w:r w:rsidRPr="0056057F">
        <w:rPr>
          <w:lang w:val="es-ES"/>
        </w:rPr>
        <w:t>2.5</w:t>
      </w:r>
      <w:r w:rsidRPr="0056057F">
        <w:rPr>
          <w:lang w:val="es-ES"/>
        </w:rPr>
        <w:tab/>
        <w:t>Respaldar las actividades de la Oficina de Radiocomunicaciones</w:t>
      </w:r>
    </w:p>
    <w:p w:rsidR="00026D75" w:rsidRPr="0056057F" w:rsidRDefault="00026D75" w:rsidP="00026D75">
      <w:pPr>
        <w:pStyle w:val="enumlev1"/>
        <w:rPr>
          <w:lang w:val="es-ES"/>
        </w:rPr>
      </w:pPr>
      <w:r w:rsidRPr="0056057F">
        <w:rPr>
          <w:lang w:val="es-ES"/>
        </w:rPr>
        <w:t>•</w:t>
      </w:r>
      <w:r w:rsidRPr="0056057F">
        <w:rPr>
          <w:lang w:val="es-ES"/>
        </w:rPr>
        <w:tab/>
        <w:t>Elaborar, mejorar y actualizar de forma constante las herramientas de software de la BR, con objeto de mantener un alto nivel de eficacia, fiabilidad, facilidad de uso y satisfacción de los miembros.</w:t>
      </w:r>
    </w:p>
    <w:p w:rsidR="00026D75" w:rsidRPr="0056057F" w:rsidRDefault="00026D75" w:rsidP="00026D75">
      <w:pPr>
        <w:pStyle w:val="enumlev1"/>
        <w:rPr>
          <w:lang w:val="es-ES"/>
        </w:rPr>
      </w:pPr>
      <w:r w:rsidRPr="0056057F">
        <w:rPr>
          <w:lang w:val="es-ES"/>
        </w:rPr>
        <w:t>•</w:t>
      </w:r>
      <w:r w:rsidRPr="0056057F">
        <w:rPr>
          <w:lang w:val="es-ES"/>
        </w:rPr>
        <w:tab/>
        <w:t>Conceder apoyo logístico y administrativo a las Comisiones de Estudio del UIT-R y participar en las actividades conexas de los grupos regionales.</w:t>
      </w:r>
    </w:p>
    <w:p w:rsidR="00026D75" w:rsidRPr="0056057F" w:rsidRDefault="00026D75" w:rsidP="00026D75">
      <w:pPr>
        <w:pStyle w:val="enumlev1"/>
        <w:rPr>
          <w:lang w:val="es-ES"/>
        </w:rPr>
      </w:pPr>
      <w:r w:rsidRPr="0056057F">
        <w:rPr>
          <w:lang w:val="es-ES"/>
        </w:rPr>
        <w:t>•</w:t>
      </w:r>
      <w:r w:rsidRPr="0056057F">
        <w:rPr>
          <w:lang w:val="es-ES"/>
        </w:rPr>
        <w:tab/>
        <w:t>Prestar asistencia a los miembros, en estrecha colaboración con las demás Oficinas, las oficinas regionales de la UIT y las organizaciones regionales pertinentes.</w:t>
      </w:r>
    </w:p>
    <w:p w:rsidR="00026D75" w:rsidRPr="0056057F" w:rsidRDefault="00026D75" w:rsidP="008045FB">
      <w:pPr>
        <w:rPr>
          <w:sz w:val="28"/>
          <w:lang w:val="es-ES"/>
        </w:rPr>
      </w:pPr>
      <w:r w:rsidRPr="0056057F">
        <w:rPr>
          <w:lang w:val="es-ES"/>
        </w:rPr>
        <w:br w:type="page"/>
      </w:r>
    </w:p>
    <w:p w:rsidR="00026D75" w:rsidRPr="0056057F" w:rsidRDefault="00026D75" w:rsidP="00026D75">
      <w:pPr>
        <w:pStyle w:val="Heading1"/>
        <w:rPr>
          <w:lang w:val="es-ES"/>
        </w:rPr>
      </w:pPr>
      <w:r w:rsidRPr="0056057F">
        <w:rPr>
          <w:lang w:val="es-ES"/>
        </w:rPr>
        <w:lastRenderedPageBreak/>
        <w:t>3</w:t>
      </w:r>
      <w:r w:rsidRPr="0056057F">
        <w:rPr>
          <w:lang w:val="es-ES"/>
        </w:rPr>
        <w:tab/>
        <w:t>Marco de resultados del UIT-R para 2017-2020</w:t>
      </w:r>
    </w:p>
    <w:p w:rsidR="00026D75" w:rsidRPr="0056057F" w:rsidRDefault="00026D75" w:rsidP="00DB1035">
      <w:pPr>
        <w:pStyle w:val="Heading2"/>
        <w:spacing w:after="120"/>
        <w:rPr>
          <w:lang w:val="es-ES"/>
        </w:rPr>
      </w:pPr>
      <w:r w:rsidRPr="0056057F">
        <w:rPr>
          <w:lang w:val="es-ES"/>
        </w:rPr>
        <w:t>3.1</w:t>
      </w:r>
      <w:r w:rsidRPr="0056057F">
        <w:rPr>
          <w:lang w:val="es-ES"/>
        </w:rPr>
        <w:tab/>
        <w:t>Vinculación con las Metas Estratégicas de la UIT</w:t>
      </w:r>
      <w:r w:rsidRPr="0056057F">
        <w:rPr>
          <w:lang w:val="es-ES"/>
        </w:rPr>
        <w:footnoteReference w:id="4"/>
      </w:r>
    </w:p>
    <w:tbl>
      <w:tblPr>
        <w:tblStyle w:val="GridTable4-Accent11"/>
        <w:tblW w:w="14524" w:type="dxa"/>
        <w:tblLayout w:type="fixed"/>
        <w:tblLook w:val="0620" w:firstRow="1" w:lastRow="0" w:firstColumn="0" w:lastColumn="0" w:noHBand="1" w:noVBand="1"/>
      </w:tblPr>
      <w:tblGrid>
        <w:gridCol w:w="7722"/>
        <w:gridCol w:w="1762"/>
        <w:gridCol w:w="1667"/>
        <w:gridCol w:w="1680"/>
        <w:gridCol w:w="1693"/>
      </w:tblGrid>
      <w:tr w:rsidR="00026D75" w:rsidRPr="0056057F" w:rsidTr="00F35897">
        <w:trPr>
          <w:cnfStyle w:val="100000000000" w:firstRow="1" w:lastRow="0" w:firstColumn="0" w:lastColumn="0" w:oddVBand="0" w:evenVBand="0" w:oddHBand="0" w:evenHBand="0" w:firstRowFirstColumn="0" w:firstRowLastColumn="0" w:lastRowFirstColumn="0" w:lastRowLastColumn="0"/>
          <w:trHeight w:val="72"/>
        </w:trPr>
        <w:tc>
          <w:tcPr>
            <w:tcW w:w="7722" w:type="dxa"/>
            <w:vAlign w:val="center"/>
            <w:hideMark/>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Objetivos del UIT-R</w:t>
            </w:r>
          </w:p>
        </w:tc>
        <w:tc>
          <w:tcPr>
            <w:tcW w:w="1762" w:type="dxa"/>
            <w:vAlign w:val="center"/>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Meta 1: Crecimiento</w:t>
            </w:r>
          </w:p>
        </w:tc>
        <w:tc>
          <w:tcPr>
            <w:tcW w:w="1667" w:type="dxa"/>
            <w:vAlign w:val="center"/>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Meta 2: Integración</w:t>
            </w:r>
          </w:p>
        </w:tc>
        <w:tc>
          <w:tcPr>
            <w:tcW w:w="1680" w:type="dxa"/>
            <w:vAlign w:val="center"/>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Meta 3: Sostenibilidad</w:t>
            </w:r>
          </w:p>
        </w:tc>
        <w:tc>
          <w:tcPr>
            <w:tcW w:w="1693" w:type="dxa"/>
            <w:vAlign w:val="center"/>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Meta 4: Innovación y asociación</w:t>
            </w:r>
          </w:p>
        </w:tc>
      </w:tr>
      <w:tr w:rsidR="00026D75" w:rsidRPr="0056057F" w:rsidTr="00F35897">
        <w:trPr>
          <w:trHeight w:val="72"/>
        </w:trPr>
        <w:tc>
          <w:tcPr>
            <w:tcW w:w="7722" w:type="dxa"/>
            <w:hideMark/>
          </w:tcPr>
          <w:p w:rsidR="00026D75" w:rsidRPr="0056057F" w:rsidRDefault="00026D75" w:rsidP="008045FB">
            <w:pPr>
              <w:pStyle w:val="Tabletext"/>
              <w:tabs>
                <w:tab w:val="clear" w:pos="284"/>
                <w:tab w:val="left" w:pos="454"/>
              </w:tabs>
              <w:rPr>
                <w:rFonts w:ascii="Calibri" w:hAnsi="Calibri" w:cstheme="majorBidi"/>
                <w:lang w:val="es-ES"/>
              </w:rPr>
            </w:pPr>
            <w:r w:rsidRPr="0056057F">
              <w:rPr>
                <w:rFonts w:ascii="Calibri" w:hAnsi="Calibri" w:cstheme="majorBidi"/>
                <w:b/>
                <w:bCs/>
                <w:color w:val="4F81BD" w:themeColor="accent1"/>
                <w:lang w:val="es-ES"/>
              </w:rPr>
              <w:t>R.1</w:t>
            </w:r>
            <w:r w:rsidRPr="0056057F">
              <w:rPr>
                <w:rFonts w:ascii="Calibri" w:hAnsi="Calibri" w:cstheme="majorBidi"/>
                <w:lang w:val="es-ES"/>
              </w:rPr>
              <w:tab/>
              <w:t>Atender de manera racional, equitativa, eficiente, económica y oportuna a las necesidades de los miembros de la UIT en materia de recursos de espectro de radiofrecuencias y órbitas de satélites, evitando interferencias perjudiciales</w:t>
            </w:r>
          </w:p>
        </w:tc>
        <w:tc>
          <w:tcPr>
            <w:tcW w:w="1762" w:type="dxa"/>
            <w:vAlign w:val="center"/>
            <w:hideMark/>
          </w:tcPr>
          <w:p w:rsidR="00026D75" w:rsidRPr="0056057F" w:rsidRDefault="00026D75" w:rsidP="00F35897">
            <w:pPr>
              <w:pStyle w:val="Tabletext"/>
              <w:jc w:val="center"/>
              <w:rPr>
                <w:rFonts w:ascii="Calibri" w:hAnsi="Calibri" w:cstheme="majorBidi"/>
                <w:b/>
                <w:bCs/>
                <w:lang w:val="es-ES"/>
              </w:rPr>
            </w:pPr>
            <w:r w:rsidRPr="0056057F">
              <w:rPr>
                <w:rFonts w:ascii="Calibri" w:hAnsi="Calibri" w:cstheme="majorBidi"/>
                <w:b/>
                <w:bCs/>
                <w:lang w:val="es-ES"/>
              </w:rPr>
              <w:sym w:font="Wingdings 2" w:char="F052"/>
            </w:r>
          </w:p>
        </w:tc>
        <w:tc>
          <w:tcPr>
            <w:tcW w:w="1667" w:type="dxa"/>
            <w:vAlign w:val="center"/>
            <w:hideMark/>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sym w:font="Wingdings 2" w:char="F050"/>
            </w:r>
          </w:p>
        </w:tc>
        <w:tc>
          <w:tcPr>
            <w:tcW w:w="1680" w:type="dxa"/>
            <w:vAlign w:val="center"/>
            <w:hideMark/>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sym w:font="Wingdings 2" w:char="F050"/>
            </w:r>
          </w:p>
        </w:tc>
        <w:tc>
          <w:tcPr>
            <w:tcW w:w="1693" w:type="dxa"/>
            <w:vAlign w:val="center"/>
            <w:hideMark/>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sym w:font="Wingdings 2" w:char="F050"/>
            </w:r>
          </w:p>
        </w:tc>
      </w:tr>
      <w:tr w:rsidR="00026D75" w:rsidRPr="0056057F" w:rsidTr="00F35897">
        <w:trPr>
          <w:trHeight w:val="72"/>
        </w:trPr>
        <w:tc>
          <w:tcPr>
            <w:tcW w:w="7722" w:type="dxa"/>
            <w:hideMark/>
          </w:tcPr>
          <w:p w:rsidR="00026D75" w:rsidRPr="0056057F" w:rsidRDefault="00026D75" w:rsidP="008045FB">
            <w:pPr>
              <w:pStyle w:val="Tabletext"/>
              <w:tabs>
                <w:tab w:val="clear" w:pos="284"/>
                <w:tab w:val="left" w:pos="454"/>
              </w:tabs>
              <w:rPr>
                <w:rFonts w:ascii="Calibri" w:hAnsi="Calibri" w:cstheme="majorBidi"/>
                <w:lang w:val="es-ES"/>
              </w:rPr>
            </w:pPr>
            <w:r w:rsidRPr="0056057F">
              <w:rPr>
                <w:rFonts w:ascii="Calibri" w:hAnsi="Calibri" w:cstheme="majorBidi"/>
                <w:b/>
                <w:bCs/>
                <w:color w:val="4F81BD" w:themeColor="accent1"/>
                <w:lang w:val="es-ES"/>
              </w:rPr>
              <w:t>R.2</w:t>
            </w:r>
            <w:r w:rsidRPr="0056057F">
              <w:rPr>
                <w:rFonts w:ascii="Calibri" w:hAnsi="Calibri" w:cstheme="majorBidi"/>
                <w:b/>
                <w:bCs/>
                <w:color w:val="4F81BD" w:themeColor="accent1"/>
                <w:lang w:val="es-ES"/>
              </w:rPr>
              <w:tab/>
            </w:r>
            <w:r w:rsidRPr="0056057F">
              <w:rPr>
                <w:rFonts w:ascii="Calibri" w:hAnsi="Calibri" w:cstheme="majorBidi"/>
                <w:lang w:val="es-ES"/>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1762" w:type="dxa"/>
            <w:vAlign w:val="center"/>
          </w:tcPr>
          <w:p w:rsidR="00026D75" w:rsidRPr="0056057F" w:rsidRDefault="00026D75" w:rsidP="00F35897">
            <w:pPr>
              <w:pStyle w:val="Tabletext"/>
              <w:jc w:val="center"/>
              <w:rPr>
                <w:rFonts w:ascii="Calibri" w:hAnsi="Calibri" w:cstheme="majorBidi"/>
                <w:b/>
                <w:bCs/>
                <w:lang w:val="es-ES"/>
              </w:rPr>
            </w:pPr>
            <w:r w:rsidRPr="0056057F">
              <w:rPr>
                <w:rFonts w:ascii="Calibri" w:hAnsi="Calibri" w:cstheme="majorBidi"/>
                <w:b/>
                <w:bCs/>
                <w:lang w:val="es-ES"/>
              </w:rPr>
              <w:sym w:font="Wingdings 2" w:char="F052"/>
            </w:r>
          </w:p>
        </w:tc>
        <w:tc>
          <w:tcPr>
            <w:tcW w:w="1667" w:type="dxa"/>
            <w:vAlign w:val="center"/>
            <w:hideMark/>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sym w:font="Wingdings 2" w:char="F050"/>
            </w:r>
          </w:p>
        </w:tc>
        <w:tc>
          <w:tcPr>
            <w:tcW w:w="1680"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sym w:font="Wingdings 2" w:char="F050"/>
            </w:r>
          </w:p>
        </w:tc>
        <w:tc>
          <w:tcPr>
            <w:tcW w:w="169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sym w:font="Wingdings 2" w:char="F050"/>
            </w:r>
          </w:p>
        </w:tc>
      </w:tr>
      <w:tr w:rsidR="00026D75" w:rsidRPr="0056057F" w:rsidTr="00F35897">
        <w:trPr>
          <w:trHeight w:val="231"/>
        </w:trPr>
        <w:tc>
          <w:tcPr>
            <w:tcW w:w="7722" w:type="dxa"/>
            <w:hideMark/>
          </w:tcPr>
          <w:p w:rsidR="00026D75" w:rsidRPr="0056057F" w:rsidRDefault="00026D75" w:rsidP="008045FB">
            <w:pPr>
              <w:pStyle w:val="Tabletext"/>
              <w:tabs>
                <w:tab w:val="clear" w:pos="284"/>
                <w:tab w:val="left" w:pos="454"/>
              </w:tabs>
              <w:rPr>
                <w:rFonts w:ascii="Calibri" w:hAnsi="Calibri" w:cstheme="majorBidi"/>
                <w:lang w:val="es-ES"/>
              </w:rPr>
            </w:pPr>
            <w:r w:rsidRPr="0056057F">
              <w:rPr>
                <w:rFonts w:ascii="Calibri" w:hAnsi="Calibri" w:cstheme="majorBidi"/>
                <w:b/>
                <w:bCs/>
                <w:color w:val="4F81BD" w:themeColor="accent1"/>
                <w:lang w:val="es-ES"/>
              </w:rPr>
              <w:t>R.3</w:t>
            </w:r>
            <w:r w:rsidRPr="0056057F">
              <w:rPr>
                <w:rFonts w:ascii="Calibri" w:hAnsi="Calibri" w:cstheme="majorBidi"/>
                <w:b/>
                <w:bCs/>
                <w:color w:val="4F81BD" w:themeColor="accent1"/>
                <w:lang w:val="es-ES"/>
              </w:rPr>
              <w:tab/>
            </w:r>
            <w:r w:rsidRPr="0056057F">
              <w:rPr>
                <w:rFonts w:ascii="Calibri" w:hAnsi="Calibri" w:cstheme="majorBidi"/>
                <w:spacing w:val="-2"/>
                <w:lang w:val="es-ES"/>
              </w:rPr>
              <w:t>Fomentar la adquisición y divulgación de conocimientos teóricos y prácticos sobre radiocomunicaciones</w:t>
            </w:r>
          </w:p>
        </w:tc>
        <w:tc>
          <w:tcPr>
            <w:tcW w:w="1762" w:type="dxa"/>
            <w:vAlign w:val="center"/>
            <w:hideMark/>
          </w:tcPr>
          <w:p w:rsidR="00026D75" w:rsidRPr="0056057F" w:rsidRDefault="00026D75" w:rsidP="00F35897">
            <w:pPr>
              <w:pStyle w:val="Tabletext"/>
              <w:jc w:val="center"/>
              <w:rPr>
                <w:rFonts w:ascii="Calibri" w:hAnsi="Calibri" w:cstheme="majorBidi"/>
                <w:lang w:val="es-ES"/>
              </w:rPr>
            </w:pPr>
          </w:p>
        </w:tc>
        <w:tc>
          <w:tcPr>
            <w:tcW w:w="1667" w:type="dxa"/>
            <w:vAlign w:val="center"/>
            <w:hideMark/>
          </w:tcPr>
          <w:p w:rsidR="00026D75" w:rsidRPr="0056057F" w:rsidRDefault="00026D75" w:rsidP="00F35897">
            <w:pPr>
              <w:pStyle w:val="Tabletext"/>
              <w:jc w:val="center"/>
              <w:rPr>
                <w:rFonts w:ascii="Calibri" w:hAnsi="Calibri" w:cstheme="majorBidi"/>
                <w:b/>
                <w:bCs/>
                <w:lang w:val="es-ES"/>
              </w:rPr>
            </w:pPr>
            <w:r w:rsidRPr="0056057F">
              <w:rPr>
                <w:rFonts w:ascii="Calibri" w:hAnsi="Calibri" w:cstheme="majorBidi"/>
                <w:b/>
                <w:bCs/>
                <w:lang w:val="es-ES"/>
              </w:rPr>
              <w:sym w:font="Wingdings 2" w:char="F052"/>
            </w:r>
          </w:p>
        </w:tc>
        <w:tc>
          <w:tcPr>
            <w:tcW w:w="1680" w:type="dxa"/>
            <w:vAlign w:val="center"/>
            <w:hideMark/>
          </w:tcPr>
          <w:p w:rsidR="00026D75" w:rsidRPr="0056057F" w:rsidRDefault="00026D75" w:rsidP="00F35897">
            <w:pPr>
              <w:pStyle w:val="Tabletext"/>
              <w:jc w:val="center"/>
              <w:rPr>
                <w:rFonts w:ascii="Calibri" w:hAnsi="Calibri" w:cstheme="majorBidi"/>
                <w:lang w:val="es-ES"/>
              </w:rPr>
            </w:pPr>
          </w:p>
        </w:tc>
        <w:tc>
          <w:tcPr>
            <w:tcW w:w="1693" w:type="dxa"/>
            <w:vAlign w:val="center"/>
            <w:hideMark/>
          </w:tcPr>
          <w:p w:rsidR="00026D75" w:rsidRPr="0056057F" w:rsidRDefault="00026D75" w:rsidP="00F35897">
            <w:pPr>
              <w:pStyle w:val="Tabletext"/>
              <w:jc w:val="center"/>
              <w:rPr>
                <w:rFonts w:ascii="Calibri" w:hAnsi="Calibri" w:cstheme="majorBidi"/>
                <w:lang w:val="es-ES"/>
              </w:rPr>
            </w:pPr>
          </w:p>
        </w:tc>
      </w:tr>
    </w:tbl>
    <w:p w:rsidR="00026D75" w:rsidRPr="0056057F" w:rsidRDefault="00026D75" w:rsidP="00026D75">
      <w:pPr>
        <w:rPr>
          <w:rFonts w:asciiTheme="majorBidi" w:hAnsiTheme="majorBidi" w:cstheme="majorBidi"/>
          <w:lang w:val="es-ES"/>
        </w:rPr>
      </w:pPr>
      <w:r w:rsidRPr="0056057F">
        <w:rPr>
          <w:rFonts w:asciiTheme="majorBidi" w:hAnsiTheme="majorBidi" w:cstheme="majorBidi"/>
          <w:lang w:val="es-ES"/>
        </w:rPr>
        <w:br w:type="page"/>
      </w:r>
    </w:p>
    <w:p w:rsidR="00026D75" w:rsidRPr="0056057F" w:rsidRDefault="00026D75" w:rsidP="00DB1035">
      <w:pPr>
        <w:pStyle w:val="Heading2"/>
        <w:spacing w:after="120"/>
        <w:rPr>
          <w:lang w:val="es-ES"/>
        </w:rPr>
      </w:pPr>
      <w:r w:rsidRPr="0056057F">
        <w:rPr>
          <w:lang w:val="es-ES"/>
        </w:rPr>
        <w:lastRenderedPageBreak/>
        <w:t>3.2</w:t>
      </w:r>
      <w:r w:rsidRPr="0056057F">
        <w:rPr>
          <w:lang w:val="es-ES"/>
        </w:rPr>
        <w:tab/>
        <w:t>Objetivos, resultados y productos del UIT-R</w:t>
      </w:r>
    </w:p>
    <w:tbl>
      <w:tblPr>
        <w:tblStyle w:val="GridTable4-Accent12"/>
        <w:tblW w:w="14539" w:type="dxa"/>
        <w:tblLayout w:type="fixed"/>
        <w:tblLook w:val="06A0" w:firstRow="1" w:lastRow="0" w:firstColumn="1" w:lastColumn="0" w:noHBand="1" w:noVBand="1"/>
      </w:tblPr>
      <w:tblGrid>
        <w:gridCol w:w="421"/>
        <w:gridCol w:w="5132"/>
        <w:gridCol w:w="4857"/>
        <w:gridCol w:w="4129"/>
      </w:tblGrid>
      <w:tr w:rsidR="00026D75" w:rsidRPr="0056057F" w:rsidTr="00F3589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26D75" w:rsidRPr="0056057F" w:rsidRDefault="00026D75" w:rsidP="00F35897">
            <w:pPr>
              <w:pStyle w:val="Tablehead"/>
              <w:spacing w:before="60" w:after="60"/>
              <w:rPr>
                <w:rFonts w:ascii="Calibri" w:hAnsi="Calibri" w:cstheme="majorBidi"/>
                <w:b/>
                <w:bCs w:val="0"/>
                <w:color w:val="4F81BD" w:themeColor="accent1"/>
                <w:lang w:val="es-ES"/>
              </w:rPr>
            </w:pPr>
            <w:r w:rsidRPr="0056057F">
              <w:rPr>
                <w:rFonts w:ascii="Calibri" w:hAnsi="Calibri" w:cstheme="majorBidi"/>
                <w:b/>
                <w:bCs w:val="0"/>
                <w:szCs w:val="20"/>
                <w:lang w:val="es-ES"/>
              </w:rPr>
              <w:t>Objetivos</w:t>
            </w:r>
          </w:p>
        </w:tc>
        <w:tc>
          <w:tcPr>
            <w:tcW w:w="5132" w:type="dxa"/>
          </w:tcPr>
          <w:p w:rsidR="00026D75" w:rsidRPr="0056057F" w:rsidRDefault="00026D75" w:rsidP="00F35897">
            <w:pPr>
              <w:pStyle w:val="Tablehead"/>
              <w:tabs>
                <w:tab w:val="left" w:pos="459"/>
              </w:tabs>
              <w:jc w:val="left"/>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R.1: Atender de manera racional, equitativa, eficiente, económica y oportuna a las necesidades de los miembros de la UIT en materia de recursos de espectro de radiofrecuencias y órbitas de satélites, evitando interferencias perjudiciales</w:t>
            </w:r>
          </w:p>
        </w:tc>
        <w:tc>
          <w:tcPr>
            <w:tcW w:w="4857" w:type="dxa"/>
          </w:tcPr>
          <w:p w:rsidR="00026D75" w:rsidRPr="0056057F" w:rsidRDefault="00026D75" w:rsidP="00F35897">
            <w:pPr>
              <w:pStyle w:val="Tablehead"/>
              <w:tabs>
                <w:tab w:val="left" w:pos="459"/>
              </w:tabs>
              <w:jc w:val="left"/>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4129" w:type="dxa"/>
          </w:tcPr>
          <w:p w:rsidR="00026D75" w:rsidRPr="0056057F" w:rsidRDefault="00026D75" w:rsidP="00F35897">
            <w:pPr>
              <w:pStyle w:val="Tablehead"/>
              <w:tabs>
                <w:tab w:val="left" w:pos="459"/>
              </w:tabs>
              <w:jc w:val="left"/>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R.3: Fomentar la adquisición y divulgación de conocimientos teóricos y prácticos sobre radiocomunicaciones</w:t>
            </w:r>
          </w:p>
        </w:tc>
      </w:tr>
      <w:tr w:rsidR="00026D75" w:rsidRPr="0056057F" w:rsidTr="00F35897">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color w:val="4F81BD" w:themeColor="accent1"/>
                <w:szCs w:val="20"/>
                <w:lang w:val="es-ES"/>
              </w:rPr>
              <w:t>Resultados</w:t>
            </w:r>
          </w:p>
        </w:tc>
        <w:tc>
          <w:tcPr>
            <w:tcW w:w="5132"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b/>
                <w:bCs/>
                <w:szCs w:val="20"/>
                <w:lang w:val="es-ES"/>
              </w:rPr>
            </w:pPr>
            <w:r w:rsidRPr="0056057F">
              <w:rPr>
                <w:rFonts w:ascii="Calibri" w:hAnsi="Calibri" w:cstheme="majorBidi"/>
                <w:b/>
                <w:bCs/>
                <w:color w:val="4F81BD" w:themeColor="accent1"/>
                <w:szCs w:val="20"/>
                <w:lang w:val="es-ES"/>
              </w:rPr>
              <w:t>R.1-1:</w:t>
            </w:r>
            <w:r w:rsidRPr="0056057F">
              <w:rPr>
                <w:rFonts w:ascii="Calibri" w:hAnsi="Calibri" w:cstheme="majorBidi"/>
                <w:szCs w:val="20"/>
                <w:lang w:val="es-ES"/>
              </w:rPr>
              <w:t xml:space="preserve"> Aumento del número de países que tienen redes de satélite y estaciones terrenas inscritas en el Registro Internacional de Frecuencias (MIFR)</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b/>
                <w:bCs/>
                <w:szCs w:val="20"/>
                <w:lang w:val="es-ES"/>
              </w:rPr>
            </w:pPr>
            <w:r w:rsidRPr="0056057F">
              <w:rPr>
                <w:rFonts w:ascii="Calibri" w:hAnsi="Calibri" w:cstheme="majorBidi"/>
                <w:b/>
                <w:bCs/>
                <w:color w:val="4F81BD" w:themeColor="accent1"/>
                <w:szCs w:val="20"/>
                <w:lang w:val="es-ES"/>
              </w:rPr>
              <w:t>R.1-2:</w:t>
            </w:r>
            <w:r w:rsidRPr="0056057F">
              <w:rPr>
                <w:rFonts w:ascii="Calibri" w:hAnsi="Calibri" w:cstheme="majorBidi"/>
                <w:szCs w:val="20"/>
                <w:lang w:val="es-ES"/>
              </w:rPr>
              <w:t xml:space="preserve"> Mayor número de países que tienen asignaciones de frecuencias terrenales inscritas en el MIFR</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R.1-3:</w:t>
            </w:r>
            <w:r w:rsidRPr="0056057F">
              <w:rPr>
                <w:rFonts w:ascii="Calibri" w:hAnsi="Calibri" w:cstheme="majorBidi"/>
                <w:szCs w:val="20"/>
                <w:lang w:val="es-ES"/>
              </w:rPr>
              <w:t xml:space="preserve"> Mayor porcentaje de asignaciones inscritas en el Registro Internacional de Frecuencias con conclusión favorable</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b/>
                <w:bCs/>
                <w:szCs w:val="20"/>
                <w:lang w:val="es-ES"/>
              </w:rPr>
            </w:pPr>
            <w:r w:rsidRPr="0056057F">
              <w:rPr>
                <w:rFonts w:ascii="Calibri" w:hAnsi="Calibri" w:cstheme="majorBidi"/>
                <w:b/>
                <w:bCs/>
                <w:color w:val="4F81BD" w:themeColor="accent1"/>
                <w:szCs w:val="20"/>
                <w:lang w:val="es-ES"/>
              </w:rPr>
              <w:t>R.1-4:</w:t>
            </w:r>
            <w:r w:rsidRPr="0056057F">
              <w:rPr>
                <w:rFonts w:ascii="Calibri" w:hAnsi="Calibri" w:cstheme="majorBidi"/>
                <w:szCs w:val="20"/>
                <w:lang w:val="es-ES"/>
              </w:rPr>
              <w:t xml:space="preserve"> Mayor porcentaje de países que han completado la transición a la radiodifusión de televisión terrenal digital</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b/>
                <w:bCs/>
                <w:szCs w:val="20"/>
                <w:lang w:val="es-ES"/>
              </w:rPr>
            </w:pPr>
            <w:r w:rsidRPr="0056057F">
              <w:rPr>
                <w:rFonts w:ascii="Calibri" w:hAnsi="Calibri" w:cstheme="majorBidi"/>
                <w:b/>
                <w:bCs/>
                <w:color w:val="4F81BD" w:themeColor="accent1"/>
                <w:szCs w:val="20"/>
                <w:lang w:val="es-ES"/>
              </w:rPr>
              <w:t>R.1-5:</w:t>
            </w:r>
            <w:r w:rsidRPr="0056057F">
              <w:rPr>
                <w:rFonts w:ascii="Calibri" w:hAnsi="Calibri" w:cstheme="majorBidi"/>
                <w:szCs w:val="20"/>
                <w:lang w:val="es-ES"/>
              </w:rPr>
              <w:t xml:space="preserve"> Mayor porcentaje de espectro exento de interferencia perjudicial asignado a redes de satélite</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 w:val="18"/>
                <w:lang w:val="es-ES"/>
              </w:rPr>
            </w:pPr>
            <w:r w:rsidRPr="0056057F">
              <w:rPr>
                <w:rFonts w:ascii="Calibri" w:hAnsi="Calibri" w:cstheme="majorBidi"/>
                <w:b/>
                <w:bCs/>
                <w:color w:val="4F81BD" w:themeColor="accent1"/>
                <w:szCs w:val="20"/>
                <w:lang w:val="es-ES"/>
              </w:rPr>
              <w:t>R.1-6:</w:t>
            </w:r>
            <w:r w:rsidRPr="0056057F">
              <w:rPr>
                <w:rFonts w:ascii="Calibri" w:hAnsi="Calibri" w:cstheme="majorBidi"/>
                <w:szCs w:val="20"/>
                <w:lang w:val="es-ES"/>
              </w:rPr>
              <w:t xml:space="preserve"> Mayor porcentaje de asignaciones exentas de interferencias perjudiciales a servicios terrenales inscritas en el Registro</w:t>
            </w:r>
          </w:p>
        </w:tc>
        <w:tc>
          <w:tcPr>
            <w:tcW w:w="4857"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R.2-1:</w:t>
            </w:r>
            <w:r w:rsidRPr="0056057F">
              <w:rPr>
                <w:rFonts w:ascii="Calibri" w:hAnsi="Calibri" w:cstheme="majorBidi"/>
                <w:szCs w:val="20"/>
                <w:lang w:val="es-ES"/>
              </w:rPr>
              <w:t xml:space="preserve"> Mayor acceso de banda ancha móvil, incluso en bandas de frecuencias identificadas para las telecomunicaciones móviles internacionales (IMT)</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R.2-2:</w:t>
            </w:r>
            <w:r w:rsidRPr="0056057F">
              <w:rPr>
                <w:rFonts w:ascii="Calibri" w:hAnsi="Calibri" w:cstheme="majorBidi"/>
                <w:szCs w:val="20"/>
                <w:lang w:val="es-ES"/>
              </w:rPr>
              <w:t xml:space="preserve"> Disminución de la cesta de precios de la banda ancha móvil en porcentaje de la Renta Nacional Bruta (RNB) por habitante</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R.2-3:</w:t>
            </w:r>
            <w:r w:rsidRPr="0056057F">
              <w:rPr>
                <w:rFonts w:ascii="Calibri" w:hAnsi="Calibri" w:cstheme="majorBidi"/>
                <w:szCs w:val="20"/>
                <w:lang w:val="es-ES"/>
              </w:rPr>
              <w:t xml:space="preserve"> Mayor número de enlaces fijos y aumento del tráfico cursado por el servicio fijo (Tbit/s)</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R.2-4:</w:t>
            </w:r>
            <w:r w:rsidRPr="0056057F">
              <w:rPr>
                <w:rFonts w:ascii="Calibri" w:hAnsi="Calibri" w:cstheme="majorBidi"/>
                <w:szCs w:val="20"/>
                <w:lang w:val="es-ES"/>
              </w:rPr>
              <w:t xml:space="preserve"> Número de hogares con recepción de televisión digital terrenal</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R.2-5:</w:t>
            </w:r>
            <w:r w:rsidRPr="0056057F">
              <w:rPr>
                <w:rFonts w:ascii="Calibri" w:hAnsi="Calibri" w:cstheme="majorBidi"/>
                <w:szCs w:val="20"/>
                <w:lang w:val="es-ES"/>
              </w:rPr>
              <w:t xml:space="preserve"> Número de transpondedores de satélite (equivalente a 36 MHz) en funcionamiento y capacidad correspondiente (Tbit/s). Número de terminales VSAR, número de hogares con recepción de televisión por satélite</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R.2-6:</w:t>
            </w:r>
            <w:r w:rsidRPr="0056057F">
              <w:rPr>
                <w:rFonts w:ascii="Calibri" w:hAnsi="Calibri" w:cstheme="majorBidi"/>
                <w:szCs w:val="20"/>
                <w:lang w:val="es-ES"/>
              </w:rPr>
              <w:t xml:space="preserve"> Mayor número de dispositivos con recepción de radionavegación por satélite</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R.2-7:</w:t>
            </w:r>
            <w:r w:rsidRPr="0056057F">
              <w:rPr>
                <w:rFonts w:ascii="Calibri" w:hAnsi="Calibri" w:cstheme="majorBidi"/>
                <w:szCs w:val="20"/>
                <w:lang w:val="es-ES"/>
              </w:rPr>
              <w:t xml:space="preserve"> Número de satélites de exploración de la Tierra en funcionamiento, cantidad y resolución correspondientes de las imágenes transmitidas y los volúmenes de datos descargados (Tbytes)</w:t>
            </w:r>
          </w:p>
        </w:tc>
        <w:tc>
          <w:tcPr>
            <w:tcW w:w="4129"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R.3-1:</w:t>
            </w:r>
            <w:r w:rsidRPr="0056057F">
              <w:rPr>
                <w:rFonts w:ascii="Calibri" w:hAnsi="Calibri" w:cstheme="majorBidi"/>
                <w:szCs w:val="20"/>
                <w:lang w:val="es-ES"/>
              </w:rPr>
              <w:t xml:space="preserve"> Mayores conocimientos teóricos y prácticos del Reglamento de Radiocomunicaciones, las Reglas de Procedimiento, los Acuerdos regionales, las Recomendaciones y las prácticas idóneas sobre la utilización del espectro</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color w:val="4F81BD" w:themeColor="accent1"/>
                <w:szCs w:val="20"/>
                <w:lang w:val="es-ES"/>
              </w:rPr>
              <w:t>R.3-2:</w:t>
            </w:r>
            <w:r w:rsidRPr="0056057F">
              <w:rPr>
                <w:rFonts w:ascii="Calibri" w:hAnsi="Calibri" w:cstheme="majorBidi"/>
                <w:szCs w:val="20"/>
                <w:lang w:val="es-ES"/>
              </w:rPr>
              <w:t xml:space="preserve"> Mayor participación, en particular de países en desarrollo, en actividades del UIT-R (incluso a través de la participación a distancia)</w:t>
            </w:r>
          </w:p>
        </w:tc>
      </w:tr>
      <w:tr w:rsidR="00026D75" w:rsidRPr="0056057F" w:rsidTr="00F35897">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026D75" w:rsidRPr="0056057F" w:rsidRDefault="00026D75" w:rsidP="00F35897">
            <w:pPr>
              <w:pStyle w:val="Tabletext"/>
              <w:jc w:val="center"/>
              <w:rPr>
                <w:rFonts w:ascii="Calibri" w:hAnsi="Calibri" w:cstheme="majorBidi"/>
                <w:color w:val="4F81BD" w:themeColor="accent1"/>
                <w:sz w:val="18"/>
                <w:lang w:val="es-ES"/>
              </w:rPr>
            </w:pPr>
            <w:r w:rsidRPr="0056057F">
              <w:rPr>
                <w:rFonts w:ascii="Calibri" w:hAnsi="Calibri" w:cstheme="majorBidi"/>
                <w:color w:val="4F81BD" w:themeColor="accent1"/>
                <w:szCs w:val="20"/>
                <w:lang w:val="es-ES"/>
              </w:rPr>
              <w:lastRenderedPageBreak/>
              <w:t>Productos</w:t>
            </w:r>
          </w:p>
        </w:tc>
        <w:tc>
          <w:tcPr>
            <w:tcW w:w="5132" w:type="dxa"/>
          </w:tcPr>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Actas Finales de Conferencias Mundiales de Radiocomunicaciones, Reglamento de Radiocomunicaciones actualizado</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Actas Finales de Conferencias Regionales de Radiocomunicaciones, Acuerdos Regionales</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Reglas de Procedimiento adoptadas por la Junta del Reglamento de Radiocomunicaciones (RRB)</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Resultados de la tramitación de notificaciones espaciales y otras actividades conexas</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Resultados de la tramitación de notificaciones terrenales y otras actividades conexas</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Decisiones de la RRB distintas de la adopción de Reglas de Procedimiento</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Mejora del software del UIT</w:t>
            </w:r>
            <w:r w:rsidRPr="0056057F">
              <w:rPr>
                <w:rFonts w:ascii="Calibri" w:hAnsi="Calibri" w:cstheme="majorBidi"/>
                <w:szCs w:val="20"/>
                <w:lang w:val="es-ES"/>
              </w:rPr>
              <w:noBreakHyphen/>
              <w:t>R</w:t>
            </w:r>
          </w:p>
        </w:tc>
        <w:tc>
          <w:tcPr>
            <w:tcW w:w="4857" w:type="dxa"/>
          </w:tcPr>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Decisiones de la Asamblea de Radiocomunicaciones, Resoluciones del UIT-R</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 xml:space="preserve">Recomendaciones, Informes (incluido el informe de la RPC) y Manuales del UIT-R </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Asesoramiento del Grupo Asesor de Radiocomunicaciones</w:t>
            </w:r>
          </w:p>
        </w:tc>
        <w:tc>
          <w:tcPr>
            <w:tcW w:w="4129"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Publicaciones del UIT-R</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Asistencia a los miembros, en particular países en desarrollo y PMA</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Coordinación/apoyo a actividades de desarrollo</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Seminarios, talleres y otros eventos</w:t>
            </w:r>
          </w:p>
        </w:tc>
      </w:tr>
      <w:tr w:rsidR="00026D75" w:rsidRPr="0056057F" w:rsidTr="00F35897">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026D75" w:rsidRPr="0056057F" w:rsidRDefault="00026D75" w:rsidP="00F35897">
            <w:pPr>
              <w:spacing w:before="60" w:after="60"/>
              <w:ind w:left="283" w:right="113" w:hanging="170"/>
              <w:jc w:val="center"/>
              <w:rPr>
                <w:rFonts w:ascii="Calibri" w:hAnsi="Calibri" w:cstheme="majorBidi"/>
                <w:color w:val="4F81BD" w:themeColor="accent1"/>
                <w:sz w:val="18"/>
                <w:lang w:val="es-ES"/>
              </w:rPr>
            </w:pPr>
          </w:p>
        </w:tc>
        <w:tc>
          <w:tcPr>
            <w:tcW w:w="14118" w:type="dxa"/>
            <w:gridSpan w:val="3"/>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Los productos siguientes de las actividades de los órganos rectores de la UIT contribuyen a la consecución de todos los objetivos de la Unión:</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Decisiones, Resoluciones, Recomendaciones y otros resultados de la Conferencia de Plenipotenciarios</w:t>
            </w:r>
          </w:p>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Acuerdos y Resoluciones del Consejo, así como resultados de los Grupos de Trabajo del Consejo</w:t>
            </w:r>
          </w:p>
        </w:tc>
      </w:tr>
    </w:tbl>
    <w:p w:rsidR="00026D75" w:rsidRPr="0056057F" w:rsidRDefault="00026D75" w:rsidP="00DB1035">
      <w:pPr>
        <w:pStyle w:val="Heading2"/>
        <w:spacing w:after="120"/>
        <w:rPr>
          <w:lang w:val="es-ES"/>
        </w:rPr>
      </w:pPr>
      <w:r w:rsidRPr="0056057F">
        <w:rPr>
          <w:lang w:val="es-ES"/>
        </w:rPr>
        <w:lastRenderedPageBreak/>
        <w:t>3.3</w:t>
      </w:r>
      <w:r w:rsidRPr="0056057F">
        <w:rPr>
          <w:lang w:val="es-ES"/>
        </w:rPr>
        <w:tab/>
        <w:t>Atribución de recursos a los objetivos y productos del UIT-R en 2017-2020</w:t>
      </w:r>
    </w:p>
    <w:tbl>
      <w:tblPr>
        <w:tblStyle w:val="GridTable1Light-Accent51"/>
        <w:tblW w:w="1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198"/>
        <w:gridCol w:w="5053"/>
        <w:gridCol w:w="896"/>
        <w:gridCol w:w="896"/>
      </w:tblGrid>
      <w:tr w:rsidR="00026D75" w:rsidRPr="0056057F" w:rsidTr="00DD7347">
        <w:trPr>
          <w:trHeight w:val="4385"/>
        </w:trPr>
        <w:tc>
          <w:tcPr>
            <w:cnfStyle w:val="001000000000" w:firstRow="0" w:lastRow="0" w:firstColumn="1" w:lastColumn="0" w:oddVBand="0" w:evenVBand="0" w:oddHBand="0" w:evenHBand="0" w:firstRowFirstColumn="0" w:firstRowLastColumn="0" w:lastRowFirstColumn="0" w:lastRowLastColumn="0"/>
            <w:tcW w:w="7685" w:type="dxa"/>
            <w:gridSpan w:val="2"/>
          </w:tcPr>
          <w:p w:rsidR="00026D75" w:rsidRPr="0056057F" w:rsidRDefault="008045FB" w:rsidP="00650368">
            <w:pPr>
              <w:rPr>
                <w:rFonts w:ascii="Calibri" w:hAnsi="Calibri" w:cstheme="majorBidi"/>
                <w:lang w:val="es-ES"/>
              </w:rPr>
            </w:pPr>
            <w:r w:rsidRPr="0056057F">
              <w:rPr>
                <w:rFonts w:ascii="Calibri" w:hAnsi="Calibri" w:cstheme="majorBidi"/>
                <w:noProof/>
                <w:lang w:val="es-ES" w:eastAsia="zh-CN"/>
              </w:rPr>
              <mc:AlternateContent>
                <mc:Choice Requires="wps">
                  <w:drawing>
                    <wp:anchor distT="0" distB="0" distL="114300" distR="114300" simplePos="0" relativeHeight="251660288" behindDoc="0" locked="0" layoutInCell="1" allowOverlap="1" wp14:anchorId="25BF434C" wp14:editId="35856E89">
                      <wp:simplePos x="0" y="0"/>
                      <wp:positionH relativeFrom="column">
                        <wp:posOffset>3816573</wp:posOffset>
                      </wp:positionH>
                      <wp:positionV relativeFrom="paragraph">
                        <wp:posOffset>1548130</wp:posOffset>
                      </wp:positionV>
                      <wp:extent cx="914400" cy="158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8750"/>
                              </a:xfrm>
                              <a:prstGeom prst="rect">
                                <a:avLst/>
                              </a:prstGeom>
                              <a:solidFill>
                                <a:srgbClr val="FFFFFF"/>
                              </a:solidFill>
                              <a:ln w="9525">
                                <a:noFill/>
                                <a:miter lim="800000"/>
                                <a:headEnd/>
                                <a:tailEnd/>
                              </a:ln>
                            </wps:spPr>
                            <wps:txbx>
                              <w:txbxContent>
                                <w:p w:rsidR="004D6EC4" w:rsidRPr="007C3855" w:rsidRDefault="004D6EC4" w:rsidP="00026D75">
                                  <w:pPr>
                                    <w:spacing w:before="0"/>
                                    <w:rPr>
                                      <w:sz w:val="18"/>
                                      <w:szCs w:val="18"/>
                                    </w:rPr>
                                  </w:pPr>
                                  <w:r w:rsidRPr="007C3855">
                                    <w:rPr>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F434C" id="_x0000_t202" coordsize="21600,21600" o:spt="202" path="m,l,21600r21600,l21600,xe">
                      <v:stroke joinstyle="miter"/>
                      <v:path gradientshapeok="t" o:connecttype="rect"/>
                    </v:shapetype>
                    <v:shape id="Text Box 2" o:spid="_x0000_s1026" type="#_x0000_t202" style="position:absolute;left:0;text-align:left;margin-left:300.5pt;margin-top:121.9pt;width:1in;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" stroked="f">
                      <v:textbox inset="0,0,0,0">
                        <w:txbxContent>
                          <w:p w:rsidR="004D6EC4" w:rsidRPr="007C3855" w:rsidRDefault="004D6EC4" w:rsidP="00026D75">
                            <w:pPr>
                              <w:spacing w:before="0"/>
                              <w:rPr>
                                <w:sz w:val="18"/>
                                <w:szCs w:val="18"/>
                              </w:rPr>
                            </w:pPr>
                            <w:r w:rsidRPr="007C3855">
                              <w:rPr>
                                <w:sz w:val="18"/>
                                <w:szCs w:val="18"/>
                              </w:rPr>
                              <w:t>Objetivo R.2</w:t>
                            </w:r>
                          </w:p>
                        </w:txbxContent>
                      </v:textbox>
                    </v:shape>
                  </w:pict>
                </mc:Fallback>
              </mc:AlternateContent>
            </w:r>
            <w:r w:rsidRPr="0056057F">
              <w:rPr>
                <w:rFonts w:ascii="Calibri" w:hAnsi="Calibri" w:cstheme="majorBidi"/>
                <w:noProof/>
                <w:lang w:val="es-ES" w:eastAsia="zh-CN"/>
              </w:rPr>
              <mc:AlternateContent>
                <mc:Choice Requires="wps">
                  <w:drawing>
                    <wp:anchor distT="0" distB="0" distL="114300" distR="114300" simplePos="0" relativeHeight="251659264" behindDoc="0" locked="0" layoutInCell="1" allowOverlap="1" wp14:anchorId="530938C6" wp14:editId="23D3F2E7">
                      <wp:simplePos x="0" y="0"/>
                      <wp:positionH relativeFrom="column">
                        <wp:posOffset>3825240</wp:posOffset>
                      </wp:positionH>
                      <wp:positionV relativeFrom="paragraph">
                        <wp:posOffset>1331372</wp:posOffset>
                      </wp:positionV>
                      <wp:extent cx="914400" cy="14859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8590"/>
                              </a:xfrm>
                              <a:prstGeom prst="rect">
                                <a:avLst/>
                              </a:prstGeom>
                              <a:solidFill>
                                <a:srgbClr val="FFFFFF"/>
                              </a:solidFill>
                              <a:ln w="9525">
                                <a:noFill/>
                                <a:miter lim="800000"/>
                                <a:headEnd/>
                                <a:tailEnd/>
                              </a:ln>
                            </wps:spPr>
                            <wps:txbx>
                              <w:txbxContent>
                                <w:p w:rsidR="004D6EC4" w:rsidRPr="007C3855" w:rsidRDefault="004D6EC4" w:rsidP="00026D75">
                                  <w:pPr>
                                    <w:spacing w:before="0"/>
                                    <w:rPr>
                                      <w:sz w:val="18"/>
                                      <w:szCs w:val="18"/>
                                    </w:rPr>
                                  </w:pPr>
                                  <w:r w:rsidRPr="007C3855">
                                    <w:rPr>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938C6" id="_x0000_s1027" type="#_x0000_t202" style="position:absolute;left:0;text-align:left;margin-left:301.2pt;margin-top:104.85pt;width:1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" stroked="f">
                      <v:textbox inset="0,0,0,0">
                        <w:txbxContent>
                          <w:p w:rsidR="004D6EC4" w:rsidRPr="007C3855" w:rsidRDefault="004D6EC4" w:rsidP="00026D75">
                            <w:pPr>
                              <w:spacing w:before="0"/>
                              <w:rPr>
                                <w:sz w:val="18"/>
                                <w:szCs w:val="18"/>
                              </w:rPr>
                            </w:pPr>
                            <w:r w:rsidRPr="007C3855">
                              <w:rPr>
                                <w:sz w:val="18"/>
                                <w:szCs w:val="18"/>
                              </w:rPr>
                              <w:t>Objetivo R.1</w:t>
                            </w:r>
                          </w:p>
                        </w:txbxContent>
                      </v:textbox>
                    </v:shape>
                  </w:pict>
                </mc:Fallback>
              </mc:AlternateContent>
            </w:r>
            <w:r w:rsidRPr="0056057F">
              <w:rPr>
                <w:rFonts w:ascii="Calibri" w:hAnsi="Calibri" w:cstheme="majorBidi"/>
                <w:noProof/>
                <w:lang w:val="es-ES" w:eastAsia="zh-CN"/>
              </w:rPr>
              <mc:AlternateContent>
                <mc:Choice Requires="wps">
                  <w:drawing>
                    <wp:anchor distT="0" distB="0" distL="114300" distR="114300" simplePos="0" relativeHeight="251661312" behindDoc="0" locked="0" layoutInCell="1" allowOverlap="1" wp14:anchorId="151A3BC5" wp14:editId="2A73C2B8">
                      <wp:simplePos x="0" y="0"/>
                      <wp:positionH relativeFrom="column">
                        <wp:posOffset>3820160</wp:posOffset>
                      </wp:positionH>
                      <wp:positionV relativeFrom="paragraph">
                        <wp:posOffset>1761490</wp:posOffset>
                      </wp:positionV>
                      <wp:extent cx="914400" cy="16891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8910"/>
                              </a:xfrm>
                              <a:prstGeom prst="rect">
                                <a:avLst/>
                              </a:prstGeom>
                              <a:solidFill>
                                <a:srgbClr val="FFFFFF"/>
                              </a:solidFill>
                              <a:ln w="9525">
                                <a:noFill/>
                                <a:miter lim="800000"/>
                                <a:headEnd/>
                                <a:tailEnd/>
                              </a:ln>
                            </wps:spPr>
                            <wps:txbx>
                              <w:txbxContent>
                                <w:p w:rsidR="004D6EC4" w:rsidRPr="007C3855" w:rsidRDefault="004D6EC4" w:rsidP="00026D75">
                                  <w:pPr>
                                    <w:spacing w:before="0"/>
                                    <w:rPr>
                                      <w:sz w:val="18"/>
                                      <w:szCs w:val="18"/>
                                    </w:rPr>
                                  </w:pPr>
                                  <w:r w:rsidRPr="007C3855">
                                    <w:rPr>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A3BC5" id="_x0000_s1028" type="#_x0000_t202" style="position:absolute;left:0;text-align:left;margin-left:300.8pt;margin-top:138.7pt;width:1in;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" stroked="f">
                      <v:textbox inset="0,0,0,0">
                        <w:txbxContent>
                          <w:p w:rsidR="004D6EC4" w:rsidRPr="007C3855" w:rsidRDefault="004D6EC4" w:rsidP="00026D75">
                            <w:pPr>
                              <w:spacing w:before="0"/>
                              <w:rPr>
                                <w:sz w:val="18"/>
                                <w:szCs w:val="18"/>
                              </w:rPr>
                            </w:pPr>
                            <w:r w:rsidRPr="007C3855">
                              <w:rPr>
                                <w:sz w:val="18"/>
                                <w:szCs w:val="18"/>
                              </w:rPr>
                              <w:t>Objetivo R.3</w:t>
                            </w:r>
                          </w:p>
                        </w:txbxContent>
                      </v:textbox>
                    </v:shape>
                  </w:pict>
                </mc:Fallback>
              </mc:AlternateContent>
            </w:r>
            <w:r w:rsidR="00650368" w:rsidRPr="0056057F">
              <w:rPr>
                <w:rFonts w:ascii="Calibri" w:hAnsi="Calibri" w:cstheme="majorBidi"/>
                <w:noProof/>
                <w:sz w:val="22"/>
                <w:lang w:val="es-ES" w:eastAsia="zh-CN"/>
              </w:rPr>
              <w:drawing>
                <wp:anchor distT="0" distB="0" distL="114300" distR="114300" simplePos="0" relativeHeight="251662336" behindDoc="1" locked="0" layoutInCell="1" allowOverlap="1" wp14:anchorId="3601D1A1" wp14:editId="7ED3DD95">
                  <wp:simplePos x="0" y="0"/>
                  <wp:positionH relativeFrom="column">
                    <wp:posOffset>-1270</wp:posOffset>
                  </wp:positionH>
                  <wp:positionV relativeFrom="paragraph">
                    <wp:posOffset>-2540</wp:posOffset>
                  </wp:positionV>
                  <wp:extent cx="4572000" cy="27432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c>
        <w:tc>
          <w:tcPr>
            <w:tcW w:w="5053" w:type="dxa"/>
            <w:vMerge w:val="restart"/>
          </w:tcPr>
          <w:p w:rsidR="00026D75" w:rsidRPr="0056057F" w:rsidRDefault="00026D75" w:rsidP="00DD7347">
            <w:pPr>
              <w:spacing w:before="180" w:after="4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color w:val="4F81BD" w:themeColor="accent1"/>
                <w:sz w:val="22"/>
                <w:lang w:val="es-ES" w:eastAsia="zh-CN"/>
              </w:rPr>
            </w:pPr>
            <w:r w:rsidRPr="0056057F">
              <w:rPr>
                <w:rFonts w:ascii="Calibri" w:hAnsi="Calibri" w:cstheme="majorBidi"/>
                <w:noProof/>
                <w:color w:val="4F81BD" w:themeColor="accent1"/>
                <w:sz w:val="22"/>
                <w:lang w:val="es-ES" w:eastAsia="zh-CN"/>
              </w:rPr>
              <w:t>Atribución de recursos planificada por Producto</w:t>
            </w:r>
          </w:p>
          <w:p w:rsidR="00026D75" w:rsidRPr="0056057F" w:rsidRDefault="00026D75" w:rsidP="00DD7347">
            <w:pPr>
              <w:spacing w:before="3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R.1-1</w:t>
            </w:r>
            <w:r w:rsidRPr="0056057F">
              <w:rPr>
                <w:rFonts w:ascii="Calibri" w:hAnsi="Calibri" w:cstheme="majorBidi"/>
                <w:sz w:val="18"/>
                <w:szCs w:val="18"/>
                <w:lang w:val="es-ES"/>
              </w:rPr>
              <w:t xml:space="preserve"> Actas Finales de Conferencias Mundiales de Radiocomunicaciones, Reglamento de Radiocomunicaciones actualizado</w:t>
            </w:r>
          </w:p>
          <w:p w:rsidR="00026D75" w:rsidRPr="0056057F" w:rsidRDefault="00026D75" w:rsidP="00DD7347">
            <w:pP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R.1-2</w:t>
            </w:r>
            <w:r w:rsidRPr="0056057F">
              <w:rPr>
                <w:rFonts w:ascii="Calibri" w:hAnsi="Calibri" w:cstheme="majorBidi"/>
                <w:sz w:val="18"/>
                <w:szCs w:val="18"/>
                <w:lang w:val="es-ES"/>
              </w:rPr>
              <w:t xml:space="preserve"> Actas Finales de Conferencias Regionales de Radiocomunicaciones, Acuerdos Regionales</w:t>
            </w:r>
          </w:p>
          <w:p w:rsidR="00026D75" w:rsidRPr="0056057F" w:rsidRDefault="00026D75" w:rsidP="00DD7347">
            <w:pP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R.1-3</w:t>
            </w:r>
            <w:r w:rsidRPr="0056057F">
              <w:rPr>
                <w:rFonts w:ascii="Calibri" w:hAnsi="Calibri" w:cstheme="majorBidi"/>
                <w:sz w:val="18"/>
                <w:szCs w:val="18"/>
                <w:lang w:val="es-ES"/>
              </w:rPr>
              <w:t xml:space="preserve"> Reglas de Procedimiento adoptadas por la Junta del Reglamento de Radiocomunicaciones (RRB)</w:t>
            </w:r>
          </w:p>
          <w:p w:rsidR="00026D75" w:rsidRPr="0056057F" w:rsidRDefault="00026D75" w:rsidP="00DD7347">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R.1-4</w:t>
            </w:r>
            <w:r w:rsidRPr="0056057F">
              <w:rPr>
                <w:rFonts w:ascii="Calibri" w:hAnsi="Calibri" w:cstheme="majorBidi"/>
                <w:sz w:val="18"/>
                <w:szCs w:val="18"/>
                <w:lang w:val="es-ES"/>
              </w:rPr>
              <w:t xml:space="preserve"> Resultados de la tramitación de notificaciones espaciales y otras actividades conexas</w:t>
            </w:r>
          </w:p>
          <w:p w:rsidR="00026D75" w:rsidRPr="0056057F" w:rsidRDefault="00026D75" w:rsidP="00DD7347">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R.1-5</w:t>
            </w:r>
            <w:r w:rsidRPr="0056057F">
              <w:rPr>
                <w:rFonts w:ascii="Calibri" w:hAnsi="Calibri" w:cstheme="majorBidi"/>
                <w:b/>
                <w:bCs/>
                <w:noProof/>
                <w:color w:val="4F81BD" w:themeColor="accent1"/>
                <w:sz w:val="18"/>
                <w:szCs w:val="18"/>
                <w:lang w:val="es-ES" w:eastAsia="zh-CN"/>
              </w:rPr>
              <w:t xml:space="preserve"> </w:t>
            </w:r>
            <w:r w:rsidRPr="0056057F">
              <w:rPr>
                <w:rFonts w:ascii="Calibri" w:hAnsi="Calibri" w:cstheme="majorBidi"/>
                <w:sz w:val="18"/>
                <w:szCs w:val="18"/>
                <w:lang w:val="es-ES"/>
              </w:rPr>
              <w:t>Resultados de la tramitación de notificaciones terrenales y otras actividades conexas</w:t>
            </w:r>
          </w:p>
          <w:p w:rsidR="00026D75" w:rsidRPr="0056057F" w:rsidRDefault="00026D75" w:rsidP="00DD7347">
            <w:pP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b/>
                <w:bCs/>
                <w:color w:val="4F81BD" w:themeColor="accent1"/>
                <w:sz w:val="18"/>
                <w:szCs w:val="18"/>
                <w:lang w:val="es-ES"/>
              </w:rPr>
              <w:t>R.1-6</w:t>
            </w:r>
            <w:r w:rsidRPr="0056057F">
              <w:rPr>
                <w:rFonts w:ascii="Calibri" w:hAnsi="Calibri" w:cstheme="majorBidi"/>
                <w:b/>
                <w:bCs/>
                <w:noProof/>
                <w:color w:val="4F81BD" w:themeColor="accent1"/>
                <w:sz w:val="18"/>
                <w:szCs w:val="18"/>
                <w:lang w:val="es-ES" w:eastAsia="zh-CN"/>
              </w:rPr>
              <w:t xml:space="preserve"> </w:t>
            </w:r>
            <w:r w:rsidRPr="0056057F">
              <w:rPr>
                <w:rFonts w:ascii="Calibri" w:hAnsi="Calibri" w:cstheme="majorBidi"/>
                <w:sz w:val="18"/>
                <w:szCs w:val="18"/>
                <w:lang w:val="es-ES"/>
              </w:rPr>
              <w:t>Decisiones de la RRB distintas de la adopción de Reglas de Procedimiento</w:t>
            </w:r>
          </w:p>
          <w:p w:rsidR="00026D75" w:rsidRPr="0056057F" w:rsidRDefault="00026D75" w:rsidP="00DD7347">
            <w:pPr>
              <w:pBdr>
                <w:bottom w:val="single" w:sz="6" w:space="1" w:color="auto"/>
              </w:pBd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R.1-7</w:t>
            </w:r>
            <w:r w:rsidRPr="0056057F">
              <w:rPr>
                <w:rFonts w:ascii="Calibri" w:hAnsi="Calibri" w:cstheme="majorBidi"/>
                <w:b/>
                <w:bCs/>
                <w:noProof/>
                <w:color w:val="4F81BD" w:themeColor="accent1"/>
                <w:sz w:val="18"/>
                <w:szCs w:val="18"/>
                <w:lang w:val="es-ES" w:eastAsia="zh-CN"/>
              </w:rPr>
              <w:t xml:space="preserve"> </w:t>
            </w:r>
            <w:r w:rsidRPr="0056057F">
              <w:rPr>
                <w:rFonts w:ascii="Calibri" w:hAnsi="Calibri" w:cstheme="majorBidi"/>
                <w:sz w:val="18"/>
                <w:szCs w:val="18"/>
                <w:lang w:val="es-ES"/>
              </w:rPr>
              <w:t>Mejora del software del UIT</w:t>
            </w:r>
            <w:r w:rsidRPr="0056057F">
              <w:rPr>
                <w:rFonts w:ascii="Calibri" w:hAnsi="Calibri" w:cstheme="majorBidi"/>
                <w:sz w:val="18"/>
                <w:szCs w:val="18"/>
                <w:lang w:val="es-ES"/>
              </w:rPr>
              <w:noBreakHyphen/>
              <w:t>R</w:t>
            </w:r>
          </w:p>
          <w:p w:rsidR="00026D75" w:rsidRPr="0056057F" w:rsidRDefault="00026D75" w:rsidP="00DD7347">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b/>
                <w:bCs/>
                <w:color w:val="4F81BD" w:themeColor="accent1"/>
                <w:sz w:val="18"/>
                <w:szCs w:val="18"/>
                <w:lang w:val="es-ES"/>
              </w:rPr>
              <w:t>R.2-1</w:t>
            </w:r>
            <w:r w:rsidRPr="0056057F">
              <w:rPr>
                <w:rFonts w:ascii="Calibri" w:hAnsi="Calibri" w:cstheme="majorBidi"/>
                <w:b/>
                <w:bCs/>
                <w:noProof/>
                <w:color w:val="4F81BD" w:themeColor="accent1"/>
                <w:sz w:val="18"/>
                <w:szCs w:val="18"/>
                <w:lang w:val="es-ES" w:eastAsia="zh-CN"/>
              </w:rPr>
              <w:t xml:space="preserve"> </w:t>
            </w:r>
            <w:r w:rsidRPr="0056057F">
              <w:rPr>
                <w:rFonts w:ascii="Calibri" w:hAnsi="Calibri" w:cstheme="majorBidi"/>
                <w:sz w:val="18"/>
                <w:szCs w:val="18"/>
                <w:lang w:val="es-ES"/>
              </w:rPr>
              <w:t xml:space="preserve">Decisiones de la Asamblea de Radiocomunicaciones, Resoluciones del UIT-R </w:t>
            </w:r>
          </w:p>
          <w:p w:rsidR="00026D75" w:rsidRPr="0056057F" w:rsidRDefault="00026D75" w:rsidP="00DD7347">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R.2-2</w:t>
            </w:r>
            <w:r w:rsidRPr="0056057F">
              <w:rPr>
                <w:rFonts w:ascii="Calibri" w:hAnsi="Calibri" w:cstheme="majorBidi"/>
                <w:b/>
                <w:bCs/>
                <w:noProof/>
                <w:color w:val="4F81BD" w:themeColor="accent1"/>
                <w:sz w:val="18"/>
                <w:szCs w:val="18"/>
                <w:lang w:val="es-ES" w:eastAsia="zh-CN"/>
              </w:rPr>
              <w:t xml:space="preserve"> </w:t>
            </w:r>
            <w:r w:rsidRPr="0056057F">
              <w:rPr>
                <w:rFonts w:ascii="Calibri" w:hAnsi="Calibri" w:cstheme="majorBidi"/>
                <w:sz w:val="18"/>
                <w:szCs w:val="18"/>
                <w:lang w:val="es-ES"/>
              </w:rPr>
              <w:t>Recomendaciones, Informes (incluido el informe de la RPC) y Manuales del UIT-R</w:t>
            </w:r>
          </w:p>
          <w:p w:rsidR="00026D75" w:rsidRPr="0056057F" w:rsidRDefault="00026D75" w:rsidP="00DD7347">
            <w:pPr>
              <w:pBdr>
                <w:bottom w:val="single" w:sz="6" w:space="1" w:color="auto"/>
              </w:pBd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color w:val="4F81BD" w:themeColor="accent1"/>
                <w:sz w:val="18"/>
                <w:szCs w:val="18"/>
                <w:lang w:val="es-ES"/>
              </w:rPr>
              <w:t>R.2-3</w:t>
            </w:r>
            <w:r w:rsidRPr="0056057F">
              <w:rPr>
                <w:rFonts w:ascii="Calibri" w:hAnsi="Calibri" w:cstheme="majorBidi"/>
                <w:sz w:val="18"/>
                <w:szCs w:val="18"/>
                <w:lang w:val="es-ES"/>
              </w:rPr>
              <w:t xml:space="preserve"> Asesoramiento del Grupo Asesor de Radiocomunicaciones</w:t>
            </w:r>
          </w:p>
          <w:p w:rsidR="00026D75" w:rsidRPr="0056057F" w:rsidRDefault="00026D75" w:rsidP="00DD7347">
            <w:pP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noProof/>
                <w:color w:val="4F81BD" w:themeColor="accent1"/>
                <w:sz w:val="18"/>
                <w:szCs w:val="18"/>
                <w:lang w:val="es-ES" w:eastAsia="zh-CN"/>
              </w:rPr>
              <w:t xml:space="preserve">R.3-1 </w:t>
            </w:r>
            <w:r w:rsidRPr="0056057F">
              <w:rPr>
                <w:rFonts w:ascii="Calibri" w:hAnsi="Calibri" w:cstheme="majorBidi"/>
                <w:sz w:val="18"/>
                <w:szCs w:val="18"/>
                <w:lang w:val="es-ES"/>
              </w:rPr>
              <w:t>Publicaciones del UIT-R</w:t>
            </w:r>
          </w:p>
          <w:p w:rsidR="00026D75" w:rsidRPr="0056057F" w:rsidRDefault="00026D75" w:rsidP="00DD7347">
            <w:pPr>
              <w:pBdr>
                <w:bottom w:val="single" w:sz="6" w:space="1" w:color="auto"/>
              </w:pBd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noProof/>
                <w:color w:val="4F81BD" w:themeColor="accent1"/>
                <w:sz w:val="18"/>
                <w:szCs w:val="18"/>
                <w:lang w:val="es-ES" w:eastAsia="zh-CN"/>
              </w:rPr>
              <w:t xml:space="preserve">R.3-2 </w:t>
            </w:r>
            <w:r w:rsidRPr="0056057F">
              <w:rPr>
                <w:rFonts w:ascii="Calibri" w:hAnsi="Calibri" w:cstheme="majorBidi"/>
                <w:sz w:val="18"/>
                <w:szCs w:val="18"/>
                <w:lang w:val="es-ES"/>
              </w:rPr>
              <w:t>Asistencia a los Miembros, en particular países en desarrollo y PMA</w:t>
            </w:r>
          </w:p>
          <w:p w:rsidR="00026D75" w:rsidRPr="0056057F" w:rsidRDefault="00026D75" w:rsidP="00DD7347">
            <w:pPr>
              <w:pBdr>
                <w:bottom w:val="single" w:sz="6" w:space="1" w:color="auto"/>
              </w:pBd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noProof/>
                <w:color w:val="4F81BD" w:themeColor="accent1"/>
                <w:sz w:val="18"/>
                <w:szCs w:val="18"/>
                <w:lang w:val="es-ES" w:eastAsia="zh-CN"/>
              </w:rPr>
              <w:t xml:space="preserve">R.3-3 </w:t>
            </w:r>
            <w:r w:rsidRPr="0056057F">
              <w:rPr>
                <w:rFonts w:ascii="Calibri" w:hAnsi="Calibri" w:cstheme="majorBidi"/>
                <w:sz w:val="18"/>
                <w:szCs w:val="18"/>
                <w:lang w:val="es-ES"/>
              </w:rPr>
              <w:t>Coordinación/apoyo a actividades de desarrollo</w:t>
            </w:r>
          </w:p>
          <w:p w:rsidR="00026D75" w:rsidRPr="0056057F" w:rsidRDefault="00026D75" w:rsidP="00DD7347">
            <w:pPr>
              <w:pBdr>
                <w:bottom w:val="single" w:sz="6" w:space="1" w:color="auto"/>
              </w:pBd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noProof/>
                <w:sz w:val="18"/>
                <w:szCs w:val="18"/>
                <w:lang w:val="es-ES" w:eastAsia="zh-CN"/>
              </w:rPr>
            </w:pPr>
            <w:r w:rsidRPr="0056057F">
              <w:rPr>
                <w:rFonts w:ascii="Calibri" w:hAnsi="Calibri" w:cstheme="majorBidi"/>
                <w:b/>
                <w:bCs/>
                <w:noProof/>
                <w:color w:val="4F81BD" w:themeColor="accent1"/>
                <w:sz w:val="18"/>
                <w:szCs w:val="18"/>
                <w:lang w:val="es-ES" w:eastAsia="zh-CN"/>
              </w:rPr>
              <w:t xml:space="preserve">R.3-4 </w:t>
            </w:r>
            <w:r w:rsidRPr="0056057F">
              <w:rPr>
                <w:rFonts w:ascii="Calibri" w:hAnsi="Calibri" w:cstheme="majorBidi"/>
                <w:sz w:val="18"/>
                <w:szCs w:val="18"/>
                <w:lang w:val="es-ES"/>
              </w:rPr>
              <w:t xml:space="preserve">Seminarios, </w:t>
            </w:r>
            <w:r w:rsidRPr="0056057F">
              <w:rPr>
                <w:rFonts w:ascii="Calibri" w:hAnsi="Calibri" w:cstheme="majorBidi"/>
                <w:noProof/>
                <w:sz w:val="18"/>
                <w:szCs w:val="18"/>
                <w:lang w:val="es-ES" w:eastAsia="zh-CN"/>
              </w:rPr>
              <w:t>talleres y otros eventos</w:t>
            </w:r>
          </w:p>
          <w:p w:rsidR="00026D75" w:rsidRPr="0056057F" w:rsidRDefault="00026D75" w:rsidP="00DD7347">
            <w:pP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b/>
                <w:bCs/>
                <w:color w:val="4F81BD" w:themeColor="accent1"/>
                <w:sz w:val="18"/>
                <w:szCs w:val="18"/>
                <w:lang w:val="es-ES"/>
              </w:rPr>
              <w:t>PP</w:t>
            </w:r>
            <w:r w:rsidRPr="0056057F">
              <w:rPr>
                <w:rFonts w:ascii="Calibri" w:hAnsi="Calibri" w:cstheme="majorBidi"/>
                <w:sz w:val="18"/>
                <w:szCs w:val="18"/>
                <w:lang w:val="es-ES"/>
              </w:rPr>
              <w:t>: Decisiones, Resoluciones, Recomendaciones y otros resultados de la Conferencia de Plenipotenciarios*</w:t>
            </w:r>
          </w:p>
          <w:p w:rsidR="00026D75" w:rsidRPr="0056057F" w:rsidRDefault="00026D75" w:rsidP="00DD7347">
            <w:pPr>
              <w:spacing w:before="8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b/>
                <w:bCs/>
                <w:color w:val="4F81BD" w:themeColor="accent1"/>
                <w:sz w:val="18"/>
                <w:szCs w:val="18"/>
                <w:lang w:val="es-ES"/>
              </w:rPr>
              <w:t xml:space="preserve">Consejo/GTC: </w:t>
            </w:r>
            <w:r w:rsidRPr="0056057F">
              <w:rPr>
                <w:rFonts w:ascii="Calibri" w:hAnsi="Calibri" w:cstheme="majorBidi"/>
                <w:sz w:val="18"/>
                <w:szCs w:val="18"/>
                <w:lang w:val="es-ES"/>
              </w:rPr>
              <w:t>Acuerdos y Resoluciones del Consejo, así como resultados de los Grupos de Trabajo del Consejo*</w:t>
            </w:r>
          </w:p>
        </w:tc>
        <w:tc>
          <w:tcPr>
            <w:tcW w:w="896" w:type="dxa"/>
            <w:vMerge w:val="restart"/>
            <w:tcBorders>
              <w:bottom w:val="single" w:sz="4" w:space="0" w:color="auto"/>
            </w:tcBorders>
          </w:tcPr>
          <w:p w:rsidR="00026D75" w:rsidRPr="0056057F" w:rsidRDefault="00026D75" w:rsidP="00DD7347">
            <w:pPr>
              <w:spacing w:before="1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b/>
                <w:bCs/>
                <w:color w:val="4F81BD" w:themeColor="accent1"/>
                <w:sz w:val="18"/>
                <w:szCs w:val="18"/>
                <w:lang w:val="es-ES"/>
              </w:rPr>
            </w:pPr>
            <w:r w:rsidRPr="0056057F">
              <w:rPr>
                <w:rFonts w:ascii="Calibri" w:hAnsi="Calibri" w:cstheme="majorBidi"/>
                <w:b/>
                <w:bCs/>
                <w:color w:val="4F81BD" w:themeColor="accent1"/>
                <w:sz w:val="18"/>
                <w:szCs w:val="18"/>
                <w:lang w:val="es-ES"/>
              </w:rPr>
              <w:t>% del total</w:t>
            </w:r>
          </w:p>
          <w:p w:rsidR="00026D75" w:rsidRPr="0056057F" w:rsidRDefault="00026D75" w:rsidP="00DD7347">
            <w:pPr>
              <w:spacing w:before="20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4,83%</w:t>
            </w:r>
            <w:r w:rsidRPr="0056057F">
              <w:rPr>
                <w:rFonts w:ascii="Calibri" w:hAnsi="Calibri" w:cstheme="majorBidi"/>
                <w:sz w:val="18"/>
                <w:szCs w:val="18"/>
                <w:lang w:val="es-ES"/>
              </w:rPr>
              <w:br/>
            </w:r>
          </w:p>
          <w:p w:rsidR="00026D75" w:rsidRPr="0056057F" w:rsidRDefault="00026D75" w:rsidP="00DD7347">
            <w:pPr>
              <w:spacing w:before="2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0,48%</w:t>
            </w:r>
            <w:r w:rsidRPr="0056057F">
              <w:rPr>
                <w:rFonts w:ascii="Calibri" w:hAnsi="Calibri" w:cstheme="majorBidi"/>
                <w:sz w:val="18"/>
                <w:szCs w:val="18"/>
                <w:lang w:val="es-ES"/>
              </w:rPr>
              <w:br/>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2,15%</w:t>
            </w:r>
            <w:r w:rsidRPr="0056057F">
              <w:rPr>
                <w:rFonts w:ascii="Calibri" w:hAnsi="Calibri" w:cstheme="majorBidi"/>
                <w:sz w:val="18"/>
                <w:szCs w:val="18"/>
                <w:lang w:val="es-ES"/>
              </w:rPr>
              <w:br/>
            </w:r>
          </w:p>
          <w:p w:rsidR="00026D75" w:rsidRPr="0056057F" w:rsidRDefault="00026D75" w:rsidP="00DD7347">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24,13%</w:t>
            </w:r>
            <w:r w:rsidRPr="0056057F">
              <w:rPr>
                <w:rFonts w:ascii="Calibri" w:hAnsi="Calibri" w:cstheme="majorBidi"/>
                <w:sz w:val="18"/>
                <w:szCs w:val="18"/>
                <w:lang w:val="es-ES"/>
              </w:rPr>
              <w:br/>
            </w:r>
          </w:p>
          <w:p w:rsidR="00026D75" w:rsidRPr="0056057F" w:rsidRDefault="00026D75" w:rsidP="00DD7347">
            <w:pPr>
              <w:spacing w:after="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12,01%</w:t>
            </w:r>
            <w:r w:rsidRPr="0056057F">
              <w:rPr>
                <w:rFonts w:ascii="Calibri" w:hAnsi="Calibri" w:cstheme="majorBidi"/>
                <w:sz w:val="18"/>
                <w:szCs w:val="18"/>
                <w:lang w:val="es-ES"/>
              </w:rPr>
              <w:br/>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2,48%</w:t>
            </w:r>
            <w:r w:rsidRPr="0056057F">
              <w:rPr>
                <w:rFonts w:ascii="Calibri" w:hAnsi="Calibri" w:cstheme="majorBidi"/>
                <w:sz w:val="18"/>
                <w:szCs w:val="18"/>
                <w:lang w:val="es-ES"/>
              </w:rPr>
              <w:br/>
            </w:r>
          </w:p>
          <w:p w:rsidR="00026D75" w:rsidRPr="0056057F" w:rsidRDefault="00026D75" w:rsidP="00DD7347">
            <w:pPr>
              <w:pBdr>
                <w:bottom w:val="single" w:sz="4" w:space="1" w:color="auto"/>
              </w:pBdr>
              <w:spacing w:before="11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11,45%</w:t>
            </w:r>
          </w:p>
          <w:p w:rsidR="00026D75" w:rsidRPr="0056057F" w:rsidRDefault="00026D75" w:rsidP="00DD7347">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2,45%</w:t>
            </w:r>
            <w:r w:rsidRPr="0056057F">
              <w:rPr>
                <w:rFonts w:ascii="Calibri" w:hAnsi="Calibri" w:cstheme="majorBidi"/>
                <w:sz w:val="18"/>
                <w:szCs w:val="18"/>
                <w:lang w:val="es-ES"/>
              </w:rPr>
              <w:br/>
            </w:r>
          </w:p>
          <w:p w:rsidR="00026D75" w:rsidRPr="0056057F" w:rsidRDefault="00026D75" w:rsidP="00DD7347">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9,73%</w:t>
            </w:r>
            <w:r w:rsidRPr="0056057F">
              <w:rPr>
                <w:rFonts w:ascii="Calibri" w:hAnsi="Calibri" w:cstheme="majorBidi"/>
                <w:sz w:val="18"/>
                <w:szCs w:val="18"/>
                <w:lang w:val="es-ES"/>
              </w:rPr>
              <w:br/>
            </w:r>
          </w:p>
          <w:p w:rsidR="00026D75" w:rsidRPr="0056057F" w:rsidRDefault="00026D75" w:rsidP="00DD7347">
            <w:pPr>
              <w:pBdr>
                <w:bottom w:val="single" w:sz="4" w:space="1" w:color="auto"/>
              </w:pBdr>
              <w:spacing w:before="14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1,62%</w:t>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13,69%</w:t>
            </w:r>
          </w:p>
          <w:p w:rsidR="00026D75" w:rsidRPr="0056057F" w:rsidRDefault="00026D75" w:rsidP="00DD7347">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3,72%</w:t>
            </w:r>
            <w:r w:rsidRPr="0056057F">
              <w:rPr>
                <w:rFonts w:ascii="Calibri" w:hAnsi="Calibri" w:cstheme="majorBidi"/>
                <w:sz w:val="18"/>
                <w:szCs w:val="18"/>
                <w:lang w:val="es-ES"/>
              </w:rPr>
              <w:br/>
            </w:r>
          </w:p>
          <w:p w:rsidR="00026D75" w:rsidRPr="0056057F" w:rsidRDefault="00026D75" w:rsidP="00DD7347">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2,08%</w:t>
            </w:r>
          </w:p>
          <w:p w:rsidR="00026D75" w:rsidRPr="0056057F" w:rsidRDefault="00026D75" w:rsidP="00DD7347">
            <w:pPr>
              <w:pBdr>
                <w:bottom w:val="single" w:sz="4" w:space="1" w:color="auto"/>
              </w:pBd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5,31%</w:t>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1,52%</w:t>
            </w:r>
            <w:r w:rsidRPr="0056057F">
              <w:rPr>
                <w:rFonts w:ascii="Calibri" w:hAnsi="Calibri" w:cstheme="majorBidi"/>
                <w:sz w:val="18"/>
                <w:szCs w:val="18"/>
                <w:lang w:val="es-ES"/>
              </w:rPr>
              <w:br/>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sz w:val="18"/>
                <w:szCs w:val="18"/>
                <w:lang w:val="es-ES"/>
              </w:rPr>
            </w:pPr>
            <w:r w:rsidRPr="0056057F">
              <w:rPr>
                <w:rFonts w:ascii="Calibri" w:hAnsi="Calibri" w:cstheme="majorBidi"/>
                <w:sz w:val="18"/>
                <w:szCs w:val="18"/>
                <w:lang w:val="es-ES"/>
              </w:rPr>
              <w:t>2,34%</w:t>
            </w:r>
          </w:p>
        </w:tc>
        <w:tc>
          <w:tcPr>
            <w:tcW w:w="896" w:type="dxa"/>
            <w:vMerge w:val="restart"/>
          </w:tcPr>
          <w:p w:rsidR="00026D75" w:rsidRPr="0056057F" w:rsidRDefault="00026D75" w:rsidP="00DD7347">
            <w:pPr>
              <w:spacing w:before="1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b/>
                <w:bCs/>
                <w:color w:val="4F81BD" w:themeColor="accent1"/>
                <w:sz w:val="18"/>
                <w:szCs w:val="18"/>
                <w:lang w:val="es-ES"/>
              </w:rPr>
            </w:pPr>
            <w:r w:rsidRPr="0056057F">
              <w:rPr>
                <w:rFonts w:ascii="Calibri" w:hAnsi="Calibri" w:cstheme="majorBidi"/>
                <w:b/>
                <w:bCs/>
                <w:color w:val="4F81BD" w:themeColor="accent1"/>
                <w:sz w:val="18"/>
                <w:szCs w:val="18"/>
                <w:lang w:val="es-ES"/>
              </w:rPr>
              <w:t>% del objetivo</w:t>
            </w:r>
          </w:p>
          <w:p w:rsidR="00026D75" w:rsidRPr="0056057F" w:rsidRDefault="00026D75" w:rsidP="00DD7347">
            <w:pPr>
              <w:spacing w:before="20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8,07%</w:t>
            </w:r>
            <w:r w:rsidRPr="0056057F">
              <w:rPr>
                <w:rFonts w:ascii="Calibri" w:hAnsi="Calibri" w:cstheme="majorBidi"/>
                <w:b/>
                <w:bCs/>
                <w:sz w:val="18"/>
                <w:szCs w:val="18"/>
                <w:lang w:val="es-ES"/>
              </w:rPr>
              <w:br/>
            </w:r>
          </w:p>
          <w:p w:rsidR="00026D75" w:rsidRPr="0056057F" w:rsidRDefault="00026D75" w:rsidP="00DD7347">
            <w:pPr>
              <w:spacing w:before="2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0,80%</w:t>
            </w:r>
            <w:r w:rsidRPr="0056057F">
              <w:rPr>
                <w:rFonts w:ascii="Calibri" w:hAnsi="Calibri" w:cstheme="majorBidi"/>
                <w:b/>
                <w:bCs/>
                <w:sz w:val="18"/>
                <w:szCs w:val="18"/>
                <w:lang w:val="es-ES"/>
              </w:rPr>
              <w:br/>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3,59%</w:t>
            </w:r>
            <w:r w:rsidRPr="0056057F">
              <w:rPr>
                <w:rFonts w:ascii="Calibri" w:hAnsi="Calibri" w:cstheme="majorBidi"/>
                <w:b/>
                <w:bCs/>
                <w:sz w:val="18"/>
                <w:szCs w:val="18"/>
                <w:lang w:val="es-ES"/>
              </w:rPr>
              <w:br/>
            </w:r>
          </w:p>
          <w:p w:rsidR="00026D75" w:rsidRPr="0056057F" w:rsidRDefault="00026D75" w:rsidP="00DD7347">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40,32%</w:t>
            </w:r>
            <w:r w:rsidRPr="0056057F">
              <w:rPr>
                <w:rFonts w:ascii="Calibri" w:hAnsi="Calibri" w:cstheme="majorBidi"/>
                <w:b/>
                <w:bCs/>
                <w:sz w:val="18"/>
                <w:szCs w:val="18"/>
                <w:lang w:val="es-ES"/>
              </w:rPr>
              <w:br/>
            </w:r>
          </w:p>
          <w:p w:rsidR="00026D75" w:rsidRPr="0056057F" w:rsidRDefault="00026D75" w:rsidP="00DD7347">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20,06%</w:t>
            </w:r>
            <w:r w:rsidRPr="0056057F">
              <w:rPr>
                <w:rFonts w:ascii="Calibri" w:hAnsi="Calibri" w:cstheme="majorBidi"/>
                <w:b/>
                <w:bCs/>
                <w:sz w:val="18"/>
                <w:szCs w:val="18"/>
                <w:lang w:val="es-ES"/>
              </w:rPr>
              <w:br/>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4,14%</w:t>
            </w:r>
            <w:r w:rsidRPr="0056057F">
              <w:rPr>
                <w:rFonts w:ascii="Calibri" w:hAnsi="Calibri" w:cstheme="majorBidi"/>
                <w:b/>
                <w:bCs/>
                <w:sz w:val="18"/>
                <w:szCs w:val="18"/>
                <w:lang w:val="es-ES"/>
              </w:rPr>
              <w:br/>
            </w:r>
          </w:p>
          <w:p w:rsidR="00026D75" w:rsidRPr="0056057F" w:rsidRDefault="00026D75" w:rsidP="00DD7347">
            <w:pPr>
              <w:pBdr>
                <w:bottom w:val="single" w:sz="4" w:space="1" w:color="auto"/>
              </w:pBdr>
              <w:spacing w:before="11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19,13%</w:t>
            </w:r>
          </w:p>
          <w:p w:rsidR="00026D75" w:rsidRPr="0056057F" w:rsidRDefault="00026D75" w:rsidP="00DD7347">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17,05%</w:t>
            </w:r>
            <w:r w:rsidRPr="0056057F">
              <w:rPr>
                <w:rFonts w:ascii="Calibri" w:hAnsi="Calibri" w:cstheme="majorBidi"/>
                <w:b/>
                <w:bCs/>
                <w:sz w:val="18"/>
                <w:szCs w:val="18"/>
                <w:lang w:val="es-ES"/>
              </w:rPr>
              <w:br/>
            </w:r>
          </w:p>
          <w:p w:rsidR="00026D75" w:rsidRPr="0056057F" w:rsidRDefault="00026D75" w:rsidP="00DD7347">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67,80%</w:t>
            </w:r>
            <w:r w:rsidRPr="0056057F">
              <w:rPr>
                <w:rFonts w:ascii="Calibri" w:hAnsi="Calibri" w:cstheme="majorBidi"/>
                <w:b/>
                <w:bCs/>
                <w:sz w:val="18"/>
                <w:szCs w:val="18"/>
                <w:lang w:val="es-ES"/>
              </w:rPr>
              <w:br/>
            </w:r>
          </w:p>
          <w:p w:rsidR="00026D75" w:rsidRPr="0056057F" w:rsidRDefault="00026D75" w:rsidP="00DD7347">
            <w:pPr>
              <w:pBdr>
                <w:bottom w:val="single" w:sz="6" w:space="1" w:color="auto"/>
              </w:pBdr>
              <w:spacing w:before="140" w:after="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11,29%</w:t>
            </w:r>
          </w:p>
          <w:p w:rsidR="00026D75" w:rsidRPr="0056057F" w:rsidRDefault="00026D75" w:rsidP="00DD7347">
            <w:pPr>
              <w:pBdr>
                <w:bottom w:val="single" w:sz="4" w:space="1" w:color="auto"/>
              </w:pBdr>
              <w:spacing w:before="80"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53,05%</w:t>
            </w:r>
          </w:p>
          <w:p w:rsidR="00026D75" w:rsidRPr="0056057F" w:rsidRDefault="00026D75" w:rsidP="00DD7347">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14,41%</w:t>
            </w:r>
            <w:r w:rsidRPr="0056057F">
              <w:rPr>
                <w:rFonts w:ascii="Calibri" w:hAnsi="Calibri" w:cstheme="majorBidi"/>
                <w:b/>
                <w:bCs/>
                <w:sz w:val="18"/>
                <w:szCs w:val="18"/>
                <w:lang w:val="es-ES"/>
              </w:rPr>
              <w:br/>
            </w:r>
          </w:p>
          <w:p w:rsidR="00026D75" w:rsidRPr="0056057F" w:rsidRDefault="00026D75" w:rsidP="00DD7347">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8,08%</w:t>
            </w:r>
          </w:p>
          <w:p w:rsidR="00026D75" w:rsidRPr="0056057F" w:rsidRDefault="00026D75" w:rsidP="00DD7347">
            <w:pPr>
              <w:pBdr>
                <w:bottom w:val="single" w:sz="4" w:space="1" w:color="auto"/>
              </w:pBd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20,60%</w:t>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sz w:val="18"/>
                <w:szCs w:val="18"/>
                <w:lang w:val="es-ES"/>
              </w:rPr>
            </w:pPr>
            <w:r w:rsidRPr="0056057F">
              <w:rPr>
                <w:rFonts w:ascii="Calibri" w:hAnsi="Calibri" w:cstheme="majorBidi"/>
                <w:b/>
                <w:bCs/>
                <w:sz w:val="18"/>
                <w:szCs w:val="18"/>
                <w:lang w:val="es-ES"/>
              </w:rPr>
              <w:t>1,52%</w:t>
            </w:r>
            <w:r w:rsidRPr="0056057F">
              <w:rPr>
                <w:rFonts w:ascii="Calibri" w:hAnsi="Calibri" w:cstheme="majorBidi"/>
                <w:b/>
                <w:bCs/>
                <w:sz w:val="18"/>
                <w:szCs w:val="18"/>
                <w:lang w:val="es-ES"/>
              </w:rPr>
              <w:br/>
            </w:r>
          </w:p>
          <w:p w:rsidR="00026D75" w:rsidRPr="0056057F" w:rsidRDefault="00026D75" w:rsidP="00DD7347">
            <w:pPr>
              <w:spacing w:before="8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theme="majorBidi"/>
                <w:b/>
                <w:bCs/>
                <w:color w:val="948A54" w:themeColor="background2" w:themeShade="80"/>
                <w:sz w:val="18"/>
                <w:szCs w:val="18"/>
                <w:lang w:val="es-ES"/>
              </w:rPr>
            </w:pPr>
            <w:r w:rsidRPr="0056057F">
              <w:rPr>
                <w:rFonts w:ascii="Calibri" w:hAnsi="Calibri" w:cstheme="majorBidi"/>
                <w:b/>
                <w:bCs/>
                <w:sz w:val="18"/>
                <w:szCs w:val="18"/>
                <w:lang w:val="es-ES"/>
              </w:rPr>
              <w:t>2,34%</w:t>
            </w: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6487" w:type="dxa"/>
          </w:tcPr>
          <w:p w:rsidR="00026D75" w:rsidRPr="0056057F" w:rsidRDefault="00026D75" w:rsidP="00DD7347">
            <w:pPr>
              <w:spacing w:before="60" w:after="40" w:line="240" w:lineRule="auto"/>
              <w:jc w:val="left"/>
              <w:rPr>
                <w:rFonts w:ascii="Calibri" w:hAnsi="Calibri" w:cstheme="majorBidi"/>
                <w:noProof/>
                <w:color w:val="4F81BD" w:themeColor="accent1"/>
                <w:sz w:val="18"/>
                <w:szCs w:val="18"/>
                <w:lang w:val="es-ES" w:eastAsia="zh-CN"/>
              </w:rPr>
            </w:pPr>
          </w:p>
          <w:p w:rsidR="00026D75" w:rsidRPr="0056057F" w:rsidRDefault="00026D75" w:rsidP="00DD7347">
            <w:pPr>
              <w:spacing w:after="40" w:line="240" w:lineRule="auto"/>
              <w:jc w:val="left"/>
              <w:rPr>
                <w:rFonts w:ascii="Calibri" w:hAnsi="Calibri" w:cstheme="majorBidi"/>
                <w:b w:val="0"/>
                <w:bCs w:val="0"/>
                <w:noProof/>
                <w:sz w:val="18"/>
                <w:szCs w:val="18"/>
                <w:lang w:val="es-ES" w:eastAsia="zh-CN"/>
              </w:rPr>
            </w:pPr>
            <w:r w:rsidRPr="0056057F">
              <w:rPr>
                <w:rFonts w:ascii="Calibri" w:hAnsi="Calibri" w:cstheme="majorBidi"/>
                <w:noProof/>
                <w:color w:val="4F81BD" w:themeColor="accent1"/>
                <w:sz w:val="18"/>
                <w:szCs w:val="18"/>
                <w:lang w:val="es-ES" w:eastAsia="zh-CN"/>
              </w:rPr>
              <w:t xml:space="preserve">R.1 </w:t>
            </w:r>
            <w:r w:rsidRPr="0056057F">
              <w:rPr>
                <w:rFonts w:ascii="Calibri" w:hAnsi="Calibri" w:cstheme="majorBidi"/>
                <w:b w:val="0"/>
                <w:bCs w:val="0"/>
                <w:sz w:val="18"/>
                <w:szCs w:val="18"/>
                <w:lang w:val="es-ES"/>
              </w:rPr>
              <w:t>Atender de manera racional, equitativa, eficiente, económica y oportuna a las necesidades de los miembros de la UIT en materia de recursos de espectro</w:t>
            </w:r>
            <w:r w:rsidRPr="0056057F">
              <w:rPr>
                <w:rFonts w:ascii="Calibri" w:hAnsi="Calibri" w:cstheme="majorBidi"/>
                <w:sz w:val="18"/>
                <w:szCs w:val="18"/>
                <w:lang w:val="es-ES"/>
              </w:rPr>
              <w:t xml:space="preserve"> </w:t>
            </w:r>
            <w:r w:rsidRPr="0056057F">
              <w:rPr>
                <w:rFonts w:ascii="Calibri" w:hAnsi="Calibri" w:cstheme="majorBidi"/>
                <w:b w:val="0"/>
                <w:bCs w:val="0"/>
                <w:sz w:val="18"/>
                <w:szCs w:val="18"/>
                <w:lang w:val="es-ES"/>
              </w:rPr>
              <w:t>radioeléctrico y órbitas de satélites, evitando interferencias perjudiciales</w:t>
            </w:r>
          </w:p>
          <w:p w:rsidR="00026D75" w:rsidRPr="0056057F" w:rsidRDefault="00026D75" w:rsidP="00DD7347">
            <w:pPr>
              <w:spacing w:after="40" w:line="240" w:lineRule="auto"/>
              <w:jc w:val="left"/>
              <w:rPr>
                <w:rFonts w:ascii="Calibri" w:hAnsi="Calibri" w:cstheme="majorBidi"/>
                <w:b w:val="0"/>
                <w:bCs w:val="0"/>
                <w:noProof/>
                <w:sz w:val="18"/>
                <w:szCs w:val="18"/>
                <w:lang w:val="es-ES" w:eastAsia="zh-CN"/>
              </w:rPr>
            </w:pPr>
            <w:r w:rsidRPr="0056057F">
              <w:rPr>
                <w:rFonts w:ascii="Calibri" w:hAnsi="Calibri" w:cstheme="majorBidi"/>
                <w:noProof/>
                <w:color w:val="4F81BD" w:themeColor="accent1"/>
                <w:sz w:val="18"/>
                <w:szCs w:val="18"/>
                <w:lang w:val="es-ES" w:eastAsia="zh-CN"/>
              </w:rPr>
              <w:t xml:space="preserve">R.2 </w:t>
            </w:r>
            <w:r w:rsidRPr="0056057F">
              <w:rPr>
                <w:rFonts w:ascii="Calibri" w:hAnsi="Calibri" w:cstheme="majorBidi"/>
                <w:b w:val="0"/>
                <w:bCs w:val="0"/>
                <w:sz w:val="18"/>
                <w:szCs w:val="18"/>
                <w:lang w:val="es-ES"/>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026D75" w:rsidRPr="0056057F" w:rsidRDefault="00026D75" w:rsidP="00DD7347">
            <w:pPr>
              <w:spacing w:after="40" w:line="240" w:lineRule="auto"/>
              <w:jc w:val="left"/>
              <w:rPr>
                <w:rFonts w:ascii="Calibri" w:hAnsi="Calibri" w:cstheme="majorBidi"/>
                <w:noProof/>
                <w:sz w:val="18"/>
                <w:szCs w:val="18"/>
                <w:lang w:val="es-ES" w:eastAsia="zh-CN"/>
              </w:rPr>
            </w:pPr>
            <w:r w:rsidRPr="0056057F">
              <w:rPr>
                <w:rFonts w:ascii="Calibri" w:hAnsi="Calibri" w:cstheme="majorBidi"/>
                <w:noProof/>
                <w:color w:val="4F81BD" w:themeColor="accent1"/>
                <w:sz w:val="18"/>
                <w:szCs w:val="18"/>
                <w:lang w:val="es-ES" w:eastAsia="zh-CN"/>
              </w:rPr>
              <w:t xml:space="preserve">R.3 </w:t>
            </w:r>
            <w:r w:rsidRPr="0056057F">
              <w:rPr>
                <w:rFonts w:ascii="Calibri" w:hAnsi="Calibri" w:cstheme="majorBidi"/>
                <w:b w:val="0"/>
                <w:bCs w:val="0"/>
                <w:sz w:val="18"/>
                <w:szCs w:val="18"/>
                <w:lang w:val="es-ES"/>
              </w:rPr>
              <w:t>Fomentar la adquisición y divulgación de conocimientos teóricos y prácticos sobre radiocomunicaciones</w:t>
            </w:r>
          </w:p>
        </w:tc>
        <w:tc>
          <w:tcPr>
            <w:tcW w:w="1198" w:type="dxa"/>
          </w:tcPr>
          <w:p w:rsidR="00026D75" w:rsidRPr="0056057F" w:rsidRDefault="00026D75" w:rsidP="00DD7347">
            <w:pPr>
              <w:spacing w:before="6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ajorBidi"/>
                <w:noProof/>
                <w:color w:val="4F81BD" w:themeColor="accent1"/>
                <w:sz w:val="18"/>
                <w:szCs w:val="18"/>
                <w:lang w:val="es-ES" w:eastAsia="zh-CN"/>
              </w:rPr>
            </w:pPr>
          </w:p>
          <w:p w:rsidR="00026D75" w:rsidRPr="0056057F" w:rsidRDefault="00026D75" w:rsidP="00DD7347">
            <w:pPr>
              <w:spacing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ajorBidi"/>
                <w:b/>
                <w:bCs/>
                <w:noProof/>
                <w:sz w:val="18"/>
                <w:szCs w:val="18"/>
                <w:lang w:val="es-ES" w:eastAsia="zh-CN"/>
              </w:rPr>
            </w:pPr>
            <w:r w:rsidRPr="0056057F">
              <w:rPr>
                <w:rFonts w:ascii="Calibri" w:hAnsi="Calibri" w:cstheme="majorBidi"/>
                <w:b/>
                <w:bCs/>
                <w:noProof/>
                <w:sz w:val="18"/>
                <w:szCs w:val="18"/>
                <w:lang w:val="es-ES" w:eastAsia="zh-CN"/>
              </w:rPr>
              <w:t>60%</w:t>
            </w:r>
            <w:r w:rsidRPr="0056057F">
              <w:rPr>
                <w:rFonts w:ascii="Calibri" w:hAnsi="Calibri" w:cstheme="majorBidi"/>
                <w:b/>
                <w:bCs/>
                <w:noProof/>
                <w:sz w:val="18"/>
                <w:szCs w:val="18"/>
                <w:lang w:val="es-ES" w:eastAsia="zh-CN"/>
              </w:rPr>
              <w:br/>
            </w:r>
            <w:r w:rsidRPr="0056057F">
              <w:rPr>
                <w:rFonts w:ascii="Calibri" w:hAnsi="Calibri" w:cstheme="majorBidi"/>
                <w:b/>
                <w:bCs/>
                <w:noProof/>
                <w:sz w:val="18"/>
                <w:szCs w:val="18"/>
                <w:lang w:val="es-ES" w:eastAsia="zh-CN"/>
              </w:rPr>
              <w:br/>
            </w:r>
          </w:p>
          <w:p w:rsidR="00026D75" w:rsidRPr="0056057F" w:rsidRDefault="00026D75" w:rsidP="00DD7347">
            <w:pPr>
              <w:spacing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ajorBidi"/>
                <w:b/>
                <w:bCs/>
                <w:noProof/>
                <w:sz w:val="18"/>
                <w:szCs w:val="18"/>
                <w:lang w:val="es-ES" w:eastAsia="zh-CN"/>
              </w:rPr>
            </w:pPr>
            <w:r w:rsidRPr="0056057F">
              <w:rPr>
                <w:rFonts w:ascii="Calibri" w:hAnsi="Calibri" w:cstheme="majorBidi"/>
                <w:b/>
                <w:bCs/>
                <w:noProof/>
                <w:sz w:val="18"/>
                <w:szCs w:val="18"/>
                <w:lang w:val="es-ES" w:eastAsia="zh-CN"/>
              </w:rPr>
              <w:t>14%</w:t>
            </w:r>
            <w:r w:rsidRPr="0056057F">
              <w:rPr>
                <w:rFonts w:ascii="Calibri" w:hAnsi="Calibri" w:cstheme="majorBidi"/>
                <w:b/>
                <w:bCs/>
                <w:noProof/>
                <w:sz w:val="18"/>
                <w:szCs w:val="18"/>
                <w:lang w:val="es-ES" w:eastAsia="zh-CN"/>
              </w:rPr>
              <w:br/>
            </w:r>
            <w:r w:rsidRPr="0056057F">
              <w:rPr>
                <w:rFonts w:ascii="Calibri" w:hAnsi="Calibri" w:cstheme="majorBidi"/>
                <w:b/>
                <w:bCs/>
                <w:noProof/>
                <w:sz w:val="18"/>
                <w:szCs w:val="18"/>
                <w:lang w:val="es-ES" w:eastAsia="zh-CN"/>
              </w:rPr>
              <w:br/>
            </w:r>
            <w:r w:rsidRPr="0056057F">
              <w:rPr>
                <w:rFonts w:ascii="Calibri" w:hAnsi="Calibri" w:cstheme="majorBidi"/>
                <w:b/>
                <w:bCs/>
                <w:noProof/>
                <w:sz w:val="18"/>
                <w:szCs w:val="18"/>
                <w:lang w:val="es-ES" w:eastAsia="zh-CN"/>
              </w:rPr>
              <w:br/>
            </w:r>
          </w:p>
          <w:p w:rsidR="00026D75" w:rsidRPr="0056057F" w:rsidRDefault="00026D75" w:rsidP="00DD7347">
            <w:pPr>
              <w:spacing w:before="140" w:after="40" w:line="240" w:lineRule="auto"/>
              <w:cnfStyle w:val="000000000000" w:firstRow="0" w:lastRow="0" w:firstColumn="0" w:lastColumn="0" w:oddVBand="0" w:evenVBand="0" w:oddHBand="0" w:evenHBand="0" w:firstRowFirstColumn="0" w:firstRowLastColumn="0" w:lastRowFirstColumn="0" w:lastRowLastColumn="0"/>
              <w:rPr>
                <w:rFonts w:ascii="Calibri" w:hAnsi="Calibri" w:cstheme="majorBidi"/>
                <w:b/>
                <w:bCs/>
                <w:noProof/>
                <w:sz w:val="18"/>
                <w:szCs w:val="18"/>
                <w:lang w:val="es-ES" w:eastAsia="zh-CN"/>
              </w:rPr>
            </w:pPr>
            <w:r w:rsidRPr="0056057F">
              <w:rPr>
                <w:rFonts w:ascii="Calibri" w:hAnsi="Calibri" w:cstheme="majorBidi"/>
                <w:b/>
                <w:bCs/>
                <w:noProof/>
                <w:sz w:val="18"/>
                <w:szCs w:val="18"/>
                <w:lang w:val="es-ES" w:eastAsia="zh-CN"/>
              </w:rPr>
              <w:t>26%</w:t>
            </w:r>
          </w:p>
        </w:tc>
        <w:tc>
          <w:tcPr>
            <w:tcW w:w="5053" w:type="dxa"/>
            <w:vMerge/>
          </w:tcPr>
          <w:p w:rsidR="00026D75" w:rsidRPr="0056057F" w:rsidRDefault="00026D75" w:rsidP="00F35897">
            <w:pPr>
              <w:spacing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0"/>
                <w:lang w:val="es-ES" w:eastAsia="zh-CN"/>
              </w:rPr>
            </w:pPr>
          </w:p>
        </w:tc>
        <w:tc>
          <w:tcPr>
            <w:tcW w:w="896" w:type="dxa"/>
            <w:vMerge/>
          </w:tcPr>
          <w:p w:rsidR="00026D75" w:rsidRPr="0056057F" w:rsidRDefault="00026D75" w:rsidP="00F35897">
            <w:pPr>
              <w:spacing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0"/>
                <w:lang w:val="es-ES" w:eastAsia="zh-CN"/>
              </w:rPr>
            </w:pPr>
          </w:p>
        </w:tc>
        <w:tc>
          <w:tcPr>
            <w:tcW w:w="896" w:type="dxa"/>
            <w:vMerge/>
          </w:tcPr>
          <w:p w:rsidR="00026D75" w:rsidRPr="0056057F" w:rsidRDefault="00026D75" w:rsidP="00F35897">
            <w:pPr>
              <w:spacing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0"/>
                <w:lang w:val="es-ES" w:eastAsia="zh-CN"/>
              </w:rPr>
            </w:pPr>
          </w:p>
        </w:tc>
      </w:tr>
    </w:tbl>
    <w:p w:rsidR="00026D75" w:rsidRPr="0056057F" w:rsidRDefault="00026D75" w:rsidP="008045FB">
      <w:pPr>
        <w:spacing w:before="60" w:line="240" w:lineRule="auto"/>
        <w:ind w:right="397"/>
        <w:jc w:val="right"/>
        <w:rPr>
          <w:rFonts w:cstheme="majorBidi"/>
          <w:i/>
          <w:iCs/>
          <w:lang w:val="es-ES"/>
        </w:rPr>
      </w:pPr>
      <w:r w:rsidRPr="0056057F">
        <w:rPr>
          <w:rFonts w:cstheme="majorBidi"/>
          <w:sz w:val="20"/>
          <w:lang w:val="es-ES"/>
        </w:rPr>
        <w:t>* El coste de estos productos se asigna a todos los objetivos de la Unión.</w:t>
      </w:r>
    </w:p>
    <w:p w:rsidR="00026D75" w:rsidRPr="0056057F" w:rsidRDefault="00026D75" w:rsidP="00026D75">
      <w:pPr>
        <w:pStyle w:val="Heading1"/>
        <w:rPr>
          <w:lang w:val="es-ES"/>
        </w:rPr>
      </w:pPr>
      <w:r w:rsidRPr="0056057F">
        <w:rPr>
          <w:lang w:val="es-ES"/>
        </w:rPr>
        <w:lastRenderedPageBreak/>
        <w:t>4</w:t>
      </w:r>
      <w:r w:rsidRPr="0056057F">
        <w:rPr>
          <w:lang w:val="es-ES"/>
        </w:rPr>
        <w:tab/>
        <w:t>Análisis de riesgos</w:t>
      </w:r>
    </w:p>
    <w:p w:rsidR="00026D75" w:rsidRPr="0056057F" w:rsidRDefault="00026D75" w:rsidP="00DB1035">
      <w:pPr>
        <w:spacing w:after="120"/>
        <w:rPr>
          <w:lang w:val="es-ES"/>
        </w:rPr>
      </w:pPr>
      <w:r w:rsidRPr="0056057F">
        <w:rPr>
          <w:lang w:val="es-ES"/>
        </w:rPr>
        <w:t>Al pasar de la estrategia a la ejecución, se han identificado, analizado y evaluado los riesgos operacionales de nivel superior que figuran en el cuadro</w:t>
      </w:r>
      <w:r w:rsidRPr="0056057F">
        <w:rPr>
          <w:i/>
          <w:iCs/>
          <w:lang w:val="es-ES"/>
        </w:rPr>
        <w:t xml:space="preserve"> infra</w:t>
      </w:r>
      <w:r w:rsidRPr="0056057F">
        <w:rPr>
          <w:lang w:val="es-ES"/>
        </w:rPr>
        <w:t>. Las Oficinas y los Departamentos gestionarán todos los riesgos asociados a la consecución de los resultados pertinentes.</w:t>
      </w:r>
    </w:p>
    <w:tbl>
      <w:tblPr>
        <w:tblStyle w:val="GridTable4-Accent11"/>
        <w:tblW w:w="14553" w:type="dxa"/>
        <w:tblLook w:val="04A0" w:firstRow="1" w:lastRow="0" w:firstColumn="1" w:lastColumn="0" w:noHBand="0" w:noVBand="1"/>
      </w:tblPr>
      <w:tblGrid>
        <w:gridCol w:w="2017"/>
        <w:gridCol w:w="3991"/>
        <w:gridCol w:w="1711"/>
        <w:gridCol w:w="1512"/>
        <w:gridCol w:w="5322"/>
      </w:tblGrid>
      <w:tr w:rsidR="00026D75" w:rsidRPr="0056057F" w:rsidTr="00F358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7" w:type="dxa"/>
            <w:hideMark/>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PERSPECTIVA</w:t>
            </w:r>
          </w:p>
        </w:tc>
        <w:tc>
          <w:tcPr>
            <w:tcW w:w="3991" w:type="dxa"/>
            <w:hideMark/>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DESCRIPCIÓN DEL RIESGO</w:t>
            </w:r>
          </w:p>
        </w:tc>
        <w:tc>
          <w:tcPr>
            <w:tcW w:w="1711" w:type="dxa"/>
            <w:hideMark/>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PROBABILIDAD</w:t>
            </w:r>
          </w:p>
        </w:tc>
        <w:tc>
          <w:tcPr>
            <w:tcW w:w="1512" w:type="dxa"/>
            <w:hideMark/>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NIVEL DE REPERCUSIÓN</w:t>
            </w:r>
          </w:p>
        </w:tc>
        <w:tc>
          <w:tcPr>
            <w:tcW w:w="5322" w:type="dxa"/>
            <w:hideMark/>
          </w:tcPr>
          <w:p w:rsidR="00026D75" w:rsidRPr="0056057F" w:rsidRDefault="00026D75" w:rsidP="00F358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sz w:val="22"/>
                <w:lang w:val="es-ES"/>
              </w:rPr>
            </w:pPr>
            <w:r w:rsidRPr="0056057F">
              <w:rPr>
                <w:rFonts w:ascii="Calibri" w:hAnsi="Calibri" w:cstheme="majorBidi"/>
                <w:bCs w:val="0"/>
                <w:sz w:val="22"/>
                <w:lang w:val="es-ES"/>
              </w:rPr>
              <w:t>MEDIDAS DE MITIGACIÓN</w:t>
            </w:r>
            <w:r w:rsidRPr="0056057F">
              <w:rPr>
                <w:rFonts w:ascii="Calibri" w:hAnsi="Calibri" w:cstheme="majorBidi"/>
                <w:position w:val="6"/>
                <w:sz w:val="18"/>
                <w:lang w:val="es-ES"/>
              </w:rPr>
              <w:footnoteReference w:id="5"/>
            </w:r>
          </w:p>
        </w:tc>
      </w:tr>
      <w:tr w:rsidR="00026D75" w:rsidRPr="0056057F" w:rsidTr="00F358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OPERACIONAL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szCs w:val="20"/>
                <w:lang w:val="es-ES"/>
              </w:rPr>
              <w:t>a)</w:t>
            </w:r>
            <w:r w:rsidRPr="0056057F">
              <w:rPr>
                <w:rFonts w:ascii="Calibri" w:hAnsi="Calibri" w:cstheme="majorBidi"/>
                <w:szCs w:val="20"/>
                <w:lang w:val="es-ES"/>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026D75" w:rsidRPr="0056057F" w:rsidRDefault="00026D75" w:rsidP="00F35897">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szCs w:val="20"/>
                <w:lang w:val="es-ES"/>
              </w:rPr>
              <w:t>b)</w:t>
            </w:r>
            <w:r w:rsidRPr="0056057F">
              <w:rPr>
                <w:rFonts w:ascii="Calibri" w:hAnsi="Calibri" w:cstheme="majorBidi"/>
                <w:szCs w:val="20"/>
                <w:lang w:val="es-ES"/>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Muy 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Realizar copias de seguridad de los datos a diario</w:t>
            </w:r>
          </w:p>
          <w:p w:rsidR="00026D75" w:rsidRPr="0056057F" w:rsidRDefault="00026D75" w:rsidP="00F35897">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Elaborar un programa con un elevado nivel de protección de los datos</w:t>
            </w:r>
          </w:p>
          <w:p w:rsidR="00026D75" w:rsidRPr="0056057F" w:rsidRDefault="00026D75" w:rsidP="00F35897">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Crear las capacidades necesarias para restaurar datos u operaciones en un periodo de tiempo limitado</w:t>
            </w: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026D75" w:rsidRPr="0056057F" w:rsidRDefault="00026D75" w:rsidP="00F35897">
            <w:pPr>
              <w:rPr>
                <w:rFonts w:ascii="Calibri" w:hAnsi="Calibri" w:cstheme="majorBidi"/>
                <w:lang w:val="es-ES"/>
              </w:rPr>
            </w:pP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b/>
                <w:bCs/>
                <w:szCs w:val="20"/>
                <w:lang w:val="es-ES"/>
              </w:rPr>
              <w:t>c)</w:t>
            </w:r>
            <w:r w:rsidRPr="0056057F">
              <w:rPr>
                <w:rFonts w:ascii="Calibri" w:hAnsi="Calibri" w:cstheme="majorBidi"/>
                <w:szCs w:val="20"/>
                <w:lang w:val="es-ES"/>
              </w:rPr>
              <w:tab/>
              <w:t>La aparición de una interferencia perjudicial (por ejemplo, debido a la inobservancia de las disposiciones reglamentarias), que ocasiona interrupciones en los servicios de radiocomunicaciones prestados por los miembros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Promover la creación de capacidades en los reglamentos internacionales, a través de seminarios regionales y mundiales, y cualesquiera otros eventos apropiados</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Proporcionar asistencia de la BR en materia de aplicación de reglamentos internacionales</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Fomentar la coordinación regional o subregional para la resolución de problemas relativos a las interferencias, con el apoyo de la BR</w:t>
            </w:r>
          </w:p>
          <w:p w:rsidR="00026D75" w:rsidRPr="0056057F" w:rsidRDefault="00026D75" w:rsidP="00F35897">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Documentar, informar y prestar asistencia para resolver casos de interferencia perjudicial con arreglo a las instrucciones del Director de la Oficina (Resolución 186 (Busán, 2014))</w:t>
            </w:r>
          </w:p>
        </w:tc>
      </w:tr>
      <w:tr w:rsidR="00026D75" w:rsidRPr="0056057F" w:rsidTr="00F358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lastRenderedPageBreak/>
              <w:t>INSTITUCIONAL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cnfStyle w:val="000000100000" w:firstRow="0" w:lastRow="0" w:firstColumn="0" w:lastColumn="0" w:oddVBand="0" w:evenVBand="0" w:oddHBand="1" w:evenHBand="0" w:firstRowFirstColumn="0" w:firstRowLastColumn="0" w:lastRowFirstColumn="0" w:lastRowLastColumn="0"/>
              <w:rPr>
                <w:rFonts w:ascii="Calibri" w:hAnsi="Calibri" w:cstheme="majorBidi"/>
                <w:b/>
                <w:bCs/>
                <w:szCs w:val="20"/>
                <w:lang w:val="es-ES"/>
              </w:rPr>
            </w:pPr>
            <w:r w:rsidRPr="0056057F">
              <w:rPr>
                <w:rFonts w:ascii="Calibri" w:hAnsi="Calibri" w:cstheme="majorBidi"/>
                <w:szCs w:val="20"/>
                <w:lang w:val="es-ES"/>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Media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26D75" w:rsidRPr="0056057F" w:rsidRDefault="00026D75" w:rsidP="00F35897">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Celebrar más reuniones externas</w:t>
            </w:r>
          </w:p>
          <w:p w:rsidR="00026D75" w:rsidRPr="0056057F" w:rsidRDefault="00026D75" w:rsidP="00F35897">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w:t>
            </w:r>
            <w:r w:rsidRPr="0056057F">
              <w:rPr>
                <w:rFonts w:ascii="Calibri" w:hAnsi="Calibri" w:cstheme="majorBidi"/>
                <w:szCs w:val="20"/>
                <w:lang w:val="es-ES"/>
              </w:rPr>
              <w:tab/>
              <w:t>Incrementar el uso de salas de reunión virtuales para reuniones pequeñas</w:t>
            </w:r>
          </w:p>
        </w:tc>
      </w:tr>
    </w:tbl>
    <w:p w:rsidR="00026D75" w:rsidRPr="0056057F" w:rsidRDefault="00026D75" w:rsidP="00026D75">
      <w:pPr>
        <w:rPr>
          <w:rFonts w:asciiTheme="majorBidi" w:hAnsiTheme="majorBidi" w:cstheme="majorBidi"/>
          <w:sz w:val="28"/>
          <w:lang w:val="es-ES"/>
        </w:rPr>
      </w:pPr>
      <w:r w:rsidRPr="0056057F">
        <w:rPr>
          <w:rFonts w:asciiTheme="majorBidi" w:hAnsiTheme="majorBidi" w:cstheme="majorBidi"/>
          <w:lang w:val="es-ES"/>
        </w:rPr>
        <w:br w:type="page"/>
      </w:r>
    </w:p>
    <w:p w:rsidR="00026D75" w:rsidRPr="0056057F" w:rsidRDefault="00026D75" w:rsidP="00026D75">
      <w:pPr>
        <w:pStyle w:val="Heading1"/>
        <w:rPr>
          <w:lang w:val="es-ES"/>
        </w:rPr>
      </w:pPr>
      <w:r w:rsidRPr="0056057F">
        <w:rPr>
          <w:lang w:val="es-ES"/>
        </w:rPr>
        <w:lastRenderedPageBreak/>
        <w:t>5</w:t>
      </w:r>
      <w:r w:rsidRPr="0056057F">
        <w:rPr>
          <w:lang w:val="es-ES"/>
        </w:rPr>
        <w:tab/>
        <w:t>Objetivos, resultados y productos del UIT-R para 2017-2020</w:t>
      </w:r>
    </w:p>
    <w:p w:rsidR="00026D75" w:rsidRPr="0056057F" w:rsidRDefault="00026D75" w:rsidP="00DB1035">
      <w:pPr>
        <w:rPr>
          <w:lang w:val="es-ES"/>
        </w:rPr>
      </w:pPr>
      <w:r w:rsidRPr="0056057F">
        <w:rPr>
          <w:lang w:val="es-ES"/>
        </w:rPr>
        <w:t>Los objetivos del Sector UIT-R se lograrán al alcanzar los resultados correspondientes mediante la realización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026D75" w:rsidRPr="0056057F" w:rsidRDefault="00026D75" w:rsidP="00DB1035">
      <w:pPr>
        <w:pStyle w:val="Heading2"/>
        <w:spacing w:after="120"/>
        <w:rPr>
          <w:lang w:val="es-ES"/>
        </w:rPr>
      </w:pPr>
      <w:r w:rsidRPr="0056057F">
        <w:rPr>
          <w:lang w:val="es-ES"/>
        </w:rPr>
        <w:t>5.1</w:t>
      </w:r>
      <w:r w:rsidRPr="0056057F">
        <w:rPr>
          <w:lang w:val="es-ES"/>
        </w:rPr>
        <w:tab/>
        <w:t>R.1</w:t>
      </w:r>
      <w:r w:rsidRPr="0056057F">
        <w:rPr>
          <w:lang w:val="es-ES"/>
        </w:rPr>
        <w:tab/>
        <w:t>Atender de manera racional, equitativa, eficiente, económica y oportuna a las necesidades de los miembros de la UIT en materia de recursos del espectro radioeléctrico y las órbitas de satélites, evitando interferencias perjudiciales</w:t>
      </w:r>
    </w:p>
    <w:tbl>
      <w:tblPr>
        <w:tblStyle w:val="GridTable4-Accent11"/>
        <w:tblW w:w="14525" w:type="dxa"/>
        <w:tblLook w:val="06A0" w:firstRow="1" w:lastRow="0" w:firstColumn="1" w:lastColumn="0" w:noHBand="1" w:noVBand="1"/>
      </w:tblPr>
      <w:tblGrid>
        <w:gridCol w:w="3621"/>
        <w:gridCol w:w="6061"/>
        <w:gridCol w:w="1148"/>
        <w:gridCol w:w="1091"/>
        <w:gridCol w:w="1246"/>
        <w:gridCol w:w="1358"/>
      </w:tblGrid>
      <w:tr w:rsidR="00026D75" w:rsidRPr="0056057F" w:rsidTr="00F358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1"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Resultado</w:t>
            </w:r>
          </w:p>
        </w:tc>
        <w:tc>
          <w:tcPr>
            <w:tcW w:w="6061" w:type="dxa"/>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 xml:space="preserve">Indicador de resultados </w:t>
            </w:r>
          </w:p>
        </w:tc>
        <w:tc>
          <w:tcPr>
            <w:tcW w:w="1148" w:type="dxa"/>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2014</w:t>
            </w:r>
          </w:p>
        </w:tc>
        <w:tc>
          <w:tcPr>
            <w:tcW w:w="1091" w:type="dxa"/>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2015</w:t>
            </w:r>
          </w:p>
        </w:tc>
        <w:tc>
          <w:tcPr>
            <w:tcW w:w="1246" w:type="dxa"/>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Meta 2020</w:t>
            </w:r>
          </w:p>
        </w:tc>
        <w:tc>
          <w:tcPr>
            <w:tcW w:w="1358" w:type="dxa"/>
          </w:tcPr>
          <w:p w:rsidR="00026D75" w:rsidRPr="0056057F" w:rsidRDefault="00026D75" w:rsidP="00F35897">
            <w:pPr>
              <w:pStyle w:val="Tablehead"/>
              <w:cnfStyle w:val="100000000000" w:firstRow="1" w:lastRow="0" w:firstColumn="0" w:lastColumn="0" w:oddVBand="0" w:evenVBand="0" w:oddHBand="0" w:evenHBand="0" w:firstRowFirstColumn="0" w:firstRowLastColumn="0" w:lastRowFirstColumn="0" w:lastRowLastColumn="0"/>
              <w:rPr>
                <w:rFonts w:ascii="Calibri" w:hAnsi="Calibri" w:cstheme="majorBidi"/>
                <w:b/>
                <w:bCs w:val="0"/>
                <w:szCs w:val="20"/>
                <w:lang w:val="es-ES"/>
              </w:rPr>
            </w:pPr>
            <w:r w:rsidRPr="0056057F">
              <w:rPr>
                <w:rFonts w:ascii="Calibri" w:hAnsi="Calibri" w:cstheme="majorBidi"/>
                <w:b/>
                <w:bCs w:val="0"/>
                <w:szCs w:val="20"/>
                <w:lang w:val="es-ES"/>
              </w:rPr>
              <w:t>Origen</w:t>
            </w: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color w:val="4F81BD" w:themeColor="accent1"/>
                <w:szCs w:val="20"/>
                <w:lang w:val="es-ES"/>
              </w:rPr>
              <w:t>R.1-1:</w:t>
            </w:r>
            <w:r w:rsidRPr="0056057F">
              <w:rPr>
                <w:rFonts w:ascii="Calibri" w:hAnsi="Calibri" w:cstheme="majorBidi"/>
                <w:b w:val="0"/>
                <w:bCs w:val="0"/>
                <w:szCs w:val="20"/>
                <w:lang w:val="es-ES"/>
              </w:rPr>
              <w:t xml:space="preserve"> Aumento del número de países que tienen redes de satélite y estaciones terrenas inscritas en el Registro Internacional de Frecuencias (MIFR)</w:t>
            </w: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Número de países que tienen redes de satélite inscritas en el MIFR</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49</w:t>
            </w: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60</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70</w:t>
            </w:r>
          </w:p>
        </w:tc>
        <w:tc>
          <w:tcPr>
            <w:tcW w:w="1358" w:type="dxa"/>
            <w:vMerge w:val="restart"/>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BR/MIFR</w:t>
            </w: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vMerge/>
          </w:tcPr>
          <w:p w:rsidR="00026D75" w:rsidRPr="0056057F" w:rsidRDefault="00026D75" w:rsidP="00F35897">
            <w:pPr>
              <w:pStyle w:val="Tabletext"/>
              <w:rPr>
                <w:rFonts w:ascii="Calibri" w:hAnsi="Calibri" w:cstheme="majorBidi"/>
                <w:color w:val="4F81BD" w:themeColor="accent1"/>
                <w:szCs w:val="20"/>
                <w:lang w:val="es-ES"/>
              </w:rPr>
            </w:pP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Número de países que tienen estaciones terrenas inscritas en el MIFR</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81</w:t>
            </w: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114</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120</w:t>
            </w:r>
          </w:p>
        </w:tc>
        <w:tc>
          <w:tcPr>
            <w:tcW w:w="1358" w:type="dxa"/>
            <w:vMerge/>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color w:val="4F81BD" w:themeColor="accent1"/>
                <w:szCs w:val="20"/>
                <w:lang w:val="es-ES"/>
              </w:rPr>
              <w:t>R.1-2:</w:t>
            </w:r>
            <w:r w:rsidRPr="0056057F">
              <w:rPr>
                <w:rFonts w:ascii="Calibri" w:hAnsi="Calibri" w:cstheme="majorBidi"/>
                <w:b w:val="0"/>
                <w:bCs w:val="0"/>
                <w:szCs w:val="20"/>
                <w:lang w:val="es-ES"/>
              </w:rPr>
              <w:t xml:space="preserve"> Mayor número de países que tienen asignaciones de frecuencias terrenales inscritas en el MIFR</w:t>
            </w: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Número de países que tienen asignaciones de frecuencias terrenales inscritas en el MIFR</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188</w:t>
            </w: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190</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193</w:t>
            </w:r>
          </w:p>
        </w:tc>
        <w:tc>
          <w:tcPr>
            <w:tcW w:w="1358" w:type="dxa"/>
            <w:vMerge w:val="restart"/>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BR/MIFR</w:t>
            </w: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vMerge/>
          </w:tcPr>
          <w:p w:rsidR="00026D75" w:rsidRPr="0056057F" w:rsidRDefault="00026D75" w:rsidP="00F35897">
            <w:pPr>
              <w:pStyle w:val="Tabletext"/>
              <w:rPr>
                <w:rFonts w:ascii="Calibri" w:hAnsi="Calibri" w:cstheme="majorBidi"/>
                <w:color w:val="4F81BD" w:themeColor="accent1"/>
                <w:szCs w:val="20"/>
                <w:lang w:val="es-ES"/>
              </w:rPr>
            </w:pP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Número de países que inscribieron asignaciones de frecuencias terrenales inscritas en el MIFR en los 4 últimos años</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78</w:t>
            </w: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84</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90</w:t>
            </w:r>
          </w:p>
        </w:tc>
        <w:tc>
          <w:tcPr>
            <w:tcW w:w="1358" w:type="dxa"/>
            <w:vMerge/>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color w:val="4F81BD" w:themeColor="accent1"/>
                <w:szCs w:val="20"/>
                <w:lang w:val="es-ES"/>
              </w:rPr>
              <w:t>R.1-3:</w:t>
            </w:r>
            <w:r w:rsidRPr="0056057F">
              <w:rPr>
                <w:rFonts w:ascii="Calibri" w:hAnsi="Calibri" w:cstheme="majorBidi"/>
                <w:b w:val="0"/>
                <w:bCs w:val="0"/>
                <w:szCs w:val="20"/>
                <w:lang w:val="es-ES"/>
              </w:rPr>
              <w:t xml:space="preserve"> Mayor porcentaje de asignaciones inscritas en el Registro Internacional de Frecuencias con conclusión favorable</w:t>
            </w: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Sujetas a coordinación (Terrenal)</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99,99%</w:t>
            </w: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100,00%</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99,99%</w:t>
            </w:r>
          </w:p>
        </w:tc>
        <w:tc>
          <w:tcPr>
            <w:tcW w:w="1358" w:type="dxa"/>
            <w:vMerge w:val="restart"/>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BR/MIFR</w:t>
            </w: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vMerge/>
          </w:tcPr>
          <w:p w:rsidR="00026D75" w:rsidRPr="0056057F" w:rsidRDefault="00026D75" w:rsidP="00F35897">
            <w:pPr>
              <w:pStyle w:val="Tabletext"/>
              <w:rPr>
                <w:rFonts w:ascii="Calibri" w:hAnsi="Calibri" w:cstheme="majorBidi"/>
                <w:color w:val="4F81BD" w:themeColor="accent1"/>
                <w:szCs w:val="20"/>
                <w:lang w:val="es-ES"/>
              </w:rPr>
            </w:pP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Sujetas a un Plan (Terrenal)</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97,65%</w:t>
            </w: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7,40%</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75%</w:t>
            </w:r>
          </w:p>
        </w:tc>
        <w:tc>
          <w:tcPr>
            <w:tcW w:w="1358" w:type="dxa"/>
            <w:vMerge/>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vMerge/>
          </w:tcPr>
          <w:p w:rsidR="00026D75" w:rsidRPr="0056057F" w:rsidRDefault="00026D75" w:rsidP="00F35897">
            <w:pPr>
              <w:pStyle w:val="Tabletext"/>
              <w:rPr>
                <w:rFonts w:ascii="Calibri" w:hAnsi="Calibri" w:cstheme="majorBidi"/>
                <w:color w:val="4F81BD" w:themeColor="accent1"/>
                <w:szCs w:val="20"/>
                <w:lang w:val="es-ES"/>
              </w:rPr>
            </w:pP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Otras</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96%</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98%</w:t>
            </w:r>
          </w:p>
        </w:tc>
        <w:tc>
          <w:tcPr>
            <w:tcW w:w="1358" w:type="dxa"/>
            <w:vMerge/>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p>
        </w:tc>
      </w:tr>
      <w:tr w:rsidR="00026D75" w:rsidRPr="0056057F" w:rsidTr="00F35897">
        <w:tc>
          <w:tcPr>
            <w:cnfStyle w:val="001000000000" w:firstRow="0" w:lastRow="0" w:firstColumn="1" w:lastColumn="0" w:oddVBand="0" w:evenVBand="0" w:oddHBand="0" w:evenHBand="0" w:firstRowFirstColumn="0" w:firstRowLastColumn="0" w:lastRowFirstColumn="0" w:lastRowLastColumn="0"/>
            <w:tcW w:w="362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color w:val="4F81BD" w:themeColor="accent1"/>
                <w:szCs w:val="20"/>
                <w:lang w:val="es-ES"/>
              </w:rPr>
              <w:t>R.1-4:</w:t>
            </w:r>
            <w:r w:rsidRPr="0056057F">
              <w:rPr>
                <w:rFonts w:ascii="Calibri" w:hAnsi="Calibri" w:cstheme="majorBidi"/>
                <w:b w:val="0"/>
                <w:bCs w:val="0"/>
                <w:szCs w:val="20"/>
                <w:lang w:val="es-ES"/>
              </w:rPr>
              <w:t xml:space="preserve"> Mayor porcentaje de países que han completado la transición a la radiodifusión de televisión terrenal digital</w:t>
            </w:r>
          </w:p>
        </w:tc>
        <w:tc>
          <w:tcPr>
            <w:tcW w:w="6061" w:type="dxa"/>
          </w:tcPr>
          <w:p w:rsidR="00026D75" w:rsidRPr="0056057F" w:rsidRDefault="00026D75" w:rsidP="00F35897">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Porcentaje de países que han completado la transición a la radiodifusión de televisión terrenal digital</w:t>
            </w:r>
          </w:p>
        </w:tc>
        <w:tc>
          <w:tcPr>
            <w:tcW w:w="114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17,00%</w:t>
            </w:r>
          </w:p>
        </w:tc>
        <w:tc>
          <w:tcPr>
            <w:tcW w:w="1091"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27,00%</w:t>
            </w:r>
          </w:p>
        </w:tc>
        <w:tc>
          <w:tcPr>
            <w:tcW w:w="1246"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70%</w:t>
            </w:r>
          </w:p>
        </w:tc>
        <w:tc>
          <w:tcPr>
            <w:tcW w:w="1358" w:type="dxa"/>
          </w:tcPr>
          <w:p w:rsidR="00026D75" w:rsidRPr="0056057F" w:rsidRDefault="00026D75" w:rsidP="00F3589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theme="majorBidi"/>
                <w:szCs w:val="20"/>
                <w:lang w:val="es-ES"/>
              </w:rPr>
            </w:pPr>
            <w:r w:rsidRPr="0056057F">
              <w:rPr>
                <w:rFonts w:ascii="Calibri" w:hAnsi="Calibri" w:cstheme="majorBidi"/>
                <w:szCs w:val="20"/>
                <w:lang w:val="es-ES"/>
              </w:rPr>
              <w:t>BR y BDT</w:t>
            </w:r>
          </w:p>
        </w:tc>
      </w:tr>
    </w:tbl>
    <w:p w:rsidR="00026D75" w:rsidRPr="0056057F" w:rsidRDefault="00026D75" w:rsidP="0056057F">
      <w:pPr>
        <w:rPr>
          <w:lang w:val="es-ES"/>
        </w:rPr>
      </w:pPr>
      <w:r w:rsidRPr="0056057F">
        <w:rPr>
          <w:lang w:val="es-ES"/>
        </w:rPr>
        <w:br w:type="page"/>
      </w:r>
    </w:p>
    <w:p w:rsidR="00026D75" w:rsidRPr="0056057F" w:rsidRDefault="00026D75" w:rsidP="00026D75">
      <w:pPr>
        <w:rPr>
          <w:rFonts w:asciiTheme="majorBidi" w:hAnsiTheme="majorBidi" w:cstheme="majorBidi"/>
          <w:sz w:val="2"/>
          <w:szCs w:val="2"/>
          <w:lang w:val="es-ES"/>
        </w:rPr>
      </w:pPr>
    </w:p>
    <w:tbl>
      <w:tblPr>
        <w:tblStyle w:val="GridTable4-Accent11"/>
        <w:tblW w:w="14483" w:type="dxa"/>
        <w:tblLayout w:type="fixed"/>
        <w:tblLook w:val="0620" w:firstRow="1" w:lastRow="0" w:firstColumn="0" w:lastColumn="0" w:noHBand="1" w:noVBand="1"/>
      </w:tblPr>
      <w:tblGrid>
        <w:gridCol w:w="9024"/>
        <w:gridCol w:w="1386"/>
        <w:gridCol w:w="1343"/>
        <w:gridCol w:w="1358"/>
        <w:gridCol w:w="1372"/>
      </w:tblGrid>
      <w:tr w:rsidR="00026D75" w:rsidRPr="0056057F" w:rsidTr="00F35897">
        <w:trPr>
          <w:cnfStyle w:val="100000000000" w:firstRow="1" w:lastRow="0" w:firstColumn="0" w:lastColumn="0" w:oddVBand="0" w:evenVBand="0" w:oddHBand="0" w:evenHBand="0" w:firstRowFirstColumn="0" w:firstRowLastColumn="0" w:lastRowFirstColumn="0" w:lastRowLastColumn="0"/>
        </w:trPr>
        <w:tc>
          <w:tcPr>
            <w:tcW w:w="9024" w:type="dxa"/>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Producto</w:t>
            </w:r>
          </w:p>
        </w:tc>
        <w:tc>
          <w:tcPr>
            <w:tcW w:w="5459" w:type="dxa"/>
            <w:gridSpan w:val="4"/>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lang w:val="es-ES"/>
              </w:rPr>
              <w:t>Recursos financieros</w:t>
            </w:r>
            <w:r w:rsidRPr="0056057F">
              <w:rPr>
                <w:rStyle w:val="FootnoteReference"/>
                <w:rFonts w:ascii="Calibri" w:hAnsi="Calibri" w:cstheme="majorBidi"/>
                <w:b/>
                <w:bCs w:val="0"/>
                <w:lang w:val="es-ES"/>
              </w:rPr>
              <w:footnoteReference w:id="6"/>
            </w:r>
            <w:r w:rsidRPr="0056057F">
              <w:rPr>
                <w:rFonts w:ascii="Calibri" w:hAnsi="Calibri" w:cstheme="majorBidi"/>
                <w:b/>
                <w:bCs w:val="0"/>
                <w:lang w:val="es-ES"/>
              </w:rPr>
              <w:t xml:space="preserve"> (en miles de CHF)</w:t>
            </w:r>
          </w:p>
        </w:tc>
      </w:tr>
      <w:tr w:rsidR="00026D75" w:rsidRPr="0056057F" w:rsidTr="00F35897">
        <w:tc>
          <w:tcPr>
            <w:tcW w:w="9024" w:type="dxa"/>
          </w:tcPr>
          <w:p w:rsidR="00026D75" w:rsidRPr="0056057F" w:rsidRDefault="00026D75" w:rsidP="00F35897">
            <w:pPr>
              <w:pStyle w:val="Tablehead"/>
              <w:rPr>
                <w:rFonts w:ascii="Calibri" w:hAnsi="Calibri" w:cstheme="majorBidi"/>
                <w:lang w:val="es-ES"/>
              </w:rPr>
            </w:pPr>
          </w:p>
        </w:tc>
        <w:tc>
          <w:tcPr>
            <w:tcW w:w="1386" w:type="dxa"/>
          </w:tcPr>
          <w:p w:rsidR="00026D75" w:rsidRPr="0056057F" w:rsidRDefault="00026D75" w:rsidP="00F35897">
            <w:pPr>
              <w:pStyle w:val="Tablehead"/>
              <w:rPr>
                <w:rFonts w:ascii="Calibri" w:hAnsi="Calibri" w:cstheme="majorBidi"/>
                <w:color w:val="4F81BD" w:themeColor="accent1"/>
                <w:lang w:val="es-ES"/>
              </w:rPr>
            </w:pPr>
            <w:r w:rsidRPr="0056057F">
              <w:rPr>
                <w:rFonts w:ascii="Calibri" w:hAnsi="Calibri" w:cstheme="majorBidi"/>
                <w:color w:val="4F81BD" w:themeColor="accent1"/>
                <w:lang w:val="es-ES"/>
              </w:rPr>
              <w:t>2017</w:t>
            </w:r>
          </w:p>
        </w:tc>
        <w:tc>
          <w:tcPr>
            <w:tcW w:w="1343" w:type="dxa"/>
          </w:tcPr>
          <w:p w:rsidR="00026D75" w:rsidRPr="0056057F" w:rsidRDefault="00026D75" w:rsidP="00F35897">
            <w:pPr>
              <w:pStyle w:val="Tablehead"/>
              <w:rPr>
                <w:rFonts w:ascii="Calibri" w:hAnsi="Calibri" w:cstheme="majorBidi"/>
                <w:color w:val="4F81BD" w:themeColor="accent1"/>
                <w:lang w:val="es-ES"/>
              </w:rPr>
            </w:pPr>
            <w:r w:rsidRPr="0056057F">
              <w:rPr>
                <w:rFonts w:ascii="Calibri" w:hAnsi="Calibri" w:cstheme="majorBidi"/>
                <w:color w:val="4F81BD" w:themeColor="accent1"/>
                <w:lang w:val="es-ES"/>
              </w:rPr>
              <w:t>2018</w:t>
            </w:r>
          </w:p>
        </w:tc>
        <w:tc>
          <w:tcPr>
            <w:tcW w:w="1358" w:type="dxa"/>
          </w:tcPr>
          <w:p w:rsidR="00026D75" w:rsidRPr="0056057F" w:rsidRDefault="00026D75" w:rsidP="00F35897">
            <w:pPr>
              <w:pStyle w:val="Tablehead"/>
              <w:rPr>
                <w:rFonts w:ascii="Calibri" w:hAnsi="Calibri" w:cstheme="majorBidi"/>
                <w:color w:val="4F81BD" w:themeColor="accent1"/>
                <w:lang w:val="es-ES"/>
              </w:rPr>
            </w:pPr>
            <w:r w:rsidRPr="0056057F">
              <w:rPr>
                <w:rFonts w:ascii="Calibri" w:hAnsi="Calibri" w:cstheme="majorBidi"/>
                <w:color w:val="4F81BD" w:themeColor="accent1"/>
                <w:lang w:val="es-ES"/>
              </w:rPr>
              <w:t>2019</w:t>
            </w:r>
          </w:p>
        </w:tc>
        <w:tc>
          <w:tcPr>
            <w:tcW w:w="1372" w:type="dxa"/>
          </w:tcPr>
          <w:p w:rsidR="00026D75" w:rsidRPr="0056057F" w:rsidRDefault="00026D75" w:rsidP="00F35897">
            <w:pPr>
              <w:pStyle w:val="Tablehead"/>
              <w:rPr>
                <w:rFonts w:ascii="Calibri" w:hAnsi="Calibri" w:cstheme="majorBidi"/>
                <w:color w:val="4F81BD" w:themeColor="accent1"/>
                <w:lang w:val="es-ES"/>
              </w:rPr>
            </w:pPr>
            <w:r w:rsidRPr="0056057F">
              <w:rPr>
                <w:rFonts w:ascii="Calibri" w:hAnsi="Calibri" w:cstheme="majorBidi"/>
                <w:color w:val="4F81BD" w:themeColor="accent1"/>
                <w:lang w:val="es-ES"/>
              </w:rPr>
              <w:t>2020</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R.1-1</w:t>
            </w:r>
            <w:r w:rsidRPr="0056057F">
              <w:rPr>
                <w:rFonts w:ascii="Calibri" w:hAnsi="Calibri" w:cstheme="majorBidi"/>
                <w:color w:val="000000"/>
                <w:lang w:val="es-ES"/>
              </w:rPr>
              <w:t xml:space="preserve">: </w:t>
            </w:r>
            <w:r w:rsidRPr="0056057F">
              <w:rPr>
                <w:rFonts w:ascii="Calibri" w:hAnsi="Calibri" w:cstheme="majorBidi"/>
                <w:lang w:val="es-ES"/>
              </w:rPr>
              <w:t>Actas Finales de Conferencias Mundiales de Radiocomunicaciones, Reglamento de Radiocomunicaciones actualizado</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1 082</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1 052</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8 448</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1 057</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R.1-2</w:t>
            </w:r>
            <w:r w:rsidRPr="0056057F">
              <w:rPr>
                <w:rFonts w:ascii="Calibri" w:hAnsi="Calibri" w:cstheme="majorBidi"/>
                <w:color w:val="000000"/>
                <w:lang w:val="es-ES"/>
              </w:rPr>
              <w:t xml:space="preserve">: </w:t>
            </w:r>
            <w:r w:rsidRPr="0056057F">
              <w:rPr>
                <w:rFonts w:ascii="Calibri" w:hAnsi="Calibri" w:cstheme="majorBidi"/>
                <w:lang w:val="es-ES"/>
              </w:rPr>
              <w:t>Actas Finales de Conferencias Regionales de Radiocomunicaciones, Acuerdos Regionales</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306</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293</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304</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299</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R.1-3</w:t>
            </w:r>
            <w:r w:rsidRPr="0056057F">
              <w:rPr>
                <w:rFonts w:ascii="Calibri" w:hAnsi="Calibri" w:cstheme="majorBidi"/>
                <w:color w:val="000000"/>
                <w:lang w:val="es-ES"/>
              </w:rPr>
              <w:t xml:space="preserve">: </w:t>
            </w:r>
            <w:r w:rsidRPr="0056057F">
              <w:rPr>
                <w:rFonts w:ascii="Calibri" w:hAnsi="Calibri" w:cstheme="majorBidi"/>
                <w:lang w:val="es-ES"/>
              </w:rPr>
              <w:t>Reglas de Procedimiento adoptadas por la Junta del Reglamento de Radiocomunicaciones (RRB)</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1 355</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1 355</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1 324</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1 336</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R.1-4</w:t>
            </w:r>
            <w:r w:rsidRPr="0056057F">
              <w:rPr>
                <w:rFonts w:ascii="Calibri" w:hAnsi="Calibri" w:cstheme="majorBidi"/>
                <w:color w:val="000000"/>
                <w:lang w:val="es-ES"/>
              </w:rPr>
              <w:t>:</w:t>
            </w:r>
            <w:r w:rsidRPr="0056057F">
              <w:rPr>
                <w:rFonts w:ascii="Calibri" w:hAnsi="Calibri" w:cstheme="majorBidi"/>
                <w:b/>
                <w:bCs/>
                <w:color w:val="5B9BD5"/>
                <w:lang w:val="es-ES"/>
              </w:rPr>
              <w:t xml:space="preserve"> </w:t>
            </w:r>
            <w:r w:rsidRPr="0056057F">
              <w:rPr>
                <w:rFonts w:ascii="Calibri" w:hAnsi="Calibri" w:cstheme="majorBidi"/>
                <w:lang w:val="es-ES"/>
              </w:rPr>
              <w:t>Resultados de la tramitación de notificaciones espaciales y otras actividades conexas</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15 427</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15 090</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14 664</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15 043</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R.1-5</w:t>
            </w:r>
            <w:r w:rsidRPr="0056057F">
              <w:rPr>
                <w:rFonts w:ascii="Calibri" w:hAnsi="Calibri" w:cstheme="majorBidi"/>
                <w:color w:val="000000"/>
                <w:lang w:val="es-ES"/>
              </w:rPr>
              <w:t>:</w:t>
            </w:r>
            <w:r w:rsidRPr="0056057F">
              <w:rPr>
                <w:rFonts w:ascii="Calibri" w:hAnsi="Calibri" w:cstheme="majorBidi"/>
                <w:b/>
                <w:bCs/>
                <w:color w:val="5B9BD5"/>
                <w:lang w:val="es-ES"/>
              </w:rPr>
              <w:t xml:space="preserve"> </w:t>
            </w:r>
            <w:r w:rsidRPr="0056057F">
              <w:rPr>
                <w:rFonts w:ascii="Calibri" w:hAnsi="Calibri" w:cstheme="majorBidi"/>
                <w:lang w:val="es-ES"/>
              </w:rPr>
              <w:t>Resultados de la tramitación de notificaciones terrenales y otras actividades conexas</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7 652</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7 514</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7 328</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7 469</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b/>
                <w:bCs/>
                <w:lang w:val="es-ES"/>
              </w:rPr>
            </w:pPr>
            <w:r w:rsidRPr="0056057F">
              <w:rPr>
                <w:rFonts w:ascii="Calibri" w:hAnsi="Calibri" w:cstheme="majorBidi"/>
                <w:b/>
                <w:bCs/>
                <w:color w:val="5B9BD5"/>
                <w:lang w:val="es-ES"/>
              </w:rPr>
              <w:t>R.1-6</w:t>
            </w:r>
            <w:r w:rsidRPr="0056057F">
              <w:rPr>
                <w:rFonts w:ascii="Calibri" w:hAnsi="Calibri" w:cstheme="majorBidi"/>
                <w:color w:val="000000"/>
                <w:lang w:val="es-ES"/>
              </w:rPr>
              <w:t>:</w:t>
            </w:r>
            <w:r w:rsidRPr="0056057F">
              <w:rPr>
                <w:rFonts w:ascii="Calibri" w:hAnsi="Calibri" w:cstheme="majorBidi"/>
                <w:lang w:val="es-ES"/>
              </w:rPr>
              <w:t xml:space="preserve"> Decisiones de la RRB distintas de la adopción de Reglas de Procedimiento</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1 582</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1 546</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1 507</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1 557</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b/>
                <w:bCs/>
                <w:color w:val="4F81BD" w:themeColor="accent1"/>
                <w:lang w:val="es-ES"/>
              </w:rPr>
            </w:pPr>
            <w:r w:rsidRPr="0056057F">
              <w:rPr>
                <w:rFonts w:ascii="Calibri" w:hAnsi="Calibri" w:cstheme="majorBidi"/>
                <w:b/>
                <w:bCs/>
                <w:color w:val="5B9BD5"/>
                <w:lang w:val="es-ES"/>
              </w:rPr>
              <w:t>R.1-7</w:t>
            </w:r>
            <w:r w:rsidRPr="0056057F">
              <w:rPr>
                <w:rFonts w:ascii="Calibri" w:hAnsi="Calibri" w:cstheme="majorBidi"/>
                <w:color w:val="000000"/>
                <w:lang w:val="es-ES"/>
              </w:rPr>
              <w:t>:</w:t>
            </w:r>
            <w:r w:rsidRPr="0056057F">
              <w:rPr>
                <w:rFonts w:ascii="Calibri" w:hAnsi="Calibri" w:cstheme="majorBidi"/>
                <w:b/>
                <w:bCs/>
                <w:color w:val="5B9BD5"/>
                <w:lang w:val="es-ES"/>
              </w:rPr>
              <w:t xml:space="preserve"> </w:t>
            </w:r>
            <w:r w:rsidRPr="0056057F">
              <w:rPr>
                <w:rFonts w:ascii="Calibri" w:hAnsi="Calibri" w:cstheme="majorBidi"/>
                <w:lang w:val="es-ES"/>
              </w:rPr>
              <w:t>Mejora del software del UIT</w:t>
            </w:r>
            <w:r w:rsidRPr="0056057F">
              <w:rPr>
                <w:rFonts w:ascii="Calibri" w:hAnsi="Calibri" w:cstheme="majorBidi"/>
                <w:lang w:val="es-ES"/>
              </w:rPr>
              <w:noBreakHyphen/>
              <w:t>R</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7 323</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7 183</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6 924</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7 141</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b/>
                <w:bCs/>
                <w:color w:val="5B9BD5"/>
                <w:lang w:val="es-ES"/>
              </w:rPr>
            </w:pPr>
            <w:r w:rsidRPr="0056057F">
              <w:rPr>
                <w:rFonts w:ascii="Calibri" w:hAnsi="Calibri" w:cstheme="majorBidi"/>
                <w:lang w:val="es-ES"/>
              </w:rPr>
              <w:t>Atribución de costos a las actividades de la Conferencia de Plenipotenciarios y el Consejo</w:t>
            </w:r>
            <w:r w:rsidRPr="0056057F">
              <w:rPr>
                <w:rFonts w:ascii="Calibri" w:hAnsi="Calibri" w:cstheme="majorBidi"/>
                <w:lang w:val="es-ES"/>
              </w:rPr>
              <w:br/>
              <w:t>(</w:t>
            </w:r>
            <w:r w:rsidRPr="0056057F">
              <w:rPr>
                <w:rFonts w:ascii="Calibri" w:hAnsi="Calibri" w:cstheme="majorBidi"/>
                <w:b/>
                <w:bCs/>
                <w:lang w:val="es-ES"/>
              </w:rPr>
              <w:t>PP</w:t>
            </w:r>
            <w:r w:rsidRPr="0056057F">
              <w:rPr>
                <w:rFonts w:ascii="Calibri" w:hAnsi="Calibri" w:cstheme="majorBidi"/>
                <w:lang w:val="es-ES"/>
              </w:rPr>
              <w:t xml:space="preserve">, </w:t>
            </w:r>
            <w:r w:rsidRPr="0056057F">
              <w:rPr>
                <w:rFonts w:ascii="Calibri" w:hAnsi="Calibri" w:cstheme="majorBidi"/>
                <w:b/>
                <w:bCs/>
                <w:lang w:val="es-ES"/>
              </w:rPr>
              <w:t>Consejo/GTC</w:t>
            </w:r>
            <w:r w:rsidRPr="0056057F">
              <w:rPr>
                <w:rFonts w:ascii="Calibri" w:hAnsi="Calibri" w:cstheme="majorBidi"/>
                <w:lang w:val="es-ES"/>
              </w:rPr>
              <w:t>)</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1 218</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1 993</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1 310</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1 407</w:t>
            </w:r>
          </w:p>
        </w:tc>
      </w:tr>
      <w:tr w:rsidR="00026D75" w:rsidRPr="0056057F" w:rsidTr="00F35897">
        <w:tc>
          <w:tcPr>
            <w:tcW w:w="9024" w:type="dxa"/>
            <w:vAlign w:val="center"/>
          </w:tcPr>
          <w:p w:rsidR="00026D75" w:rsidRPr="0056057F" w:rsidRDefault="00026D75" w:rsidP="00F35897">
            <w:pPr>
              <w:pStyle w:val="Tabletext"/>
              <w:rPr>
                <w:rFonts w:ascii="Calibri" w:hAnsi="Calibri" w:cstheme="majorBidi"/>
                <w:b/>
                <w:bCs/>
                <w:noProof/>
                <w:color w:val="4F81BD" w:themeColor="accent1"/>
                <w:lang w:val="es-ES" w:eastAsia="zh-CN"/>
              </w:rPr>
            </w:pPr>
            <w:r w:rsidRPr="0056057F">
              <w:rPr>
                <w:rFonts w:ascii="Calibri" w:hAnsi="Calibri" w:cstheme="majorBidi"/>
                <w:b/>
                <w:bCs/>
                <w:color w:val="4F81BD" w:themeColor="accent1"/>
                <w:lang w:val="es-ES"/>
              </w:rPr>
              <w:t>Total para el Objetivo R.1</w:t>
            </w:r>
          </w:p>
        </w:tc>
        <w:tc>
          <w:tcPr>
            <w:tcW w:w="1386"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35 945</w:t>
            </w:r>
          </w:p>
        </w:tc>
        <w:tc>
          <w:tcPr>
            <w:tcW w:w="1343"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36 026</w:t>
            </w:r>
          </w:p>
        </w:tc>
        <w:tc>
          <w:tcPr>
            <w:tcW w:w="1358"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41 809</w:t>
            </w:r>
          </w:p>
        </w:tc>
        <w:tc>
          <w:tcPr>
            <w:tcW w:w="1372"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35 309</w:t>
            </w:r>
          </w:p>
        </w:tc>
      </w:tr>
    </w:tbl>
    <w:p w:rsidR="00026D75" w:rsidRPr="0056057F" w:rsidRDefault="00026D75" w:rsidP="0056057F">
      <w:pPr>
        <w:rPr>
          <w:lang w:val="es-ES"/>
        </w:rPr>
      </w:pPr>
      <w:r w:rsidRPr="0056057F">
        <w:rPr>
          <w:lang w:val="es-ES"/>
        </w:rPr>
        <w:br w:type="page"/>
      </w:r>
    </w:p>
    <w:p w:rsidR="00026D75" w:rsidRPr="0056057F" w:rsidRDefault="00026D75" w:rsidP="00026D75">
      <w:pPr>
        <w:pStyle w:val="Heading2"/>
        <w:spacing w:after="120"/>
        <w:rPr>
          <w:lang w:val="es-ES"/>
        </w:rPr>
      </w:pPr>
      <w:r w:rsidRPr="0056057F">
        <w:rPr>
          <w:lang w:val="es-ES"/>
        </w:rPr>
        <w:lastRenderedPageBreak/>
        <w:t>5.2</w:t>
      </w:r>
      <w:r w:rsidRPr="0056057F">
        <w:rPr>
          <w:lang w:val="es-ES"/>
        </w:rPr>
        <w:tab/>
        <w:t>R.2</w:t>
      </w:r>
      <w:r w:rsidRPr="0056057F">
        <w:rPr>
          <w:lang w:val="es-ES"/>
        </w:rPr>
        <w:tab/>
        <w:t>Asegurar la conectividad e interoperatividad mundial, la mejora de la calidad de funcionamiento, la calidad, la asequibilidad y la disponibilidad oportuna de los servicios y la economía global de las radiocomunicaciones, incluida la elaboración de normas internacionales</w:t>
      </w:r>
    </w:p>
    <w:tbl>
      <w:tblPr>
        <w:tblStyle w:val="GridTable4-Accent11"/>
        <w:tblW w:w="14469" w:type="dxa"/>
        <w:tblLook w:val="0620" w:firstRow="1" w:lastRow="0" w:firstColumn="0" w:lastColumn="0" w:noHBand="1" w:noVBand="1"/>
      </w:tblPr>
      <w:tblGrid>
        <w:gridCol w:w="3662"/>
        <w:gridCol w:w="3730"/>
        <w:gridCol w:w="1080"/>
        <w:gridCol w:w="1080"/>
        <w:gridCol w:w="1100"/>
        <w:gridCol w:w="3817"/>
      </w:tblGrid>
      <w:tr w:rsidR="00026D75" w:rsidRPr="0056057F" w:rsidTr="00F35897">
        <w:trPr>
          <w:cnfStyle w:val="100000000000" w:firstRow="1" w:lastRow="0" w:firstColumn="0" w:lastColumn="0" w:oddVBand="0" w:evenVBand="0" w:oddHBand="0" w:evenHBand="0" w:firstRowFirstColumn="0" w:firstRowLastColumn="0" w:lastRowFirstColumn="0" w:lastRowLastColumn="0"/>
          <w:tblHeader/>
        </w:trPr>
        <w:tc>
          <w:tcPr>
            <w:tcW w:w="3662" w:type="dxa"/>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Resultado</w:t>
            </w:r>
          </w:p>
        </w:tc>
        <w:tc>
          <w:tcPr>
            <w:tcW w:w="3730" w:type="dxa"/>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Indicador de resultados</w:t>
            </w:r>
            <w:r w:rsidRPr="0056057F">
              <w:rPr>
                <w:rStyle w:val="FootnoteReference"/>
                <w:rFonts w:ascii="Calibri" w:hAnsi="Calibri" w:cstheme="majorBidi"/>
                <w:b/>
                <w:bCs w:val="0"/>
                <w:lang w:val="es-ES"/>
              </w:rPr>
              <w:footnoteReference w:id="7"/>
            </w:r>
          </w:p>
        </w:tc>
        <w:tc>
          <w:tcPr>
            <w:tcW w:w="1080" w:type="dxa"/>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2014</w:t>
            </w:r>
          </w:p>
        </w:tc>
        <w:tc>
          <w:tcPr>
            <w:tcW w:w="1080" w:type="dxa"/>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2015</w:t>
            </w:r>
          </w:p>
        </w:tc>
        <w:tc>
          <w:tcPr>
            <w:tcW w:w="1100" w:type="dxa"/>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Meta para 2020</w:t>
            </w:r>
          </w:p>
        </w:tc>
        <w:tc>
          <w:tcPr>
            <w:tcW w:w="3817" w:type="dxa"/>
          </w:tcPr>
          <w:p w:rsidR="00026D75" w:rsidRPr="0056057F" w:rsidRDefault="00026D75" w:rsidP="00F35897">
            <w:pPr>
              <w:pStyle w:val="Tablehead"/>
              <w:rPr>
                <w:rFonts w:ascii="Calibri" w:hAnsi="Calibri" w:cstheme="majorBidi"/>
                <w:b/>
                <w:bCs w:val="0"/>
                <w:lang w:val="es-ES"/>
              </w:rPr>
            </w:pPr>
            <w:r w:rsidRPr="0056057F">
              <w:rPr>
                <w:rFonts w:ascii="Calibri" w:hAnsi="Calibri" w:cstheme="majorBidi"/>
                <w:b/>
                <w:bCs w:val="0"/>
                <w:lang w:val="es-ES"/>
              </w:rPr>
              <w:t>Origen</w:t>
            </w:r>
          </w:p>
        </w:tc>
      </w:tr>
      <w:tr w:rsidR="00026D75" w:rsidRPr="0056057F" w:rsidTr="00F35897">
        <w:tc>
          <w:tcPr>
            <w:tcW w:w="3662"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b/>
                <w:bCs/>
                <w:color w:val="4F81BD" w:themeColor="accent1"/>
                <w:szCs w:val="20"/>
                <w:lang w:val="es-ES"/>
              </w:rPr>
              <w:t>R.1-5:</w:t>
            </w:r>
            <w:r w:rsidRPr="0056057F">
              <w:rPr>
                <w:rFonts w:ascii="Calibri" w:hAnsi="Calibri" w:cstheme="majorBidi"/>
                <w:szCs w:val="20"/>
                <w:lang w:val="es-ES"/>
              </w:rPr>
              <w:t xml:space="preserve"> Mayor porcentaje de espectro exento de interferencia perjudicial asignado a redes de satélite</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Porcentaje de espectro asignado a redes de satélites que está libre de interferencia perjudicial</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99,97%</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99,96%</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99,99%</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BR/MIFR</w:t>
            </w:r>
          </w:p>
        </w:tc>
      </w:tr>
      <w:tr w:rsidR="00026D75" w:rsidRPr="0056057F" w:rsidTr="00F35897">
        <w:tc>
          <w:tcPr>
            <w:tcW w:w="3662" w:type="dxa"/>
          </w:tcPr>
          <w:p w:rsidR="00026D75" w:rsidRPr="0056057F" w:rsidRDefault="00026D75" w:rsidP="00F35897">
            <w:pPr>
              <w:pStyle w:val="Tabletext"/>
              <w:rPr>
                <w:rFonts w:ascii="Calibri" w:hAnsi="Calibri" w:cstheme="majorBidi"/>
                <w:b/>
                <w:bCs/>
                <w:color w:val="4F81BD" w:themeColor="accent1"/>
                <w:szCs w:val="20"/>
                <w:lang w:val="es-ES"/>
              </w:rPr>
            </w:pPr>
            <w:r w:rsidRPr="0056057F">
              <w:rPr>
                <w:rFonts w:ascii="Calibri" w:hAnsi="Calibri" w:cstheme="majorBidi"/>
                <w:b/>
                <w:bCs/>
                <w:color w:val="4F81BD" w:themeColor="accent1"/>
                <w:szCs w:val="20"/>
                <w:lang w:val="es-ES"/>
              </w:rPr>
              <w:t>R.1-6:</w:t>
            </w:r>
            <w:r w:rsidRPr="0056057F">
              <w:rPr>
                <w:rFonts w:ascii="Calibri" w:hAnsi="Calibri" w:cstheme="majorBidi"/>
                <w:szCs w:val="20"/>
                <w:lang w:val="es-ES"/>
              </w:rPr>
              <w:t xml:space="preserve"> Mayor porcentaje de asignaciones exentas de interferencias perjudiciales a servicios terrenales inscritas en el Registro</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Porcentaje de asignaciones a los servicios terrenales inscritas en el Registro que están libres de interferencia perjudicial (sobre la base del número de casos presentados a la UIT en los cuatro últimos años)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99,99%</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99,99%</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99,99%</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BR/MIFR</w:t>
            </w:r>
          </w:p>
        </w:tc>
      </w:tr>
      <w:tr w:rsidR="00026D75" w:rsidRPr="0056057F" w:rsidTr="00F35897">
        <w:tc>
          <w:tcPr>
            <w:tcW w:w="3662" w:type="dxa"/>
            <w:vMerge w:val="restart"/>
          </w:tcPr>
          <w:p w:rsidR="00026D75" w:rsidRPr="0056057F" w:rsidRDefault="00026D75" w:rsidP="00F35897">
            <w:pPr>
              <w:pStyle w:val="Tabletext"/>
              <w:rPr>
                <w:rFonts w:ascii="Calibri" w:hAnsi="Calibri" w:cstheme="majorBidi"/>
                <w:b/>
                <w:bCs/>
                <w:szCs w:val="20"/>
                <w:lang w:val="es-ES"/>
              </w:rPr>
            </w:pPr>
            <w:r w:rsidRPr="0056057F">
              <w:rPr>
                <w:rFonts w:ascii="Calibri" w:hAnsi="Calibri" w:cstheme="majorBidi"/>
                <w:b/>
                <w:bCs/>
                <w:color w:val="4F81BD" w:themeColor="accent1"/>
                <w:szCs w:val="20"/>
                <w:lang w:val="es-ES"/>
              </w:rPr>
              <w:t>R.2-1:</w:t>
            </w:r>
            <w:r w:rsidRPr="0056057F">
              <w:rPr>
                <w:rFonts w:ascii="Calibri" w:hAnsi="Calibri" w:cstheme="majorBidi"/>
                <w:szCs w:val="20"/>
                <w:lang w:val="es-ES"/>
              </w:rPr>
              <w:t xml:space="preserve"> Mayor acceso de banda ancha móvil, incluso en bandas de frecuencias identificadas para las telecomunicaciones móviles internacionales (IMT)</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abonos/abonados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6,95/5,00</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7,09/5,20</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9,20</w:t>
            </w:r>
          </w:p>
        </w:tc>
        <w:tc>
          <w:tcPr>
            <w:tcW w:w="3817"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El estado de la banda ancha 2015: Informe de la Comisión de la Banda Ancha para el Desarrollo Digital, septiembre de 2015</w:t>
            </w:r>
          </w:p>
        </w:tc>
      </w:tr>
      <w:tr w:rsidR="00026D75" w:rsidRPr="0056057F" w:rsidTr="00F35897">
        <w:tc>
          <w:tcPr>
            <w:tcW w:w="3662" w:type="dxa"/>
            <w:vMerge/>
          </w:tcPr>
          <w:p w:rsidR="00026D75" w:rsidRPr="0056057F" w:rsidRDefault="00026D75" w:rsidP="00F35897">
            <w:pPr>
              <w:pStyle w:val="Tabletext"/>
              <w:rPr>
                <w:rFonts w:ascii="Calibri" w:hAnsi="Calibri" w:cstheme="majorBidi"/>
                <w:b/>
                <w:bCs/>
                <w:color w:val="4F81BD" w:themeColor="accent1"/>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 de abonos a la banda ancha móvil</w:t>
            </w:r>
          </w:p>
        </w:tc>
        <w:tc>
          <w:tcPr>
            <w:tcW w:w="1080" w:type="dxa"/>
          </w:tcPr>
          <w:p w:rsidR="00026D75" w:rsidRPr="0056057F" w:rsidDel="00B01F1B"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38,7%</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48,8%</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83,7%</w:t>
            </w:r>
          </w:p>
        </w:tc>
        <w:tc>
          <w:tcPr>
            <w:tcW w:w="3817" w:type="dxa"/>
            <w:vMerge/>
          </w:tcPr>
          <w:p w:rsidR="00026D75" w:rsidRPr="0056057F" w:rsidRDefault="00026D75" w:rsidP="00F35897">
            <w:pPr>
              <w:pStyle w:val="Tabletext"/>
              <w:rPr>
                <w:rFonts w:ascii="Calibri" w:hAnsi="Calibri" w:cstheme="majorBidi"/>
                <w:szCs w:val="20"/>
                <w:lang w:val="es-ES"/>
              </w:rPr>
            </w:pPr>
          </w:p>
        </w:tc>
      </w:tr>
      <w:tr w:rsidR="00026D75" w:rsidRPr="0056057F" w:rsidTr="00F35897">
        <w:tc>
          <w:tcPr>
            <w:tcW w:w="3662" w:type="dxa"/>
            <w:vMerge w:val="restart"/>
          </w:tcPr>
          <w:p w:rsidR="00026D75" w:rsidRPr="0056057F" w:rsidRDefault="00026D75" w:rsidP="00F35897">
            <w:pPr>
              <w:pStyle w:val="Tabletext"/>
              <w:rPr>
                <w:rFonts w:ascii="Calibri" w:hAnsi="Calibri" w:cstheme="majorBidi"/>
                <w:b/>
                <w:bCs/>
                <w:szCs w:val="20"/>
                <w:lang w:val="es-ES"/>
              </w:rPr>
            </w:pPr>
            <w:r w:rsidRPr="0056057F">
              <w:rPr>
                <w:rFonts w:ascii="Calibri" w:hAnsi="Calibri" w:cstheme="majorBidi"/>
                <w:b/>
                <w:bCs/>
                <w:color w:val="4F81BD" w:themeColor="accent1"/>
                <w:szCs w:val="20"/>
                <w:lang w:val="es-ES"/>
              </w:rPr>
              <w:t>R.2-2:</w:t>
            </w:r>
            <w:r w:rsidRPr="0056057F">
              <w:rPr>
                <w:rFonts w:ascii="Calibri" w:hAnsi="Calibri" w:cstheme="majorBidi"/>
                <w:szCs w:val="20"/>
                <w:lang w:val="es-ES"/>
              </w:rPr>
              <w:t xml:space="preserve"> Disminución de la cesta de precios de la banda ancha móvil en porcentaje de la Renta Nacional Bruta (RNB) por habitante</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Cesta de precios de la banda ancha móvil en porcentaje de la RNB por habitante (prepago, teléfono móvil, 500 MB)</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4,80</w:t>
            </w:r>
          </w:p>
        </w:tc>
        <w:tc>
          <w:tcPr>
            <w:tcW w:w="1080" w:type="dxa"/>
          </w:tcPr>
          <w:p w:rsidR="00026D75" w:rsidRPr="0056057F" w:rsidRDefault="00026D75" w:rsidP="00F35897">
            <w:pPr>
              <w:pStyle w:val="Tabletext"/>
              <w:jc w:val="center"/>
              <w:rPr>
                <w:rFonts w:ascii="Calibri" w:hAnsi="Calibri" w:cstheme="majorBidi"/>
                <w:szCs w:val="20"/>
                <w:lang w:val="es-ES"/>
              </w:rPr>
            </w:pP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4,00</w:t>
            </w:r>
          </w:p>
        </w:tc>
        <w:tc>
          <w:tcPr>
            <w:tcW w:w="3817"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 xml:space="preserve">UIT, Informe </w:t>
            </w:r>
            <w:r w:rsidRPr="0056057F">
              <w:rPr>
                <w:rFonts w:ascii="Calibri" w:hAnsi="Calibri" w:cstheme="majorBidi"/>
                <w:i/>
                <w:iCs/>
                <w:szCs w:val="20"/>
                <w:lang w:val="es-ES"/>
              </w:rPr>
              <w:t>Medición de la Sociedad de la Información, Ed. 2015</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países con una cesta de precios por debajo del 5%</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111</w:t>
            </w:r>
          </w:p>
        </w:tc>
        <w:tc>
          <w:tcPr>
            <w:tcW w:w="1080" w:type="dxa"/>
          </w:tcPr>
          <w:p w:rsidR="00026D75" w:rsidRPr="0056057F" w:rsidRDefault="00026D75" w:rsidP="00F35897">
            <w:pPr>
              <w:pStyle w:val="Tabletext"/>
              <w:jc w:val="center"/>
              <w:rPr>
                <w:rFonts w:ascii="Calibri" w:hAnsi="Calibri" w:cstheme="majorBidi"/>
                <w:szCs w:val="20"/>
                <w:lang w:val="es-ES"/>
              </w:rPr>
            </w:pP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193</w:t>
            </w:r>
          </w:p>
        </w:tc>
        <w:tc>
          <w:tcPr>
            <w:tcW w:w="3817" w:type="dxa"/>
            <w:vMerge/>
          </w:tcPr>
          <w:p w:rsidR="00026D75" w:rsidRPr="0056057F" w:rsidRDefault="00026D75" w:rsidP="00F35897">
            <w:pPr>
              <w:pStyle w:val="Tabletext"/>
              <w:rPr>
                <w:rFonts w:ascii="Calibri" w:hAnsi="Calibri" w:cstheme="majorBidi"/>
                <w:szCs w:val="20"/>
                <w:lang w:val="es-ES"/>
              </w:rPr>
            </w:pPr>
          </w:p>
        </w:tc>
      </w:tr>
      <w:tr w:rsidR="00026D75" w:rsidRPr="0056057F" w:rsidTr="00F35897">
        <w:tc>
          <w:tcPr>
            <w:tcW w:w="3662"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b/>
                <w:bCs/>
                <w:color w:val="4F81BD" w:themeColor="accent1"/>
                <w:szCs w:val="20"/>
                <w:lang w:val="es-ES"/>
              </w:rPr>
              <w:t>R.2-3:</w:t>
            </w:r>
            <w:r w:rsidRPr="0056057F">
              <w:rPr>
                <w:rFonts w:ascii="Calibri" w:hAnsi="Calibri" w:cstheme="majorBidi"/>
                <w:szCs w:val="20"/>
                <w:lang w:val="es-ES"/>
              </w:rPr>
              <w:t xml:space="preserve"> Mayor número de enlaces fijos y aumento del tráfico cursado por el servicio fijo (Tbit/s)</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enlaces fijos</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10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3817" w:type="dxa"/>
            <w:shd w:val="clear" w:color="auto" w:fill="auto"/>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 xml:space="preserve">Se obtendrá a través de la encuesta de la BDT sobre las TIC </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Capacidad total (en Tbit/s)</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10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Se obtendrá a través de la encuesta de la BDT sobre las TIC</w:t>
            </w:r>
          </w:p>
        </w:tc>
      </w:tr>
      <w:tr w:rsidR="00026D75" w:rsidRPr="0056057F" w:rsidTr="00F35897">
        <w:tc>
          <w:tcPr>
            <w:tcW w:w="3662" w:type="dxa"/>
            <w:vMerge w:val="restart"/>
          </w:tcPr>
          <w:p w:rsidR="00026D75" w:rsidRPr="0056057F" w:rsidRDefault="00026D75" w:rsidP="008045FB">
            <w:pPr>
              <w:pStyle w:val="Tabletext"/>
              <w:keepNext/>
              <w:rPr>
                <w:rFonts w:ascii="Calibri" w:hAnsi="Calibri" w:cstheme="majorBidi"/>
                <w:szCs w:val="20"/>
                <w:lang w:val="es-ES"/>
              </w:rPr>
            </w:pPr>
            <w:r w:rsidRPr="0056057F">
              <w:rPr>
                <w:rFonts w:ascii="Calibri" w:hAnsi="Calibri" w:cstheme="majorBidi"/>
                <w:b/>
                <w:bCs/>
                <w:color w:val="4F81BD" w:themeColor="accent1"/>
                <w:szCs w:val="20"/>
                <w:lang w:val="es-ES"/>
              </w:rPr>
              <w:lastRenderedPageBreak/>
              <w:t>R.2-4</w:t>
            </w:r>
            <w:r w:rsidRPr="0056057F">
              <w:rPr>
                <w:rFonts w:ascii="Calibri" w:hAnsi="Calibri" w:cstheme="majorBidi"/>
                <w:szCs w:val="20"/>
                <w:lang w:val="es-ES"/>
              </w:rPr>
              <w:t>: Número de hogares con recepción de televisión digital terrenal</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hogares con TDT (millones)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197,7</w:t>
            </w:r>
          </w:p>
        </w:tc>
        <w:tc>
          <w:tcPr>
            <w:tcW w:w="1080" w:type="dxa"/>
          </w:tcPr>
          <w:p w:rsidR="00026D75" w:rsidRPr="0056057F" w:rsidRDefault="00026D75" w:rsidP="00F35897">
            <w:pPr>
              <w:pStyle w:val="Tabletext"/>
              <w:jc w:val="center"/>
              <w:rPr>
                <w:rFonts w:ascii="Calibri" w:hAnsi="Calibri" w:cstheme="majorBidi"/>
                <w:szCs w:val="20"/>
                <w:lang w:val="es-ES"/>
              </w:rPr>
            </w:pP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453</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Digital TV World Databook report, junio de 2015; Digital TV Research Ltd</w:t>
            </w:r>
            <w:r w:rsidRPr="0056057F">
              <w:rPr>
                <w:rFonts w:ascii="Calibri" w:hAnsi="Calibri" w:cstheme="majorBidi"/>
                <w:szCs w:val="20"/>
                <w:lang w:val="es-ES"/>
              </w:rPr>
              <w:br/>
              <w:t>Databook report</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 de hogares con TDT</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10,8%</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15,1%</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22,7%</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Digital TV World Databook report, junio de 2015; Digital TV Research Ltd/UNStats</w:t>
            </w:r>
          </w:p>
        </w:tc>
      </w:tr>
      <w:tr w:rsidR="00026D75" w:rsidRPr="0056057F" w:rsidTr="00F35897">
        <w:tc>
          <w:tcPr>
            <w:tcW w:w="3662" w:type="dxa"/>
            <w:vMerge w:val="restart"/>
          </w:tcPr>
          <w:p w:rsidR="00026D75" w:rsidRPr="0056057F" w:rsidRDefault="00026D75" w:rsidP="00F35897">
            <w:pPr>
              <w:pStyle w:val="Tabletext"/>
              <w:keepNext/>
              <w:keepLines/>
              <w:ind w:right="-57"/>
              <w:rPr>
                <w:rFonts w:ascii="Calibri" w:hAnsi="Calibri" w:cstheme="majorBidi"/>
                <w:szCs w:val="20"/>
                <w:lang w:val="es-ES"/>
              </w:rPr>
            </w:pPr>
            <w:r w:rsidRPr="0056057F">
              <w:rPr>
                <w:rFonts w:ascii="Calibri" w:hAnsi="Calibri" w:cstheme="majorBidi"/>
                <w:b/>
                <w:bCs/>
                <w:color w:val="4F81BD" w:themeColor="accent1"/>
                <w:szCs w:val="20"/>
                <w:lang w:val="es-ES"/>
              </w:rPr>
              <w:t>R.2-5</w:t>
            </w:r>
            <w:r w:rsidRPr="0056057F">
              <w:rPr>
                <w:rFonts w:ascii="Calibri" w:hAnsi="Calibri" w:cstheme="majorBidi"/>
                <w:szCs w:val="20"/>
                <w:lang w:val="es-ES"/>
              </w:rPr>
              <w:t>: Número de transpondedores de satélite (equivalente a 36 MHz) en funcionamiento y capacidad correspondiente (Tbit/s), número de terminales VSAR, número de hogares con recepción de televisión por satélite</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transpondedores de satélite (equivalente 36 MHz) en explotación</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10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A obtener de Euronconsult</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Capacidad correspondiente (en Tbit/s)</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08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1100" w:type="dxa"/>
          </w:tcPr>
          <w:p w:rsidR="00026D75" w:rsidRPr="0056057F" w:rsidRDefault="00026D75" w:rsidP="00F35897">
            <w:pPr>
              <w:jc w:val="center"/>
              <w:rPr>
                <w:rFonts w:ascii="Calibri" w:eastAsia="Times New Roman" w:hAnsi="Calibri" w:cstheme="majorBidi"/>
                <w:color w:val="000000"/>
                <w:sz w:val="20"/>
                <w:szCs w:val="20"/>
                <w:lang w:val="es-ES" w:eastAsia="fr-FR"/>
              </w:rPr>
            </w:pPr>
            <w:r w:rsidRPr="0056057F">
              <w:rPr>
                <w:rFonts w:ascii="Calibri" w:eastAsia="Times New Roman" w:hAnsi="Calibri" w:cstheme="majorBidi"/>
                <w:color w:val="000000"/>
                <w:sz w:val="20"/>
                <w:szCs w:val="20"/>
                <w:lang w:val="es-ES" w:eastAsia="fr-FR"/>
              </w:rPr>
              <w:t>n/a</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A obtener de Euronconsult</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VSAT (millones)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3 865</w:t>
            </w:r>
          </w:p>
        </w:tc>
        <w:tc>
          <w:tcPr>
            <w:tcW w:w="1080" w:type="dxa"/>
          </w:tcPr>
          <w:p w:rsidR="00026D75" w:rsidRPr="0056057F" w:rsidRDefault="00026D75" w:rsidP="00F35897">
            <w:pPr>
              <w:pStyle w:val="Tabletext"/>
              <w:jc w:val="center"/>
              <w:rPr>
                <w:rFonts w:ascii="Calibri" w:hAnsi="Calibri" w:cstheme="majorBidi"/>
                <w:szCs w:val="20"/>
                <w:lang w:val="es-ES"/>
              </w:rPr>
            </w:pPr>
          </w:p>
        </w:tc>
        <w:tc>
          <w:tcPr>
            <w:tcW w:w="1100" w:type="dxa"/>
          </w:tcPr>
          <w:p w:rsidR="00026D75" w:rsidRPr="0056057F" w:rsidRDefault="00026D75" w:rsidP="00F35897">
            <w:pPr>
              <w:pStyle w:val="Tabletext"/>
              <w:jc w:val="center"/>
              <w:rPr>
                <w:rFonts w:ascii="Calibri" w:hAnsi="Calibri" w:cstheme="majorBidi"/>
                <w:szCs w:val="20"/>
                <w:lang w:val="es-ES"/>
              </w:rPr>
            </w:pP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Global VSAT Forum</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DTH (millones)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357</w:t>
            </w:r>
          </w:p>
        </w:tc>
        <w:tc>
          <w:tcPr>
            <w:tcW w:w="1080" w:type="dxa"/>
          </w:tcPr>
          <w:p w:rsidR="00026D75" w:rsidRPr="0056057F" w:rsidRDefault="00026D75" w:rsidP="00F35897">
            <w:pPr>
              <w:pStyle w:val="Tabletext"/>
              <w:jc w:val="center"/>
              <w:rPr>
                <w:rFonts w:ascii="Calibri" w:hAnsi="Calibri" w:cstheme="majorBidi"/>
                <w:szCs w:val="20"/>
                <w:lang w:val="es-ES"/>
              </w:rPr>
            </w:pP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439</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Digital TV World Databook report, junio de 2015; Digital TV Research Ltd</w:t>
            </w:r>
          </w:p>
        </w:tc>
      </w:tr>
      <w:tr w:rsidR="00026D75" w:rsidRPr="0056057F" w:rsidTr="00F35897">
        <w:tc>
          <w:tcPr>
            <w:tcW w:w="3662" w:type="dxa"/>
            <w:vMerge w:val="restart"/>
          </w:tcPr>
          <w:p w:rsidR="00026D75" w:rsidRPr="0056057F" w:rsidRDefault="00026D75" w:rsidP="00F35897">
            <w:pPr>
              <w:pStyle w:val="Tabletext"/>
              <w:ind w:right="-57"/>
              <w:rPr>
                <w:rFonts w:ascii="Calibri" w:hAnsi="Calibri" w:cstheme="majorBidi"/>
                <w:szCs w:val="20"/>
                <w:lang w:val="es-ES"/>
              </w:rPr>
            </w:pPr>
            <w:r w:rsidRPr="0056057F">
              <w:rPr>
                <w:rFonts w:ascii="Calibri" w:hAnsi="Calibri" w:cstheme="majorBidi"/>
                <w:b/>
                <w:bCs/>
                <w:color w:val="4F81BD" w:themeColor="accent1"/>
                <w:szCs w:val="20"/>
                <w:lang w:val="es-ES"/>
              </w:rPr>
              <w:t>R.2-6</w:t>
            </w:r>
            <w:r w:rsidRPr="0056057F">
              <w:rPr>
                <w:rFonts w:ascii="Calibri" w:hAnsi="Calibri" w:cstheme="majorBidi"/>
                <w:szCs w:val="20"/>
                <w:lang w:val="es-ES"/>
              </w:rPr>
              <w:t>: Mayor número de dispositivos con recepción de radionavegación por satélite</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satélites/constelaciones del GNSS en funcionamiento</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2/48</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3/72</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6/144</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BR/MIFR</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dispositivos con receptor GNSS incorporado</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3,7</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4,5</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8</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European GNSS Agency: GNNS Report 2015</w:t>
            </w:r>
          </w:p>
        </w:tc>
      </w:tr>
      <w:tr w:rsidR="00026D75" w:rsidRPr="0056057F" w:rsidTr="00F35897">
        <w:tc>
          <w:tcPr>
            <w:tcW w:w="3662"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b/>
                <w:bCs/>
                <w:color w:val="4F81BD" w:themeColor="accent1"/>
                <w:szCs w:val="20"/>
                <w:lang w:val="es-ES"/>
              </w:rPr>
              <w:t>R.2-7</w:t>
            </w:r>
            <w:r w:rsidRPr="0056057F">
              <w:rPr>
                <w:rFonts w:ascii="Calibri" w:hAnsi="Calibri" w:cstheme="majorBidi"/>
                <w:szCs w:val="20"/>
                <w:lang w:val="es-ES"/>
              </w:rPr>
              <w:t>: Número de satélites de exploración de la Tierra en funcionamiento, cantidad y resolución correspondientes de las imágenes transmitidas y los volúmenes de datos descargados (Tbytes)</w:t>
            </w: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satélites de estudio de los recursos terrestres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180</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215</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440</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BR/MIFR</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Cantidad de imágenes transmitidas (millones)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eastAsia="Times New Roman" w:hAnsi="Calibri" w:cstheme="majorBidi"/>
                <w:color w:val="000000"/>
                <w:szCs w:val="20"/>
                <w:lang w:val="es-ES" w:eastAsia="fr-FR"/>
              </w:rPr>
              <w:t>n/a</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eastAsia="Times New Roman" w:hAnsi="Calibri" w:cstheme="majorBidi"/>
                <w:color w:val="000000"/>
                <w:szCs w:val="20"/>
                <w:lang w:val="es-ES" w:eastAsia="fr-FR"/>
              </w:rPr>
              <w:t>n/a</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eastAsia="Times New Roman" w:hAnsi="Calibri" w:cstheme="majorBidi"/>
                <w:color w:val="000000"/>
                <w:szCs w:val="20"/>
                <w:lang w:val="es-ES" w:eastAsia="fr-FR"/>
              </w:rPr>
              <w:t>n/a</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Oficina de las Naciones Unidas de Asuntos del Espacio Ultraterrestre; Grupo de Trabajo de las Naciones Unidas sobre estudio de los recursos terrestres</w:t>
            </w:r>
          </w:p>
        </w:tc>
      </w:tr>
      <w:tr w:rsidR="00026D75" w:rsidRPr="0056057F" w:rsidTr="00F35897">
        <w:tc>
          <w:tcPr>
            <w:tcW w:w="3662" w:type="dxa"/>
            <w:vMerge/>
          </w:tcPr>
          <w:p w:rsidR="00026D75" w:rsidRPr="0056057F" w:rsidRDefault="00026D75" w:rsidP="00F35897">
            <w:pPr>
              <w:pStyle w:val="Tabletext"/>
              <w:rPr>
                <w:rFonts w:ascii="Calibri" w:hAnsi="Calibri" w:cstheme="majorBidi"/>
                <w:szCs w:val="20"/>
                <w:lang w:val="es-ES"/>
              </w:rPr>
            </w:pPr>
          </w:p>
        </w:tc>
        <w:tc>
          <w:tcPr>
            <w:tcW w:w="3730"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Tamaño de las imágenes descargadas (Terabytes)</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eastAsia="Times New Roman" w:hAnsi="Calibri" w:cstheme="majorBidi"/>
                <w:color w:val="000000"/>
                <w:szCs w:val="20"/>
                <w:lang w:val="es-ES" w:eastAsia="fr-FR"/>
              </w:rPr>
              <w:t>n/a</w:t>
            </w:r>
          </w:p>
        </w:tc>
        <w:tc>
          <w:tcPr>
            <w:tcW w:w="1080" w:type="dxa"/>
          </w:tcPr>
          <w:p w:rsidR="00026D75" w:rsidRPr="0056057F" w:rsidRDefault="00026D75" w:rsidP="00F35897">
            <w:pPr>
              <w:pStyle w:val="Tabletext"/>
              <w:jc w:val="center"/>
              <w:rPr>
                <w:rFonts w:ascii="Calibri" w:hAnsi="Calibri" w:cstheme="majorBidi"/>
                <w:szCs w:val="20"/>
                <w:lang w:val="es-ES"/>
              </w:rPr>
            </w:pPr>
            <w:r w:rsidRPr="0056057F">
              <w:rPr>
                <w:rFonts w:ascii="Calibri" w:eastAsia="Times New Roman" w:hAnsi="Calibri" w:cstheme="majorBidi"/>
                <w:color w:val="000000"/>
                <w:szCs w:val="20"/>
                <w:lang w:val="es-ES" w:eastAsia="fr-FR"/>
              </w:rPr>
              <w:t>n/a</w:t>
            </w:r>
          </w:p>
        </w:tc>
        <w:tc>
          <w:tcPr>
            <w:tcW w:w="1100" w:type="dxa"/>
          </w:tcPr>
          <w:p w:rsidR="00026D75" w:rsidRPr="0056057F" w:rsidRDefault="00026D75" w:rsidP="00F35897">
            <w:pPr>
              <w:pStyle w:val="Tabletext"/>
              <w:jc w:val="center"/>
              <w:rPr>
                <w:rFonts w:ascii="Calibri" w:hAnsi="Calibri" w:cstheme="majorBidi"/>
                <w:szCs w:val="20"/>
                <w:lang w:val="es-ES"/>
              </w:rPr>
            </w:pPr>
            <w:r w:rsidRPr="0056057F">
              <w:rPr>
                <w:rFonts w:ascii="Calibri" w:eastAsia="Times New Roman" w:hAnsi="Calibri" w:cstheme="majorBidi"/>
                <w:color w:val="000000"/>
                <w:szCs w:val="20"/>
                <w:lang w:val="es-ES" w:eastAsia="fr-FR"/>
              </w:rPr>
              <w:t>n/a</w:t>
            </w:r>
          </w:p>
        </w:tc>
        <w:tc>
          <w:tcPr>
            <w:tcW w:w="381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Oficina de las Naciones Unidas de Asuntos del Espacio Ultraterrestre; Grupo de Trabajo de las Naciones Unidas sobre estudio de los recursos terrestres</w:t>
            </w:r>
          </w:p>
        </w:tc>
      </w:tr>
    </w:tbl>
    <w:p w:rsidR="007632D5" w:rsidRPr="0056057F" w:rsidRDefault="007632D5">
      <w:pPr>
        <w:tabs>
          <w:tab w:val="clear" w:pos="794"/>
          <w:tab w:val="clear" w:pos="1191"/>
          <w:tab w:val="clear" w:pos="1588"/>
          <w:tab w:val="clear" w:pos="1985"/>
        </w:tabs>
        <w:overflowPunct/>
        <w:autoSpaceDE/>
        <w:autoSpaceDN/>
        <w:adjustRightInd/>
        <w:spacing w:before="0" w:line="240" w:lineRule="auto"/>
        <w:jc w:val="left"/>
        <w:textAlignment w:val="auto"/>
        <w:rPr>
          <w:lang w:val="es-ES"/>
        </w:rPr>
      </w:pPr>
    </w:p>
    <w:p w:rsidR="0071338E" w:rsidRPr="0056057F" w:rsidRDefault="0071338E">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56057F">
        <w:rPr>
          <w:lang w:val="es-ES"/>
        </w:rPr>
        <w:br w:type="page"/>
      </w:r>
    </w:p>
    <w:tbl>
      <w:tblPr>
        <w:tblStyle w:val="GridTable4-Accent11"/>
        <w:tblW w:w="14455" w:type="dxa"/>
        <w:tblLayout w:type="fixed"/>
        <w:tblLook w:val="0620" w:firstRow="1" w:lastRow="0" w:firstColumn="0" w:lastColumn="0" w:noHBand="1" w:noVBand="1"/>
      </w:tblPr>
      <w:tblGrid>
        <w:gridCol w:w="10214"/>
        <w:gridCol w:w="1064"/>
        <w:gridCol w:w="1049"/>
        <w:gridCol w:w="1064"/>
        <w:gridCol w:w="1064"/>
      </w:tblGrid>
      <w:tr w:rsidR="00026D75" w:rsidRPr="0056057F" w:rsidTr="00F35897">
        <w:trPr>
          <w:cnfStyle w:val="100000000000" w:firstRow="1" w:lastRow="0" w:firstColumn="0" w:lastColumn="0" w:oddVBand="0" w:evenVBand="0" w:oddHBand="0" w:evenHBand="0" w:firstRowFirstColumn="0" w:firstRowLastColumn="0" w:lastRowFirstColumn="0" w:lastRowLastColumn="0"/>
          <w:tblHeader/>
        </w:trPr>
        <w:tc>
          <w:tcPr>
            <w:tcW w:w="10214" w:type="dxa"/>
          </w:tcPr>
          <w:p w:rsidR="00026D75" w:rsidRPr="0056057F" w:rsidRDefault="00026D75" w:rsidP="00F35897">
            <w:pPr>
              <w:pStyle w:val="Tablehead"/>
              <w:keepNext w:val="0"/>
              <w:rPr>
                <w:rFonts w:ascii="Calibri" w:hAnsi="Calibri" w:cstheme="majorBidi"/>
                <w:b/>
                <w:bCs w:val="0"/>
                <w:szCs w:val="20"/>
                <w:lang w:val="es-ES"/>
              </w:rPr>
            </w:pPr>
            <w:r w:rsidRPr="0056057F">
              <w:rPr>
                <w:rFonts w:ascii="Calibri" w:hAnsi="Calibri" w:cstheme="majorBidi"/>
                <w:b/>
                <w:bCs w:val="0"/>
                <w:szCs w:val="20"/>
                <w:lang w:val="es-ES"/>
              </w:rPr>
              <w:lastRenderedPageBreak/>
              <w:t>Producto</w:t>
            </w:r>
          </w:p>
        </w:tc>
        <w:tc>
          <w:tcPr>
            <w:tcW w:w="4241" w:type="dxa"/>
            <w:gridSpan w:val="4"/>
          </w:tcPr>
          <w:p w:rsidR="00026D75" w:rsidRPr="0056057F" w:rsidRDefault="00026D75" w:rsidP="00F35897">
            <w:pPr>
              <w:pStyle w:val="Tablehead"/>
              <w:keepNext w:val="0"/>
              <w:rPr>
                <w:rFonts w:ascii="Calibri" w:hAnsi="Calibri" w:cstheme="majorBidi"/>
                <w:b/>
                <w:bCs w:val="0"/>
                <w:szCs w:val="20"/>
                <w:lang w:val="es-ES"/>
              </w:rPr>
            </w:pPr>
            <w:r w:rsidRPr="0056057F">
              <w:rPr>
                <w:rFonts w:ascii="Calibri" w:hAnsi="Calibri" w:cstheme="majorBidi"/>
                <w:b/>
                <w:bCs w:val="0"/>
                <w:szCs w:val="20"/>
                <w:lang w:val="es-ES"/>
              </w:rPr>
              <w:t>Recursos financieros</w:t>
            </w:r>
            <w:r w:rsidRPr="0056057F">
              <w:rPr>
                <w:rStyle w:val="FootnoteReference"/>
                <w:rFonts w:ascii="Calibri" w:hAnsi="Calibri" w:cstheme="majorBidi"/>
                <w:b/>
                <w:bCs w:val="0"/>
                <w:szCs w:val="20"/>
                <w:lang w:val="es-ES"/>
              </w:rPr>
              <w:footnoteReference w:id="8"/>
            </w:r>
            <w:r w:rsidRPr="0056057F">
              <w:rPr>
                <w:rFonts w:ascii="Calibri" w:hAnsi="Calibri" w:cstheme="majorBidi"/>
                <w:b/>
                <w:bCs w:val="0"/>
                <w:szCs w:val="20"/>
                <w:lang w:val="es-ES"/>
              </w:rPr>
              <w:t xml:space="preserve"> (en miles CHF)</w:t>
            </w:r>
          </w:p>
        </w:tc>
      </w:tr>
      <w:tr w:rsidR="00026D75" w:rsidRPr="0056057F" w:rsidTr="00F35897">
        <w:tc>
          <w:tcPr>
            <w:tcW w:w="10214" w:type="dxa"/>
          </w:tcPr>
          <w:p w:rsidR="00026D75" w:rsidRPr="0056057F" w:rsidRDefault="00026D75" w:rsidP="00F35897">
            <w:pPr>
              <w:pStyle w:val="Tablehead"/>
              <w:keepNext w:val="0"/>
              <w:rPr>
                <w:rFonts w:ascii="Calibri" w:hAnsi="Calibri" w:cstheme="majorBidi"/>
                <w:lang w:val="es-ES"/>
              </w:rPr>
            </w:pPr>
          </w:p>
        </w:tc>
        <w:tc>
          <w:tcPr>
            <w:tcW w:w="1064" w:type="dxa"/>
          </w:tcPr>
          <w:p w:rsidR="00026D75" w:rsidRPr="0056057F" w:rsidRDefault="00026D75" w:rsidP="00F35897">
            <w:pPr>
              <w:pStyle w:val="Tablehead"/>
              <w:keepNext w:val="0"/>
              <w:rPr>
                <w:rFonts w:ascii="Calibri" w:hAnsi="Calibri" w:cstheme="majorBidi"/>
                <w:bCs/>
                <w:color w:val="4F81BD" w:themeColor="accent1"/>
                <w:lang w:val="es-ES"/>
              </w:rPr>
            </w:pPr>
            <w:r w:rsidRPr="0056057F">
              <w:rPr>
                <w:rFonts w:ascii="Calibri" w:hAnsi="Calibri" w:cstheme="majorBidi"/>
                <w:bCs/>
                <w:color w:val="4F81BD" w:themeColor="accent1"/>
                <w:lang w:val="es-ES"/>
              </w:rPr>
              <w:t>2017</w:t>
            </w:r>
          </w:p>
        </w:tc>
        <w:tc>
          <w:tcPr>
            <w:tcW w:w="1049" w:type="dxa"/>
          </w:tcPr>
          <w:p w:rsidR="00026D75" w:rsidRPr="0056057F" w:rsidRDefault="00026D75" w:rsidP="00F35897">
            <w:pPr>
              <w:pStyle w:val="Tablehead"/>
              <w:keepNext w:val="0"/>
              <w:rPr>
                <w:rFonts w:ascii="Calibri" w:hAnsi="Calibri" w:cstheme="majorBidi"/>
                <w:bCs/>
                <w:color w:val="4F81BD" w:themeColor="accent1"/>
                <w:lang w:val="es-ES"/>
              </w:rPr>
            </w:pPr>
            <w:r w:rsidRPr="0056057F">
              <w:rPr>
                <w:rFonts w:ascii="Calibri" w:hAnsi="Calibri" w:cstheme="majorBidi"/>
                <w:bCs/>
                <w:color w:val="4F81BD" w:themeColor="accent1"/>
                <w:lang w:val="es-ES"/>
              </w:rPr>
              <w:t>2018</w:t>
            </w:r>
          </w:p>
        </w:tc>
        <w:tc>
          <w:tcPr>
            <w:tcW w:w="1064" w:type="dxa"/>
          </w:tcPr>
          <w:p w:rsidR="00026D75" w:rsidRPr="0056057F" w:rsidRDefault="00026D75" w:rsidP="00F35897">
            <w:pPr>
              <w:pStyle w:val="Tablehead"/>
              <w:keepNext w:val="0"/>
              <w:rPr>
                <w:rFonts w:ascii="Calibri" w:hAnsi="Calibri" w:cstheme="majorBidi"/>
                <w:bCs/>
                <w:color w:val="4F81BD" w:themeColor="accent1"/>
                <w:lang w:val="es-ES"/>
              </w:rPr>
            </w:pPr>
            <w:r w:rsidRPr="0056057F">
              <w:rPr>
                <w:rFonts w:ascii="Calibri" w:hAnsi="Calibri" w:cstheme="majorBidi"/>
                <w:bCs/>
                <w:color w:val="4F81BD" w:themeColor="accent1"/>
                <w:lang w:val="es-ES"/>
              </w:rPr>
              <w:t>2019</w:t>
            </w:r>
          </w:p>
        </w:tc>
        <w:tc>
          <w:tcPr>
            <w:tcW w:w="1064" w:type="dxa"/>
          </w:tcPr>
          <w:p w:rsidR="00026D75" w:rsidRPr="0056057F" w:rsidRDefault="00026D75" w:rsidP="00F35897">
            <w:pPr>
              <w:pStyle w:val="Tablehead"/>
              <w:keepNext w:val="0"/>
              <w:rPr>
                <w:rFonts w:ascii="Calibri" w:hAnsi="Calibri" w:cstheme="majorBidi"/>
                <w:bCs/>
                <w:color w:val="4F81BD" w:themeColor="accent1"/>
                <w:lang w:val="es-ES"/>
              </w:rPr>
            </w:pPr>
            <w:r w:rsidRPr="0056057F">
              <w:rPr>
                <w:rFonts w:ascii="Calibri" w:hAnsi="Calibri" w:cstheme="majorBidi"/>
                <w:bCs/>
                <w:color w:val="4F81BD" w:themeColor="accent1"/>
                <w:lang w:val="es-ES"/>
              </w:rPr>
              <w:t>2020</w:t>
            </w:r>
          </w:p>
        </w:tc>
      </w:tr>
      <w:tr w:rsidR="00026D75" w:rsidRPr="0056057F" w:rsidTr="00F35897">
        <w:tc>
          <w:tcPr>
            <w:tcW w:w="1021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 xml:space="preserve">R.2-1 </w:t>
            </w:r>
            <w:r w:rsidRPr="0056057F">
              <w:rPr>
                <w:rFonts w:ascii="Calibri" w:hAnsi="Calibri" w:cstheme="majorBidi"/>
                <w:lang w:val="es-ES"/>
              </w:rPr>
              <w:t>Decisiones de la Asamblea de Radiocomunicaciones, Resoluciones del UIT-R</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1 384</w:t>
            </w:r>
          </w:p>
        </w:tc>
        <w:tc>
          <w:tcPr>
            <w:tcW w:w="1049"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1 358</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1 970</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1 350</w:t>
            </w:r>
          </w:p>
        </w:tc>
      </w:tr>
      <w:tr w:rsidR="00026D75" w:rsidRPr="0056057F" w:rsidTr="00F35897">
        <w:tc>
          <w:tcPr>
            <w:tcW w:w="1021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 xml:space="preserve">R.2-2 </w:t>
            </w:r>
            <w:r w:rsidRPr="0056057F">
              <w:rPr>
                <w:rFonts w:ascii="Calibri" w:hAnsi="Calibri" w:cstheme="majorBidi"/>
                <w:lang w:val="es-ES"/>
              </w:rPr>
              <w:t xml:space="preserve">Recomendaciones, Informes (incluido el informe de la RPC) y Manuales del UIT-R </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6 004</w:t>
            </w:r>
          </w:p>
        </w:tc>
        <w:tc>
          <w:tcPr>
            <w:tcW w:w="1049"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6 805</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5 608</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5 867</w:t>
            </w:r>
          </w:p>
        </w:tc>
      </w:tr>
      <w:tr w:rsidR="00026D75" w:rsidRPr="0056057F" w:rsidTr="00F35897">
        <w:tc>
          <w:tcPr>
            <w:tcW w:w="10214" w:type="dxa"/>
            <w:vAlign w:val="center"/>
          </w:tcPr>
          <w:p w:rsidR="00026D75" w:rsidRPr="0056057F" w:rsidRDefault="00026D75" w:rsidP="00F35897">
            <w:pPr>
              <w:pStyle w:val="Tabletext"/>
              <w:rPr>
                <w:rFonts w:ascii="Calibri" w:hAnsi="Calibri" w:cstheme="majorBidi"/>
                <w:noProof/>
                <w:lang w:val="es-ES" w:eastAsia="zh-CN"/>
              </w:rPr>
            </w:pPr>
            <w:r w:rsidRPr="0056057F">
              <w:rPr>
                <w:rFonts w:ascii="Calibri" w:hAnsi="Calibri" w:cstheme="majorBidi"/>
                <w:b/>
                <w:bCs/>
                <w:color w:val="5B9BD5"/>
                <w:lang w:val="es-ES"/>
              </w:rPr>
              <w:t xml:space="preserve">R.2-3 </w:t>
            </w:r>
            <w:r w:rsidRPr="0056057F">
              <w:rPr>
                <w:rFonts w:ascii="Calibri" w:hAnsi="Calibri" w:cstheme="majorBidi"/>
                <w:lang w:val="es-ES"/>
              </w:rPr>
              <w:t>Asesoramiento del Grupo Asesor de Radiocomunicaciones</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1 031</w:t>
            </w:r>
          </w:p>
        </w:tc>
        <w:tc>
          <w:tcPr>
            <w:tcW w:w="1049"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1 006</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996</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1 011</w:t>
            </w:r>
          </w:p>
        </w:tc>
      </w:tr>
      <w:tr w:rsidR="00026D75" w:rsidRPr="0056057F" w:rsidTr="00F35897">
        <w:tc>
          <w:tcPr>
            <w:tcW w:w="10214" w:type="dxa"/>
            <w:vAlign w:val="center"/>
          </w:tcPr>
          <w:p w:rsidR="00026D75" w:rsidRPr="0056057F" w:rsidRDefault="00026D75" w:rsidP="00F35897">
            <w:pPr>
              <w:pStyle w:val="Tabletext"/>
              <w:rPr>
                <w:rFonts w:ascii="Calibri" w:hAnsi="Calibri" w:cstheme="majorBidi"/>
                <w:b/>
                <w:bCs/>
                <w:color w:val="5B9BD5"/>
                <w:lang w:val="es-ES"/>
              </w:rPr>
            </w:pPr>
            <w:r w:rsidRPr="0056057F">
              <w:rPr>
                <w:rFonts w:ascii="Calibri" w:hAnsi="Calibri" w:cstheme="majorBidi"/>
                <w:lang w:val="es-ES"/>
              </w:rPr>
              <w:t xml:space="preserve">Atribución de costos a las actividades de la Conferencia de Plenipotenciarios y el Consejo </w:t>
            </w:r>
            <w:r w:rsidRPr="0056057F">
              <w:rPr>
                <w:rFonts w:ascii="Calibri" w:hAnsi="Calibri" w:cstheme="majorBidi"/>
                <w:color w:val="4F81BD" w:themeColor="accent1"/>
                <w:lang w:val="es-ES"/>
              </w:rPr>
              <w:t>(</w:t>
            </w:r>
            <w:r w:rsidRPr="0056057F">
              <w:rPr>
                <w:rFonts w:ascii="Calibri" w:hAnsi="Calibri" w:cstheme="majorBidi"/>
                <w:b/>
                <w:bCs/>
                <w:color w:val="4F81BD" w:themeColor="accent1"/>
                <w:lang w:val="es-ES"/>
              </w:rPr>
              <w:t>PP</w:t>
            </w:r>
            <w:r w:rsidRPr="0056057F">
              <w:rPr>
                <w:rFonts w:ascii="Calibri" w:hAnsi="Calibri" w:cstheme="majorBidi"/>
                <w:color w:val="4F81BD" w:themeColor="accent1"/>
                <w:lang w:val="es-ES"/>
              </w:rPr>
              <w:t xml:space="preserve">, </w:t>
            </w:r>
            <w:r w:rsidRPr="0056057F">
              <w:rPr>
                <w:rFonts w:ascii="Calibri" w:hAnsi="Calibri" w:cstheme="majorBidi"/>
                <w:b/>
                <w:bCs/>
                <w:color w:val="4F81BD" w:themeColor="accent1"/>
                <w:lang w:val="es-ES"/>
              </w:rPr>
              <w:t>Consejo/GTC</w:t>
            </w:r>
            <w:r w:rsidRPr="0056057F">
              <w:rPr>
                <w:rFonts w:ascii="Calibri" w:hAnsi="Calibri" w:cstheme="majorBidi"/>
                <w:lang w:val="es-ES"/>
              </w:rPr>
              <w:t>)</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295</w:t>
            </w:r>
          </w:p>
        </w:tc>
        <w:tc>
          <w:tcPr>
            <w:tcW w:w="1049"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517</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277</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298</w:t>
            </w:r>
          </w:p>
        </w:tc>
      </w:tr>
      <w:tr w:rsidR="00026D75" w:rsidRPr="0056057F" w:rsidTr="00F35897">
        <w:tc>
          <w:tcPr>
            <w:tcW w:w="10214" w:type="dxa"/>
            <w:vAlign w:val="center"/>
          </w:tcPr>
          <w:p w:rsidR="00026D75" w:rsidRPr="0056057F" w:rsidRDefault="00026D75" w:rsidP="00F35897">
            <w:pPr>
              <w:pStyle w:val="Tabletext"/>
              <w:rPr>
                <w:rFonts w:ascii="Calibri" w:hAnsi="Calibri" w:cstheme="majorBidi"/>
                <w:b/>
                <w:bCs/>
                <w:noProof/>
                <w:color w:val="4F81BD" w:themeColor="accent1"/>
                <w:lang w:val="es-ES" w:eastAsia="zh-CN"/>
              </w:rPr>
            </w:pPr>
            <w:r w:rsidRPr="0056057F">
              <w:rPr>
                <w:rFonts w:ascii="Calibri" w:hAnsi="Calibri" w:cstheme="majorBidi"/>
                <w:b/>
                <w:bCs/>
                <w:color w:val="4F81BD" w:themeColor="accent1"/>
                <w:lang w:val="es-ES"/>
              </w:rPr>
              <w:t>Total para el Objetivo R.2</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8 714</w:t>
            </w:r>
          </w:p>
        </w:tc>
        <w:tc>
          <w:tcPr>
            <w:tcW w:w="1049"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9 686</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8 852</w:t>
            </w:r>
          </w:p>
        </w:tc>
        <w:tc>
          <w:tcPr>
            <w:tcW w:w="1064" w:type="dxa"/>
            <w:vAlign w:val="center"/>
          </w:tcPr>
          <w:p w:rsidR="00026D75" w:rsidRPr="0056057F" w:rsidRDefault="00026D75" w:rsidP="00F35897">
            <w:pPr>
              <w:pStyle w:val="Tabletext"/>
              <w:jc w:val="center"/>
              <w:rPr>
                <w:rFonts w:ascii="Calibri" w:hAnsi="Calibri" w:cstheme="majorBidi"/>
                <w:lang w:val="es-ES"/>
              </w:rPr>
            </w:pPr>
            <w:r w:rsidRPr="0056057F">
              <w:rPr>
                <w:rFonts w:ascii="Calibri" w:hAnsi="Calibri" w:cstheme="majorBidi"/>
                <w:lang w:val="es-ES"/>
              </w:rPr>
              <w:t>8 525</w:t>
            </w:r>
          </w:p>
        </w:tc>
      </w:tr>
    </w:tbl>
    <w:p w:rsidR="008045FB" w:rsidRPr="0056057F" w:rsidRDefault="008045FB" w:rsidP="008045FB">
      <w:pPr>
        <w:rPr>
          <w:lang w:val="es-ES"/>
        </w:rPr>
      </w:pPr>
      <w:r w:rsidRPr="0056057F">
        <w:rPr>
          <w:lang w:val="es-ES"/>
        </w:rPr>
        <w:br w:type="page"/>
      </w:r>
    </w:p>
    <w:p w:rsidR="00026D75" w:rsidRPr="0056057F" w:rsidRDefault="00026D75" w:rsidP="00DB1035">
      <w:pPr>
        <w:pStyle w:val="Heading2"/>
        <w:spacing w:after="120"/>
        <w:rPr>
          <w:lang w:val="es-ES"/>
        </w:rPr>
      </w:pPr>
      <w:r w:rsidRPr="0056057F">
        <w:rPr>
          <w:lang w:val="es-ES"/>
        </w:rPr>
        <w:lastRenderedPageBreak/>
        <w:t>5.3</w:t>
      </w:r>
      <w:r w:rsidRPr="0056057F">
        <w:rPr>
          <w:lang w:val="es-ES"/>
        </w:rPr>
        <w:tab/>
        <w:t>R.3</w:t>
      </w:r>
      <w:r w:rsidRPr="0056057F">
        <w:rPr>
          <w:lang w:val="es-ES"/>
        </w:rPr>
        <w:tab/>
        <w:t>Fomentar la adquisición y divulgación de conocimientos teóricos y prácticos sobre radiocomunicaciones</w:t>
      </w:r>
    </w:p>
    <w:tbl>
      <w:tblPr>
        <w:tblStyle w:val="GridTable4-Accent11"/>
        <w:tblW w:w="14455" w:type="dxa"/>
        <w:tblLayout w:type="fixed"/>
        <w:tblLook w:val="0620" w:firstRow="1" w:lastRow="0" w:firstColumn="0" w:lastColumn="0" w:noHBand="1" w:noVBand="1"/>
      </w:tblPr>
      <w:tblGrid>
        <w:gridCol w:w="3523"/>
        <w:gridCol w:w="3331"/>
        <w:gridCol w:w="1008"/>
        <w:gridCol w:w="1022"/>
        <w:gridCol w:w="1414"/>
        <w:gridCol w:w="4157"/>
      </w:tblGrid>
      <w:tr w:rsidR="00026D75" w:rsidRPr="0056057F" w:rsidTr="00F35897">
        <w:trPr>
          <w:cnfStyle w:val="100000000000" w:firstRow="1" w:lastRow="0" w:firstColumn="0" w:lastColumn="0" w:oddVBand="0" w:evenVBand="0" w:oddHBand="0" w:evenHBand="0" w:firstRowFirstColumn="0" w:firstRowLastColumn="0" w:lastRowFirstColumn="0" w:lastRowLastColumn="0"/>
          <w:tblHeader/>
        </w:trPr>
        <w:tc>
          <w:tcPr>
            <w:tcW w:w="3523"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Resultado</w:t>
            </w:r>
          </w:p>
        </w:tc>
        <w:tc>
          <w:tcPr>
            <w:tcW w:w="3331"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Indicador de resultados</w:t>
            </w:r>
          </w:p>
        </w:tc>
        <w:tc>
          <w:tcPr>
            <w:tcW w:w="1008"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2014</w:t>
            </w:r>
          </w:p>
        </w:tc>
        <w:tc>
          <w:tcPr>
            <w:tcW w:w="1022"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2015</w:t>
            </w:r>
          </w:p>
        </w:tc>
        <w:tc>
          <w:tcPr>
            <w:tcW w:w="1414"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Meta para 2020</w:t>
            </w:r>
          </w:p>
        </w:tc>
        <w:tc>
          <w:tcPr>
            <w:tcW w:w="4157"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Origen</w:t>
            </w:r>
          </w:p>
        </w:tc>
      </w:tr>
      <w:tr w:rsidR="00026D75" w:rsidRPr="0056057F" w:rsidTr="00F35897">
        <w:tc>
          <w:tcPr>
            <w:tcW w:w="3523" w:type="dxa"/>
            <w:vMerge w:val="restart"/>
          </w:tcPr>
          <w:p w:rsidR="00026D75" w:rsidRPr="0056057F" w:rsidRDefault="00026D75" w:rsidP="00F35897">
            <w:pPr>
              <w:pStyle w:val="Tabletext"/>
              <w:rPr>
                <w:rFonts w:ascii="Calibri" w:hAnsi="Calibri" w:cstheme="majorBidi"/>
                <w:b/>
                <w:bCs/>
                <w:szCs w:val="20"/>
                <w:lang w:val="es-ES"/>
              </w:rPr>
            </w:pPr>
            <w:r w:rsidRPr="0056057F">
              <w:rPr>
                <w:rFonts w:ascii="Calibri" w:hAnsi="Calibri" w:cstheme="majorBidi"/>
                <w:b/>
                <w:bCs/>
                <w:color w:val="4F81BD" w:themeColor="accent1"/>
                <w:szCs w:val="20"/>
                <w:lang w:val="es-ES"/>
              </w:rPr>
              <w:t>R.3-1</w:t>
            </w:r>
            <w:r w:rsidRPr="0056057F">
              <w:rPr>
                <w:rFonts w:ascii="Calibri" w:hAnsi="Calibri" w:cstheme="majorBidi"/>
                <w:szCs w:val="20"/>
                <w:lang w:val="es-ES"/>
              </w:rPr>
              <w:t>: Mayores conocimientos teóricos y prácticos sobre el Reglamento de Radiocomunicaciones, las Reglas de Procedimiento, los Acuerdos regionales, las Recomendaciones y las prácticas idóneas sobre la utilización del espectro</w:t>
            </w:r>
          </w:p>
        </w:tc>
        <w:tc>
          <w:tcPr>
            <w:tcW w:w="333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descargas en línea de publicaciones gratuitas del UIT-R (millones)</w:t>
            </w:r>
          </w:p>
        </w:tc>
        <w:tc>
          <w:tcPr>
            <w:tcW w:w="1008"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1,8</w:t>
            </w:r>
          </w:p>
        </w:tc>
        <w:tc>
          <w:tcPr>
            <w:tcW w:w="1022"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2,5</w:t>
            </w:r>
          </w:p>
        </w:tc>
        <w:tc>
          <w:tcPr>
            <w:tcW w:w="1414"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4,0</w:t>
            </w:r>
          </w:p>
        </w:tc>
        <w:tc>
          <w:tcPr>
            <w:tcW w:w="4157" w:type="dxa"/>
            <w:vMerge w:val="restart"/>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Base de datos en materia de inscripciones a eventos de la UIT</w:t>
            </w:r>
          </w:p>
        </w:tc>
      </w:tr>
      <w:tr w:rsidR="00026D75" w:rsidRPr="0056057F" w:rsidTr="00F35897">
        <w:tc>
          <w:tcPr>
            <w:tcW w:w="3523" w:type="dxa"/>
            <w:vMerge/>
          </w:tcPr>
          <w:p w:rsidR="00026D75" w:rsidRPr="0056057F" w:rsidRDefault="00026D75" w:rsidP="00F35897">
            <w:pPr>
              <w:pStyle w:val="Tabletext"/>
              <w:rPr>
                <w:rFonts w:ascii="Calibri" w:hAnsi="Calibri" w:cstheme="majorBidi"/>
                <w:b/>
                <w:bCs/>
                <w:color w:val="4F81BD" w:themeColor="accent1"/>
                <w:szCs w:val="20"/>
                <w:lang w:val="es-ES"/>
              </w:rPr>
            </w:pPr>
          </w:p>
        </w:tc>
        <w:tc>
          <w:tcPr>
            <w:tcW w:w="333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eventos de capacitación organizados/respaldados por la BR (presenciales y virtuales)</w:t>
            </w:r>
          </w:p>
        </w:tc>
        <w:tc>
          <w:tcPr>
            <w:tcW w:w="1008"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29</w:t>
            </w:r>
          </w:p>
        </w:tc>
        <w:tc>
          <w:tcPr>
            <w:tcW w:w="1022"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32</w:t>
            </w:r>
          </w:p>
        </w:tc>
        <w:tc>
          <w:tcPr>
            <w:tcW w:w="1414"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36</w:t>
            </w:r>
          </w:p>
        </w:tc>
        <w:tc>
          <w:tcPr>
            <w:tcW w:w="4157" w:type="dxa"/>
            <w:vMerge/>
          </w:tcPr>
          <w:p w:rsidR="00026D75" w:rsidRPr="0056057F" w:rsidRDefault="00026D75" w:rsidP="00F35897">
            <w:pPr>
              <w:pStyle w:val="Tabletext"/>
              <w:rPr>
                <w:rFonts w:ascii="Calibri" w:hAnsi="Calibri" w:cstheme="majorBidi"/>
                <w:szCs w:val="20"/>
                <w:lang w:val="es-ES"/>
              </w:rPr>
            </w:pPr>
          </w:p>
        </w:tc>
      </w:tr>
      <w:tr w:rsidR="00026D75" w:rsidRPr="0056057F" w:rsidTr="00F35897">
        <w:trPr>
          <w:cantSplit/>
        </w:trPr>
        <w:tc>
          <w:tcPr>
            <w:tcW w:w="3523" w:type="dxa"/>
            <w:vMerge/>
          </w:tcPr>
          <w:p w:rsidR="00026D75" w:rsidRPr="0056057F" w:rsidRDefault="00026D75" w:rsidP="00F35897">
            <w:pPr>
              <w:pStyle w:val="Tabletext"/>
              <w:rPr>
                <w:rFonts w:ascii="Calibri" w:hAnsi="Calibri" w:cstheme="majorBidi"/>
                <w:b/>
                <w:bCs/>
                <w:color w:val="4F81BD" w:themeColor="accent1"/>
                <w:szCs w:val="20"/>
                <w:lang w:val="es-ES"/>
              </w:rPr>
            </w:pPr>
          </w:p>
        </w:tc>
        <w:tc>
          <w:tcPr>
            <w:tcW w:w="333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participantes en los eventos de capacitación organizados/respaldados por la UIT/BR (en el periodo de la CMR)</w:t>
            </w:r>
          </w:p>
        </w:tc>
        <w:tc>
          <w:tcPr>
            <w:tcW w:w="1008"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1 261</w:t>
            </w:r>
          </w:p>
        </w:tc>
        <w:tc>
          <w:tcPr>
            <w:tcW w:w="1022"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1 518</w:t>
            </w:r>
          </w:p>
        </w:tc>
        <w:tc>
          <w:tcPr>
            <w:tcW w:w="1414"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2 000</w:t>
            </w:r>
          </w:p>
        </w:tc>
        <w:tc>
          <w:tcPr>
            <w:tcW w:w="4157" w:type="dxa"/>
            <w:vMerge/>
          </w:tcPr>
          <w:p w:rsidR="00026D75" w:rsidRPr="0056057F" w:rsidRDefault="00026D75" w:rsidP="00F35897">
            <w:pPr>
              <w:pStyle w:val="Tabletext"/>
              <w:rPr>
                <w:rFonts w:ascii="Calibri" w:hAnsi="Calibri" w:cstheme="majorBidi"/>
                <w:szCs w:val="20"/>
                <w:lang w:val="es-ES"/>
              </w:rPr>
            </w:pPr>
          </w:p>
        </w:tc>
      </w:tr>
      <w:tr w:rsidR="00026D75" w:rsidRPr="0056057F" w:rsidTr="00F35897">
        <w:trPr>
          <w:cantSplit/>
        </w:trPr>
        <w:tc>
          <w:tcPr>
            <w:tcW w:w="3523" w:type="dxa"/>
            <w:vMerge w:val="restart"/>
          </w:tcPr>
          <w:p w:rsidR="00026D75" w:rsidRPr="0056057F" w:rsidRDefault="00026D75" w:rsidP="00F35897">
            <w:pPr>
              <w:pStyle w:val="Tabletext"/>
              <w:rPr>
                <w:rFonts w:ascii="Calibri" w:hAnsi="Calibri" w:cstheme="majorBidi"/>
                <w:b/>
                <w:bCs/>
                <w:szCs w:val="20"/>
                <w:lang w:val="es-ES"/>
              </w:rPr>
            </w:pPr>
            <w:r w:rsidRPr="0056057F">
              <w:rPr>
                <w:rFonts w:ascii="Calibri" w:hAnsi="Calibri" w:cstheme="majorBidi"/>
                <w:b/>
                <w:bCs/>
                <w:color w:val="4F81BD" w:themeColor="accent1"/>
                <w:szCs w:val="20"/>
                <w:lang w:val="es-ES"/>
              </w:rPr>
              <w:t>R.3-2</w:t>
            </w:r>
            <w:r w:rsidRPr="0056057F">
              <w:rPr>
                <w:rFonts w:ascii="Calibri" w:hAnsi="Calibri" w:cstheme="majorBidi"/>
                <w:szCs w:val="20"/>
                <w:lang w:val="es-ES"/>
              </w:rPr>
              <w:t>: Mayor participación, en particular de países en desarrollo, en actividades del UIT-R (incluso a través de la participación a distancia)</w:t>
            </w:r>
          </w:p>
        </w:tc>
        <w:tc>
          <w:tcPr>
            <w:tcW w:w="333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eventos técnicos y/o iniciativas de prestación de asistencia técnica en los que ha participado la BR</w:t>
            </w:r>
          </w:p>
        </w:tc>
        <w:tc>
          <w:tcPr>
            <w:tcW w:w="1008"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78</w:t>
            </w:r>
          </w:p>
        </w:tc>
        <w:tc>
          <w:tcPr>
            <w:tcW w:w="1022"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93</w:t>
            </w:r>
          </w:p>
        </w:tc>
        <w:tc>
          <w:tcPr>
            <w:tcW w:w="1414"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100</w:t>
            </w:r>
          </w:p>
        </w:tc>
        <w:tc>
          <w:tcPr>
            <w:tcW w:w="415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Base de datos en materia de inscripciones a eventos de la UIT</w:t>
            </w:r>
          </w:p>
        </w:tc>
      </w:tr>
      <w:tr w:rsidR="00026D75" w:rsidRPr="0056057F" w:rsidTr="00F35897">
        <w:tc>
          <w:tcPr>
            <w:tcW w:w="3523" w:type="dxa"/>
            <w:vMerge/>
          </w:tcPr>
          <w:p w:rsidR="00026D75" w:rsidRPr="0056057F" w:rsidRDefault="00026D75" w:rsidP="00F35897">
            <w:pPr>
              <w:pStyle w:val="Tabletext"/>
              <w:rPr>
                <w:rFonts w:ascii="Calibri" w:hAnsi="Calibri" w:cstheme="majorBidi"/>
                <w:b/>
                <w:bCs/>
                <w:color w:val="4F81BD" w:themeColor="accent1"/>
                <w:szCs w:val="20"/>
                <w:lang w:val="es-ES"/>
              </w:rPr>
            </w:pPr>
          </w:p>
        </w:tc>
        <w:tc>
          <w:tcPr>
            <w:tcW w:w="333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países que reciben asistencia técnica o acogen eventos técnicos de la BR</w:t>
            </w:r>
          </w:p>
        </w:tc>
        <w:tc>
          <w:tcPr>
            <w:tcW w:w="1008"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57</w:t>
            </w:r>
          </w:p>
        </w:tc>
        <w:tc>
          <w:tcPr>
            <w:tcW w:w="1022"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78</w:t>
            </w:r>
          </w:p>
        </w:tc>
        <w:tc>
          <w:tcPr>
            <w:tcW w:w="1414"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80</w:t>
            </w:r>
          </w:p>
        </w:tc>
        <w:tc>
          <w:tcPr>
            <w:tcW w:w="415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Base de datos en materia de inscripciones a eventos de la UIT</w:t>
            </w:r>
          </w:p>
        </w:tc>
      </w:tr>
      <w:tr w:rsidR="00026D75" w:rsidRPr="0056057F" w:rsidTr="00F35897">
        <w:tc>
          <w:tcPr>
            <w:tcW w:w="3523" w:type="dxa"/>
            <w:vMerge/>
          </w:tcPr>
          <w:p w:rsidR="00026D75" w:rsidRPr="0056057F" w:rsidRDefault="00026D75" w:rsidP="00F35897">
            <w:pPr>
              <w:pStyle w:val="Tabletext"/>
              <w:rPr>
                <w:rFonts w:ascii="Calibri" w:hAnsi="Calibri" w:cstheme="majorBidi"/>
                <w:b/>
                <w:bCs/>
                <w:color w:val="4F81BD" w:themeColor="accent1"/>
                <w:szCs w:val="20"/>
                <w:lang w:val="es-ES"/>
              </w:rPr>
            </w:pPr>
          </w:p>
        </w:tc>
        <w:tc>
          <w:tcPr>
            <w:tcW w:w="333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participantes/eventos en las conferencias, asambleas y reuniones relacionadas con las Comisiones de Estudio del UIT-R (presenciales y virtuales)</w:t>
            </w:r>
          </w:p>
        </w:tc>
        <w:tc>
          <w:tcPr>
            <w:tcW w:w="1008"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6 385/47</w:t>
            </w:r>
          </w:p>
        </w:tc>
        <w:tc>
          <w:tcPr>
            <w:tcW w:w="1022"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9 031/45</w:t>
            </w:r>
          </w:p>
        </w:tc>
        <w:tc>
          <w:tcPr>
            <w:tcW w:w="1414" w:type="dxa"/>
          </w:tcPr>
          <w:p w:rsidR="00026D75" w:rsidRPr="0056057F" w:rsidRDefault="00026D75" w:rsidP="00F35897">
            <w:pPr>
              <w:pStyle w:val="Tabletext"/>
              <w:jc w:val="center"/>
              <w:rPr>
                <w:rFonts w:ascii="Calibri" w:hAnsi="Calibri" w:cstheme="majorBidi"/>
                <w:szCs w:val="20"/>
                <w:lang w:val="es-ES"/>
              </w:rPr>
            </w:pPr>
          </w:p>
        </w:tc>
        <w:tc>
          <w:tcPr>
            <w:tcW w:w="415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Base de datos en materia de inscripciones a eventos de la UIT</w:t>
            </w:r>
          </w:p>
        </w:tc>
      </w:tr>
      <w:tr w:rsidR="00026D75" w:rsidRPr="0056057F" w:rsidTr="00F35897">
        <w:tc>
          <w:tcPr>
            <w:tcW w:w="3523" w:type="dxa"/>
            <w:vMerge/>
          </w:tcPr>
          <w:p w:rsidR="00026D75" w:rsidRPr="0056057F" w:rsidRDefault="00026D75" w:rsidP="00F35897">
            <w:pPr>
              <w:pStyle w:val="Tabletext"/>
              <w:rPr>
                <w:rFonts w:ascii="Calibri" w:hAnsi="Calibri" w:cstheme="majorBidi"/>
                <w:b/>
                <w:bCs/>
                <w:color w:val="4F81BD" w:themeColor="accent1"/>
                <w:szCs w:val="20"/>
                <w:lang w:val="es-ES"/>
              </w:rPr>
            </w:pPr>
          </w:p>
        </w:tc>
        <w:tc>
          <w:tcPr>
            <w:tcW w:w="3331"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Número de países que participan en seminarios y talleres, reuniones de CE y GT y eventos del UIT-R (presenciales y virtuales)</w:t>
            </w:r>
          </w:p>
        </w:tc>
        <w:tc>
          <w:tcPr>
            <w:tcW w:w="1008"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103</w:t>
            </w:r>
          </w:p>
        </w:tc>
        <w:tc>
          <w:tcPr>
            <w:tcW w:w="1022"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158</w:t>
            </w:r>
          </w:p>
        </w:tc>
        <w:tc>
          <w:tcPr>
            <w:tcW w:w="1414" w:type="dxa"/>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193</w:t>
            </w:r>
          </w:p>
        </w:tc>
        <w:tc>
          <w:tcPr>
            <w:tcW w:w="4157" w:type="dxa"/>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szCs w:val="20"/>
                <w:lang w:val="es-ES"/>
              </w:rPr>
              <w:t>Base de datos en materia de inscripciones a eventos de la UIT</w:t>
            </w:r>
          </w:p>
        </w:tc>
      </w:tr>
    </w:tbl>
    <w:p w:rsidR="00026D75" w:rsidRPr="0056057F" w:rsidRDefault="00026D75" w:rsidP="00DB1035">
      <w:pPr>
        <w:rPr>
          <w:lang w:val="es-ES"/>
        </w:rPr>
      </w:pPr>
    </w:p>
    <w:tbl>
      <w:tblPr>
        <w:tblStyle w:val="GridTable4-Accent11"/>
        <w:tblW w:w="14455" w:type="dxa"/>
        <w:tblLayout w:type="fixed"/>
        <w:tblLook w:val="0620" w:firstRow="1" w:lastRow="0" w:firstColumn="0" w:lastColumn="0" w:noHBand="1" w:noVBand="1"/>
      </w:tblPr>
      <w:tblGrid>
        <w:gridCol w:w="10088"/>
        <w:gridCol w:w="1092"/>
        <w:gridCol w:w="1091"/>
        <w:gridCol w:w="1092"/>
        <w:gridCol w:w="1092"/>
      </w:tblGrid>
      <w:tr w:rsidR="00026D75" w:rsidRPr="0056057F" w:rsidTr="00F35897">
        <w:trPr>
          <w:cnfStyle w:val="100000000000" w:firstRow="1" w:lastRow="0" w:firstColumn="0" w:lastColumn="0" w:oddVBand="0" w:evenVBand="0" w:oddHBand="0" w:evenHBand="0" w:firstRowFirstColumn="0" w:firstRowLastColumn="0" w:lastRowFirstColumn="0" w:lastRowLastColumn="0"/>
        </w:trPr>
        <w:tc>
          <w:tcPr>
            <w:tcW w:w="10088" w:type="dxa"/>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lastRenderedPageBreak/>
              <w:t>Producto</w:t>
            </w:r>
          </w:p>
        </w:tc>
        <w:tc>
          <w:tcPr>
            <w:tcW w:w="4367" w:type="dxa"/>
            <w:gridSpan w:val="4"/>
          </w:tcPr>
          <w:p w:rsidR="00026D75" w:rsidRPr="0056057F" w:rsidRDefault="00026D75" w:rsidP="00F35897">
            <w:pPr>
              <w:pStyle w:val="Tablehead"/>
              <w:rPr>
                <w:rFonts w:ascii="Calibri" w:hAnsi="Calibri" w:cstheme="majorBidi"/>
                <w:b/>
                <w:bCs w:val="0"/>
                <w:szCs w:val="20"/>
                <w:lang w:val="es-ES"/>
              </w:rPr>
            </w:pPr>
            <w:r w:rsidRPr="0056057F">
              <w:rPr>
                <w:rFonts w:ascii="Calibri" w:hAnsi="Calibri" w:cstheme="majorBidi"/>
                <w:b/>
                <w:bCs w:val="0"/>
                <w:szCs w:val="20"/>
                <w:lang w:val="es-ES"/>
              </w:rPr>
              <w:t>Recursos financieros</w:t>
            </w:r>
            <w:r w:rsidRPr="0056057F">
              <w:rPr>
                <w:rStyle w:val="FootnoteReference"/>
                <w:rFonts w:ascii="Calibri" w:hAnsi="Calibri" w:cstheme="majorBidi"/>
                <w:b/>
                <w:bCs w:val="0"/>
                <w:szCs w:val="20"/>
                <w:lang w:val="es-ES"/>
              </w:rPr>
              <w:footnoteReference w:id="9"/>
            </w:r>
            <w:r w:rsidRPr="0056057F">
              <w:rPr>
                <w:rFonts w:ascii="Calibri" w:hAnsi="Calibri" w:cstheme="majorBidi"/>
                <w:b/>
                <w:bCs w:val="0"/>
                <w:szCs w:val="20"/>
                <w:lang w:val="es-ES"/>
              </w:rPr>
              <w:t xml:space="preserve"> (en miles CHF)</w:t>
            </w:r>
          </w:p>
        </w:tc>
      </w:tr>
      <w:tr w:rsidR="00026D75" w:rsidRPr="0056057F" w:rsidTr="00F35897">
        <w:tc>
          <w:tcPr>
            <w:tcW w:w="10088" w:type="dxa"/>
          </w:tcPr>
          <w:p w:rsidR="00026D75" w:rsidRPr="0056057F" w:rsidRDefault="00026D75" w:rsidP="00F35897">
            <w:pPr>
              <w:pStyle w:val="Tablehead"/>
              <w:rPr>
                <w:rFonts w:ascii="Calibri" w:hAnsi="Calibri" w:cstheme="majorBidi"/>
                <w:szCs w:val="20"/>
                <w:lang w:val="es-ES"/>
              </w:rPr>
            </w:pPr>
          </w:p>
        </w:tc>
        <w:tc>
          <w:tcPr>
            <w:tcW w:w="1092" w:type="dxa"/>
          </w:tcPr>
          <w:p w:rsidR="00026D75" w:rsidRPr="0056057F" w:rsidRDefault="00026D75" w:rsidP="00F35897">
            <w:pPr>
              <w:pStyle w:val="Tablehead"/>
              <w:rPr>
                <w:rFonts w:ascii="Calibri" w:hAnsi="Calibri" w:cstheme="majorBidi"/>
                <w:bCs/>
                <w:color w:val="4F81BD" w:themeColor="accent1"/>
                <w:szCs w:val="20"/>
                <w:lang w:val="es-ES"/>
              </w:rPr>
            </w:pPr>
            <w:r w:rsidRPr="0056057F">
              <w:rPr>
                <w:rFonts w:ascii="Calibri" w:hAnsi="Calibri" w:cstheme="majorBidi"/>
                <w:bCs/>
                <w:color w:val="4F81BD" w:themeColor="accent1"/>
                <w:szCs w:val="20"/>
                <w:lang w:val="es-ES"/>
              </w:rPr>
              <w:t>2017</w:t>
            </w:r>
          </w:p>
        </w:tc>
        <w:tc>
          <w:tcPr>
            <w:tcW w:w="1091" w:type="dxa"/>
          </w:tcPr>
          <w:p w:rsidR="00026D75" w:rsidRPr="0056057F" w:rsidRDefault="00026D75" w:rsidP="00F35897">
            <w:pPr>
              <w:pStyle w:val="Tablehead"/>
              <w:rPr>
                <w:rFonts w:ascii="Calibri" w:hAnsi="Calibri" w:cstheme="majorBidi"/>
                <w:bCs/>
                <w:color w:val="4F81BD" w:themeColor="accent1"/>
                <w:szCs w:val="20"/>
                <w:lang w:val="es-ES"/>
              </w:rPr>
            </w:pPr>
            <w:r w:rsidRPr="0056057F">
              <w:rPr>
                <w:rFonts w:ascii="Calibri" w:hAnsi="Calibri" w:cstheme="majorBidi"/>
                <w:bCs/>
                <w:color w:val="4F81BD" w:themeColor="accent1"/>
                <w:szCs w:val="20"/>
                <w:lang w:val="es-ES"/>
              </w:rPr>
              <w:t>2018</w:t>
            </w:r>
          </w:p>
        </w:tc>
        <w:tc>
          <w:tcPr>
            <w:tcW w:w="1092" w:type="dxa"/>
          </w:tcPr>
          <w:p w:rsidR="00026D75" w:rsidRPr="0056057F" w:rsidRDefault="00026D75" w:rsidP="00F35897">
            <w:pPr>
              <w:pStyle w:val="Tablehead"/>
              <w:rPr>
                <w:rFonts w:ascii="Calibri" w:hAnsi="Calibri" w:cstheme="majorBidi"/>
                <w:bCs/>
                <w:color w:val="4F81BD" w:themeColor="accent1"/>
                <w:szCs w:val="20"/>
                <w:lang w:val="es-ES"/>
              </w:rPr>
            </w:pPr>
            <w:r w:rsidRPr="0056057F">
              <w:rPr>
                <w:rFonts w:ascii="Calibri" w:hAnsi="Calibri" w:cstheme="majorBidi"/>
                <w:bCs/>
                <w:color w:val="4F81BD" w:themeColor="accent1"/>
                <w:szCs w:val="20"/>
                <w:lang w:val="es-ES"/>
              </w:rPr>
              <w:t>2019</w:t>
            </w:r>
          </w:p>
        </w:tc>
        <w:tc>
          <w:tcPr>
            <w:tcW w:w="1092" w:type="dxa"/>
          </w:tcPr>
          <w:p w:rsidR="00026D75" w:rsidRPr="0056057F" w:rsidRDefault="00026D75" w:rsidP="00F35897">
            <w:pPr>
              <w:pStyle w:val="Tablehead"/>
              <w:rPr>
                <w:rFonts w:ascii="Calibri" w:hAnsi="Calibri" w:cstheme="majorBidi"/>
                <w:bCs/>
                <w:color w:val="4F81BD" w:themeColor="accent1"/>
                <w:szCs w:val="20"/>
                <w:lang w:val="es-ES"/>
              </w:rPr>
            </w:pPr>
            <w:r w:rsidRPr="0056057F">
              <w:rPr>
                <w:rFonts w:ascii="Calibri" w:hAnsi="Calibri" w:cstheme="majorBidi"/>
                <w:bCs/>
                <w:color w:val="4F81BD" w:themeColor="accent1"/>
                <w:szCs w:val="20"/>
                <w:lang w:val="es-ES"/>
              </w:rPr>
              <w:t>2020</w:t>
            </w:r>
          </w:p>
        </w:tc>
      </w:tr>
      <w:tr w:rsidR="00026D75" w:rsidRPr="0056057F" w:rsidTr="00F35897">
        <w:tc>
          <w:tcPr>
            <w:tcW w:w="10088" w:type="dxa"/>
            <w:vAlign w:val="center"/>
          </w:tcPr>
          <w:p w:rsidR="00026D75" w:rsidRPr="0056057F" w:rsidRDefault="00026D75" w:rsidP="00F35897">
            <w:pPr>
              <w:pStyle w:val="Tabletext"/>
              <w:rPr>
                <w:rFonts w:ascii="Calibri" w:hAnsi="Calibri" w:cstheme="majorBidi"/>
                <w:noProof/>
                <w:szCs w:val="20"/>
                <w:lang w:val="es-ES" w:eastAsia="zh-CN"/>
              </w:rPr>
            </w:pPr>
            <w:r w:rsidRPr="0056057F">
              <w:rPr>
                <w:rFonts w:ascii="Calibri" w:hAnsi="Calibri" w:cstheme="majorBidi"/>
                <w:b/>
                <w:bCs/>
                <w:color w:val="5B9BD5"/>
                <w:szCs w:val="20"/>
                <w:lang w:val="es-ES"/>
              </w:rPr>
              <w:t>R.3-1</w:t>
            </w:r>
            <w:r w:rsidRPr="0056057F">
              <w:rPr>
                <w:rFonts w:ascii="Calibri" w:hAnsi="Calibri" w:cstheme="majorBidi"/>
                <w:szCs w:val="20"/>
                <w:lang w:val="es-ES"/>
              </w:rPr>
              <w:t>: Publicaciones del UIT-R</w:t>
            </w:r>
          </w:p>
        </w:tc>
        <w:tc>
          <w:tcPr>
            <w:tcW w:w="1092"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9 014</w:t>
            </w:r>
          </w:p>
        </w:tc>
        <w:tc>
          <w:tcPr>
            <w:tcW w:w="1091"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8 489</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7 983</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8 771</w:t>
            </w:r>
          </w:p>
        </w:tc>
      </w:tr>
      <w:tr w:rsidR="00026D75" w:rsidRPr="0056057F" w:rsidTr="00F35897">
        <w:tc>
          <w:tcPr>
            <w:tcW w:w="10088" w:type="dxa"/>
            <w:vAlign w:val="center"/>
          </w:tcPr>
          <w:p w:rsidR="00026D75" w:rsidRPr="0056057F" w:rsidRDefault="00026D75" w:rsidP="00F35897">
            <w:pPr>
              <w:pStyle w:val="Tabletext"/>
              <w:rPr>
                <w:rFonts w:ascii="Calibri" w:hAnsi="Calibri" w:cstheme="majorBidi"/>
                <w:b/>
                <w:bCs/>
                <w:noProof/>
                <w:color w:val="4F81BD" w:themeColor="accent1"/>
                <w:szCs w:val="20"/>
                <w:lang w:val="es-ES" w:eastAsia="zh-CN"/>
              </w:rPr>
            </w:pPr>
            <w:r w:rsidRPr="0056057F">
              <w:rPr>
                <w:rFonts w:ascii="Calibri" w:hAnsi="Calibri" w:cstheme="majorBidi"/>
                <w:b/>
                <w:bCs/>
                <w:color w:val="5B9BD5"/>
                <w:szCs w:val="20"/>
                <w:lang w:val="es-ES"/>
              </w:rPr>
              <w:t>R.3-2</w:t>
            </w:r>
            <w:r w:rsidRPr="0056057F">
              <w:rPr>
                <w:rFonts w:ascii="Calibri" w:hAnsi="Calibri" w:cstheme="majorBidi"/>
                <w:szCs w:val="20"/>
                <w:lang w:val="es-ES"/>
              </w:rPr>
              <w:t>: Asistencia a los Miembros, en particular países en desarrollo y PMA</w:t>
            </w:r>
          </w:p>
        </w:tc>
        <w:tc>
          <w:tcPr>
            <w:tcW w:w="1092"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2 348</w:t>
            </w:r>
          </w:p>
        </w:tc>
        <w:tc>
          <w:tcPr>
            <w:tcW w:w="1091"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2 332</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2 305</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2 292</w:t>
            </w:r>
          </w:p>
        </w:tc>
      </w:tr>
      <w:tr w:rsidR="00026D75" w:rsidRPr="0056057F" w:rsidTr="00F35897">
        <w:tc>
          <w:tcPr>
            <w:tcW w:w="10088" w:type="dxa"/>
            <w:vAlign w:val="center"/>
          </w:tcPr>
          <w:p w:rsidR="00026D75" w:rsidRPr="0056057F" w:rsidRDefault="00026D75" w:rsidP="00F35897">
            <w:pPr>
              <w:pStyle w:val="Tabletext"/>
              <w:rPr>
                <w:rFonts w:ascii="Calibri" w:hAnsi="Calibri" w:cstheme="majorBidi"/>
                <w:szCs w:val="20"/>
                <w:lang w:val="es-ES"/>
              </w:rPr>
            </w:pPr>
            <w:r w:rsidRPr="0056057F">
              <w:rPr>
                <w:rFonts w:ascii="Calibri" w:hAnsi="Calibri" w:cstheme="majorBidi"/>
                <w:b/>
                <w:bCs/>
                <w:color w:val="5B9BD5"/>
                <w:szCs w:val="20"/>
                <w:lang w:val="es-ES"/>
              </w:rPr>
              <w:t>R.3-3</w:t>
            </w:r>
            <w:r w:rsidRPr="0056057F">
              <w:rPr>
                <w:rFonts w:ascii="Calibri" w:hAnsi="Calibri" w:cstheme="majorBidi"/>
                <w:szCs w:val="20"/>
                <w:lang w:val="es-ES"/>
              </w:rPr>
              <w:t>: Coordinación/apoyo a actividades de desarrollo</w:t>
            </w:r>
          </w:p>
        </w:tc>
        <w:tc>
          <w:tcPr>
            <w:tcW w:w="1092"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1 337</w:t>
            </w:r>
          </w:p>
        </w:tc>
        <w:tc>
          <w:tcPr>
            <w:tcW w:w="1091"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1 314</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1 244</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1 306</w:t>
            </w:r>
          </w:p>
        </w:tc>
      </w:tr>
      <w:tr w:rsidR="00026D75" w:rsidRPr="0056057F" w:rsidTr="00F35897">
        <w:tc>
          <w:tcPr>
            <w:tcW w:w="10088" w:type="dxa"/>
            <w:vAlign w:val="center"/>
          </w:tcPr>
          <w:p w:rsidR="00026D75" w:rsidRPr="0056057F" w:rsidRDefault="00026D75" w:rsidP="00F35897">
            <w:pPr>
              <w:pStyle w:val="Tabletext"/>
              <w:rPr>
                <w:rFonts w:ascii="Calibri" w:hAnsi="Calibri" w:cstheme="majorBidi"/>
                <w:noProof/>
                <w:szCs w:val="20"/>
                <w:lang w:val="es-ES" w:eastAsia="zh-CN"/>
              </w:rPr>
            </w:pPr>
            <w:r w:rsidRPr="0056057F">
              <w:rPr>
                <w:rFonts w:ascii="Calibri" w:hAnsi="Calibri" w:cstheme="majorBidi"/>
                <w:b/>
                <w:bCs/>
                <w:color w:val="5B9BD5"/>
                <w:szCs w:val="20"/>
                <w:lang w:val="es-ES"/>
              </w:rPr>
              <w:t>R.3-4</w:t>
            </w:r>
            <w:r w:rsidRPr="0056057F">
              <w:rPr>
                <w:rFonts w:ascii="Calibri" w:hAnsi="Calibri" w:cstheme="majorBidi"/>
                <w:szCs w:val="20"/>
                <w:lang w:val="es-ES"/>
              </w:rPr>
              <w:t>: Seminarios, talleres y otros eventos</w:t>
            </w:r>
          </w:p>
        </w:tc>
        <w:tc>
          <w:tcPr>
            <w:tcW w:w="1092"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3 355</w:t>
            </w:r>
          </w:p>
        </w:tc>
        <w:tc>
          <w:tcPr>
            <w:tcW w:w="1091"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3 424</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3 199</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3 283</w:t>
            </w:r>
          </w:p>
        </w:tc>
      </w:tr>
      <w:tr w:rsidR="00026D75" w:rsidRPr="0056057F" w:rsidTr="00F35897">
        <w:tc>
          <w:tcPr>
            <w:tcW w:w="10088" w:type="dxa"/>
            <w:vAlign w:val="center"/>
          </w:tcPr>
          <w:p w:rsidR="00026D75" w:rsidRPr="0056057F" w:rsidRDefault="00026D75" w:rsidP="00F35897">
            <w:pPr>
              <w:pStyle w:val="Tabletext"/>
              <w:rPr>
                <w:rFonts w:ascii="Calibri" w:hAnsi="Calibri" w:cstheme="majorBidi"/>
                <w:b/>
                <w:bCs/>
                <w:color w:val="5B9BD5"/>
                <w:szCs w:val="20"/>
                <w:lang w:val="es-ES"/>
              </w:rPr>
            </w:pPr>
            <w:r w:rsidRPr="0056057F">
              <w:rPr>
                <w:rFonts w:ascii="Calibri" w:hAnsi="Calibri" w:cstheme="majorBidi"/>
                <w:szCs w:val="20"/>
                <w:lang w:val="es-ES"/>
              </w:rPr>
              <w:t>Atribución de costos a las actividades de la Conferencia de Plenipotenciarios y el Consejo (</w:t>
            </w:r>
            <w:r w:rsidRPr="0056057F">
              <w:rPr>
                <w:rFonts w:ascii="Calibri" w:hAnsi="Calibri" w:cstheme="majorBidi"/>
                <w:b/>
                <w:bCs/>
                <w:color w:val="4F81BD" w:themeColor="accent1"/>
                <w:szCs w:val="20"/>
                <w:lang w:val="es-ES"/>
              </w:rPr>
              <w:t>PP</w:t>
            </w:r>
            <w:r w:rsidRPr="0056057F">
              <w:rPr>
                <w:rFonts w:ascii="Calibri" w:hAnsi="Calibri" w:cstheme="majorBidi"/>
                <w:color w:val="4F81BD" w:themeColor="accent1"/>
                <w:szCs w:val="20"/>
                <w:lang w:val="es-ES"/>
              </w:rPr>
              <w:t xml:space="preserve">, </w:t>
            </w:r>
            <w:r w:rsidRPr="0056057F">
              <w:rPr>
                <w:rFonts w:ascii="Calibri" w:hAnsi="Calibri" w:cstheme="majorBidi"/>
                <w:b/>
                <w:bCs/>
                <w:color w:val="4F81BD" w:themeColor="accent1"/>
                <w:szCs w:val="20"/>
                <w:lang w:val="es-ES"/>
              </w:rPr>
              <w:t>Consejo/GTC</w:t>
            </w:r>
            <w:r w:rsidRPr="0056057F">
              <w:rPr>
                <w:rFonts w:ascii="Calibri" w:hAnsi="Calibri" w:cstheme="majorBidi"/>
                <w:szCs w:val="20"/>
                <w:lang w:val="es-ES"/>
              </w:rPr>
              <w:t>)</w:t>
            </w:r>
          </w:p>
        </w:tc>
        <w:tc>
          <w:tcPr>
            <w:tcW w:w="1092"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563</w:t>
            </w:r>
          </w:p>
        </w:tc>
        <w:tc>
          <w:tcPr>
            <w:tcW w:w="1091" w:type="dxa"/>
            <w:vAlign w:val="center"/>
          </w:tcPr>
          <w:p w:rsidR="00026D75" w:rsidRPr="0056057F" w:rsidRDefault="00026D75" w:rsidP="00F35897">
            <w:pPr>
              <w:pStyle w:val="Tabletext"/>
              <w:jc w:val="center"/>
              <w:rPr>
                <w:rFonts w:ascii="Calibri" w:hAnsi="Calibri" w:cstheme="majorBidi"/>
                <w:i/>
                <w:iCs/>
                <w:color w:val="767171"/>
                <w:szCs w:val="20"/>
                <w:lang w:val="es-ES"/>
              </w:rPr>
            </w:pPr>
            <w:r w:rsidRPr="0056057F">
              <w:rPr>
                <w:rFonts w:ascii="Calibri" w:hAnsi="Calibri" w:cstheme="majorBidi"/>
                <w:szCs w:val="20"/>
                <w:lang w:val="es-ES"/>
              </w:rPr>
              <w:t>914</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476</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512</w:t>
            </w:r>
          </w:p>
        </w:tc>
      </w:tr>
      <w:tr w:rsidR="00026D75" w:rsidRPr="0056057F" w:rsidTr="00F35897">
        <w:tc>
          <w:tcPr>
            <w:tcW w:w="10088" w:type="dxa"/>
            <w:vAlign w:val="center"/>
          </w:tcPr>
          <w:p w:rsidR="00026D75" w:rsidRPr="0056057F" w:rsidRDefault="00026D75" w:rsidP="00F35897">
            <w:pPr>
              <w:pStyle w:val="Tabletext"/>
              <w:rPr>
                <w:rFonts w:ascii="Calibri" w:hAnsi="Calibri" w:cstheme="majorBidi"/>
                <w:b/>
                <w:bCs/>
                <w:noProof/>
                <w:color w:val="4F81BD" w:themeColor="accent1"/>
                <w:szCs w:val="20"/>
                <w:lang w:val="es-ES" w:eastAsia="zh-CN"/>
              </w:rPr>
            </w:pPr>
            <w:r w:rsidRPr="0056057F">
              <w:rPr>
                <w:rFonts w:ascii="Calibri" w:hAnsi="Calibri" w:cstheme="majorBidi"/>
                <w:b/>
                <w:bCs/>
                <w:color w:val="5B9BD5"/>
                <w:szCs w:val="20"/>
                <w:lang w:val="es-ES"/>
              </w:rPr>
              <w:t>Total para el Objetivo R.3</w:t>
            </w:r>
          </w:p>
        </w:tc>
        <w:tc>
          <w:tcPr>
            <w:tcW w:w="1092" w:type="dxa"/>
            <w:vAlign w:val="center"/>
          </w:tcPr>
          <w:p w:rsidR="00026D75" w:rsidRPr="0056057F" w:rsidRDefault="00026D75" w:rsidP="00F35897">
            <w:pPr>
              <w:pStyle w:val="Tabletext"/>
              <w:jc w:val="center"/>
              <w:rPr>
                <w:rFonts w:ascii="Calibri" w:hAnsi="Calibri" w:cstheme="majorBidi"/>
                <w:b/>
                <w:bCs/>
                <w:i/>
                <w:iCs/>
                <w:color w:val="767171"/>
                <w:szCs w:val="20"/>
                <w:lang w:val="es-ES"/>
              </w:rPr>
            </w:pPr>
            <w:r w:rsidRPr="0056057F">
              <w:rPr>
                <w:rFonts w:ascii="Calibri" w:hAnsi="Calibri" w:cstheme="majorBidi"/>
                <w:b/>
                <w:bCs/>
                <w:szCs w:val="20"/>
                <w:lang w:val="es-ES"/>
              </w:rPr>
              <w:t>16 617</w:t>
            </w:r>
          </w:p>
        </w:tc>
        <w:tc>
          <w:tcPr>
            <w:tcW w:w="1091" w:type="dxa"/>
            <w:vAlign w:val="center"/>
          </w:tcPr>
          <w:p w:rsidR="00026D75" w:rsidRPr="0056057F" w:rsidRDefault="00026D75" w:rsidP="00F35897">
            <w:pPr>
              <w:pStyle w:val="Tabletext"/>
              <w:jc w:val="center"/>
              <w:rPr>
                <w:rFonts w:ascii="Calibri" w:hAnsi="Calibri" w:cstheme="majorBidi"/>
                <w:b/>
                <w:bCs/>
                <w:i/>
                <w:iCs/>
                <w:color w:val="767171"/>
                <w:szCs w:val="20"/>
                <w:lang w:val="es-ES"/>
              </w:rPr>
            </w:pPr>
            <w:r w:rsidRPr="0056057F">
              <w:rPr>
                <w:rFonts w:ascii="Calibri" w:hAnsi="Calibri" w:cstheme="majorBidi"/>
                <w:b/>
                <w:bCs/>
                <w:szCs w:val="20"/>
                <w:lang w:val="es-ES"/>
              </w:rPr>
              <w:t>16 473</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15 207</w:t>
            </w:r>
          </w:p>
        </w:tc>
        <w:tc>
          <w:tcPr>
            <w:tcW w:w="1092" w:type="dxa"/>
            <w:vAlign w:val="center"/>
          </w:tcPr>
          <w:p w:rsidR="00026D75" w:rsidRPr="0056057F" w:rsidRDefault="00026D75" w:rsidP="00F35897">
            <w:pPr>
              <w:pStyle w:val="Tabletext"/>
              <w:jc w:val="center"/>
              <w:rPr>
                <w:rFonts w:ascii="Calibri" w:hAnsi="Calibri" w:cstheme="majorBidi"/>
                <w:szCs w:val="20"/>
                <w:lang w:val="es-ES"/>
              </w:rPr>
            </w:pPr>
            <w:r w:rsidRPr="0056057F">
              <w:rPr>
                <w:rFonts w:ascii="Calibri" w:hAnsi="Calibri" w:cstheme="majorBidi"/>
                <w:szCs w:val="20"/>
                <w:lang w:val="es-ES"/>
              </w:rPr>
              <w:t>16 164</w:t>
            </w:r>
          </w:p>
        </w:tc>
      </w:tr>
    </w:tbl>
    <w:p w:rsidR="00026D75" w:rsidRPr="0056057F" w:rsidRDefault="00026D75" w:rsidP="007C124F">
      <w:pPr>
        <w:pStyle w:val="Heading1"/>
        <w:rPr>
          <w:lang w:val="es-ES"/>
        </w:rPr>
      </w:pPr>
      <w:r w:rsidRPr="0056057F">
        <w:rPr>
          <w:lang w:val="es-ES"/>
        </w:rPr>
        <w:t>6</w:t>
      </w:r>
      <w:r w:rsidRPr="0056057F">
        <w:rPr>
          <w:lang w:val="es-ES"/>
        </w:rPr>
        <w:tab/>
        <w:t>Ejecución del Plan Operacional</w:t>
      </w:r>
    </w:p>
    <w:p w:rsidR="00026D75" w:rsidRPr="0056057F" w:rsidRDefault="00026D75" w:rsidP="007C124F">
      <w:pPr>
        <w:rPr>
          <w:lang w:val="es-ES"/>
        </w:rPr>
      </w:pPr>
      <w:r w:rsidRPr="0056057F">
        <w:rPr>
          <w:lang w:val="es-ES"/>
        </w:rPr>
        <w:t>Los productos definidos en el presente Plan Operacional serán coordinados por los Departamentos competentes de la Oficina de Radiocomunicaciones, que, a su vez, llevarán a cabo las actividades de los planes de trabajo internos de la Oficina y de los propios Departamentos.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w:t>
      </w:r>
      <w:r w:rsidR="00406E67" w:rsidRPr="0056057F">
        <w:rPr>
          <w:lang w:val="es-ES"/>
        </w:rPr>
        <w:t xml:space="preserve"> </w:t>
      </w:r>
      <w:r w:rsidRPr="0056057F">
        <w:rPr>
          <w:lang w:val="es-ES"/>
        </w:rPr>
        <w:t>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026D75" w:rsidRPr="0056057F" w:rsidRDefault="00026D75" w:rsidP="00026D75">
      <w:pPr>
        <w:rPr>
          <w:rFonts w:asciiTheme="majorBidi" w:eastAsiaTheme="minorEastAsia" w:hAnsiTheme="majorBidi" w:cstheme="majorBidi"/>
          <w:sz w:val="22"/>
          <w:lang w:val="es-ES" w:eastAsia="zh-CN"/>
        </w:rPr>
      </w:pPr>
      <w:r w:rsidRPr="0056057F">
        <w:rPr>
          <w:rFonts w:asciiTheme="majorBidi" w:hAnsiTheme="majorBidi" w:cstheme="majorBidi"/>
          <w:lang w:val="es-ES"/>
        </w:rPr>
        <w:br w:type="page"/>
      </w:r>
    </w:p>
    <w:p w:rsidR="00026D75" w:rsidRPr="0056057F" w:rsidRDefault="00026D75" w:rsidP="00026D75">
      <w:pPr>
        <w:pStyle w:val="Annextitle"/>
        <w:rPr>
          <w:rFonts w:ascii="Calibri" w:hAnsi="Calibri" w:cstheme="majorBidi"/>
          <w:lang w:val="es-ES"/>
        </w:rPr>
      </w:pPr>
      <w:r w:rsidRPr="0056057F">
        <w:rPr>
          <w:rFonts w:ascii="Calibri" w:hAnsi="Calibri" w:cstheme="majorBidi"/>
          <w:lang w:val="es-ES"/>
        </w:rPr>
        <w:lastRenderedPageBreak/>
        <w:t>Anexo 1: Atribución de recursos a los Objetivos intersectoriales y las Metas estratégicas de la UIT</w:t>
      </w:r>
    </w:p>
    <w:p w:rsidR="00026D75" w:rsidRPr="0056057F" w:rsidRDefault="00026D75" w:rsidP="00026D75">
      <w:pPr>
        <w:ind w:right="103"/>
        <w:jc w:val="right"/>
        <w:rPr>
          <w:rFonts w:cstheme="majorBidi"/>
          <w:lang w:val="es-ES"/>
        </w:rPr>
      </w:pPr>
      <w:r w:rsidRPr="0056057F">
        <w:rPr>
          <w:rFonts w:cstheme="majorBidi"/>
          <w:color w:val="000000"/>
          <w:sz w:val="16"/>
          <w:szCs w:val="16"/>
          <w:lang w:val="es-ES" w:eastAsia="zh-CN"/>
        </w:rPr>
        <w:t>en miles CHF</w:t>
      </w:r>
    </w:p>
    <w:tbl>
      <w:tblPr>
        <w:tblW w:w="15650" w:type="dxa"/>
        <w:jc w:val="center"/>
        <w:tblLayout w:type="fixed"/>
        <w:tblLook w:val="04A0" w:firstRow="1" w:lastRow="0" w:firstColumn="1" w:lastColumn="0" w:noHBand="0" w:noVBand="1"/>
      </w:tblPr>
      <w:tblGrid>
        <w:gridCol w:w="405"/>
        <w:gridCol w:w="1858"/>
        <w:gridCol w:w="851"/>
        <w:gridCol w:w="901"/>
        <w:gridCol w:w="980"/>
        <w:gridCol w:w="881"/>
        <w:gridCol w:w="296"/>
        <w:gridCol w:w="1107"/>
        <w:gridCol w:w="1080"/>
        <w:gridCol w:w="1340"/>
        <w:gridCol w:w="1068"/>
        <w:gridCol w:w="266"/>
        <w:gridCol w:w="1107"/>
        <w:gridCol w:w="1176"/>
        <w:gridCol w:w="1280"/>
        <w:gridCol w:w="1054"/>
      </w:tblGrid>
      <w:tr w:rsidR="00026D75" w:rsidRPr="0056057F" w:rsidTr="00F35897">
        <w:trPr>
          <w:jc w:val="center"/>
        </w:trPr>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Objetivos estratégicos de la UIT para 2016</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Coste total</w:t>
            </w:r>
          </w:p>
        </w:tc>
        <w:tc>
          <w:tcPr>
            <w:tcW w:w="90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26D75" w:rsidRPr="0056057F" w:rsidRDefault="00026D75" w:rsidP="00F35897">
            <w:pPr>
              <w:pStyle w:val="Tablehead"/>
              <w:ind w:left="-57" w:right="-57"/>
              <w:rPr>
                <w:rFonts w:cstheme="majorBidi"/>
                <w:sz w:val="18"/>
                <w:szCs w:val="18"/>
                <w:lang w:val="es-ES" w:eastAsia="zh-CN"/>
              </w:rPr>
            </w:pPr>
            <w:r w:rsidRPr="0056057F">
              <w:rPr>
                <w:rFonts w:cstheme="majorBidi"/>
                <w:sz w:val="18"/>
                <w:szCs w:val="18"/>
                <w:lang w:val="es-ES"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026D75" w:rsidRPr="0056057F" w:rsidRDefault="00026D75" w:rsidP="00F35897">
            <w:pPr>
              <w:pStyle w:val="Tablehead"/>
              <w:ind w:left="-57" w:right="-57"/>
              <w:rPr>
                <w:rFonts w:cstheme="majorBidi"/>
                <w:sz w:val="18"/>
                <w:szCs w:val="18"/>
                <w:lang w:val="es-ES" w:eastAsia="zh-CN"/>
              </w:rPr>
            </w:pPr>
            <w:r w:rsidRPr="0056057F">
              <w:rPr>
                <w:rFonts w:cstheme="majorBidi"/>
                <w:sz w:val="18"/>
                <w:szCs w:val="18"/>
                <w:lang w:val="es-ES"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26D75" w:rsidRPr="0056057F" w:rsidRDefault="00026D75" w:rsidP="00F35897">
            <w:pPr>
              <w:pStyle w:val="Tablehead"/>
              <w:ind w:left="-57" w:right="-57"/>
              <w:rPr>
                <w:rFonts w:cstheme="majorBidi"/>
                <w:sz w:val="18"/>
                <w:szCs w:val="18"/>
                <w:lang w:val="es-ES" w:eastAsia="zh-CN"/>
              </w:rPr>
            </w:pPr>
            <w:r w:rsidRPr="0056057F">
              <w:rPr>
                <w:rFonts w:cstheme="majorBidi"/>
                <w:sz w:val="18"/>
                <w:szCs w:val="18"/>
                <w:lang w:val="es-ES" w:eastAsia="zh-CN"/>
              </w:rPr>
              <w:t>Coste asignado por la TSB/BDT</w:t>
            </w:r>
          </w:p>
        </w:tc>
        <w:tc>
          <w:tcPr>
            <w:tcW w:w="296" w:type="dxa"/>
            <w:tcBorders>
              <w:top w:val="nil"/>
              <w:left w:val="nil"/>
              <w:bottom w:val="nil"/>
              <w:right w:val="nil"/>
            </w:tcBorders>
            <w:shd w:val="clear" w:color="000000" w:fill="FFFFFF"/>
            <w:noWrap/>
            <w:vAlign w:val="bottom"/>
            <w:hideMark/>
          </w:tcPr>
          <w:p w:rsidR="00026D75" w:rsidRPr="0056057F" w:rsidRDefault="00026D75" w:rsidP="00F358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ajorBidi"/>
                <w:b/>
                <w:sz w:val="18"/>
                <w:szCs w:val="18"/>
                <w:lang w:val="es-ES" w:eastAsia="zh-CN"/>
              </w:rPr>
            </w:pPr>
            <w:r w:rsidRPr="0056057F">
              <w:rPr>
                <w:rFonts w:cstheme="majorBidi"/>
                <w:b/>
                <w:sz w:val="18"/>
                <w:szCs w:val="18"/>
                <w:lang w:val="es-ES"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1</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Crecimiento</w:t>
            </w:r>
          </w:p>
        </w:tc>
        <w:tc>
          <w:tcPr>
            <w:tcW w:w="1080" w:type="dxa"/>
            <w:vMerge w:val="restart"/>
            <w:tcBorders>
              <w:top w:val="single" w:sz="4" w:space="0" w:color="auto"/>
              <w:left w:val="nil"/>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2</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Integración</w:t>
            </w:r>
          </w:p>
        </w:tc>
        <w:tc>
          <w:tcPr>
            <w:tcW w:w="1340" w:type="dxa"/>
            <w:vMerge w:val="restart"/>
            <w:tcBorders>
              <w:top w:val="single" w:sz="4" w:space="0" w:color="auto"/>
              <w:left w:val="nil"/>
              <w:right w:val="nil"/>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3</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4</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Innovación y asociación</w:t>
            </w:r>
          </w:p>
        </w:tc>
        <w:tc>
          <w:tcPr>
            <w:tcW w:w="266" w:type="dxa"/>
            <w:tcBorders>
              <w:top w:val="nil"/>
              <w:left w:val="nil"/>
              <w:bottom w:val="nil"/>
              <w:right w:val="nil"/>
            </w:tcBorders>
            <w:shd w:val="clear" w:color="000000" w:fill="FFFFFF"/>
            <w:noWrap/>
            <w:vAlign w:val="bottom"/>
            <w:hideMark/>
          </w:tcPr>
          <w:p w:rsidR="00026D75" w:rsidRPr="0056057F" w:rsidRDefault="00026D75" w:rsidP="00F358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ajorBidi"/>
                <w:b/>
                <w:sz w:val="18"/>
                <w:szCs w:val="18"/>
                <w:lang w:val="es-ES" w:eastAsia="zh-CN"/>
              </w:rPr>
            </w:pPr>
            <w:r w:rsidRPr="0056057F">
              <w:rPr>
                <w:rFonts w:cstheme="majorBidi"/>
                <w:b/>
                <w:sz w:val="18"/>
                <w:szCs w:val="18"/>
                <w:lang w:val="es-ES"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1</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2</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Integración</w:t>
            </w:r>
          </w:p>
        </w:tc>
        <w:tc>
          <w:tcPr>
            <w:tcW w:w="1280" w:type="dxa"/>
            <w:vMerge w:val="restart"/>
            <w:tcBorders>
              <w:top w:val="single" w:sz="4" w:space="0" w:color="auto"/>
              <w:left w:val="nil"/>
              <w:right w:val="nil"/>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3</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Sostenibilidad</w:t>
            </w:r>
          </w:p>
        </w:tc>
        <w:tc>
          <w:tcPr>
            <w:tcW w:w="1054" w:type="dxa"/>
            <w:vMerge w:val="restart"/>
            <w:tcBorders>
              <w:top w:val="single" w:sz="4" w:space="0" w:color="auto"/>
              <w:left w:val="single" w:sz="4"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4</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Innovación y asociación</w:t>
            </w:r>
          </w:p>
        </w:tc>
      </w:tr>
      <w:tr w:rsidR="00026D75" w:rsidRPr="0056057F" w:rsidTr="00F35897">
        <w:trPr>
          <w:jc w:val="center"/>
        </w:trPr>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rsidR="00026D75" w:rsidRPr="0056057F" w:rsidRDefault="00026D75" w:rsidP="00F35897">
            <w:pPr>
              <w:rPr>
                <w:rFonts w:cstheme="majorBidi"/>
                <w:b/>
                <w:bCs/>
                <w:color w:val="000000"/>
                <w:sz w:val="18"/>
                <w:szCs w:val="18"/>
                <w:lang w:val="es-E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26D75" w:rsidRPr="0056057F" w:rsidRDefault="00026D75" w:rsidP="00F35897">
            <w:pPr>
              <w:rPr>
                <w:rFonts w:cstheme="majorBidi"/>
                <w:b/>
                <w:bCs/>
                <w:color w:val="000000"/>
                <w:sz w:val="18"/>
                <w:szCs w:val="18"/>
                <w:lang w:val="es-ES" w:eastAsia="zh-CN"/>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026D75" w:rsidRPr="0056057F" w:rsidRDefault="00026D75" w:rsidP="00F35897">
            <w:pPr>
              <w:rPr>
                <w:rFonts w:cstheme="majorBidi"/>
                <w:b/>
                <w:bCs/>
                <w:color w:val="000000"/>
                <w:sz w:val="18"/>
                <w:szCs w:val="18"/>
                <w:lang w:val="es-ES" w:eastAsia="zh-CN"/>
              </w:rPr>
            </w:pPr>
          </w:p>
        </w:tc>
        <w:tc>
          <w:tcPr>
            <w:tcW w:w="980" w:type="dxa"/>
            <w:vMerge/>
            <w:tcBorders>
              <w:left w:val="single" w:sz="4" w:space="0" w:color="auto"/>
              <w:bottom w:val="single" w:sz="4" w:space="0" w:color="000000"/>
              <w:right w:val="single" w:sz="4" w:space="0" w:color="auto"/>
            </w:tcBorders>
            <w:vAlign w:val="center"/>
          </w:tcPr>
          <w:p w:rsidR="00026D75" w:rsidRPr="0056057F" w:rsidRDefault="00026D75" w:rsidP="00F35897">
            <w:pPr>
              <w:rPr>
                <w:rFonts w:cstheme="majorBidi"/>
                <w:b/>
                <w:bCs/>
                <w:color w:val="000000"/>
                <w:sz w:val="18"/>
                <w:szCs w:val="18"/>
                <w:lang w:val="es-ES"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26D75" w:rsidRPr="0056057F" w:rsidRDefault="00026D75" w:rsidP="00F35897">
            <w:pPr>
              <w:rPr>
                <w:rFonts w:cstheme="majorBidi"/>
                <w:b/>
                <w:bCs/>
                <w:color w:val="000000"/>
                <w:sz w:val="18"/>
                <w:szCs w:val="18"/>
                <w:lang w:val="es-ES" w:eastAsia="zh-CN"/>
              </w:rPr>
            </w:pPr>
          </w:p>
        </w:tc>
        <w:tc>
          <w:tcPr>
            <w:tcW w:w="296" w:type="dxa"/>
            <w:tcBorders>
              <w:top w:val="nil"/>
              <w:left w:val="nil"/>
              <w:bottom w:val="nil"/>
              <w:right w:val="nil"/>
            </w:tcBorders>
            <w:shd w:val="clear" w:color="000000" w:fill="FFFFFF"/>
            <w:noWrap/>
            <w:vAlign w:val="bottom"/>
            <w:hideMark/>
          </w:tcPr>
          <w:p w:rsidR="00026D75" w:rsidRPr="0056057F" w:rsidRDefault="00026D75" w:rsidP="00F35897">
            <w:pPr>
              <w:rPr>
                <w:rFonts w:cstheme="majorBidi"/>
                <w:color w:val="000000"/>
                <w:sz w:val="18"/>
                <w:szCs w:val="18"/>
                <w:lang w:val="es-ES" w:eastAsia="zh-CN"/>
              </w:rPr>
            </w:pPr>
            <w:r w:rsidRPr="0056057F">
              <w:rPr>
                <w:rFonts w:cstheme="majorBidi"/>
                <w:color w:val="000000"/>
                <w:sz w:val="18"/>
                <w:szCs w:val="18"/>
                <w:lang w:val="es-ES"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rPr>
                <w:rFonts w:cstheme="majorBidi"/>
                <w:color w:val="000000"/>
                <w:sz w:val="18"/>
                <w:szCs w:val="18"/>
                <w:lang w:val="es-ES" w:eastAsia="zh-CN"/>
              </w:rPr>
            </w:pPr>
          </w:p>
        </w:tc>
        <w:tc>
          <w:tcPr>
            <w:tcW w:w="1080" w:type="dxa"/>
            <w:vMerge/>
            <w:tcBorders>
              <w:left w:val="nil"/>
              <w:bottom w:val="nil"/>
              <w:right w:val="single" w:sz="4" w:space="0" w:color="auto"/>
            </w:tcBorders>
            <w:shd w:val="clear" w:color="000000" w:fill="BDD7EE"/>
            <w:noWrap/>
            <w:vAlign w:val="center"/>
            <w:hideMark/>
          </w:tcPr>
          <w:p w:rsidR="00026D75" w:rsidRPr="0056057F" w:rsidRDefault="00026D75" w:rsidP="00F35897">
            <w:pPr>
              <w:jc w:val="center"/>
              <w:rPr>
                <w:rFonts w:cstheme="majorBidi"/>
                <w:color w:val="000000"/>
                <w:sz w:val="18"/>
                <w:szCs w:val="18"/>
                <w:lang w:val="es-ES" w:eastAsia="zh-CN"/>
              </w:rPr>
            </w:pPr>
          </w:p>
        </w:tc>
        <w:tc>
          <w:tcPr>
            <w:tcW w:w="1340" w:type="dxa"/>
            <w:vMerge/>
            <w:tcBorders>
              <w:left w:val="nil"/>
              <w:bottom w:val="nil"/>
              <w:right w:val="nil"/>
            </w:tcBorders>
            <w:shd w:val="clear" w:color="000000" w:fill="BDD7EE"/>
            <w:noWrap/>
            <w:vAlign w:val="center"/>
            <w:hideMark/>
          </w:tcPr>
          <w:p w:rsidR="00026D75" w:rsidRPr="0056057F" w:rsidRDefault="00026D75" w:rsidP="00F35897">
            <w:pPr>
              <w:jc w:val="center"/>
              <w:rPr>
                <w:rFonts w:cstheme="majorBidi"/>
                <w:color w:val="000000"/>
                <w:sz w:val="18"/>
                <w:szCs w:val="18"/>
                <w:lang w:val="es-ES"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026D75" w:rsidRPr="0056057F" w:rsidRDefault="00026D75" w:rsidP="00F35897">
            <w:pPr>
              <w:jc w:val="center"/>
              <w:rPr>
                <w:rFonts w:cstheme="majorBidi"/>
                <w:color w:val="000000"/>
                <w:sz w:val="18"/>
                <w:szCs w:val="18"/>
                <w:lang w:val="es-ES" w:eastAsia="zh-CN"/>
              </w:rPr>
            </w:pPr>
          </w:p>
        </w:tc>
        <w:tc>
          <w:tcPr>
            <w:tcW w:w="266" w:type="dxa"/>
            <w:tcBorders>
              <w:top w:val="nil"/>
              <w:left w:val="nil"/>
              <w:bottom w:val="nil"/>
              <w:right w:val="nil"/>
            </w:tcBorders>
            <w:shd w:val="clear" w:color="000000" w:fill="FFFFFF"/>
            <w:noWrap/>
            <w:vAlign w:val="bottom"/>
            <w:hideMark/>
          </w:tcPr>
          <w:p w:rsidR="00026D75" w:rsidRPr="0056057F" w:rsidRDefault="00026D75" w:rsidP="00F35897">
            <w:pPr>
              <w:rPr>
                <w:rFonts w:cstheme="majorBidi"/>
                <w:color w:val="000000"/>
                <w:sz w:val="18"/>
                <w:szCs w:val="18"/>
                <w:lang w:val="es-ES" w:eastAsia="zh-CN"/>
              </w:rPr>
            </w:pPr>
            <w:r w:rsidRPr="0056057F">
              <w:rPr>
                <w:rFonts w:cstheme="majorBidi"/>
                <w:color w:val="000000"/>
                <w:sz w:val="18"/>
                <w:szCs w:val="18"/>
                <w:lang w:val="es-ES"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026D75" w:rsidRPr="0056057F" w:rsidRDefault="00026D75" w:rsidP="00F35897">
            <w:pPr>
              <w:jc w:val="center"/>
              <w:rPr>
                <w:rFonts w:cstheme="majorBidi"/>
                <w:color w:val="000000"/>
                <w:sz w:val="18"/>
                <w:szCs w:val="18"/>
                <w:lang w:val="es-E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026D75" w:rsidRPr="0056057F" w:rsidRDefault="00026D75" w:rsidP="00F35897">
            <w:pPr>
              <w:jc w:val="center"/>
              <w:rPr>
                <w:rFonts w:cstheme="majorBidi"/>
                <w:color w:val="000000"/>
                <w:sz w:val="18"/>
                <w:szCs w:val="18"/>
                <w:lang w:val="es-ES" w:eastAsia="zh-CN"/>
              </w:rPr>
            </w:pPr>
          </w:p>
        </w:tc>
        <w:tc>
          <w:tcPr>
            <w:tcW w:w="1280" w:type="dxa"/>
            <w:vMerge/>
            <w:tcBorders>
              <w:left w:val="nil"/>
              <w:bottom w:val="single" w:sz="4" w:space="0" w:color="auto"/>
              <w:right w:val="nil"/>
            </w:tcBorders>
            <w:shd w:val="clear" w:color="000000" w:fill="BDD7EE"/>
            <w:noWrap/>
            <w:vAlign w:val="bottom"/>
            <w:hideMark/>
          </w:tcPr>
          <w:p w:rsidR="00026D75" w:rsidRPr="0056057F" w:rsidRDefault="00026D75" w:rsidP="00F35897">
            <w:pPr>
              <w:jc w:val="center"/>
              <w:rPr>
                <w:rFonts w:cstheme="majorBidi"/>
                <w:color w:val="000000"/>
                <w:sz w:val="18"/>
                <w:szCs w:val="18"/>
                <w:lang w:val="es-ES" w:eastAsia="zh-CN"/>
              </w:rPr>
            </w:pPr>
          </w:p>
        </w:tc>
        <w:tc>
          <w:tcPr>
            <w:tcW w:w="1054" w:type="dxa"/>
            <w:vMerge/>
            <w:tcBorders>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jc w:val="center"/>
              <w:rPr>
                <w:rFonts w:cstheme="majorBidi"/>
                <w:color w:val="000000"/>
                <w:sz w:val="18"/>
                <w:szCs w:val="18"/>
                <w:lang w:val="es-ES" w:eastAsia="zh-CN"/>
              </w:rPr>
            </w:pPr>
          </w:p>
        </w:tc>
      </w:tr>
      <w:tr w:rsidR="00026D75" w:rsidRPr="0056057F" w:rsidTr="00F35897">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R1</w:t>
            </w:r>
          </w:p>
        </w:tc>
        <w:tc>
          <w:tcPr>
            <w:tcW w:w="1858"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rPr>
                <w:rFonts w:cstheme="majorBidi"/>
                <w:b/>
                <w:bCs/>
                <w:sz w:val="18"/>
                <w:szCs w:val="18"/>
                <w:lang w:val="es-ES"/>
              </w:rPr>
            </w:pPr>
            <w:r w:rsidRPr="0056057F">
              <w:rPr>
                <w:rFonts w:cstheme="majorBidi"/>
                <w:b/>
                <w:bCs/>
                <w:sz w:val="18"/>
                <w:szCs w:val="18"/>
                <w:lang w:val="es-ES"/>
              </w:rPr>
              <w:t>Objetivo 1 del UIT-R</w:t>
            </w:r>
          </w:p>
        </w:tc>
        <w:tc>
          <w:tcPr>
            <w:tcW w:w="851" w:type="dxa"/>
            <w:tcBorders>
              <w:top w:val="nil"/>
              <w:left w:val="nil"/>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35 945</w:t>
            </w:r>
          </w:p>
        </w:tc>
        <w:tc>
          <w:tcPr>
            <w:tcW w:w="901" w:type="dxa"/>
            <w:tcBorders>
              <w:top w:val="nil"/>
              <w:left w:val="nil"/>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19 580</w:t>
            </w:r>
          </w:p>
        </w:tc>
        <w:tc>
          <w:tcPr>
            <w:tcW w:w="980" w:type="dxa"/>
            <w:tcBorders>
              <w:top w:val="nil"/>
              <w:left w:val="nil"/>
              <w:bottom w:val="single" w:sz="4" w:space="0" w:color="auto"/>
              <w:right w:val="single" w:sz="4" w:space="0" w:color="auto"/>
            </w:tcBorders>
            <w:shd w:val="clear" w:color="000000" w:fill="FFFFFF"/>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16 344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22</w:t>
            </w:r>
          </w:p>
        </w:tc>
        <w:tc>
          <w:tcPr>
            <w:tcW w:w="29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30%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10%</w:t>
            </w:r>
          </w:p>
        </w:tc>
        <w:tc>
          <w:tcPr>
            <w:tcW w:w="26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17 972</w:t>
            </w:r>
          </w:p>
        </w:tc>
        <w:tc>
          <w:tcPr>
            <w:tcW w:w="117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10 783</w:t>
            </w:r>
          </w:p>
        </w:tc>
        <w:tc>
          <w:tcPr>
            <w:tcW w:w="1280"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3 594</w:t>
            </w:r>
          </w:p>
        </w:tc>
        <w:tc>
          <w:tcPr>
            <w:tcW w:w="105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3 594</w:t>
            </w:r>
          </w:p>
        </w:tc>
      </w:tr>
      <w:tr w:rsidR="00026D75" w:rsidRPr="0056057F" w:rsidTr="00F35897">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R2</w:t>
            </w:r>
          </w:p>
        </w:tc>
        <w:tc>
          <w:tcPr>
            <w:tcW w:w="1858"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rPr>
                <w:rFonts w:cstheme="majorBidi"/>
                <w:b/>
                <w:bCs/>
                <w:sz w:val="18"/>
                <w:szCs w:val="18"/>
                <w:lang w:val="es-ES"/>
              </w:rPr>
            </w:pPr>
            <w:r w:rsidRPr="0056057F">
              <w:rPr>
                <w:rFonts w:cstheme="majorBidi"/>
                <w:b/>
                <w:bCs/>
                <w:sz w:val="18"/>
                <w:szCs w:val="18"/>
                <w:lang w:val="es-ES"/>
              </w:rPr>
              <w:t>Objetivo 2 del UIT-R</w:t>
            </w:r>
          </w:p>
        </w:tc>
        <w:tc>
          <w:tcPr>
            <w:tcW w:w="851" w:type="dxa"/>
            <w:tcBorders>
              <w:top w:val="nil"/>
              <w:left w:val="nil"/>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8 714</w:t>
            </w:r>
          </w:p>
        </w:tc>
        <w:tc>
          <w:tcPr>
            <w:tcW w:w="901" w:type="dxa"/>
            <w:tcBorders>
              <w:top w:val="nil"/>
              <w:left w:val="nil"/>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5 688</w:t>
            </w:r>
          </w:p>
        </w:tc>
        <w:tc>
          <w:tcPr>
            <w:tcW w:w="980" w:type="dxa"/>
            <w:tcBorders>
              <w:top w:val="nil"/>
              <w:left w:val="nil"/>
              <w:bottom w:val="single" w:sz="4" w:space="0" w:color="auto"/>
              <w:right w:val="single" w:sz="4" w:space="0" w:color="auto"/>
            </w:tcBorders>
            <w:shd w:val="clear" w:color="000000" w:fill="FFFFFF"/>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3 021</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5</w:t>
            </w:r>
          </w:p>
        </w:tc>
        <w:tc>
          <w:tcPr>
            <w:tcW w:w="29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50%</w:t>
            </w:r>
          </w:p>
        </w:tc>
        <w:tc>
          <w:tcPr>
            <w:tcW w:w="1080"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30%</w:t>
            </w:r>
          </w:p>
        </w:tc>
        <w:tc>
          <w:tcPr>
            <w:tcW w:w="1340"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10%</w:t>
            </w:r>
          </w:p>
        </w:tc>
        <w:tc>
          <w:tcPr>
            <w:tcW w:w="1068"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10%</w:t>
            </w:r>
          </w:p>
        </w:tc>
        <w:tc>
          <w:tcPr>
            <w:tcW w:w="26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4 357</w:t>
            </w:r>
          </w:p>
        </w:tc>
        <w:tc>
          <w:tcPr>
            <w:tcW w:w="117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2 614</w:t>
            </w:r>
          </w:p>
        </w:tc>
        <w:tc>
          <w:tcPr>
            <w:tcW w:w="1280"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871</w:t>
            </w:r>
          </w:p>
        </w:tc>
        <w:tc>
          <w:tcPr>
            <w:tcW w:w="105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871</w:t>
            </w:r>
          </w:p>
        </w:tc>
      </w:tr>
      <w:tr w:rsidR="00026D75" w:rsidRPr="0056057F" w:rsidTr="00F35897">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R3</w:t>
            </w:r>
          </w:p>
        </w:tc>
        <w:tc>
          <w:tcPr>
            <w:tcW w:w="1858"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rPr>
                <w:rFonts w:cstheme="majorBidi"/>
                <w:b/>
                <w:bCs/>
                <w:sz w:val="18"/>
                <w:szCs w:val="18"/>
                <w:lang w:val="es-ES"/>
              </w:rPr>
            </w:pPr>
            <w:r w:rsidRPr="0056057F">
              <w:rPr>
                <w:rFonts w:cstheme="majorBidi"/>
                <w:b/>
                <w:bCs/>
                <w:sz w:val="18"/>
                <w:szCs w:val="18"/>
                <w:lang w:val="es-ES"/>
              </w:rPr>
              <w:t>Objetivo 3 del UIT-R</w:t>
            </w:r>
          </w:p>
        </w:tc>
        <w:tc>
          <w:tcPr>
            <w:tcW w:w="851" w:type="dxa"/>
            <w:tcBorders>
              <w:top w:val="nil"/>
              <w:left w:val="nil"/>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16 617</w:t>
            </w:r>
          </w:p>
        </w:tc>
        <w:tc>
          <w:tcPr>
            <w:tcW w:w="901" w:type="dxa"/>
            <w:tcBorders>
              <w:top w:val="nil"/>
              <w:left w:val="nil"/>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10 800</w:t>
            </w:r>
          </w:p>
        </w:tc>
        <w:tc>
          <w:tcPr>
            <w:tcW w:w="980" w:type="dxa"/>
            <w:tcBorders>
              <w:top w:val="nil"/>
              <w:left w:val="nil"/>
              <w:bottom w:val="single" w:sz="4" w:space="0" w:color="auto"/>
              <w:right w:val="single" w:sz="4" w:space="0" w:color="auto"/>
            </w:tcBorders>
            <w:shd w:val="clear" w:color="000000" w:fill="FFFFFF"/>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5 807</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eastAsia="zh-CN"/>
              </w:rPr>
            </w:pPr>
            <w:r w:rsidRPr="0056057F">
              <w:rPr>
                <w:rFonts w:cstheme="majorBidi"/>
                <w:sz w:val="18"/>
                <w:szCs w:val="18"/>
                <w:lang w:val="es-ES"/>
              </w:rPr>
              <w:t>10</w:t>
            </w:r>
          </w:p>
        </w:tc>
        <w:tc>
          <w:tcPr>
            <w:tcW w:w="29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0%</w:t>
            </w:r>
          </w:p>
        </w:tc>
        <w:tc>
          <w:tcPr>
            <w:tcW w:w="1080"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100%</w:t>
            </w:r>
          </w:p>
        </w:tc>
        <w:tc>
          <w:tcPr>
            <w:tcW w:w="1340"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0%</w:t>
            </w:r>
          </w:p>
        </w:tc>
        <w:tc>
          <w:tcPr>
            <w:tcW w:w="1068"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0%</w:t>
            </w:r>
          </w:p>
        </w:tc>
        <w:tc>
          <w:tcPr>
            <w:tcW w:w="26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0</w:t>
            </w:r>
          </w:p>
        </w:tc>
        <w:tc>
          <w:tcPr>
            <w:tcW w:w="117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16 617</w:t>
            </w:r>
          </w:p>
        </w:tc>
        <w:tc>
          <w:tcPr>
            <w:tcW w:w="1280"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0</w:t>
            </w:r>
          </w:p>
        </w:tc>
        <w:tc>
          <w:tcPr>
            <w:tcW w:w="105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0</w:t>
            </w:r>
          </w:p>
        </w:tc>
      </w:tr>
      <w:tr w:rsidR="00026D75" w:rsidRPr="0056057F" w:rsidTr="00F35897">
        <w:trPr>
          <w:jc w:val="center"/>
        </w:trPr>
        <w:tc>
          <w:tcPr>
            <w:tcW w:w="226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26D75" w:rsidRPr="0056057F" w:rsidRDefault="00026D75" w:rsidP="00F35897">
            <w:pPr>
              <w:pStyle w:val="Tabletext"/>
              <w:rPr>
                <w:rFonts w:cstheme="majorBidi"/>
                <w:b/>
                <w:bCs/>
                <w:sz w:val="18"/>
                <w:szCs w:val="18"/>
                <w:lang w:val="es-ES"/>
              </w:rPr>
            </w:pPr>
            <w:r w:rsidRPr="0056057F">
              <w:rPr>
                <w:rFonts w:cstheme="majorBidi"/>
                <w:b/>
                <w:bCs/>
                <w:sz w:val="18"/>
                <w:szCs w:val="18"/>
                <w:lang w:val="es-ES"/>
              </w:rPr>
              <w:t>Coste total</w:t>
            </w:r>
          </w:p>
        </w:tc>
        <w:tc>
          <w:tcPr>
            <w:tcW w:w="851" w:type="dxa"/>
            <w:tcBorders>
              <w:top w:val="nil"/>
              <w:left w:val="nil"/>
              <w:bottom w:val="single" w:sz="4" w:space="0" w:color="auto"/>
              <w:right w:val="single" w:sz="4" w:space="0" w:color="auto"/>
            </w:tcBorders>
            <w:shd w:val="clear" w:color="000000" w:fill="BDD7EE"/>
            <w:noWrap/>
            <w:vAlign w:val="bottom"/>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61 276</w:t>
            </w:r>
          </w:p>
        </w:tc>
        <w:tc>
          <w:tcPr>
            <w:tcW w:w="901" w:type="dxa"/>
            <w:tcBorders>
              <w:top w:val="nil"/>
              <w:left w:val="nil"/>
              <w:bottom w:val="single" w:sz="4" w:space="0" w:color="auto"/>
              <w:right w:val="single" w:sz="4" w:space="0" w:color="auto"/>
            </w:tcBorders>
            <w:shd w:val="clear" w:color="000000" w:fill="BDD7EE"/>
            <w:noWrap/>
            <w:vAlign w:val="bottom"/>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36 068</w:t>
            </w:r>
          </w:p>
        </w:tc>
        <w:tc>
          <w:tcPr>
            <w:tcW w:w="980" w:type="dxa"/>
            <w:tcBorders>
              <w:top w:val="nil"/>
              <w:left w:val="nil"/>
              <w:bottom w:val="single" w:sz="4" w:space="0" w:color="auto"/>
              <w:right w:val="single" w:sz="4" w:space="0" w:color="auto"/>
            </w:tcBorders>
            <w:shd w:val="clear" w:color="000000" w:fill="BDD7EE"/>
            <w:vAlign w:val="bottom"/>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25 172</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37</w:t>
            </w:r>
          </w:p>
        </w:tc>
        <w:tc>
          <w:tcPr>
            <w:tcW w:w="296" w:type="dxa"/>
            <w:tcBorders>
              <w:top w:val="nil"/>
              <w:left w:val="nil"/>
              <w:bottom w:val="nil"/>
              <w:right w:val="nil"/>
            </w:tcBorders>
            <w:shd w:val="clear" w:color="auto" w:fill="auto"/>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1080"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1340"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1068"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266" w:type="dxa"/>
            <w:tcBorders>
              <w:top w:val="nil"/>
              <w:left w:val="nil"/>
              <w:bottom w:val="nil"/>
              <w:right w:val="nil"/>
            </w:tcBorders>
            <w:shd w:val="clear" w:color="auto" w:fill="auto"/>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22 329 </w:t>
            </w:r>
          </w:p>
        </w:tc>
        <w:tc>
          <w:tcPr>
            <w:tcW w:w="1176"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30 014</w:t>
            </w:r>
          </w:p>
        </w:tc>
        <w:tc>
          <w:tcPr>
            <w:tcW w:w="1280"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4 465</w:t>
            </w:r>
          </w:p>
        </w:tc>
        <w:tc>
          <w:tcPr>
            <w:tcW w:w="1054"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4 465</w:t>
            </w:r>
          </w:p>
        </w:tc>
      </w:tr>
      <w:tr w:rsidR="00026D75" w:rsidRPr="0056057F" w:rsidTr="00F35897">
        <w:trPr>
          <w:jc w:val="center"/>
        </w:trPr>
        <w:tc>
          <w:tcPr>
            <w:tcW w:w="40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1858"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851"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901"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980" w:type="dxa"/>
            <w:tcBorders>
              <w:top w:val="nil"/>
              <w:left w:val="nil"/>
              <w:bottom w:val="nil"/>
              <w:right w:val="nil"/>
            </w:tcBorders>
            <w:shd w:val="clear" w:color="000000" w:fill="FFFFFF"/>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881"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29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1107"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1080"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1340"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1068"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sz w:val="22"/>
                <w:lang w:val="es-ES" w:eastAsia="zh-CN"/>
              </w:rPr>
            </w:pPr>
          </w:p>
        </w:tc>
        <w:tc>
          <w:tcPr>
            <w:tcW w:w="266"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color w:val="000000"/>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36,4%</w:t>
            </w:r>
          </w:p>
        </w:tc>
        <w:tc>
          <w:tcPr>
            <w:tcW w:w="1176"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49%</w:t>
            </w:r>
          </w:p>
        </w:tc>
        <w:tc>
          <w:tcPr>
            <w:tcW w:w="1280"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7,3%</w:t>
            </w:r>
          </w:p>
        </w:tc>
        <w:tc>
          <w:tcPr>
            <w:tcW w:w="1054"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7,3%</w:t>
            </w:r>
          </w:p>
        </w:tc>
      </w:tr>
    </w:tbl>
    <w:p w:rsidR="00026D75" w:rsidRPr="0056057F" w:rsidRDefault="00026D75" w:rsidP="008045FB">
      <w:pPr>
        <w:rPr>
          <w:lang w:val="es-ES"/>
        </w:rPr>
      </w:pPr>
    </w:p>
    <w:tbl>
      <w:tblPr>
        <w:tblW w:w="15491" w:type="dxa"/>
        <w:jc w:val="center"/>
        <w:tblLayout w:type="fixed"/>
        <w:tblLook w:val="04A0" w:firstRow="1" w:lastRow="0" w:firstColumn="1" w:lastColumn="0" w:noHBand="0" w:noVBand="1"/>
      </w:tblPr>
      <w:tblGrid>
        <w:gridCol w:w="409"/>
        <w:gridCol w:w="1854"/>
        <w:gridCol w:w="851"/>
        <w:gridCol w:w="759"/>
        <w:gridCol w:w="966"/>
        <w:gridCol w:w="881"/>
        <w:gridCol w:w="245"/>
        <w:gridCol w:w="1107"/>
        <w:gridCol w:w="1145"/>
        <w:gridCol w:w="1299"/>
        <w:gridCol w:w="1089"/>
        <w:gridCol w:w="263"/>
        <w:gridCol w:w="1107"/>
        <w:gridCol w:w="1164"/>
        <w:gridCol w:w="1316"/>
        <w:gridCol w:w="1036"/>
      </w:tblGrid>
      <w:tr w:rsidR="00026D75" w:rsidRPr="0056057F" w:rsidTr="00F35897">
        <w:trPr>
          <w:jc w:val="center"/>
        </w:trPr>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Objetivos estratégicos de la UIT para 2017</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Coste total</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26D75" w:rsidRPr="0056057F" w:rsidRDefault="00026D75" w:rsidP="00F35897">
            <w:pPr>
              <w:pStyle w:val="Tablehead"/>
              <w:ind w:left="-57" w:right="-57"/>
              <w:rPr>
                <w:rFonts w:cstheme="majorBidi"/>
                <w:sz w:val="18"/>
                <w:szCs w:val="18"/>
                <w:lang w:val="es-ES" w:eastAsia="zh-CN"/>
              </w:rPr>
            </w:pPr>
            <w:r w:rsidRPr="0056057F">
              <w:rPr>
                <w:rFonts w:cstheme="majorBidi"/>
                <w:sz w:val="18"/>
                <w:szCs w:val="18"/>
                <w:lang w:val="es-ES" w:eastAsia="zh-CN"/>
              </w:rPr>
              <w:t>Coste de la BR/ 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026D75" w:rsidRPr="0056057F" w:rsidRDefault="00026D75" w:rsidP="00F35897">
            <w:pPr>
              <w:pStyle w:val="Tablehead"/>
              <w:ind w:left="-57" w:right="-57"/>
              <w:rPr>
                <w:rFonts w:cstheme="majorBidi"/>
                <w:sz w:val="18"/>
                <w:szCs w:val="18"/>
                <w:lang w:val="es-ES" w:eastAsia="zh-CN"/>
              </w:rPr>
            </w:pPr>
            <w:r w:rsidRPr="0056057F">
              <w:rPr>
                <w:rFonts w:cstheme="majorBidi"/>
                <w:sz w:val="18"/>
                <w:szCs w:val="18"/>
                <w:lang w:val="es-ES"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26D75" w:rsidRPr="0056057F" w:rsidRDefault="00026D75" w:rsidP="00F35897">
            <w:pPr>
              <w:pStyle w:val="Tablehead"/>
              <w:ind w:left="-57" w:right="-57"/>
              <w:rPr>
                <w:rFonts w:cstheme="majorBidi"/>
                <w:sz w:val="18"/>
                <w:szCs w:val="18"/>
                <w:lang w:val="es-ES" w:eastAsia="zh-CN"/>
              </w:rPr>
            </w:pPr>
            <w:r w:rsidRPr="0056057F">
              <w:rPr>
                <w:rFonts w:cstheme="majorBidi"/>
                <w:sz w:val="18"/>
                <w:szCs w:val="18"/>
                <w:lang w:val="es-ES" w:eastAsia="zh-CN"/>
              </w:rPr>
              <w:t>Coste asignado por la TSB/BDT</w:t>
            </w:r>
          </w:p>
        </w:tc>
        <w:tc>
          <w:tcPr>
            <w:tcW w:w="24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r w:rsidRPr="0056057F">
              <w:rPr>
                <w:rFonts w:cstheme="majorBidi"/>
                <w:sz w:val="22"/>
                <w:lang w:val="es-ES"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1</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Crecimiento</w:t>
            </w:r>
          </w:p>
        </w:tc>
        <w:tc>
          <w:tcPr>
            <w:tcW w:w="1145" w:type="dxa"/>
            <w:vMerge w:val="restart"/>
            <w:tcBorders>
              <w:top w:val="single" w:sz="4" w:space="0" w:color="auto"/>
              <w:left w:val="nil"/>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2</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Integración</w:t>
            </w:r>
          </w:p>
        </w:tc>
        <w:tc>
          <w:tcPr>
            <w:tcW w:w="1299" w:type="dxa"/>
            <w:vMerge w:val="restart"/>
            <w:tcBorders>
              <w:top w:val="single" w:sz="4" w:space="0" w:color="auto"/>
              <w:left w:val="nil"/>
              <w:right w:val="nil"/>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3</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4</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Innovación y asociación</w:t>
            </w:r>
          </w:p>
        </w:tc>
        <w:tc>
          <w:tcPr>
            <w:tcW w:w="263"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r w:rsidRPr="0056057F">
              <w:rPr>
                <w:rFonts w:cstheme="majorBidi"/>
                <w:sz w:val="22"/>
                <w:lang w:val="es-ES"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1</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2</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3</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026D75" w:rsidRPr="0056057F" w:rsidRDefault="00026D75" w:rsidP="00F35897">
            <w:pPr>
              <w:pStyle w:val="Tablehead"/>
              <w:rPr>
                <w:rFonts w:cstheme="majorBidi"/>
                <w:sz w:val="18"/>
                <w:szCs w:val="18"/>
                <w:lang w:val="es-ES" w:eastAsia="zh-CN"/>
              </w:rPr>
            </w:pPr>
            <w:r w:rsidRPr="0056057F">
              <w:rPr>
                <w:rFonts w:cstheme="majorBidi"/>
                <w:sz w:val="18"/>
                <w:szCs w:val="18"/>
                <w:lang w:val="es-ES" w:eastAsia="zh-CN"/>
              </w:rPr>
              <w:t>Meta 4</w:t>
            </w:r>
          </w:p>
          <w:p w:rsidR="00026D75" w:rsidRPr="0056057F" w:rsidRDefault="00026D75" w:rsidP="00F35897">
            <w:pPr>
              <w:pStyle w:val="Tablehead"/>
              <w:rPr>
                <w:rFonts w:cstheme="majorBidi"/>
                <w:b w:val="0"/>
                <w:bCs/>
                <w:sz w:val="18"/>
                <w:szCs w:val="18"/>
                <w:lang w:val="es-ES" w:eastAsia="zh-CN"/>
              </w:rPr>
            </w:pPr>
            <w:r w:rsidRPr="0056057F">
              <w:rPr>
                <w:rFonts w:cstheme="majorBidi"/>
                <w:b w:val="0"/>
                <w:bCs/>
                <w:sz w:val="18"/>
                <w:szCs w:val="18"/>
                <w:lang w:val="es-ES" w:eastAsia="zh-CN"/>
              </w:rPr>
              <w:t>Innovación y asociación</w:t>
            </w:r>
          </w:p>
        </w:tc>
      </w:tr>
      <w:tr w:rsidR="00026D75" w:rsidRPr="0056057F" w:rsidTr="00F35897">
        <w:trPr>
          <w:jc w:val="center"/>
        </w:trPr>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rsidR="00026D75" w:rsidRPr="0056057F" w:rsidRDefault="00026D75" w:rsidP="00F35897">
            <w:pPr>
              <w:jc w:val="center"/>
              <w:rPr>
                <w:rFonts w:cstheme="majorBidi"/>
                <w:b/>
                <w:bCs/>
                <w:color w:val="000000"/>
                <w:sz w:val="18"/>
                <w:szCs w:val="18"/>
                <w:lang w:val="es-E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26D75" w:rsidRPr="0056057F" w:rsidRDefault="00026D75" w:rsidP="00F35897">
            <w:pPr>
              <w:jc w:val="center"/>
              <w:rPr>
                <w:rFonts w:cstheme="majorBidi"/>
                <w:b/>
                <w:bCs/>
                <w:color w:val="000000"/>
                <w:sz w:val="18"/>
                <w:szCs w:val="18"/>
                <w:lang w:val="es-ES" w:eastAsia="zh-CN"/>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026D75" w:rsidRPr="0056057F" w:rsidRDefault="00026D75" w:rsidP="00F35897">
            <w:pPr>
              <w:jc w:val="center"/>
              <w:rPr>
                <w:rFonts w:cstheme="majorBidi"/>
                <w:b/>
                <w:bCs/>
                <w:color w:val="000000"/>
                <w:sz w:val="18"/>
                <w:szCs w:val="18"/>
                <w:lang w:val="es-ES" w:eastAsia="zh-CN"/>
              </w:rPr>
            </w:pPr>
          </w:p>
        </w:tc>
        <w:tc>
          <w:tcPr>
            <w:tcW w:w="966" w:type="dxa"/>
            <w:vMerge/>
            <w:tcBorders>
              <w:left w:val="single" w:sz="4" w:space="0" w:color="auto"/>
              <w:bottom w:val="single" w:sz="4" w:space="0" w:color="000000"/>
              <w:right w:val="single" w:sz="4" w:space="0" w:color="auto"/>
            </w:tcBorders>
            <w:vAlign w:val="center"/>
          </w:tcPr>
          <w:p w:rsidR="00026D75" w:rsidRPr="0056057F" w:rsidRDefault="00026D75" w:rsidP="00F35897">
            <w:pPr>
              <w:jc w:val="center"/>
              <w:rPr>
                <w:rFonts w:cstheme="majorBidi"/>
                <w:b/>
                <w:bCs/>
                <w:color w:val="000000"/>
                <w:sz w:val="18"/>
                <w:szCs w:val="18"/>
                <w:lang w:val="es-ES"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26D75" w:rsidRPr="0056057F" w:rsidRDefault="00026D75" w:rsidP="00F35897">
            <w:pPr>
              <w:jc w:val="center"/>
              <w:rPr>
                <w:rFonts w:cstheme="majorBidi"/>
                <w:b/>
                <w:bCs/>
                <w:color w:val="000000"/>
                <w:sz w:val="18"/>
                <w:szCs w:val="18"/>
                <w:lang w:val="es-ES" w:eastAsia="zh-CN"/>
              </w:rPr>
            </w:pPr>
          </w:p>
        </w:tc>
        <w:tc>
          <w:tcPr>
            <w:tcW w:w="24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r w:rsidRPr="0056057F">
              <w:rPr>
                <w:rFonts w:cstheme="majorBidi"/>
                <w:sz w:val="22"/>
                <w:lang w:val="es-ES"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c>
          <w:tcPr>
            <w:tcW w:w="1145" w:type="dxa"/>
            <w:vMerge/>
            <w:tcBorders>
              <w:left w:val="nil"/>
              <w:bottom w:val="nil"/>
              <w:right w:val="single" w:sz="4" w:space="0" w:color="auto"/>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c>
          <w:tcPr>
            <w:tcW w:w="1299" w:type="dxa"/>
            <w:vMerge/>
            <w:tcBorders>
              <w:left w:val="nil"/>
              <w:bottom w:val="nil"/>
              <w:right w:val="nil"/>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c>
          <w:tcPr>
            <w:tcW w:w="263"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r w:rsidRPr="0056057F">
              <w:rPr>
                <w:rFonts w:cstheme="majorBidi"/>
                <w:sz w:val="22"/>
                <w:lang w:val="es-ES"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c>
          <w:tcPr>
            <w:tcW w:w="1316" w:type="dxa"/>
            <w:vMerge/>
            <w:tcBorders>
              <w:left w:val="nil"/>
              <w:bottom w:val="single" w:sz="4" w:space="0" w:color="auto"/>
              <w:right w:val="nil"/>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jc w:val="center"/>
              <w:rPr>
                <w:rFonts w:cstheme="majorBidi"/>
                <w:b/>
                <w:bCs/>
                <w:color w:val="000000"/>
                <w:sz w:val="18"/>
                <w:szCs w:val="18"/>
                <w:lang w:val="es-ES" w:eastAsia="zh-CN"/>
              </w:rPr>
            </w:pPr>
          </w:p>
        </w:tc>
      </w:tr>
      <w:tr w:rsidR="00026D75" w:rsidRPr="0056057F" w:rsidTr="00F35897">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R1</w:t>
            </w:r>
          </w:p>
        </w:tc>
        <w:tc>
          <w:tcPr>
            <w:tcW w:w="185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Objetivo 1 del UIT-R</w:t>
            </w:r>
          </w:p>
        </w:tc>
        <w:tc>
          <w:tcPr>
            <w:tcW w:w="851" w:type="dxa"/>
            <w:tcBorders>
              <w:top w:val="nil"/>
              <w:left w:val="nil"/>
              <w:bottom w:val="single" w:sz="4" w:space="0" w:color="auto"/>
              <w:right w:val="single" w:sz="4" w:space="0" w:color="auto"/>
            </w:tcBorders>
            <w:shd w:val="clear" w:color="000000" w:fill="FFFFFF"/>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36 027</w:t>
            </w:r>
          </w:p>
        </w:tc>
        <w:tc>
          <w:tcPr>
            <w:tcW w:w="759" w:type="dxa"/>
            <w:tcBorders>
              <w:top w:val="nil"/>
              <w:left w:val="nil"/>
              <w:bottom w:val="single" w:sz="4" w:space="0" w:color="auto"/>
              <w:right w:val="single" w:sz="4" w:space="0" w:color="auto"/>
            </w:tcBorders>
            <w:shd w:val="clear" w:color="000000" w:fill="FFFFFF"/>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19 898</w:t>
            </w:r>
          </w:p>
        </w:tc>
        <w:tc>
          <w:tcPr>
            <w:tcW w:w="966" w:type="dxa"/>
            <w:tcBorders>
              <w:top w:val="nil"/>
              <w:left w:val="nil"/>
              <w:bottom w:val="single" w:sz="4" w:space="0" w:color="auto"/>
              <w:right w:val="single" w:sz="4" w:space="0" w:color="auto"/>
            </w:tcBorders>
            <w:shd w:val="clear" w:color="000000" w:fill="FFFFFF"/>
            <w:vAlign w:val="bottom"/>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16 107</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21</w:t>
            </w:r>
          </w:p>
        </w:tc>
        <w:tc>
          <w:tcPr>
            <w:tcW w:w="24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50%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30%</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10%</w:t>
            </w:r>
          </w:p>
        </w:tc>
        <w:tc>
          <w:tcPr>
            <w:tcW w:w="263"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18 013 </w:t>
            </w:r>
          </w:p>
        </w:tc>
        <w:tc>
          <w:tcPr>
            <w:tcW w:w="116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10 808 </w:t>
            </w:r>
          </w:p>
        </w:tc>
        <w:tc>
          <w:tcPr>
            <w:tcW w:w="131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3 603 </w:t>
            </w:r>
          </w:p>
        </w:tc>
        <w:tc>
          <w:tcPr>
            <w:tcW w:w="103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3 603 </w:t>
            </w:r>
          </w:p>
        </w:tc>
      </w:tr>
      <w:tr w:rsidR="00026D75" w:rsidRPr="0056057F" w:rsidTr="00F35897">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R2</w:t>
            </w:r>
          </w:p>
        </w:tc>
        <w:tc>
          <w:tcPr>
            <w:tcW w:w="185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Objetivo 2 del UIT-R</w:t>
            </w:r>
          </w:p>
        </w:tc>
        <w:tc>
          <w:tcPr>
            <w:tcW w:w="851" w:type="dxa"/>
            <w:tcBorders>
              <w:top w:val="nil"/>
              <w:left w:val="nil"/>
              <w:bottom w:val="single" w:sz="4" w:space="0" w:color="auto"/>
              <w:right w:val="single" w:sz="4" w:space="0" w:color="auto"/>
            </w:tcBorders>
            <w:shd w:val="clear" w:color="000000" w:fill="FFFFFF"/>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9 686</w:t>
            </w:r>
          </w:p>
        </w:tc>
        <w:tc>
          <w:tcPr>
            <w:tcW w:w="759" w:type="dxa"/>
            <w:tcBorders>
              <w:top w:val="nil"/>
              <w:left w:val="nil"/>
              <w:bottom w:val="single" w:sz="4" w:space="0" w:color="auto"/>
              <w:right w:val="single" w:sz="4" w:space="0" w:color="auto"/>
            </w:tcBorders>
            <w:shd w:val="clear" w:color="000000" w:fill="FFFFFF"/>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6 685</w:t>
            </w:r>
          </w:p>
        </w:tc>
        <w:tc>
          <w:tcPr>
            <w:tcW w:w="966" w:type="dxa"/>
            <w:tcBorders>
              <w:top w:val="nil"/>
              <w:left w:val="nil"/>
              <w:bottom w:val="single" w:sz="4" w:space="0" w:color="auto"/>
              <w:right w:val="single" w:sz="4" w:space="0" w:color="auto"/>
            </w:tcBorders>
            <w:shd w:val="clear" w:color="000000" w:fill="FFFFFF"/>
            <w:vAlign w:val="bottom"/>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2 996</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6</w:t>
            </w:r>
          </w:p>
        </w:tc>
        <w:tc>
          <w:tcPr>
            <w:tcW w:w="24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50%</w:t>
            </w:r>
          </w:p>
        </w:tc>
        <w:tc>
          <w:tcPr>
            <w:tcW w:w="1145"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30%</w:t>
            </w:r>
          </w:p>
        </w:tc>
        <w:tc>
          <w:tcPr>
            <w:tcW w:w="1299"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10%</w:t>
            </w:r>
          </w:p>
        </w:tc>
        <w:tc>
          <w:tcPr>
            <w:tcW w:w="263"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4 843 </w:t>
            </w:r>
          </w:p>
        </w:tc>
        <w:tc>
          <w:tcPr>
            <w:tcW w:w="116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2 906 </w:t>
            </w:r>
          </w:p>
        </w:tc>
        <w:tc>
          <w:tcPr>
            <w:tcW w:w="131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969 </w:t>
            </w:r>
          </w:p>
        </w:tc>
        <w:tc>
          <w:tcPr>
            <w:tcW w:w="103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969 </w:t>
            </w:r>
          </w:p>
        </w:tc>
      </w:tr>
      <w:tr w:rsidR="00026D75" w:rsidRPr="0056057F" w:rsidTr="00F35897">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R3</w:t>
            </w:r>
          </w:p>
        </w:tc>
        <w:tc>
          <w:tcPr>
            <w:tcW w:w="185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ind w:left="-57" w:right="-57"/>
              <w:jc w:val="center"/>
              <w:rPr>
                <w:rFonts w:cstheme="majorBidi"/>
                <w:b/>
                <w:bCs/>
                <w:sz w:val="18"/>
                <w:szCs w:val="18"/>
                <w:lang w:val="es-ES"/>
              </w:rPr>
            </w:pPr>
            <w:r w:rsidRPr="0056057F">
              <w:rPr>
                <w:rFonts w:cstheme="majorBidi"/>
                <w:b/>
                <w:bCs/>
                <w:sz w:val="18"/>
                <w:szCs w:val="18"/>
                <w:lang w:val="es-ES"/>
              </w:rPr>
              <w:t>Objetivo 3 del UIT-R</w:t>
            </w:r>
          </w:p>
        </w:tc>
        <w:tc>
          <w:tcPr>
            <w:tcW w:w="851" w:type="dxa"/>
            <w:tcBorders>
              <w:top w:val="nil"/>
              <w:left w:val="nil"/>
              <w:bottom w:val="single" w:sz="4" w:space="0" w:color="auto"/>
              <w:right w:val="single" w:sz="4" w:space="0" w:color="auto"/>
            </w:tcBorders>
            <w:shd w:val="clear" w:color="000000" w:fill="FFFFFF"/>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16 473</w:t>
            </w:r>
          </w:p>
        </w:tc>
        <w:tc>
          <w:tcPr>
            <w:tcW w:w="759" w:type="dxa"/>
            <w:tcBorders>
              <w:top w:val="nil"/>
              <w:left w:val="nil"/>
              <w:bottom w:val="single" w:sz="4" w:space="0" w:color="auto"/>
              <w:right w:val="single" w:sz="4" w:space="0" w:color="auto"/>
            </w:tcBorders>
            <w:shd w:val="clear" w:color="000000" w:fill="FFFFFF"/>
            <w:noWrap/>
            <w:vAlign w:val="bottom"/>
            <w:hideMark/>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10 571</w:t>
            </w:r>
          </w:p>
        </w:tc>
        <w:tc>
          <w:tcPr>
            <w:tcW w:w="966" w:type="dxa"/>
            <w:tcBorders>
              <w:top w:val="nil"/>
              <w:left w:val="nil"/>
              <w:bottom w:val="single" w:sz="4" w:space="0" w:color="auto"/>
              <w:right w:val="single" w:sz="4" w:space="0" w:color="auto"/>
            </w:tcBorders>
            <w:shd w:val="clear" w:color="000000" w:fill="FFFFFF"/>
            <w:vAlign w:val="bottom"/>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5 892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26D75" w:rsidRPr="0056057F" w:rsidRDefault="00026D75" w:rsidP="00F35897">
            <w:pPr>
              <w:pStyle w:val="Tabletext"/>
              <w:jc w:val="center"/>
              <w:rPr>
                <w:rFonts w:cstheme="majorBidi"/>
                <w:sz w:val="18"/>
                <w:szCs w:val="18"/>
                <w:lang w:val="es-ES"/>
              </w:rPr>
            </w:pPr>
            <w:r w:rsidRPr="0056057F">
              <w:rPr>
                <w:rFonts w:cstheme="majorBidi"/>
                <w:sz w:val="18"/>
                <w:szCs w:val="18"/>
                <w:lang w:val="es-ES"/>
              </w:rPr>
              <w:t>10</w:t>
            </w:r>
          </w:p>
        </w:tc>
        <w:tc>
          <w:tcPr>
            <w:tcW w:w="24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0%</w:t>
            </w:r>
          </w:p>
        </w:tc>
        <w:tc>
          <w:tcPr>
            <w:tcW w:w="1145"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theme="majorBidi"/>
                <w:b/>
                <w:bCs/>
                <w:sz w:val="18"/>
                <w:szCs w:val="18"/>
                <w:lang w:val="es-ES" w:eastAsia="zh-CN"/>
              </w:rPr>
            </w:pPr>
            <w:r w:rsidRPr="0056057F">
              <w:rPr>
                <w:rFonts w:cstheme="majorBidi"/>
                <w:b/>
                <w:bCs/>
                <w:sz w:val="18"/>
                <w:szCs w:val="18"/>
                <w:lang w:val="es-ES" w:eastAsia="zh-CN"/>
              </w:rPr>
              <w:t>100%</w:t>
            </w:r>
          </w:p>
        </w:tc>
        <w:tc>
          <w:tcPr>
            <w:tcW w:w="1299"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0%</w:t>
            </w:r>
          </w:p>
        </w:tc>
        <w:tc>
          <w:tcPr>
            <w:tcW w:w="1089" w:type="dxa"/>
            <w:tcBorders>
              <w:top w:val="nil"/>
              <w:left w:val="nil"/>
              <w:bottom w:val="single" w:sz="4" w:space="0" w:color="auto"/>
              <w:right w:val="single" w:sz="4" w:space="0" w:color="auto"/>
            </w:tcBorders>
            <w:shd w:val="clear" w:color="auto" w:fill="auto"/>
            <w:noWrap/>
            <w:vAlign w:val="center"/>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0%</w:t>
            </w:r>
          </w:p>
        </w:tc>
        <w:tc>
          <w:tcPr>
            <w:tcW w:w="263"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16 473 </w:t>
            </w:r>
          </w:p>
        </w:tc>
        <w:tc>
          <w:tcPr>
            <w:tcW w:w="1316" w:type="dxa"/>
            <w:tcBorders>
              <w:top w:val="nil"/>
              <w:left w:val="nil"/>
              <w:bottom w:val="single" w:sz="4" w:space="0" w:color="auto"/>
              <w:right w:val="single" w:sz="4" w:space="0" w:color="auto"/>
            </w:tcBorders>
            <w:shd w:val="clear" w:color="auto" w:fill="auto"/>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0 </w:t>
            </w:r>
          </w:p>
        </w:tc>
        <w:tc>
          <w:tcPr>
            <w:tcW w:w="1036" w:type="dxa"/>
            <w:tcBorders>
              <w:top w:val="nil"/>
              <w:left w:val="nil"/>
              <w:bottom w:val="single" w:sz="4" w:space="0" w:color="auto"/>
              <w:right w:val="single" w:sz="4" w:space="0" w:color="auto"/>
            </w:tcBorders>
            <w:shd w:val="clear" w:color="auto" w:fill="auto"/>
            <w:noWrap/>
            <w:vAlign w:val="bottom"/>
          </w:tcPr>
          <w:p w:rsidR="00026D75" w:rsidRPr="0056057F" w:rsidRDefault="00026D75" w:rsidP="00F35897">
            <w:pPr>
              <w:pStyle w:val="Tabletext"/>
              <w:jc w:val="center"/>
              <w:rPr>
                <w:rFonts w:cstheme="majorBidi"/>
                <w:b/>
                <w:bCs/>
                <w:sz w:val="18"/>
                <w:szCs w:val="18"/>
                <w:lang w:val="es-ES"/>
              </w:rPr>
            </w:pPr>
          </w:p>
        </w:tc>
      </w:tr>
      <w:tr w:rsidR="00026D75" w:rsidRPr="0056057F" w:rsidTr="00F35897">
        <w:trPr>
          <w:jc w:val="center"/>
        </w:trPr>
        <w:tc>
          <w:tcPr>
            <w:tcW w:w="226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26D75" w:rsidRPr="0056057F" w:rsidRDefault="00026D75" w:rsidP="00F35897">
            <w:pPr>
              <w:pStyle w:val="Tabletext"/>
              <w:rPr>
                <w:rFonts w:cstheme="majorBidi"/>
                <w:b/>
                <w:bCs/>
                <w:sz w:val="18"/>
                <w:szCs w:val="18"/>
                <w:lang w:val="es-ES"/>
              </w:rPr>
            </w:pPr>
            <w:r w:rsidRPr="0056057F">
              <w:rPr>
                <w:rFonts w:cstheme="majorBidi"/>
                <w:b/>
                <w:bCs/>
                <w:sz w:val="18"/>
                <w:szCs w:val="18"/>
                <w:lang w:val="es-ES"/>
              </w:rPr>
              <w:t>Coste total</w:t>
            </w:r>
          </w:p>
        </w:tc>
        <w:tc>
          <w:tcPr>
            <w:tcW w:w="851"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62 186</w:t>
            </w:r>
          </w:p>
        </w:tc>
        <w:tc>
          <w:tcPr>
            <w:tcW w:w="759"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37 154</w:t>
            </w:r>
          </w:p>
        </w:tc>
        <w:tc>
          <w:tcPr>
            <w:tcW w:w="966" w:type="dxa"/>
            <w:tcBorders>
              <w:top w:val="nil"/>
              <w:left w:val="nil"/>
              <w:bottom w:val="single" w:sz="4" w:space="0" w:color="auto"/>
              <w:right w:val="single" w:sz="4" w:space="0" w:color="auto"/>
            </w:tcBorders>
            <w:shd w:val="clear" w:color="000000" w:fill="BDD7EE"/>
            <w:vAlign w:val="bottom"/>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24 995</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37</w:t>
            </w:r>
          </w:p>
        </w:tc>
        <w:tc>
          <w:tcPr>
            <w:tcW w:w="245" w:type="dxa"/>
            <w:tcBorders>
              <w:top w:val="nil"/>
              <w:left w:val="nil"/>
              <w:bottom w:val="nil"/>
              <w:right w:val="nil"/>
            </w:tcBorders>
            <w:shd w:val="clear" w:color="auto" w:fill="auto"/>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1145"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1299"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1089"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p>
        </w:tc>
        <w:tc>
          <w:tcPr>
            <w:tcW w:w="263" w:type="dxa"/>
            <w:tcBorders>
              <w:top w:val="nil"/>
              <w:left w:val="nil"/>
              <w:bottom w:val="nil"/>
              <w:right w:val="nil"/>
            </w:tcBorders>
            <w:shd w:val="clear" w:color="auto" w:fill="auto"/>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22 856 </w:t>
            </w:r>
          </w:p>
        </w:tc>
        <w:tc>
          <w:tcPr>
            <w:tcW w:w="1164"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 xml:space="preserve">30 187 </w:t>
            </w:r>
          </w:p>
        </w:tc>
        <w:tc>
          <w:tcPr>
            <w:tcW w:w="1316"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4 572</w:t>
            </w:r>
          </w:p>
        </w:tc>
        <w:tc>
          <w:tcPr>
            <w:tcW w:w="1036" w:type="dxa"/>
            <w:tcBorders>
              <w:top w:val="nil"/>
              <w:left w:val="nil"/>
              <w:bottom w:val="single" w:sz="4" w:space="0" w:color="auto"/>
              <w:right w:val="single" w:sz="4" w:space="0" w:color="auto"/>
            </w:tcBorders>
            <w:shd w:val="clear" w:color="000000" w:fill="BDD7EE"/>
            <w:noWrap/>
            <w:vAlign w:val="bottom"/>
          </w:tcPr>
          <w:p w:rsidR="00026D75" w:rsidRPr="0056057F" w:rsidRDefault="00026D75" w:rsidP="00F35897">
            <w:pPr>
              <w:pStyle w:val="Tabletext"/>
              <w:jc w:val="center"/>
              <w:rPr>
                <w:rFonts w:cstheme="majorBidi"/>
                <w:b/>
                <w:bCs/>
                <w:sz w:val="18"/>
                <w:szCs w:val="18"/>
                <w:lang w:val="es-ES"/>
              </w:rPr>
            </w:pPr>
          </w:p>
        </w:tc>
      </w:tr>
      <w:tr w:rsidR="00026D75" w:rsidRPr="0056057F" w:rsidTr="00F35897">
        <w:trPr>
          <w:jc w:val="center"/>
        </w:trPr>
        <w:tc>
          <w:tcPr>
            <w:tcW w:w="409"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r w:rsidRPr="0056057F">
              <w:rPr>
                <w:rFonts w:cstheme="majorBidi"/>
                <w:sz w:val="22"/>
                <w:lang w:val="es-ES" w:eastAsia="zh-CN"/>
              </w:rPr>
              <w:t> </w:t>
            </w:r>
          </w:p>
        </w:tc>
        <w:tc>
          <w:tcPr>
            <w:tcW w:w="1854"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eastAsia="zh-CN"/>
              </w:rPr>
            </w:pPr>
            <w:r w:rsidRPr="0056057F">
              <w:rPr>
                <w:rFonts w:cstheme="majorBidi"/>
                <w:sz w:val="22"/>
                <w:lang w:val="es-ES" w:eastAsia="zh-CN"/>
              </w:rPr>
              <w:t> </w:t>
            </w:r>
          </w:p>
        </w:tc>
        <w:tc>
          <w:tcPr>
            <w:tcW w:w="851"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759"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966" w:type="dxa"/>
            <w:tcBorders>
              <w:top w:val="nil"/>
              <w:left w:val="nil"/>
              <w:bottom w:val="nil"/>
              <w:right w:val="nil"/>
            </w:tcBorders>
            <w:shd w:val="clear" w:color="000000" w:fill="FFFFFF"/>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881"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24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1107"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1145"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1299"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1089"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263" w:type="dxa"/>
            <w:tcBorders>
              <w:top w:val="nil"/>
              <w:left w:val="nil"/>
              <w:bottom w:val="nil"/>
              <w:right w:val="nil"/>
            </w:tcBorders>
            <w:shd w:val="clear" w:color="000000" w:fill="FFFFFF"/>
            <w:noWrap/>
            <w:vAlign w:val="bottom"/>
            <w:hideMark/>
          </w:tcPr>
          <w:p w:rsidR="00026D75" w:rsidRPr="0056057F" w:rsidRDefault="00026D75" w:rsidP="00F358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theme="majorBidi"/>
                <w:sz w:val="22"/>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36,8%</w:t>
            </w:r>
          </w:p>
        </w:tc>
        <w:tc>
          <w:tcPr>
            <w:tcW w:w="1164"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48,5%</w:t>
            </w:r>
          </w:p>
        </w:tc>
        <w:tc>
          <w:tcPr>
            <w:tcW w:w="1316" w:type="dxa"/>
            <w:tcBorders>
              <w:top w:val="nil"/>
              <w:left w:val="nil"/>
              <w:bottom w:val="single" w:sz="4" w:space="0" w:color="auto"/>
              <w:right w:val="single" w:sz="4" w:space="0" w:color="auto"/>
            </w:tcBorders>
            <w:shd w:val="clear" w:color="000000" w:fill="BDD7EE"/>
            <w:noWrap/>
            <w:vAlign w:val="bottom"/>
            <w:hideMark/>
          </w:tcPr>
          <w:p w:rsidR="00026D75" w:rsidRPr="0056057F" w:rsidRDefault="00026D75" w:rsidP="00F35897">
            <w:pPr>
              <w:pStyle w:val="Tabletext"/>
              <w:jc w:val="center"/>
              <w:rPr>
                <w:rFonts w:cstheme="majorBidi"/>
                <w:b/>
                <w:bCs/>
                <w:sz w:val="18"/>
                <w:szCs w:val="18"/>
                <w:lang w:val="es-ES"/>
              </w:rPr>
            </w:pPr>
            <w:r w:rsidRPr="0056057F">
              <w:rPr>
                <w:rFonts w:cstheme="majorBidi"/>
                <w:b/>
                <w:bCs/>
                <w:sz w:val="18"/>
                <w:szCs w:val="18"/>
                <w:lang w:val="es-ES"/>
              </w:rPr>
              <w:t>7,4%</w:t>
            </w:r>
          </w:p>
        </w:tc>
        <w:tc>
          <w:tcPr>
            <w:tcW w:w="1036" w:type="dxa"/>
            <w:tcBorders>
              <w:top w:val="nil"/>
              <w:left w:val="nil"/>
              <w:bottom w:val="single" w:sz="4" w:space="0" w:color="auto"/>
              <w:right w:val="single" w:sz="4" w:space="0" w:color="auto"/>
            </w:tcBorders>
            <w:shd w:val="clear" w:color="000000" w:fill="BDD7EE"/>
            <w:noWrap/>
            <w:vAlign w:val="bottom"/>
          </w:tcPr>
          <w:p w:rsidR="00026D75" w:rsidRPr="0056057F" w:rsidRDefault="00026D75" w:rsidP="00F35897">
            <w:pPr>
              <w:pStyle w:val="Tabletext"/>
              <w:jc w:val="center"/>
              <w:rPr>
                <w:rFonts w:cstheme="majorBidi"/>
                <w:b/>
                <w:bCs/>
                <w:sz w:val="18"/>
                <w:szCs w:val="18"/>
                <w:lang w:val="es-ES"/>
              </w:rPr>
            </w:pPr>
          </w:p>
        </w:tc>
      </w:tr>
    </w:tbl>
    <w:p w:rsidR="00026D75" w:rsidRPr="0056057F" w:rsidRDefault="00026D75" w:rsidP="00026D75">
      <w:pPr>
        <w:rPr>
          <w:lang w:val="es-ES"/>
        </w:rPr>
      </w:pPr>
    </w:p>
    <w:p w:rsidR="00026D75" w:rsidRPr="0056057F" w:rsidRDefault="00026D75" w:rsidP="00026D75">
      <w:pPr>
        <w:pStyle w:val="Normalaftertitle"/>
        <w:jc w:val="center"/>
        <w:rPr>
          <w:lang w:val="es-ES"/>
        </w:rPr>
      </w:pPr>
      <w:r w:rsidRPr="0056057F">
        <w:rPr>
          <w:lang w:val="es-ES"/>
        </w:rPr>
        <w:t>______________</w:t>
      </w:r>
    </w:p>
    <w:sectPr w:rsidR="00026D75" w:rsidRPr="0056057F" w:rsidSect="00F35897">
      <w:headerReference w:type="default" r:id="rId43"/>
      <w:footerReference w:type="default" r:id="rId44"/>
      <w:footerReference w:type="first" r:id="rId4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C4" w:rsidRDefault="004D6EC4">
      <w:r>
        <w:separator/>
      </w:r>
    </w:p>
  </w:endnote>
  <w:endnote w:type="continuationSeparator" w:id="0">
    <w:p w:rsidR="004D6EC4" w:rsidRDefault="004D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ED05A3" w:rsidRDefault="00ED05A3" w:rsidP="00ED05A3">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hyperlink r:id="rId1" w:history="1">
      <w:r w:rsidRPr="00311970">
        <w:rPr>
          <w:rStyle w:val="Hyperlink"/>
          <w:color w:val="3E8EDE"/>
          <w:sz w:val="18"/>
          <w:szCs w:val="18"/>
          <w:lang w:val="es-ES"/>
        </w:rPr>
        <w:t>itumail@itu.int</w:t>
      </w:r>
    </w:hyperlink>
    <w:r w:rsidRPr="00311970">
      <w:rPr>
        <w:color w:val="3E8EDE"/>
        <w:sz w:val="18"/>
        <w:szCs w:val="18"/>
        <w:lang w:val="es-ES"/>
      </w:rPr>
      <w:t xml:space="preserve"> • </w:t>
    </w:r>
    <w:hyperlink r:id="rId2" w:history="1">
      <w:r w:rsidRPr="00311970">
        <w:rPr>
          <w:rStyle w:val="Hyperlink"/>
          <w:color w:val="3E8EDE"/>
          <w:sz w:val="18"/>
          <w:szCs w:val="18"/>
          <w:lang w:val="es-ES"/>
        </w:rPr>
        <w:t>www.itu.int</w:t>
      </w:r>
    </w:hyperlink>
    <w:r w:rsidRPr="00311970">
      <w:rPr>
        <w:color w:val="3E8EDE"/>
        <w:sz w:val="18"/>
        <w:szCs w:val="18"/>
        <w:lang w:val="es-ES"/>
      </w:rPr>
      <w:t xml:space="preserve"> • </w:t>
    </w:r>
    <w:hyperlink r:id="rId3" w:history="1">
      <w:r w:rsidRPr="00311970">
        <w:rPr>
          <w:rStyle w:val="Hyperlink"/>
          <w:color w:val="3E8EDE"/>
          <w:sz w:val="18"/>
          <w:szCs w:val="18"/>
          <w:lang w:val="es-ES"/>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4D6EC4" w:rsidRDefault="004D6EC4" w:rsidP="004D6EC4">
    <w:pPr>
      <w:pStyle w:val="Footer"/>
      <w:tabs>
        <w:tab w:val="clear" w:pos="4320"/>
        <w:tab w:val="center" w:pos="5387"/>
      </w:tabs>
      <w:rPr>
        <w:sz w:val="16"/>
        <w:szCs w:val="16"/>
        <w:lang w:val="es-ES_tradnl"/>
      </w:rPr>
    </w:pPr>
    <w:r w:rsidRPr="004D6EC4">
      <w:rPr>
        <w:sz w:val="16"/>
        <w:szCs w:val="16"/>
      </w:rPr>
      <w:fldChar w:fldCharType="begin"/>
    </w:r>
    <w:r w:rsidRPr="004D6EC4">
      <w:rPr>
        <w:sz w:val="16"/>
        <w:szCs w:val="16"/>
        <w:lang w:val="es-ES_tradnl"/>
      </w:rPr>
      <w:instrText xml:space="preserve"> FILENAME \p  \* MERGEFORMAT </w:instrText>
    </w:r>
    <w:r w:rsidRPr="004D6EC4">
      <w:rPr>
        <w:sz w:val="16"/>
        <w:szCs w:val="16"/>
      </w:rPr>
      <w:fldChar w:fldCharType="separate"/>
    </w:r>
    <w:r w:rsidR="00ED05A3">
      <w:rPr>
        <w:noProof/>
        <w:sz w:val="16"/>
        <w:szCs w:val="16"/>
        <w:lang w:val="es-ES_tradnl"/>
      </w:rPr>
      <w:t>P:\ESP\ITU-R\BR\DIR\CA\200\229S.docx</w:t>
    </w:r>
    <w:r w:rsidRPr="004D6EC4">
      <w:rPr>
        <w:noProof/>
        <w:sz w:val="16"/>
        <w:szCs w:val="16"/>
      </w:rPr>
      <w:fldChar w:fldCharType="end"/>
    </w:r>
    <w:r w:rsidRPr="004D6EC4">
      <w:rPr>
        <w:noProof/>
        <w:sz w:val="16"/>
        <w:szCs w:val="16"/>
        <w:lang w:val="es-ES_tradnl"/>
      </w:rPr>
      <w:t xml:space="preserve"> (400530)</w:t>
    </w:r>
    <w:r w:rsidRPr="004D6EC4">
      <w:rPr>
        <w:sz w:val="16"/>
        <w:szCs w:val="16"/>
        <w:lang w:val="es-ES_tradnl"/>
      </w:rPr>
      <w:tab/>
    </w:r>
    <w:r w:rsidRPr="004D6EC4">
      <w:rPr>
        <w:sz w:val="16"/>
        <w:szCs w:val="16"/>
      </w:rPr>
      <w:fldChar w:fldCharType="begin"/>
    </w:r>
    <w:r w:rsidRPr="004D6EC4">
      <w:rPr>
        <w:sz w:val="16"/>
        <w:szCs w:val="16"/>
      </w:rPr>
      <w:instrText xml:space="preserve"> SAVEDATE \@ DD.MM.YY </w:instrText>
    </w:r>
    <w:r w:rsidRPr="004D6EC4">
      <w:rPr>
        <w:sz w:val="16"/>
        <w:szCs w:val="16"/>
      </w:rPr>
      <w:fldChar w:fldCharType="separate"/>
    </w:r>
    <w:r w:rsidR="0056057F">
      <w:rPr>
        <w:noProof/>
        <w:sz w:val="16"/>
        <w:szCs w:val="16"/>
      </w:rPr>
      <w:t>21.06.16</w:t>
    </w:r>
    <w:r w:rsidRPr="004D6EC4">
      <w:rPr>
        <w:sz w:val="16"/>
        <w:szCs w:val="16"/>
      </w:rPr>
      <w:fldChar w:fldCharType="end"/>
    </w:r>
    <w:r w:rsidRPr="004D6EC4">
      <w:rPr>
        <w:sz w:val="16"/>
        <w:szCs w:val="16"/>
        <w:lang w:val="es-ES_tradnl"/>
      </w:rPr>
      <w:tab/>
    </w:r>
    <w:r w:rsidRPr="004D6EC4">
      <w:rPr>
        <w:sz w:val="16"/>
        <w:szCs w:val="16"/>
      </w:rPr>
      <w:fldChar w:fldCharType="begin"/>
    </w:r>
    <w:r w:rsidRPr="004D6EC4">
      <w:rPr>
        <w:sz w:val="16"/>
        <w:szCs w:val="16"/>
      </w:rPr>
      <w:instrText xml:space="preserve"> PRINTDATE \@ DD.MM.YY </w:instrText>
    </w:r>
    <w:r w:rsidRPr="004D6EC4">
      <w:rPr>
        <w:sz w:val="16"/>
        <w:szCs w:val="16"/>
      </w:rPr>
      <w:fldChar w:fldCharType="separate"/>
    </w:r>
    <w:r w:rsidR="00ED05A3">
      <w:rPr>
        <w:noProof/>
        <w:sz w:val="16"/>
        <w:szCs w:val="16"/>
      </w:rPr>
      <w:t>21.06.16</w:t>
    </w:r>
    <w:r w:rsidRPr="004D6EC4">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B15740" w:rsidRDefault="00B15740" w:rsidP="00B15740">
    <w:pPr>
      <w:pStyle w:val="Footer"/>
      <w:tabs>
        <w:tab w:val="clear" w:pos="4320"/>
        <w:tab w:val="center" w:pos="5387"/>
      </w:tabs>
      <w:rPr>
        <w:sz w:val="16"/>
        <w:szCs w:val="16"/>
        <w:lang w:val="es-ES_tradnl"/>
      </w:rPr>
    </w:pPr>
    <w:r w:rsidRPr="004D6EC4">
      <w:rPr>
        <w:sz w:val="16"/>
        <w:szCs w:val="16"/>
      </w:rPr>
      <w:fldChar w:fldCharType="begin"/>
    </w:r>
    <w:r w:rsidRPr="004D6EC4">
      <w:rPr>
        <w:sz w:val="16"/>
        <w:szCs w:val="16"/>
        <w:lang w:val="es-ES_tradnl"/>
      </w:rPr>
      <w:instrText xml:space="preserve"> FILENAME \p  \* MERGEFORMAT </w:instrText>
    </w:r>
    <w:r w:rsidRPr="004D6EC4">
      <w:rPr>
        <w:sz w:val="16"/>
        <w:szCs w:val="16"/>
      </w:rPr>
      <w:fldChar w:fldCharType="separate"/>
    </w:r>
    <w:r w:rsidR="00ED05A3">
      <w:rPr>
        <w:noProof/>
        <w:sz w:val="16"/>
        <w:szCs w:val="16"/>
        <w:lang w:val="es-ES_tradnl"/>
      </w:rPr>
      <w:t>P:\ESP\ITU-R\BR\DIR\CA\200\229S.docx</w:t>
    </w:r>
    <w:r w:rsidRPr="004D6EC4">
      <w:rPr>
        <w:noProof/>
        <w:sz w:val="16"/>
        <w:szCs w:val="16"/>
      </w:rPr>
      <w:fldChar w:fldCharType="end"/>
    </w:r>
    <w:r w:rsidRPr="004D6EC4">
      <w:rPr>
        <w:noProof/>
        <w:sz w:val="16"/>
        <w:szCs w:val="16"/>
        <w:lang w:val="es-ES_tradnl"/>
      </w:rPr>
      <w:t xml:space="preserve"> (400530)</w:t>
    </w:r>
    <w:r w:rsidRPr="004D6EC4">
      <w:rPr>
        <w:sz w:val="16"/>
        <w:szCs w:val="16"/>
        <w:lang w:val="es-ES_tradnl"/>
      </w:rPr>
      <w:tab/>
    </w:r>
    <w:r w:rsidRPr="004D6EC4">
      <w:rPr>
        <w:sz w:val="16"/>
        <w:szCs w:val="16"/>
      </w:rPr>
      <w:fldChar w:fldCharType="begin"/>
    </w:r>
    <w:r w:rsidRPr="004D6EC4">
      <w:rPr>
        <w:sz w:val="16"/>
        <w:szCs w:val="16"/>
      </w:rPr>
      <w:instrText xml:space="preserve"> SAVEDATE \@ DD.MM.YY </w:instrText>
    </w:r>
    <w:r w:rsidRPr="004D6EC4">
      <w:rPr>
        <w:sz w:val="16"/>
        <w:szCs w:val="16"/>
      </w:rPr>
      <w:fldChar w:fldCharType="separate"/>
    </w:r>
    <w:r w:rsidR="0056057F">
      <w:rPr>
        <w:noProof/>
        <w:sz w:val="16"/>
        <w:szCs w:val="16"/>
      </w:rPr>
      <w:t>21.06.16</w:t>
    </w:r>
    <w:r w:rsidRPr="004D6EC4">
      <w:rPr>
        <w:sz w:val="16"/>
        <w:szCs w:val="16"/>
      </w:rPr>
      <w:fldChar w:fldCharType="end"/>
    </w:r>
    <w:r w:rsidRPr="004D6EC4">
      <w:rPr>
        <w:sz w:val="16"/>
        <w:szCs w:val="16"/>
        <w:lang w:val="es-ES_tradnl"/>
      </w:rPr>
      <w:tab/>
    </w:r>
    <w:r w:rsidRPr="004D6EC4">
      <w:rPr>
        <w:sz w:val="16"/>
        <w:szCs w:val="16"/>
      </w:rPr>
      <w:fldChar w:fldCharType="begin"/>
    </w:r>
    <w:r w:rsidRPr="004D6EC4">
      <w:rPr>
        <w:sz w:val="16"/>
        <w:szCs w:val="16"/>
      </w:rPr>
      <w:instrText xml:space="preserve"> PRINTDATE \@ DD.MM.YY </w:instrText>
    </w:r>
    <w:r w:rsidRPr="004D6EC4">
      <w:rPr>
        <w:sz w:val="16"/>
        <w:szCs w:val="16"/>
      </w:rPr>
      <w:fldChar w:fldCharType="separate"/>
    </w:r>
    <w:r w:rsidR="00ED05A3">
      <w:rPr>
        <w:noProof/>
        <w:sz w:val="16"/>
        <w:szCs w:val="16"/>
      </w:rPr>
      <w:t>21.06.16</w:t>
    </w:r>
    <w:r w:rsidRPr="004D6EC4">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4D6EC4" w:rsidRDefault="004D6EC4" w:rsidP="004D6EC4">
    <w:pPr>
      <w:pStyle w:val="Footer"/>
      <w:tabs>
        <w:tab w:val="clear" w:pos="4320"/>
        <w:tab w:val="center" w:pos="5387"/>
      </w:tabs>
      <w:rPr>
        <w:sz w:val="16"/>
        <w:szCs w:val="16"/>
        <w:lang w:val="es-ES_tradnl"/>
      </w:rPr>
    </w:pPr>
    <w:r w:rsidRPr="004D6EC4">
      <w:rPr>
        <w:sz w:val="16"/>
        <w:szCs w:val="16"/>
      </w:rPr>
      <w:fldChar w:fldCharType="begin"/>
    </w:r>
    <w:r w:rsidRPr="004D6EC4">
      <w:rPr>
        <w:sz w:val="16"/>
        <w:szCs w:val="16"/>
        <w:lang w:val="es-ES_tradnl"/>
      </w:rPr>
      <w:instrText xml:space="preserve"> FILENAME \p  \* MERGEFORMAT </w:instrText>
    </w:r>
    <w:r w:rsidRPr="004D6EC4">
      <w:rPr>
        <w:sz w:val="16"/>
        <w:szCs w:val="16"/>
      </w:rPr>
      <w:fldChar w:fldCharType="separate"/>
    </w:r>
    <w:r w:rsidR="00ED05A3">
      <w:rPr>
        <w:noProof/>
        <w:sz w:val="16"/>
        <w:szCs w:val="16"/>
        <w:lang w:val="es-ES_tradnl"/>
      </w:rPr>
      <w:t>P:\ESP\ITU-R\BR\DIR\CA\200\229S.docx</w:t>
    </w:r>
    <w:r w:rsidRPr="004D6EC4">
      <w:rPr>
        <w:noProof/>
        <w:sz w:val="16"/>
        <w:szCs w:val="16"/>
      </w:rPr>
      <w:fldChar w:fldCharType="end"/>
    </w:r>
    <w:r w:rsidRPr="004D6EC4">
      <w:rPr>
        <w:noProof/>
        <w:sz w:val="16"/>
        <w:szCs w:val="16"/>
        <w:lang w:val="es-ES_tradnl"/>
      </w:rPr>
      <w:t xml:space="preserve"> (400530)</w:t>
    </w:r>
    <w:r w:rsidRPr="004D6EC4">
      <w:rPr>
        <w:sz w:val="16"/>
        <w:szCs w:val="16"/>
        <w:lang w:val="es-ES_tradnl"/>
      </w:rPr>
      <w:tab/>
    </w:r>
    <w:r w:rsidRPr="004D6EC4">
      <w:rPr>
        <w:sz w:val="16"/>
        <w:szCs w:val="16"/>
      </w:rPr>
      <w:fldChar w:fldCharType="begin"/>
    </w:r>
    <w:r w:rsidRPr="004D6EC4">
      <w:rPr>
        <w:sz w:val="16"/>
        <w:szCs w:val="16"/>
      </w:rPr>
      <w:instrText xml:space="preserve"> SAVEDATE \@ DD.MM.YY </w:instrText>
    </w:r>
    <w:r w:rsidRPr="004D6EC4">
      <w:rPr>
        <w:sz w:val="16"/>
        <w:szCs w:val="16"/>
      </w:rPr>
      <w:fldChar w:fldCharType="separate"/>
    </w:r>
    <w:r w:rsidR="0056057F">
      <w:rPr>
        <w:noProof/>
        <w:sz w:val="16"/>
        <w:szCs w:val="16"/>
      </w:rPr>
      <w:t>21.06.16</w:t>
    </w:r>
    <w:r w:rsidRPr="004D6EC4">
      <w:rPr>
        <w:sz w:val="16"/>
        <w:szCs w:val="16"/>
      </w:rPr>
      <w:fldChar w:fldCharType="end"/>
    </w:r>
    <w:r w:rsidRPr="004D6EC4">
      <w:rPr>
        <w:sz w:val="16"/>
        <w:szCs w:val="16"/>
        <w:lang w:val="es-ES_tradnl"/>
      </w:rPr>
      <w:tab/>
    </w:r>
    <w:r w:rsidRPr="004D6EC4">
      <w:rPr>
        <w:sz w:val="16"/>
        <w:szCs w:val="16"/>
      </w:rPr>
      <w:fldChar w:fldCharType="begin"/>
    </w:r>
    <w:r w:rsidRPr="004D6EC4">
      <w:rPr>
        <w:sz w:val="16"/>
        <w:szCs w:val="16"/>
      </w:rPr>
      <w:instrText xml:space="preserve"> PRINTDATE \@ DD.MM.YY </w:instrText>
    </w:r>
    <w:r w:rsidRPr="004D6EC4">
      <w:rPr>
        <w:sz w:val="16"/>
        <w:szCs w:val="16"/>
      </w:rPr>
      <w:fldChar w:fldCharType="separate"/>
    </w:r>
    <w:r w:rsidR="00ED05A3">
      <w:rPr>
        <w:noProof/>
        <w:sz w:val="16"/>
        <w:szCs w:val="16"/>
      </w:rPr>
      <w:t>21.06.16</w:t>
    </w:r>
    <w:r w:rsidRPr="004D6EC4">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3B0861" w:rsidRDefault="004D6EC4" w:rsidP="00F35897">
    <w:pPr>
      <w:pStyle w:val="Footer"/>
      <w:rPr>
        <w:lang w:val="es-ES_tradnl"/>
      </w:rPr>
    </w:pPr>
    <w:r>
      <w:fldChar w:fldCharType="begin"/>
    </w:r>
    <w:r w:rsidRPr="003B0861">
      <w:rPr>
        <w:lang w:val="es-ES_tradnl"/>
      </w:rPr>
      <w:instrText xml:space="preserve"> FILENAME \p  \* MERGEFORMAT </w:instrText>
    </w:r>
    <w:r>
      <w:fldChar w:fldCharType="separate"/>
    </w:r>
    <w:r w:rsidR="00ED05A3">
      <w:rPr>
        <w:noProof/>
        <w:lang w:val="es-ES_tradnl"/>
      </w:rPr>
      <w:t>P:\ESP\ITU-R\BR\DIR\CA\200\229S.docx</w:t>
    </w:r>
    <w:r>
      <w:fldChar w:fldCharType="end"/>
    </w:r>
    <w:r w:rsidRPr="003B0861">
      <w:rPr>
        <w:lang w:val="es-ES_tradnl"/>
      </w:rPr>
      <w:t xml:space="preserve"> (345010)</w:t>
    </w:r>
    <w:r w:rsidRPr="003B0861">
      <w:rPr>
        <w:lang w:val="es-ES_tradnl"/>
      </w:rPr>
      <w:tab/>
    </w:r>
    <w:r>
      <w:fldChar w:fldCharType="begin"/>
    </w:r>
    <w:r>
      <w:instrText xml:space="preserve"> SAVEDATE \@ DD.MM.YY </w:instrText>
    </w:r>
    <w:r>
      <w:fldChar w:fldCharType="separate"/>
    </w:r>
    <w:r w:rsidR="0056057F">
      <w:rPr>
        <w:noProof/>
      </w:rPr>
      <w:t>21.06.16</w:t>
    </w:r>
    <w:r>
      <w:fldChar w:fldCharType="end"/>
    </w:r>
    <w:r w:rsidRPr="003B0861">
      <w:rPr>
        <w:lang w:val="es-ES_tradnl"/>
      </w:rPr>
      <w:tab/>
    </w:r>
    <w:r>
      <w:fldChar w:fldCharType="begin"/>
    </w:r>
    <w:r>
      <w:instrText xml:space="preserve"> PRINTDATE \@ DD.MM.YY </w:instrText>
    </w:r>
    <w:r>
      <w:fldChar w:fldCharType="separate"/>
    </w:r>
    <w:r w:rsidR="00ED05A3">
      <w:rPr>
        <w:noProof/>
      </w:rPr>
      <w:t>21.06.16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4D6EC4" w:rsidRDefault="004D6EC4" w:rsidP="004D6EC4">
    <w:pPr>
      <w:pStyle w:val="Footer"/>
      <w:tabs>
        <w:tab w:val="clear" w:pos="4320"/>
        <w:tab w:val="center" w:pos="5387"/>
      </w:tabs>
      <w:rPr>
        <w:sz w:val="16"/>
        <w:szCs w:val="16"/>
        <w:lang w:val="es-ES_tradnl"/>
      </w:rPr>
    </w:pPr>
    <w:r w:rsidRPr="004D6EC4">
      <w:rPr>
        <w:sz w:val="16"/>
        <w:szCs w:val="16"/>
      </w:rPr>
      <w:fldChar w:fldCharType="begin"/>
    </w:r>
    <w:r w:rsidRPr="004D6EC4">
      <w:rPr>
        <w:sz w:val="16"/>
        <w:szCs w:val="16"/>
        <w:lang w:val="es-ES_tradnl"/>
      </w:rPr>
      <w:instrText xml:space="preserve"> FILENAME \p  \* MERGEFORMAT </w:instrText>
    </w:r>
    <w:r w:rsidRPr="004D6EC4">
      <w:rPr>
        <w:sz w:val="16"/>
        <w:szCs w:val="16"/>
      </w:rPr>
      <w:fldChar w:fldCharType="separate"/>
    </w:r>
    <w:r w:rsidR="00ED05A3">
      <w:rPr>
        <w:noProof/>
        <w:sz w:val="16"/>
        <w:szCs w:val="16"/>
        <w:lang w:val="es-ES_tradnl"/>
      </w:rPr>
      <w:t>P:\ESP\ITU-R\BR\DIR\CA\200\229S.docx</w:t>
    </w:r>
    <w:r w:rsidRPr="004D6EC4">
      <w:rPr>
        <w:noProof/>
        <w:sz w:val="16"/>
        <w:szCs w:val="16"/>
      </w:rPr>
      <w:fldChar w:fldCharType="end"/>
    </w:r>
    <w:r w:rsidRPr="004D6EC4">
      <w:rPr>
        <w:noProof/>
        <w:sz w:val="16"/>
        <w:szCs w:val="16"/>
        <w:lang w:val="es-ES_tradnl"/>
      </w:rPr>
      <w:t xml:space="preserve"> (400530)</w:t>
    </w:r>
    <w:r w:rsidRPr="004D6EC4">
      <w:rPr>
        <w:sz w:val="16"/>
        <w:szCs w:val="16"/>
        <w:lang w:val="es-ES_tradnl"/>
      </w:rPr>
      <w:tab/>
    </w:r>
    <w:r w:rsidRPr="004D6EC4">
      <w:rPr>
        <w:sz w:val="16"/>
        <w:szCs w:val="16"/>
      </w:rPr>
      <w:fldChar w:fldCharType="begin"/>
    </w:r>
    <w:r w:rsidRPr="004D6EC4">
      <w:rPr>
        <w:sz w:val="16"/>
        <w:szCs w:val="16"/>
      </w:rPr>
      <w:instrText xml:space="preserve"> SAVEDATE \@ DD.MM.YY </w:instrText>
    </w:r>
    <w:r w:rsidRPr="004D6EC4">
      <w:rPr>
        <w:sz w:val="16"/>
        <w:szCs w:val="16"/>
      </w:rPr>
      <w:fldChar w:fldCharType="separate"/>
    </w:r>
    <w:r w:rsidR="0056057F">
      <w:rPr>
        <w:noProof/>
        <w:sz w:val="16"/>
        <w:szCs w:val="16"/>
      </w:rPr>
      <w:t>21.06.16</w:t>
    </w:r>
    <w:r w:rsidRPr="004D6EC4">
      <w:rPr>
        <w:sz w:val="16"/>
        <w:szCs w:val="16"/>
      </w:rPr>
      <w:fldChar w:fldCharType="end"/>
    </w:r>
    <w:r w:rsidRPr="004D6EC4">
      <w:rPr>
        <w:sz w:val="16"/>
        <w:szCs w:val="16"/>
        <w:lang w:val="es-ES_tradnl"/>
      </w:rPr>
      <w:tab/>
    </w:r>
    <w:r w:rsidRPr="004D6EC4">
      <w:rPr>
        <w:sz w:val="16"/>
        <w:szCs w:val="16"/>
      </w:rPr>
      <w:fldChar w:fldCharType="begin"/>
    </w:r>
    <w:r w:rsidRPr="004D6EC4">
      <w:rPr>
        <w:sz w:val="16"/>
        <w:szCs w:val="16"/>
      </w:rPr>
      <w:instrText xml:space="preserve"> PRINTDATE \@ DD.MM.YY </w:instrText>
    </w:r>
    <w:r w:rsidRPr="004D6EC4">
      <w:rPr>
        <w:sz w:val="16"/>
        <w:szCs w:val="16"/>
      </w:rPr>
      <w:fldChar w:fldCharType="separate"/>
    </w:r>
    <w:r w:rsidR="00ED05A3">
      <w:rPr>
        <w:noProof/>
        <w:sz w:val="16"/>
        <w:szCs w:val="16"/>
      </w:rPr>
      <w:t>21.06.16</w:t>
    </w:r>
    <w:r w:rsidRPr="004D6EC4">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B15740" w:rsidRDefault="00B15740" w:rsidP="00B15740">
    <w:pPr>
      <w:pStyle w:val="Footer"/>
      <w:rPr>
        <w:sz w:val="16"/>
        <w:szCs w:val="16"/>
        <w:lang w:val="es-ES_tradnl"/>
      </w:rPr>
    </w:pPr>
    <w:r w:rsidRPr="00B15740">
      <w:rPr>
        <w:sz w:val="16"/>
        <w:szCs w:val="16"/>
      </w:rPr>
      <w:fldChar w:fldCharType="begin"/>
    </w:r>
    <w:r w:rsidRPr="00B15740">
      <w:rPr>
        <w:sz w:val="16"/>
        <w:szCs w:val="16"/>
        <w:lang w:val="es-ES_tradnl"/>
      </w:rPr>
      <w:instrText xml:space="preserve"> FILENAME \p  \* MERGEFORMAT </w:instrText>
    </w:r>
    <w:r w:rsidRPr="00B15740">
      <w:rPr>
        <w:sz w:val="16"/>
        <w:szCs w:val="16"/>
      </w:rPr>
      <w:fldChar w:fldCharType="separate"/>
    </w:r>
    <w:r w:rsidR="00ED05A3">
      <w:rPr>
        <w:noProof/>
        <w:sz w:val="16"/>
        <w:szCs w:val="16"/>
        <w:lang w:val="es-ES_tradnl"/>
      </w:rPr>
      <w:t>P:\ESP\ITU-R\BR\DIR\CA\200\229S.docx</w:t>
    </w:r>
    <w:r w:rsidRPr="00B15740">
      <w:rPr>
        <w:noProof/>
        <w:sz w:val="16"/>
        <w:szCs w:val="16"/>
      </w:rPr>
      <w:fldChar w:fldCharType="end"/>
    </w:r>
    <w:r w:rsidRPr="00B15740">
      <w:rPr>
        <w:noProof/>
        <w:sz w:val="16"/>
        <w:szCs w:val="16"/>
        <w:lang w:val="es-ES_tradnl"/>
      </w:rPr>
      <w:t xml:space="preserve"> (400530)</w:t>
    </w:r>
    <w:r w:rsidRPr="00B15740">
      <w:rPr>
        <w:sz w:val="16"/>
        <w:szCs w:val="16"/>
        <w:lang w:val="es-ES_tradnl"/>
      </w:rPr>
      <w:tab/>
    </w:r>
    <w:r w:rsidRPr="00B15740">
      <w:rPr>
        <w:sz w:val="16"/>
        <w:szCs w:val="16"/>
      </w:rPr>
      <w:fldChar w:fldCharType="begin"/>
    </w:r>
    <w:r w:rsidRPr="00B15740">
      <w:rPr>
        <w:sz w:val="16"/>
        <w:szCs w:val="16"/>
      </w:rPr>
      <w:instrText xml:space="preserve"> SAVEDATE \@ DD.MM.YY </w:instrText>
    </w:r>
    <w:r w:rsidRPr="00B15740">
      <w:rPr>
        <w:sz w:val="16"/>
        <w:szCs w:val="16"/>
      </w:rPr>
      <w:fldChar w:fldCharType="separate"/>
    </w:r>
    <w:r w:rsidR="0056057F">
      <w:rPr>
        <w:noProof/>
        <w:sz w:val="16"/>
        <w:szCs w:val="16"/>
      </w:rPr>
      <w:t>21.06.16</w:t>
    </w:r>
    <w:r w:rsidRPr="00B15740">
      <w:rPr>
        <w:sz w:val="16"/>
        <w:szCs w:val="16"/>
      </w:rPr>
      <w:fldChar w:fldCharType="end"/>
    </w:r>
    <w:r w:rsidRPr="00B15740">
      <w:rPr>
        <w:sz w:val="16"/>
        <w:szCs w:val="16"/>
        <w:lang w:val="es-ES_tradnl"/>
      </w:rPr>
      <w:tab/>
    </w:r>
    <w:r w:rsidRPr="00B15740">
      <w:rPr>
        <w:sz w:val="16"/>
        <w:szCs w:val="16"/>
      </w:rPr>
      <w:fldChar w:fldCharType="begin"/>
    </w:r>
    <w:r w:rsidRPr="00B15740">
      <w:rPr>
        <w:sz w:val="16"/>
        <w:szCs w:val="16"/>
      </w:rPr>
      <w:instrText xml:space="preserve"> PRINTDATE \@ DD.MM.YY </w:instrText>
    </w:r>
    <w:r w:rsidRPr="00B15740">
      <w:rPr>
        <w:sz w:val="16"/>
        <w:szCs w:val="16"/>
      </w:rPr>
      <w:fldChar w:fldCharType="separate"/>
    </w:r>
    <w:r w:rsidR="00ED05A3">
      <w:rPr>
        <w:noProof/>
        <w:sz w:val="16"/>
        <w:szCs w:val="16"/>
      </w:rPr>
      <w:t>21.06.16</w:t>
    </w:r>
    <w:r w:rsidRPr="00B15740">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4D6EC4" w:rsidRDefault="004D6EC4" w:rsidP="004D6EC4">
    <w:pPr>
      <w:pStyle w:val="Footer"/>
      <w:tabs>
        <w:tab w:val="clear" w:pos="4320"/>
        <w:tab w:val="center" w:pos="5387"/>
      </w:tabs>
      <w:rPr>
        <w:sz w:val="16"/>
        <w:szCs w:val="16"/>
        <w:lang w:val="es-ES_tradnl"/>
      </w:rPr>
    </w:pPr>
    <w:r w:rsidRPr="004D6EC4">
      <w:rPr>
        <w:sz w:val="16"/>
        <w:szCs w:val="16"/>
      </w:rPr>
      <w:fldChar w:fldCharType="begin"/>
    </w:r>
    <w:r w:rsidRPr="004D6EC4">
      <w:rPr>
        <w:sz w:val="16"/>
        <w:szCs w:val="16"/>
        <w:lang w:val="es-ES_tradnl"/>
      </w:rPr>
      <w:instrText xml:space="preserve"> FILENAME \p  \* MERGEFORMAT </w:instrText>
    </w:r>
    <w:r w:rsidRPr="004D6EC4">
      <w:rPr>
        <w:sz w:val="16"/>
        <w:szCs w:val="16"/>
      </w:rPr>
      <w:fldChar w:fldCharType="separate"/>
    </w:r>
    <w:r w:rsidR="00ED05A3">
      <w:rPr>
        <w:noProof/>
        <w:sz w:val="16"/>
        <w:szCs w:val="16"/>
        <w:lang w:val="es-ES_tradnl"/>
      </w:rPr>
      <w:t>P:\ESP\ITU-R\BR\DIR\CA\200\229S.docx</w:t>
    </w:r>
    <w:r w:rsidRPr="004D6EC4">
      <w:rPr>
        <w:noProof/>
        <w:sz w:val="16"/>
        <w:szCs w:val="16"/>
      </w:rPr>
      <w:fldChar w:fldCharType="end"/>
    </w:r>
    <w:r w:rsidRPr="004D6EC4">
      <w:rPr>
        <w:noProof/>
        <w:sz w:val="16"/>
        <w:szCs w:val="16"/>
        <w:lang w:val="es-ES_tradnl"/>
      </w:rPr>
      <w:t xml:space="preserve"> (400530)</w:t>
    </w:r>
    <w:r w:rsidRPr="004D6EC4">
      <w:rPr>
        <w:sz w:val="16"/>
        <w:szCs w:val="16"/>
        <w:lang w:val="es-ES_tradnl"/>
      </w:rPr>
      <w:tab/>
    </w:r>
    <w:r w:rsidRPr="004D6EC4">
      <w:rPr>
        <w:sz w:val="16"/>
        <w:szCs w:val="16"/>
      </w:rPr>
      <w:fldChar w:fldCharType="begin"/>
    </w:r>
    <w:r w:rsidRPr="004D6EC4">
      <w:rPr>
        <w:sz w:val="16"/>
        <w:szCs w:val="16"/>
      </w:rPr>
      <w:instrText xml:space="preserve"> SAVEDATE \@ DD.MM.YY </w:instrText>
    </w:r>
    <w:r w:rsidRPr="004D6EC4">
      <w:rPr>
        <w:sz w:val="16"/>
        <w:szCs w:val="16"/>
      </w:rPr>
      <w:fldChar w:fldCharType="separate"/>
    </w:r>
    <w:r w:rsidR="0056057F">
      <w:rPr>
        <w:noProof/>
        <w:sz w:val="16"/>
        <w:szCs w:val="16"/>
      </w:rPr>
      <w:t>21.06.16</w:t>
    </w:r>
    <w:r w:rsidRPr="004D6EC4">
      <w:rPr>
        <w:sz w:val="16"/>
        <w:szCs w:val="16"/>
      </w:rPr>
      <w:fldChar w:fldCharType="end"/>
    </w:r>
    <w:r w:rsidRPr="004D6EC4">
      <w:rPr>
        <w:sz w:val="16"/>
        <w:szCs w:val="16"/>
        <w:lang w:val="es-ES_tradnl"/>
      </w:rPr>
      <w:tab/>
    </w:r>
    <w:r w:rsidRPr="004D6EC4">
      <w:rPr>
        <w:sz w:val="16"/>
        <w:szCs w:val="16"/>
      </w:rPr>
      <w:fldChar w:fldCharType="begin"/>
    </w:r>
    <w:r w:rsidRPr="004D6EC4">
      <w:rPr>
        <w:sz w:val="16"/>
        <w:szCs w:val="16"/>
      </w:rPr>
      <w:instrText xml:space="preserve"> PRINTDATE \@ DD.MM.YY </w:instrText>
    </w:r>
    <w:r w:rsidRPr="004D6EC4">
      <w:rPr>
        <w:sz w:val="16"/>
        <w:szCs w:val="16"/>
      </w:rPr>
      <w:fldChar w:fldCharType="separate"/>
    </w:r>
    <w:r w:rsidR="00ED05A3">
      <w:rPr>
        <w:noProof/>
        <w:sz w:val="16"/>
        <w:szCs w:val="16"/>
      </w:rPr>
      <w:t>21.06.16</w:t>
    </w:r>
    <w:r w:rsidRPr="004D6EC4">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4D6EC4" w:rsidRDefault="004D6EC4" w:rsidP="004D6EC4">
    <w:pPr>
      <w:pStyle w:val="Footer"/>
      <w:tabs>
        <w:tab w:val="clear" w:pos="4320"/>
        <w:tab w:val="center" w:pos="5387"/>
      </w:tabs>
      <w:rPr>
        <w:sz w:val="16"/>
        <w:szCs w:val="16"/>
        <w:lang w:val="es-ES_tradnl"/>
      </w:rPr>
    </w:pPr>
    <w:r w:rsidRPr="004D6EC4">
      <w:rPr>
        <w:sz w:val="16"/>
        <w:szCs w:val="16"/>
      </w:rPr>
      <w:fldChar w:fldCharType="begin"/>
    </w:r>
    <w:r w:rsidRPr="004D6EC4">
      <w:rPr>
        <w:sz w:val="16"/>
        <w:szCs w:val="16"/>
        <w:lang w:val="es-ES_tradnl"/>
      </w:rPr>
      <w:instrText xml:space="preserve"> FILENAME \p  \* MERGEFORMAT </w:instrText>
    </w:r>
    <w:r w:rsidRPr="004D6EC4">
      <w:rPr>
        <w:sz w:val="16"/>
        <w:szCs w:val="16"/>
      </w:rPr>
      <w:fldChar w:fldCharType="separate"/>
    </w:r>
    <w:r w:rsidR="00ED05A3">
      <w:rPr>
        <w:noProof/>
        <w:sz w:val="16"/>
        <w:szCs w:val="16"/>
        <w:lang w:val="es-ES_tradnl"/>
      </w:rPr>
      <w:t>P:\ESP\ITU-R\BR\DIR\CA\200\229S.docx</w:t>
    </w:r>
    <w:r w:rsidRPr="004D6EC4">
      <w:rPr>
        <w:noProof/>
        <w:sz w:val="16"/>
        <w:szCs w:val="16"/>
      </w:rPr>
      <w:fldChar w:fldCharType="end"/>
    </w:r>
    <w:r w:rsidRPr="004D6EC4">
      <w:rPr>
        <w:noProof/>
        <w:sz w:val="16"/>
        <w:szCs w:val="16"/>
        <w:lang w:val="es-ES_tradnl"/>
      </w:rPr>
      <w:t xml:space="preserve"> (400530)</w:t>
    </w:r>
    <w:r w:rsidRPr="004D6EC4">
      <w:rPr>
        <w:sz w:val="16"/>
        <w:szCs w:val="16"/>
        <w:lang w:val="es-ES_tradnl"/>
      </w:rPr>
      <w:tab/>
    </w:r>
    <w:r w:rsidRPr="004D6EC4">
      <w:rPr>
        <w:sz w:val="16"/>
        <w:szCs w:val="16"/>
      </w:rPr>
      <w:fldChar w:fldCharType="begin"/>
    </w:r>
    <w:r w:rsidRPr="004D6EC4">
      <w:rPr>
        <w:sz w:val="16"/>
        <w:szCs w:val="16"/>
      </w:rPr>
      <w:instrText xml:space="preserve"> SAVEDATE \@ DD.MM.YY </w:instrText>
    </w:r>
    <w:r w:rsidRPr="004D6EC4">
      <w:rPr>
        <w:sz w:val="16"/>
        <w:szCs w:val="16"/>
      </w:rPr>
      <w:fldChar w:fldCharType="separate"/>
    </w:r>
    <w:r w:rsidR="0056057F">
      <w:rPr>
        <w:noProof/>
        <w:sz w:val="16"/>
        <w:szCs w:val="16"/>
      </w:rPr>
      <w:t>21.06.16</w:t>
    </w:r>
    <w:r w:rsidRPr="004D6EC4">
      <w:rPr>
        <w:sz w:val="16"/>
        <w:szCs w:val="16"/>
      </w:rPr>
      <w:fldChar w:fldCharType="end"/>
    </w:r>
    <w:r w:rsidRPr="004D6EC4">
      <w:rPr>
        <w:sz w:val="16"/>
        <w:szCs w:val="16"/>
        <w:lang w:val="es-ES_tradnl"/>
      </w:rPr>
      <w:tab/>
    </w:r>
    <w:r w:rsidRPr="004D6EC4">
      <w:rPr>
        <w:sz w:val="16"/>
        <w:szCs w:val="16"/>
      </w:rPr>
      <w:fldChar w:fldCharType="begin"/>
    </w:r>
    <w:r w:rsidRPr="004D6EC4">
      <w:rPr>
        <w:sz w:val="16"/>
        <w:szCs w:val="16"/>
      </w:rPr>
      <w:instrText xml:space="preserve"> PRINTDATE \@ DD.MM.YY </w:instrText>
    </w:r>
    <w:r w:rsidRPr="004D6EC4">
      <w:rPr>
        <w:sz w:val="16"/>
        <w:szCs w:val="16"/>
      </w:rPr>
      <w:fldChar w:fldCharType="separate"/>
    </w:r>
    <w:r w:rsidR="00ED05A3">
      <w:rPr>
        <w:noProof/>
        <w:sz w:val="16"/>
        <w:szCs w:val="16"/>
      </w:rPr>
      <w:t>21.06.16</w:t>
    </w:r>
    <w:r w:rsidRPr="004D6EC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C4" w:rsidRDefault="004D6EC4">
      <w:r>
        <w:t>____________________</w:t>
      </w:r>
    </w:p>
  </w:footnote>
  <w:footnote w:type="continuationSeparator" w:id="0">
    <w:p w:rsidR="004D6EC4" w:rsidRDefault="004D6EC4">
      <w:r>
        <w:continuationSeparator/>
      </w:r>
    </w:p>
  </w:footnote>
  <w:footnote w:id="1">
    <w:p w:rsidR="004D6EC4" w:rsidRPr="00FF22F9" w:rsidRDefault="004D6EC4" w:rsidP="00026D75">
      <w:pPr>
        <w:pStyle w:val="FootnoteText"/>
        <w:rPr>
          <w:rFonts w:cs="Times New Roman"/>
          <w:lang w:val="es-ES_tradnl"/>
        </w:rPr>
      </w:pPr>
      <w:r w:rsidRPr="00FF22F9">
        <w:rPr>
          <w:rStyle w:val="FootnoteReference"/>
          <w:rFonts w:cs="Times New Roman"/>
        </w:rPr>
        <w:footnoteRef/>
      </w:r>
      <w:r w:rsidRPr="00FF22F9">
        <w:rPr>
          <w:rFonts w:cs="Times New Roman"/>
          <w:lang w:val="es-ES_tradnl"/>
        </w:rPr>
        <w:tab/>
        <w:t>Los remitentes de los documentos son los únicos responsables de identificar si la información, o una parte de la misma, es información que pertenezca a alguna de las categorías enumeradas en el 3.2 de la Política de la UIT sobre el acceso a la información/documentación o si se trata de información sensible y el documento debe ser de acceso restringido</w:t>
      </w:r>
      <w:r w:rsidRPr="00FF22F9">
        <w:rPr>
          <w:rFonts w:cs="Times New Roman"/>
          <w:szCs w:val="24"/>
          <w:lang w:val="es-ES_tradnl"/>
        </w:rPr>
        <w:t>.</w:t>
      </w:r>
    </w:p>
  </w:footnote>
  <w:footnote w:id="2">
    <w:p w:rsidR="004D6EC4" w:rsidRPr="00D44DD2" w:rsidRDefault="004D6EC4" w:rsidP="00026D75">
      <w:pPr>
        <w:pStyle w:val="FootnoteText"/>
        <w:tabs>
          <w:tab w:val="clear" w:pos="255"/>
          <w:tab w:val="left" w:pos="284"/>
        </w:tabs>
        <w:ind w:left="0" w:firstLine="0"/>
        <w:rPr>
          <w:rFonts w:cs="Times New Roman"/>
          <w:lang w:val="es-ES_tradnl"/>
        </w:rPr>
      </w:pPr>
      <w:r w:rsidRPr="00D44DD2">
        <w:rPr>
          <w:rStyle w:val="FootnoteReference"/>
          <w:rFonts w:cs="Times New Roman"/>
        </w:rPr>
        <w:sym w:font="Symbol" w:char="F02A"/>
      </w:r>
      <w:r w:rsidRPr="00D44DD2">
        <w:rPr>
          <w:rFonts w:cs="Times New Roman"/>
          <w:lang w:val="es-ES_tradnl"/>
        </w:rPr>
        <w:t xml:space="preserve"> </w:t>
      </w:r>
      <w:r w:rsidRPr="00D44DD2">
        <w:rPr>
          <w:rFonts w:cs="Times New Roman"/>
          <w:lang w:val="es-ES_tradnl"/>
        </w:rPr>
        <w:tab/>
        <w:t>Como se desprende del punto A1.4.3 del Anexo 1 a la Resolución UIT</w:t>
      </w:r>
      <w:r w:rsidRPr="00D44DD2">
        <w:rPr>
          <w:rFonts w:cs="Times New Roman"/>
          <w:lang w:val="es-ES_tradnl"/>
        </w:rPr>
        <w:noBreakHyphen/>
        <w:t>R 1, el Grupo Asesor de Radiocomunicaciones (GAR) adoptó sus propios procedimientos de trabajo de conformidad con el número 160G del Convenio.</w:t>
      </w:r>
    </w:p>
  </w:footnote>
  <w:footnote w:id="3">
    <w:p w:rsidR="004D6EC4" w:rsidRPr="00D44DD2" w:rsidRDefault="004D6EC4" w:rsidP="00026D75">
      <w:pPr>
        <w:pStyle w:val="FootnoteText"/>
        <w:tabs>
          <w:tab w:val="clear" w:pos="255"/>
          <w:tab w:val="left" w:pos="284"/>
        </w:tabs>
        <w:ind w:left="0" w:firstLine="0"/>
        <w:rPr>
          <w:rFonts w:cs="Times New Roman"/>
          <w:lang w:val="es-ES_tradnl"/>
        </w:rPr>
      </w:pPr>
      <w:r w:rsidRPr="00D44DD2">
        <w:rPr>
          <w:rStyle w:val="FootnoteReference"/>
          <w:rFonts w:cs="Times New Roman"/>
        </w:rPr>
        <w:sym w:font="Symbol" w:char="F02A"/>
      </w:r>
      <w:r w:rsidRPr="00D44DD2">
        <w:rPr>
          <w:rStyle w:val="FootnoteReference"/>
          <w:rFonts w:cs="Times New Roman"/>
        </w:rPr>
        <w:sym w:font="Symbol" w:char="F02A"/>
      </w:r>
      <w:r w:rsidRPr="00D44DD2">
        <w:rPr>
          <w:rFonts w:cs="Times New Roman"/>
          <w:lang w:val="es-ES_tradnl"/>
        </w:rPr>
        <w:t xml:space="preserve"> </w:t>
      </w:r>
      <w:r w:rsidRPr="00D44DD2">
        <w:rPr>
          <w:rFonts w:cs="Times New Roman"/>
          <w:lang w:val="es-ES"/>
        </w:rPr>
        <w:t>Se ha creído útil utilizar en el presente documento el término «Grupo subordinado» o simplemente «Grupo» para hacer referencia a los Grupos de Trabajo, los Grupos de Tareas Especiales, etc.</w:t>
      </w:r>
    </w:p>
  </w:footnote>
  <w:footnote w:id="4">
    <w:p w:rsidR="004D6EC4" w:rsidRPr="00DB1035" w:rsidRDefault="004D6EC4" w:rsidP="00026D75">
      <w:pPr>
        <w:pStyle w:val="FootnoteText"/>
        <w:rPr>
          <w:rFonts w:cs="Times New Roman"/>
          <w:lang w:val="es-ES_tradnl"/>
        </w:rPr>
      </w:pPr>
      <w:r w:rsidRPr="00DB1035">
        <w:rPr>
          <w:rStyle w:val="FootnoteReference"/>
          <w:rFonts w:cs="Times New Roman"/>
        </w:rPr>
        <w:footnoteRef/>
      </w:r>
      <w:r w:rsidRPr="00DB1035">
        <w:rPr>
          <w:rFonts w:cs="Times New Roman"/>
          <w:lang w:val="es-ES_tradnl"/>
        </w:rPr>
        <w:tab/>
      </w:r>
      <w:r w:rsidRPr="00DB1035">
        <w:rPr>
          <w:rFonts w:cs="Times New Roman"/>
          <w:sz w:val="22"/>
          <w:lang w:val="es-ES_tradnl"/>
        </w:rPr>
        <w:t>Las casillas y las marcas representan vínculos primarios y secundarios con metas.</w:t>
      </w:r>
    </w:p>
  </w:footnote>
  <w:footnote w:id="5">
    <w:p w:rsidR="004D6EC4" w:rsidRPr="00DB1035" w:rsidRDefault="004D6EC4" w:rsidP="00026D75">
      <w:pPr>
        <w:pStyle w:val="FootnoteText"/>
        <w:rPr>
          <w:rFonts w:cs="Times New Roman"/>
          <w:sz w:val="22"/>
          <w:lang w:val="es-ES_tradnl"/>
        </w:rPr>
      </w:pPr>
      <w:r w:rsidRPr="00DB1035">
        <w:rPr>
          <w:rStyle w:val="FootnoteReference"/>
          <w:rFonts w:cs="Times New Roman"/>
        </w:rPr>
        <w:footnoteRef/>
      </w:r>
      <w:r w:rsidRPr="00DB1035">
        <w:rPr>
          <w:rFonts w:cs="Times New Roman"/>
          <w:lang w:val="es-ES_tradnl"/>
        </w:rPr>
        <w:tab/>
      </w:r>
      <w:r w:rsidRPr="00DB1035">
        <w:rPr>
          <w:rFonts w:cs="Times New Roman"/>
          <w:sz w:val="22"/>
          <w:lang w:val="es-ES_tradnl"/>
        </w:rPr>
        <w:t>El Director de la Oficina nombrará a las personas responsables de los riesgos.</w:t>
      </w:r>
    </w:p>
  </w:footnote>
  <w:footnote w:id="6">
    <w:p w:rsidR="004D6EC4" w:rsidRPr="008045FB" w:rsidRDefault="004D6EC4" w:rsidP="00026D75">
      <w:pPr>
        <w:pStyle w:val="FootnoteText"/>
        <w:rPr>
          <w:rFonts w:cs="Times New Roman"/>
          <w:lang w:val="es-ES_tradnl"/>
        </w:rPr>
      </w:pPr>
      <w:r w:rsidRPr="008045FB">
        <w:rPr>
          <w:rStyle w:val="FootnoteReference"/>
          <w:rFonts w:cs="Times New Roman"/>
        </w:rPr>
        <w:footnoteRef/>
      </w:r>
      <w:r w:rsidRPr="008045FB">
        <w:rPr>
          <w:rFonts w:cs="Times New Roman"/>
          <w:lang w:val="es-ES_tradnl"/>
        </w:rPr>
        <w:tab/>
      </w:r>
      <w:r w:rsidRPr="008045FB">
        <w:rPr>
          <w:rFonts w:cs="Times New Roman"/>
          <w:sz w:val="22"/>
          <w:lang w:val="es-ES_tradnl"/>
        </w:rPr>
        <w:t>Estimación, sobre todo para 2018-2019. La atribución de recursos para los años posteriores podrá modificarse en función de lo que decida la Dirección.</w:t>
      </w:r>
    </w:p>
  </w:footnote>
  <w:footnote w:id="7">
    <w:p w:rsidR="004D6EC4" w:rsidRPr="00DB1035" w:rsidRDefault="004D6EC4" w:rsidP="00026D75">
      <w:pPr>
        <w:pStyle w:val="FootnoteText"/>
        <w:rPr>
          <w:rFonts w:cs="Times New Roman"/>
          <w:lang w:val="es-ES_tradnl"/>
        </w:rPr>
      </w:pPr>
      <w:r w:rsidRPr="00DB1035">
        <w:rPr>
          <w:rStyle w:val="FootnoteReference"/>
          <w:rFonts w:cs="Times New Roman"/>
        </w:rPr>
        <w:footnoteRef/>
      </w:r>
      <w:r w:rsidRPr="00DB1035">
        <w:rPr>
          <w:rFonts w:cs="Times New Roman"/>
          <w:lang w:val="es-ES_tradnl"/>
        </w:rPr>
        <w:tab/>
      </w:r>
      <w:r w:rsidRPr="00DB1035">
        <w:rPr>
          <w:rFonts w:cs="Times New Roman"/>
          <w:sz w:val="22"/>
          <w:lang w:val="es-ES_tradnl"/>
        </w:rPr>
        <w:t>«n/a» denota que los valores del indicador aún no están disponibles.</w:t>
      </w:r>
    </w:p>
  </w:footnote>
  <w:footnote w:id="8">
    <w:p w:rsidR="004D6EC4" w:rsidRPr="00DB1035" w:rsidRDefault="004D6EC4" w:rsidP="00026D75">
      <w:pPr>
        <w:pStyle w:val="FootnoteText"/>
        <w:rPr>
          <w:rFonts w:cs="Times New Roman"/>
          <w:lang w:val="es-ES_tradnl"/>
        </w:rPr>
      </w:pPr>
      <w:r w:rsidRPr="00DB1035">
        <w:rPr>
          <w:rStyle w:val="FootnoteReference"/>
          <w:rFonts w:cs="Times New Roman"/>
        </w:rPr>
        <w:footnoteRef/>
      </w:r>
      <w:r w:rsidRPr="00DB1035">
        <w:rPr>
          <w:rFonts w:cs="Times New Roman"/>
          <w:lang w:val="es-ES_tradnl"/>
        </w:rPr>
        <w:tab/>
      </w:r>
      <w:r w:rsidRPr="00DB1035">
        <w:rPr>
          <w:rFonts w:cs="Times New Roman"/>
          <w:sz w:val="22"/>
          <w:lang w:val="es-ES_tradnl"/>
        </w:rPr>
        <w:t>Estimación, sobre todo para 2018-2019. La atribución de recursos para los años posteriores podrá modificarse en función de lo que decida la Dirección.</w:t>
      </w:r>
    </w:p>
  </w:footnote>
  <w:footnote w:id="9">
    <w:p w:rsidR="004D6EC4" w:rsidRPr="00DB1035" w:rsidRDefault="004D6EC4" w:rsidP="00026D75">
      <w:pPr>
        <w:pStyle w:val="FootnoteText"/>
        <w:rPr>
          <w:rFonts w:cs="Times New Roman"/>
          <w:lang w:val="es-ES_tradnl"/>
        </w:rPr>
      </w:pPr>
      <w:r w:rsidRPr="00DB1035">
        <w:rPr>
          <w:rStyle w:val="FootnoteReference"/>
          <w:rFonts w:cs="Times New Roman"/>
        </w:rPr>
        <w:footnoteRef/>
      </w:r>
      <w:r w:rsidRPr="00DB1035">
        <w:rPr>
          <w:rFonts w:cs="Times New Roman"/>
          <w:lang w:val="es-ES_tradnl"/>
        </w:rPr>
        <w:tab/>
        <w:t>Estimación, sobre todo para 2018-2019.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D239B4" w:rsidRDefault="004D6EC4" w:rsidP="0030694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D05A3">
      <w:rPr>
        <w:rStyle w:val="PageNumber"/>
        <w:noProof/>
        <w:sz w:val="18"/>
        <w:szCs w:val="16"/>
      </w:rPr>
      <w:t>2</w:t>
    </w:r>
    <w:r w:rsidRPr="00D239B4">
      <w:rPr>
        <w:rStyle w:val="PageNumber"/>
        <w:sz w:val="18"/>
        <w:szCs w:val="16"/>
      </w:rPr>
      <w:fldChar w:fldCharType="end"/>
    </w:r>
    <w:r>
      <w:rPr>
        <w:rStyle w:val="PageNumber"/>
        <w:sz w:val="18"/>
        <w:szCs w:val="16"/>
      </w:rPr>
      <w:t xml:space="preserve"> -</w:t>
    </w:r>
  </w:p>
  <w:p w:rsidR="004D6EC4" w:rsidRDefault="004D6EC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F35897" w:rsidRDefault="004D6EC4" w:rsidP="00F35897">
    <w:pPr>
      <w:pStyle w:val="Header"/>
      <w:jc w:val="center"/>
      <w:rPr>
        <w:sz w:val="18"/>
        <w:szCs w:val="18"/>
      </w:rPr>
    </w:pPr>
    <w:r w:rsidRPr="00F35897">
      <w:rPr>
        <w:rFonts w:asciiTheme="minorHAnsi" w:hAnsiTheme="minorHAnsi"/>
        <w:sz w:val="18"/>
        <w:szCs w:val="18"/>
      </w:rPr>
      <w:t xml:space="preserve">- </w:t>
    </w:r>
    <w:r w:rsidRPr="00F35897">
      <w:rPr>
        <w:rFonts w:asciiTheme="minorHAnsi" w:hAnsiTheme="minorHAnsi"/>
        <w:sz w:val="18"/>
        <w:szCs w:val="18"/>
      </w:rPr>
      <w:fldChar w:fldCharType="begin"/>
    </w:r>
    <w:r w:rsidRPr="00F35897">
      <w:rPr>
        <w:rFonts w:asciiTheme="minorHAnsi" w:hAnsiTheme="minorHAnsi"/>
        <w:sz w:val="18"/>
        <w:szCs w:val="18"/>
      </w:rPr>
      <w:instrText xml:space="preserve"> PAGE </w:instrText>
    </w:r>
    <w:r w:rsidRPr="00F35897">
      <w:rPr>
        <w:rFonts w:asciiTheme="minorHAnsi" w:hAnsiTheme="minorHAnsi"/>
        <w:sz w:val="18"/>
        <w:szCs w:val="18"/>
      </w:rPr>
      <w:fldChar w:fldCharType="separate"/>
    </w:r>
    <w:r w:rsidR="0056057F">
      <w:rPr>
        <w:rFonts w:asciiTheme="minorHAnsi" w:hAnsiTheme="minorHAnsi"/>
        <w:noProof/>
        <w:sz w:val="18"/>
        <w:szCs w:val="18"/>
      </w:rPr>
      <w:t>26</w:t>
    </w:r>
    <w:r w:rsidRPr="00F35897">
      <w:rPr>
        <w:rFonts w:asciiTheme="minorHAnsi" w:hAnsiTheme="minorHAnsi"/>
        <w:noProof/>
        <w:sz w:val="18"/>
        <w:szCs w:val="18"/>
      </w:rPr>
      <w:fldChar w:fldCharType="end"/>
    </w:r>
    <w:r w:rsidRPr="00F35897">
      <w:rPr>
        <w:rFonts w:asciiTheme="minorHAnsi" w:hAnsiTheme="minorHAnsi"/>
        <w:noProof/>
        <w:sz w:val="18"/>
        <w:szCs w:val="18"/>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3B0861" w:rsidRDefault="004D6EC4" w:rsidP="00F35897">
    <w:pPr>
      <w:pStyle w:val="Header"/>
      <w:jc w:val="center"/>
      <w:rPr>
        <w:sz w:val="18"/>
        <w:szCs w:val="18"/>
      </w:rPr>
    </w:pPr>
    <w:r w:rsidRPr="003B0861">
      <w:rPr>
        <w:rFonts w:asciiTheme="minorHAnsi" w:hAnsiTheme="minorHAnsi"/>
        <w:sz w:val="18"/>
        <w:szCs w:val="18"/>
      </w:rPr>
      <w:t xml:space="preserve">- </w:t>
    </w:r>
    <w:r w:rsidRPr="003B0861">
      <w:rPr>
        <w:rFonts w:asciiTheme="minorHAnsi" w:hAnsiTheme="minorHAnsi"/>
        <w:sz w:val="18"/>
        <w:szCs w:val="18"/>
      </w:rPr>
      <w:fldChar w:fldCharType="begin"/>
    </w:r>
    <w:r w:rsidRPr="003B0861">
      <w:rPr>
        <w:rFonts w:asciiTheme="minorHAnsi" w:hAnsiTheme="minorHAnsi"/>
        <w:sz w:val="18"/>
        <w:szCs w:val="18"/>
      </w:rPr>
      <w:instrText xml:space="preserve"> PAGE </w:instrText>
    </w:r>
    <w:r w:rsidRPr="003B0861">
      <w:rPr>
        <w:rFonts w:asciiTheme="minorHAnsi" w:hAnsiTheme="minorHAnsi"/>
        <w:sz w:val="18"/>
        <w:szCs w:val="18"/>
      </w:rPr>
      <w:fldChar w:fldCharType="separate"/>
    </w:r>
    <w:r w:rsidR="0056057F">
      <w:rPr>
        <w:rFonts w:asciiTheme="minorHAnsi" w:hAnsiTheme="minorHAnsi"/>
        <w:noProof/>
        <w:sz w:val="18"/>
        <w:szCs w:val="18"/>
      </w:rPr>
      <w:t>43</w:t>
    </w:r>
    <w:r w:rsidRPr="003B0861">
      <w:rPr>
        <w:rFonts w:asciiTheme="minorHAnsi" w:hAnsiTheme="minorHAnsi"/>
        <w:noProof/>
        <w:sz w:val="18"/>
        <w:szCs w:val="18"/>
      </w:rPr>
      <w:fldChar w:fldCharType="end"/>
    </w:r>
    <w:r w:rsidRPr="003B0861">
      <w:rPr>
        <w:rFonts w:asciiTheme="minorHAnsi" w:hAnsiTheme="minorHAnsi"/>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AF3325" w:rsidRDefault="004D6EC4">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29</w:t>
    </w:r>
    <w:r w:rsidRPr="00AF3325">
      <w:rPr>
        <w:i/>
      </w:rPr>
      <w:fldChar w:fldCharType="end"/>
    </w:r>
  </w:p>
  <w:p w:rsidR="004D6EC4" w:rsidRDefault="004D6E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42" w:type="dxa"/>
      <w:tblLook w:val="04A0" w:firstRow="1" w:lastRow="0" w:firstColumn="1" w:lastColumn="0" w:noHBand="0" w:noVBand="1"/>
    </w:tblPr>
    <w:tblGrid>
      <w:gridCol w:w="5031"/>
      <w:gridCol w:w="4892"/>
    </w:tblGrid>
    <w:tr w:rsidR="004D6EC4" w:rsidTr="000D3F3B">
      <w:tc>
        <w:tcPr>
          <w:tcW w:w="5031" w:type="dxa"/>
        </w:tcPr>
        <w:p w:rsidR="004D6EC4" w:rsidRDefault="004D6EC4"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D6EC4" w:rsidRDefault="004D6EC4"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4D6EC4" w:rsidRPr="000D3F3B" w:rsidRDefault="004D6EC4" w:rsidP="000D3F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F35897" w:rsidRDefault="004D6EC4" w:rsidP="00F35897">
    <w:pPr>
      <w:pStyle w:val="Header"/>
      <w:jc w:val="center"/>
      <w:rPr>
        <w:sz w:val="18"/>
        <w:szCs w:val="18"/>
      </w:rPr>
    </w:pPr>
    <w:r w:rsidRPr="00F35897">
      <w:rPr>
        <w:rFonts w:asciiTheme="minorHAnsi" w:hAnsiTheme="minorHAnsi"/>
        <w:sz w:val="18"/>
        <w:szCs w:val="18"/>
      </w:rPr>
      <w:t xml:space="preserve">- </w:t>
    </w:r>
    <w:r w:rsidRPr="00F35897">
      <w:rPr>
        <w:rFonts w:asciiTheme="minorHAnsi" w:hAnsiTheme="minorHAnsi"/>
        <w:sz w:val="18"/>
        <w:szCs w:val="18"/>
      </w:rPr>
      <w:fldChar w:fldCharType="begin"/>
    </w:r>
    <w:r w:rsidRPr="00F35897">
      <w:rPr>
        <w:rFonts w:asciiTheme="minorHAnsi" w:hAnsiTheme="minorHAnsi"/>
        <w:sz w:val="18"/>
        <w:szCs w:val="18"/>
      </w:rPr>
      <w:instrText xml:space="preserve"> PAGE </w:instrText>
    </w:r>
    <w:r w:rsidRPr="00F35897">
      <w:rPr>
        <w:rFonts w:asciiTheme="minorHAnsi" w:hAnsiTheme="minorHAnsi"/>
        <w:sz w:val="18"/>
        <w:szCs w:val="18"/>
      </w:rPr>
      <w:fldChar w:fldCharType="separate"/>
    </w:r>
    <w:r w:rsidR="0056057F">
      <w:rPr>
        <w:rFonts w:asciiTheme="minorHAnsi" w:hAnsiTheme="minorHAnsi"/>
        <w:noProof/>
        <w:sz w:val="18"/>
        <w:szCs w:val="18"/>
      </w:rPr>
      <w:t>9</w:t>
    </w:r>
    <w:r w:rsidRPr="00F35897">
      <w:rPr>
        <w:rFonts w:asciiTheme="minorHAnsi" w:hAnsiTheme="minorHAnsi"/>
        <w:noProof/>
        <w:sz w:val="18"/>
        <w:szCs w:val="18"/>
      </w:rPr>
      <w:fldChar w:fldCharType="end"/>
    </w:r>
    <w:r w:rsidRPr="00F35897">
      <w:rPr>
        <w:rFonts w:asciiTheme="minorHAnsi" w:hAnsiTheme="minorHAnsi"/>
        <w:noProof/>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0D3F3B" w:rsidRDefault="004D6EC4" w:rsidP="000D3F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3B0861" w:rsidRDefault="003B0861" w:rsidP="003B0861">
    <w:pPr>
      <w:pStyle w:val="Header"/>
      <w:jc w:val="center"/>
      <w:rPr>
        <w:sz w:val="18"/>
        <w:szCs w:val="18"/>
      </w:rPr>
    </w:pPr>
    <w:r w:rsidRPr="00F35897">
      <w:rPr>
        <w:rFonts w:asciiTheme="minorHAnsi" w:hAnsiTheme="minorHAnsi"/>
        <w:sz w:val="18"/>
        <w:szCs w:val="18"/>
      </w:rPr>
      <w:t xml:space="preserve">- </w:t>
    </w:r>
    <w:r w:rsidRPr="00F35897">
      <w:rPr>
        <w:rFonts w:asciiTheme="minorHAnsi" w:hAnsiTheme="minorHAnsi"/>
        <w:sz w:val="18"/>
        <w:szCs w:val="18"/>
      </w:rPr>
      <w:fldChar w:fldCharType="begin"/>
    </w:r>
    <w:r w:rsidRPr="00F35897">
      <w:rPr>
        <w:rFonts w:asciiTheme="minorHAnsi" w:hAnsiTheme="minorHAnsi"/>
        <w:sz w:val="18"/>
        <w:szCs w:val="18"/>
      </w:rPr>
      <w:instrText xml:space="preserve"> PAGE </w:instrText>
    </w:r>
    <w:r w:rsidRPr="00F35897">
      <w:rPr>
        <w:rFonts w:asciiTheme="minorHAnsi" w:hAnsiTheme="minorHAnsi"/>
        <w:sz w:val="18"/>
        <w:szCs w:val="18"/>
      </w:rPr>
      <w:fldChar w:fldCharType="separate"/>
    </w:r>
    <w:r w:rsidR="0056057F">
      <w:rPr>
        <w:rFonts w:asciiTheme="minorHAnsi" w:hAnsiTheme="minorHAnsi"/>
        <w:noProof/>
        <w:sz w:val="18"/>
        <w:szCs w:val="18"/>
      </w:rPr>
      <w:t>8</w:t>
    </w:r>
    <w:r w:rsidRPr="00F35897">
      <w:rPr>
        <w:rFonts w:asciiTheme="minorHAnsi" w:hAnsiTheme="minorHAnsi"/>
        <w:noProof/>
        <w:sz w:val="18"/>
        <w:szCs w:val="18"/>
      </w:rPr>
      <w:fldChar w:fldCharType="end"/>
    </w:r>
    <w:r w:rsidRPr="00F35897">
      <w:rPr>
        <w:rFonts w:asciiTheme="minorHAnsi" w:hAnsiTheme="minorHAnsi"/>
        <w:noProof/>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Default="004D6EC4" w:rsidP="00F35897">
    <w:pPr>
      <w:pStyle w:val="Header"/>
    </w:pPr>
    <w:r>
      <w:t xml:space="preserve">- </w:t>
    </w:r>
    <w:sdt>
      <w:sdtPr>
        <w:id w:val="1839569611"/>
        <w:docPartObj>
          <w:docPartGallery w:val="Page Numbers (Top of Page)"/>
          <w:docPartUnique/>
        </w:docPartObj>
      </w:sdtPr>
      <w:sdtContent>
        <w:r>
          <w:fldChar w:fldCharType="begin"/>
        </w:r>
        <w:r>
          <w:instrText xml:space="preserve"> PAGE   \* MERGEFORMAT </w:instrText>
        </w:r>
        <w:r>
          <w:fldChar w:fldCharType="separate"/>
        </w:r>
        <w:r>
          <w:rPr>
            <w:noProof/>
          </w:rPr>
          <w:t>12</w:t>
        </w:r>
        <w:r>
          <w:rPr>
            <w:noProof/>
          </w:rPr>
          <w:fldChar w:fldCharType="end"/>
        </w:r>
        <w:r>
          <w:t xml:space="preserve"> -</w:t>
        </w:r>
        <w:r>
          <w:br/>
          <w:t>RAG13-1/TEMP/2-E</w:t>
        </w:r>
      </w:sdtContent>
    </w:sdt>
  </w:p>
  <w:p w:rsidR="004D6EC4" w:rsidRPr="004600CD" w:rsidRDefault="004D6E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F35897" w:rsidRDefault="004D6EC4" w:rsidP="00F35897">
    <w:pPr>
      <w:pStyle w:val="Header"/>
      <w:jc w:val="center"/>
      <w:rPr>
        <w:sz w:val="18"/>
        <w:szCs w:val="18"/>
      </w:rPr>
    </w:pPr>
    <w:r w:rsidRPr="00F35897">
      <w:rPr>
        <w:rFonts w:asciiTheme="minorHAnsi" w:hAnsiTheme="minorHAnsi"/>
        <w:sz w:val="18"/>
        <w:szCs w:val="18"/>
      </w:rPr>
      <w:t xml:space="preserve">- </w:t>
    </w:r>
    <w:r w:rsidRPr="00F35897">
      <w:rPr>
        <w:rFonts w:asciiTheme="minorHAnsi" w:hAnsiTheme="minorHAnsi"/>
        <w:sz w:val="18"/>
        <w:szCs w:val="18"/>
      </w:rPr>
      <w:fldChar w:fldCharType="begin"/>
    </w:r>
    <w:r w:rsidRPr="00F35897">
      <w:rPr>
        <w:rFonts w:asciiTheme="minorHAnsi" w:hAnsiTheme="minorHAnsi"/>
        <w:sz w:val="18"/>
        <w:szCs w:val="18"/>
      </w:rPr>
      <w:instrText xml:space="preserve"> PAGE </w:instrText>
    </w:r>
    <w:r w:rsidRPr="00F35897">
      <w:rPr>
        <w:rFonts w:asciiTheme="minorHAnsi" w:hAnsiTheme="minorHAnsi"/>
        <w:sz w:val="18"/>
        <w:szCs w:val="18"/>
      </w:rPr>
      <w:fldChar w:fldCharType="separate"/>
    </w:r>
    <w:r w:rsidR="0056057F">
      <w:rPr>
        <w:rFonts w:asciiTheme="minorHAnsi" w:hAnsiTheme="minorHAnsi"/>
        <w:noProof/>
        <w:sz w:val="18"/>
        <w:szCs w:val="18"/>
      </w:rPr>
      <w:t>42</w:t>
    </w:r>
    <w:r w:rsidRPr="00F35897">
      <w:rPr>
        <w:rFonts w:asciiTheme="minorHAnsi" w:hAnsiTheme="minorHAnsi"/>
        <w:noProof/>
        <w:sz w:val="18"/>
        <w:szCs w:val="18"/>
      </w:rPr>
      <w:fldChar w:fldCharType="end"/>
    </w:r>
    <w:r w:rsidRPr="00F35897">
      <w:rPr>
        <w:rFonts w:asciiTheme="minorHAnsi" w:hAnsiTheme="minorHAnsi"/>
        <w:noProof/>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C4" w:rsidRPr="00F35897" w:rsidRDefault="004D6EC4" w:rsidP="00F35897">
    <w:pPr>
      <w:pStyle w:val="Header"/>
      <w:jc w:val="center"/>
      <w:rPr>
        <w:sz w:val="18"/>
        <w:szCs w:val="18"/>
      </w:rPr>
    </w:pPr>
    <w:r w:rsidRPr="00F35897">
      <w:rPr>
        <w:rFonts w:asciiTheme="minorHAnsi" w:hAnsiTheme="minorHAnsi"/>
        <w:sz w:val="18"/>
        <w:szCs w:val="18"/>
      </w:rPr>
      <w:t xml:space="preserve">- </w:t>
    </w:r>
    <w:r w:rsidRPr="00F35897">
      <w:rPr>
        <w:rFonts w:asciiTheme="minorHAnsi" w:hAnsiTheme="minorHAnsi"/>
        <w:sz w:val="18"/>
        <w:szCs w:val="18"/>
      </w:rPr>
      <w:fldChar w:fldCharType="begin"/>
    </w:r>
    <w:r w:rsidRPr="00F35897">
      <w:rPr>
        <w:rFonts w:asciiTheme="minorHAnsi" w:hAnsiTheme="minorHAnsi"/>
        <w:sz w:val="18"/>
        <w:szCs w:val="18"/>
      </w:rPr>
      <w:instrText xml:space="preserve"> PAGE </w:instrText>
    </w:r>
    <w:r w:rsidRPr="00F35897">
      <w:rPr>
        <w:rFonts w:asciiTheme="minorHAnsi" w:hAnsiTheme="minorHAnsi"/>
        <w:sz w:val="18"/>
        <w:szCs w:val="18"/>
      </w:rPr>
      <w:fldChar w:fldCharType="separate"/>
    </w:r>
    <w:r w:rsidR="0056057F">
      <w:rPr>
        <w:rFonts w:asciiTheme="minorHAnsi" w:hAnsiTheme="minorHAnsi"/>
        <w:noProof/>
        <w:sz w:val="18"/>
        <w:szCs w:val="18"/>
      </w:rPr>
      <w:t>25</w:t>
    </w:r>
    <w:r w:rsidRPr="00F35897">
      <w:rPr>
        <w:rFonts w:asciiTheme="minorHAnsi" w:hAnsiTheme="minorHAnsi"/>
        <w:noProof/>
        <w:sz w:val="18"/>
        <w:szCs w:val="18"/>
      </w:rPr>
      <w:fldChar w:fldCharType="end"/>
    </w:r>
    <w:r w:rsidRPr="00F35897">
      <w:rPr>
        <w:rFonts w:asciiTheme="minorHAnsi" w:hAnsiTheme="minorHAnsi"/>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909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4C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A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EB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0AD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6AF2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A86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8207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8A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85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F6E7E"/>
    <w:multiLevelType w:val="hybridMultilevel"/>
    <w:tmpl w:val="D83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8"/>
  </w:num>
  <w:num w:numId="15">
    <w:abstractNumId w:val="21"/>
  </w:num>
  <w:num w:numId="16">
    <w:abstractNumId w:val="17"/>
  </w:num>
  <w:num w:numId="17">
    <w:abstractNumId w:val="26"/>
  </w:num>
  <w:num w:numId="18">
    <w:abstractNumId w:val="22"/>
  </w:num>
  <w:num w:numId="19">
    <w:abstractNumId w:val="2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7"/>
  </w:num>
  <w:num w:numId="23">
    <w:abstractNumId w:val="23"/>
  </w:num>
  <w:num w:numId="24">
    <w:abstractNumId w:val="16"/>
  </w:num>
  <w:num w:numId="25">
    <w:abstractNumId w:val="24"/>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CA7EDF49-185C-4BE1-B32D-6EEE27558601}"/>
    <w:docVar w:name="dgnword-eventsink" w:val="496213856"/>
  </w:docVars>
  <w:rsids>
    <w:rsidRoot w:val="0030694E"/>
    <w:rsid w:val="00006A31"/>
    <w:rsid w:val="00006C82"/>
    <w:rsid w:val="00010E30"/>
    <w:rsid w:val="00015C76"/>
    <w:rsid w:val="00026CF8"/>
    <w:rsid w:val="00026D75"/>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A4276"/>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45AC"/>
    <w:rsid w:val="00283C3B"/>
    <w:rsid w:val="002861E6"/>
    <w:rsid w:val="00287D18"/>
    <w:rsid w:val="0029786D"/>
    <w:rsid w:val="002A2618"/>
    <w:rsid w:val="002A5DD7"/>
    <w:rsid w:val="002B0CAC"/>
    <w:rsid w:val="002B608F"/>
    <w:rsid w:val="002D5A15"/>
    <w:rsid w:val="002D5BDD"/>
    <w:rsid w:val="002E3D27"/>
    <w:rsid w:val="002F0890"/>
    <w:rsid w:val="002F2531"/>
    <w:rsid w:val="002F4967"/>
    <w:rsid w:val="00306452"/>
    <w:rsid w:val="0030694E"/>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0861"/>
    <w:rsid w:val="003B2BDA"/>
    <w:rsid w:val="003B55EC"/>
    <w:rsid w:val="003C2EA7"/>
    <w:rsid w:val="003C4471"/>
    <w:rsid w:val="003C7D41"/>
    <w:rsid w:val="003D4A69"/>
    <w:rsid w:val="003E504F"/>
    <w:rsid w:val="003E78D6"/>
    <w:rsid w:val="00400573"/>
    <w:rsid w:val="004007A3"/>
    <w:rsid w:val="00406D71"/>
    <w:rsid w:val="00406E67"/>
    <w:rsid w:val="004326DB"/>
    <w:rsid w:val="0043682E"/>
    <w:rsid w:val="00447ECB"/>
    <w:rsid w:val="004623F7"/>
    <w:rsid w:val="00480F51"/>
    <w:rsid w:val="00481124"/>
    <w:rsid w:val="004815EB"/>
    <w:rsid w:val="00487569"/>
    <w:rsid w:val="00487B37"/>
    <w:rsid w:val="00496864"/>
    <w:rsid w:val="00496920"/>
    <w:rsid w:val="004A4496"/>
    <w:rsid w:val="004A5F47"/>
    <w:rsid w:val="004B11AB"/>
    <w:rsid w:val="004B7C9A"/>
    <w:rsid w:val="004C6779"/>
    <w:rsid w:val="004D6EC4"/>
    <w:rsid w:val="004D733B"/>
    <w:rsid w:val="004E0DC4"/>
    <w:rsid w:val="004E0FB5"/>
    <w:rsid w:val="004E43BB"/>
    <w:rsid w:val="004E460D"/>
    <w:rsid w:val="004F178E"/>
    <w:rsid w:val="004F2FBD"/>
    <w:rsid w:val="004F4543"/>
    <w:rsid w:val="004F57BB"/>
    <w:rsid w:val="00505309"/>
    <w:rsid w:val="0050789B"/>
    <w:rsid w:val="00520388"/>
    <w:rsid w:val="005224A1"/>
    <w:rsid w:val="00534372"/>
    <w:rsid w:val="00542D5D"/>
    <w:rsid w:val="00543DF8"/>
    <w:rsid w:val="00546101"/>
    <w:rsid w:val="00553DD7"/>
    <w:rsid w:val="0056057F"/>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368"/>
    <w:rsid w:val="00650543"/>
    <w:rsid w:val="00650B2A"/>
    <w:rsid w:val="00651777"/>
    <w:rsid w:val="006550F8"/>
    <w:rsid w:val="006829F3"/>
    <w:rsid w:val="006A518B"/>
    <w:rsid w:val="006B0590"/>
    <w:rsid w:val="006B49DA"/>
    <w:rsid w:val="006C53F8"/>
    <w:rsid w:val="006C7CDE"/>
    <w:rsid w:val="0071338E"/>
    <w:rsid w:val="007234B1"/>
    <w:rsid w:val="00723D08"/>
    <w:rsid w:val="00725FDA"/>
    <w:rsid w:val="00727816"/>
    <w:rsid w:val="00730B9A"/>
    <w:rsid w:val="00750CFA"/>
    <w:rsid w:val="007553DA"/>
    <w:rsid w:val="0076264D"/>
    <w:rsid w:val="007632D5"/>
    <w:rsid w:val="00775DB8"/>
    <w:rsid w:val="00782354"/>
    <w:rsid w:val="007823E7"/>
    <w:rsid w:val="007921A7"/>
    <w:rsid w:val="007B3DB1"/>
    <w:rsid w:val="007C124F"/>
    <w:rsid w:val="007D183E"/>
    <w:rsid w:val="007D43D0"/>
    <w:rsid w:val="007E1833"/>
    <w:rsid w:val="007E3F13"/>
    <w:rsid w:val="007F751A"/>
    <w:rsid w:val="00800012"/>
    <w:rsid w:val="0080261F"/>
    <w:rsid w:val="008045FB"/>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574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17D78"/>
    <w:rsid w:val="00C4395E"/>
    <w:rsid w:val="00C47FFD"/>
    <w:rsid w:val="00C51E92"/>
    <w:rsid w:val="00C57E2C"/>
    <w:rsid w:val="00C608B7"/>
    <w:rsid w:val="00C66F24"/>
    <w:rsid w:val="00C76D7F"/>
    <w:rsid w:val="00C813AA"/>
    <w:rsid w:val="00C9291E"/>
    <w:rsid w:val="00CA3F44"/>
    <w:rsid w:val="00CA4E58"/>
    <w:rsid w:val="00CB3771"/>
    <w:rsid w:val="00CB430D"/>
    <w:rsid w:val="00CB44BF"/>
    <w:rsid w:val="00CB5153"/>
    <w:rsid w:val="00CE076A"/>
    <w:rsid w:val="00CE463D"/>
    <w:rsid w:val="00D10BA0"/>
    <w:rsid w:val="00D21694"/>
    <w:rsid w:val="00D239B4"/>
    <w:rsid w:val="00D240CE"/>
    <w:rsid w:val="00D24EB5"/>
    <w:rsid w:val="00D35AB9"/>
    <w:rsid w:val="00D41571"/>
    <w:rsid w:val="00D416A0"/>
    <w:rsid w:val="00D44DD2"/>
    <w:rsid w:val="00D47672"/>
    <w:rsid w:val="00D5123C"/>
    <w:rsid w:val="00D55560"/>
    <w:rsid w:val="00D61C5A"/>
    <w:rsid w:val="00D63BFF"/>
    <w:rsid w:val="00D6790C"/>
    <w:rsid w:val="00D73277"/>
    <w:rsid w:val="00D76586"/>
    <w:rsid w:val="00D82657"/>
    <w:rsid w:val="00D87E20"/>
    <w:rsid w:val="00D97EF5"/>
    <w:rsid w:val="00DA4037"/>
    <w:rsid w:val="00DB1035"/>
    <w:rsid w:val="00DD734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05A3"/>
    <w:rsid w:val="00EE03A0"/>
    <w:rsid w:val="00F35897"/>
    <w:rsid w:val="00F424BF"/>
    <w:rsid w:val="00F44FC3"/>
    <w:rsid w:val="00F46107"/>
    <w:rsid w:val="00F468C5"/>
    <w:rsid w:val="00F52F39"/>
    <w:rsid w:val="00F6184F"/>
    <w:rsid w:val="00F8310E"/>
    <w:rsid w:val="00F914DD"/>
    <w:rsid w:val="00FA2358"/>
    <w:rsid w:val="00FA376A"/>
    <w:rsid w:val="00FB2592"/>
    <w:rsid w:val="00FB2810"/>
    <w:rsid w:val="00FB7A2C"/>
    <w:rsid w:val="00FC2947"/>
    <w:rsid w:val="00FE0818"/>
    <w:rsid w:val="00FE37E7"/>
    <w:rsid w:val="00FE4822"/>
    <w:rsid w:val="00FE6FB1"/>
    <w:rsid w:val="00FF22F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A1363F-C66F-4965-A797-7ED4CDC6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94E"/>
    <w:rPr>
      <w:b/>
      <w:sz w:val="24"/>
      <w:szCs w:val="22"/>
      <w:lang w:val="en-US" w:eastAsia="en-US"/>
    </w:rPr>
  </w:style>
  <w:style w:type="character" w:customStyle="1" w:styleId="Heading2Char">
    <w:name w:val="Heading 2 Char"/>
    <w:basedOn w:val="DefaultParagraphFont"/>
    <w:link w:val="Heading2"/>
    <w:rsid w:val="0030694E"/>
    <w:rPr>
      <w:b/>
      <w:sz w:val="24"/>
      <w:szCs w:val="22"/>
      <w:lang w:val="en-US" w:eastAsia="en-US"/>
    </w:rPr>
  </w:style>
  <w:style w:type="character" w:customStyle="1" w:styleId="Heading3Char">
    <w:name w:val="Heading 3 Char"/>
    <w:basedOn w:val="DefaultParagraphFont"/>
    <w:link w:val="Heading3"/>
    <w:rsid w:val="0030694E"/>
    <w:rPr>
      <w:b/>
      <w:sz w:val="24"/>
      <w:szCs w:val="22"/>
      <w:lang w:val="en-US" w:eastAsia="en-US"/>
    </w:rPr>
  </w:style>
  <w:style w:type="character" w:customStyle="1" w:styleId="Heading4Char">
    <w:name w:val="Heading 4 Char"/>
    <w:basedOn w:val="DefaultParagraphFont"/>
    <w:link w:val="Heading4"/>
    <w:rsid w:val="0030694E"/>
    <w:rPr>
      <w:b/>
      <w:sz w:val="24"/>
      <w:szCs w:val="22"/>
      <w:lang w:val="en-US" w:eastAsia="en-US"/>
    </w:rPr>
  </w:style>
  <w:style w:type="character" w:customStyle="1" w:styleId="Heading5Char">
    <w:name w:val="Heading 5 Char"/>
    <w:basedOn w:val="DefaultParagraphFont"/>
    <w:link w:val="Heading5"/>
    <w:rsid w:val="0030694E"/>
    <w:rPr>
      <w:b/>
      <w:sz w:val="24"/>
      <w:szCs w:val="22"/>
      <w:lang w:val="en-US" w:eastAsia="en-US"/>
    </w:rPr>
  </w:style>
  <w:style w:type="character" w:customStyle="1" w:styleId="Heading6Char">
    <w:name w:val="Heading 6 Char"/>
    <w:basedOn w:val="DefaultParagraphFont"/>
    <w:link w:val="Heading6"/>
    <w:rsid w:val="0030694E"/>
    <w:rPr>
      <w:b/>
      <w:sz w:val="24"/>
      <w:szCs w:val="22"/>
      <w:lang w:val="en-US" w:eastAsia="en-US"/>
    </w:rPr>
  </w:style>
  <w:style w:type="character" w:customStyle="1" w:styleId="Heading7Char">
    <w:name w:val="Heading 7 Char"/>
    <w:basedOn w:val="DefaultParagraphFont"/>
    <w:link w:val="Heading7"/>
    <w:rsid w:val="0030694E"/>
    <w:rPr>
      <w:b/>
      <w:sz w:val="24"/>
      <w:szCs w:val="22"/>
      <w:lang w:val="en-US" w:eastAsia="en-US"/>
    </w:rPr>
  </w:style>
  <w:style w:type="character" w:customStyle="1" w:styleId="Heading8Char">
    <w:name w:val="Heading 8 Char"/>
    <w:basedOn w:val="DefaultParagraphFont"/>
    <w:link w:val="Heading8"/>
    <w:rsid w:val="0030694E"/>
    <w:rPr>
      <w:b/>
      <w:sz w:val="24"/>
      <w:szCs w:val="22"/>
      <w:lang w:val="en-US" w:eastAsia="en-US"/>
    </w:rPr>
  </w:style>
  <w:style w:type="character" w:customStyle="1" w:styleId="Heading9Char">
    <w:name w:val="Heading 9 Char"/>
    <w:basedOn w:val="DefaultParagraphFont"/>
    <w:link w:val="Heading9"/>
    <w:rsid w:val="0030694E"/>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30694E"/>
    <w:rPr>
      <w:sz w:val="24"/>
      <w:szCs w:val="22"/>
      <w:lang w:val="en-US" w:eastAsia="en-US"/>
    </w:r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he Char"/>
    <w:basedOn w:val="DefaultParagraphFont"/>
    <w:link w:val="Header"/>
    <w:uiPriority w:val="99"/>
    <w:rsid w:val="0030694E"/>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30694E"/>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30694E"/>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30694E"/>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30694E"/>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rsid w:val="0030694E"/>
    <w:rPr>
      <w:noProof/>
      <w:lang w:eastAsia="zh-CN"/>
    </w:rPr>
  </w:style>
  <w:style w:type="paragraph" w:customStyle="1" w:styleId="AnnexNotitle0">
    <w:name w:val="Annex_No &amp; title"/>
    <w:basedOn w:val="Normal"/>
    <w:next w:val="Normalaftertitle"/>
    <w:rsid w:val="0030694E"/>
    <w:pPr>
      <w:keepNext/>
      <w:keepLines/>
      <w:spacing w:before="480" w:line="240" w:lineRule="auto"/>
      <w:jc w:val="center"/>
    </w:pPr>
    <w:rPr>
      <w:rFonts w:ascii="Times New Roman" w:hAnsi="Times New Roman" w:cs="Times New Roman"/>
      <w:b/>
      <w:sz w:val="28"/>
      <w:szCs w:val="20"/>
      <w:lang w:val="fr-FR"/>
    </w:rPr>
  </w:style>
  <w:style w:type="paragraph" w:customStyle="1" w:styleId="TableText0">
    <w:name w:val="Table_Text"/>
    <w:basedOn w:val="Normal"/>
    <w:uiPriority w:val="99"/>
    <w:rsid w:val="003069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Annextitle">
    <w:name w:val="Annex_title"/>
    <w:basedOn w:val="Normal"/>
    <w:next w:val="Normal"/>
    <w:rsid w:val="0030694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Normal"/>
    <w:link w:val="TableNoChar"/>
    <w:rsid w:val="0030694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30694E"/>
    <w:rPr>
      <w:rFonts w:ascii="Times New Roman" w:hAnsi="Times New Roman" w:cs="Times New Roman"/>
      <w:caps/>
      <w:lang w:val="en-GB" w:eastAsia="en-US"/>
    </w:rPr>
  </w:style>
  <w:style w:type="paragraph" w:customStyle="1" w:styleId="Tabletitle">
    <w:name w:val="Table_title"/>
    <w:basedOn w:val="Normal"/>
    <w:next w:val="Tabletext"/>
    <w:link w:val="TabletitleChar"/>
    <w:rsid w:val="0030694E"/>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locked/>
    <w:rsid w:val="0030694E"/>
    <w:rPr>
      <w:rFonts w:ascii="Times New Roman Bold" w:hAnsi="Times New Roman Bold" w:cs="Times New Roman"/>
      <w:b/>
      <w:lang w:val="en-GB" w:eastAsia="en-US"/>
    </w:rPr>
  </w:style>
  <w:style w:type="paragraph" w:customStyle="1" w:styleId="Normalaftertitle0">
    <w:name w:val="Normal after title"/>
    <w:basedOn w:val="Normal"/>
    <w:next w:val="Normal"/>
    <w:rsid w:val="0030694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s-ES_tradnl"/>
    </w:rPr>
  </w:style>
  <w:style w:type="paragraph" w:customStyle="1" w:styleId="Reasons">
    <w:name w:val="Reasons"/>
    <w:basedOn w:val="Normal"/>
    <w:qFormat/>
    <w:rsid w:val="0030694E"/>
    <w:pPr>
      <w:tabs>
        <w:tab w:val="clear" w:pos="794"/>
        <w:tab w:val="clear" w:pos="1191"/>
        <w:tab w:val="left" w:pos="1134"/>
      </w:tabs>
      <w:spacing w:before="120" w:line="240" w:lineRule="auto"/>
      <w:jc w:val="left"/>
    </w:pPr>
    <w:rPr>
      <w:rFonts w:ascii="Times New Roman" w:hAnsi="Times New Roman" w:cs="Times New Roman"/>
      <w:szCs w:val="20"/>
      <w:lang w:val="es-ES_tradnl"/>
    </w:rPr>
  </w:style>
  <w:style w:type="paragraph" w:styleId="Index7">
    <w:name w:val="index 7"/>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lang w:val="es-ES_tradnl"/>
    </w:rPr>
  </w:style>
  <w:style w:type="paragraph" w:styleId="Index6">
    <w:name w:val="index 6"/>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lang w:val="es-ES_tradnl"/>
    </w:rPr>
  </w:style>
  <w:style w:type="paragraph" w:styleId="Index5">
    <w:name w:val="index 5"/>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lang w:val="es-ES_tradnl"/>
    </w:rPr>
  </w:style>
  <w:style w:type="paragraph" w:styleId="Index4">
    <w:name w:val="index 4"/>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lang w:val="es-ES_tradnl"/>
    </w:rPr>
  </w:style>
  <w:style w:type="character" w:styleId="LineNumber">
    <w:name w:val="line number"/>
    <w:basedOn w:val="DefaultParagraphFont"/>
    <w:rsid w:val="0030694E"/>
  </w:style>
  <w:style w:type="paragraph" w:styleId="IndexHeading">
    <w:name w:val="index heading"/>
    <w:basedOn w:val="Normal"/>
    <w:next w:val="Index1"/>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s-ES_tradnl"/>
    </w:rPr>
  </w:style>
  <w:style w:type="paragraph" w:styleId="NormalIndent0">
    <w:name w:val="Normal Indent"/>
    <w:basedOn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lang w:val="es-ES_tradnl"/>
    </w:rPr>
  </w:style>
  <w:style w:type="paragraph" w:customStyle="1" w:styleId="Annexref">
    <w:name w:val="Annex_ref"/>
    <w:basedOn w:val="Normal"/>
    <w:next w:val="Annextitle"/>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lang w:val="es-ES_tradnl"/>
    </w:rPr>
  </w:style>
  <w:style w:type="paragraph" w:customStyle="1" w:styleId="AppendixNo">
    <w:name w:val="Appendix_No"/>
    <w:basedOn w:val="AnnexNo"/>
    <w:next w:val="Appendixref"/>
    <w:rsid w:val="0030694E"/>
    <w:pPr>
      <w:keepNext w:val="0"/>
      <w:keepLines w:val="0"/>
      <w:tabs>
        <w:tab w:val="clear" w:pos="794"/>
        <w:tab w:val="clear" w:pos="1191"/>
        <w:tab w:val="clear" w:pos="1588"/>
        <w:tab w:val="clear" w:pos="1985"/>
        <w:tab w:val="left" w:pos="567"/>
        <w:tab w:val="left" w:pos="1134"/>
        <w:tab w:val="left" w:pos="1701"/>
        <w:tab w:val="left" w:pos="2268"/>
        <w:tab w:val="left" w:pos="2835"/>
      </w:tabs>
      <w:spacing w:after="0" w:line="240" w:lineRule="auto"/>
    </w:pPr>
    <w:rPr>
      <w:rFonts w:cs="Times New Roman"/>
      <w:b w:val="0"/>
      <w:caps/>
      <w:noProof w:val="0"/>
      <w:sz w:val="28"/>
      <w:szCs w:val="20"/>
      <w:lang w:val="es-ES_tradnl" w:eastAsia="en-US"/>
    </w:rPr>
  </w:style>
  <w:style w:type="paragraph" w:customStyle="1" w:styleId="Appendixref">
    <w:name w:val="Appendix_ref"/>
    <w:basedOn w:val="Annexref"/>
    <w:next w:val="Appendixtitle"/>
    <w:rsid w:val="0030694E"/>
  </w:style>
  <w:style w:type="paragraph" w:customStyle="1" w:styleId="Appendixtitle">
    <w:name w:val="Appendix_title"/>
    <w:basedOn w:val="Annextitle"/>
    <w:next w:val="Normal"/>
    <w:rsid w:val="0030694E"/>
    <w:pPr>
      <w:keepNext w:val="0"/>
      <w:keepLines w:val="0"/>
      <w:tabs>
        <w:tab w:val="clear" w:pos="1871"/>
        <w:tab w:val="left" w:pos="567"/>
        <w:tab w:val="left" w:pos="1701"/>
        <w:tab w:val="left" w:pos="2835"/>
      </w:tabs>
      <w:spacing w:after="240"/>
    </w:pPr>
    <w:rPr>
      <w:rFonts w:ascii="Calibri" w:hAnsi="Calibri"/>
      <w:lang w:val="es-ES_tradnl"/>
    </w:rPr>
  </w:style>
  <w:style w:type="character" w:styleId="EndnoteReference">
    <w:name w:val="endnote reference"/>
    <w:basedOn w:val="DefaultParagraphFont"/>
    <w:rsid w:val="0030694E"/>
    <w:rPr>
      <w:vertAlign w:val="superscript"/>
    </w:rPr>
  </w:style>
  <w:style w:type="paragraph" w:customStyle="1" w:styleId="Figuretitle">
    <w:name w:val="Figure_title"/>
    <w:basedOn w:val="Tabletitle"/>
    <w:next w:val="Normalaftertitle0"/>
    <w:rsid w:val="0030694E"/>
    <w:pPr>
      <w:keepLines w:val="0"/>
      <w:tabs>
        <w:tab w:val="clear" w:pos="1134"/>
        <w:tab w:val="clear" w:pos="1871"/>
        <w:tab w:val="clear" w:pos="2268"/>
        <w:tab w:val="left" w:pos="2948"/>
        <w:tab w:val="left" w:pos="4082"/>
      </w:tabs>
      <w:spacing w:before="240" w:after="480"/>
    </w:pPr>
    <w:rPr>
      <w:rFonts w:ascii="Calibri" w:hAnsi="Calibri"/>
      <w:sz w:val="24"/>
      <w:lang w:val="es-ES_tradnl"/>
    </w:rPr>
  </w:style>
  <w:style w:type="paragraph" w:customStyle="1" w:styleId="Head">
    <w:name w:val="Head"/>
    <w:basedOn w:val="Normal"/>
    <w:rsid w:val="0030694E"/>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lang w:val="es-ES_tradnl"/>
    </w:rPr>
  </w:style>
  <w:style w:type="paragraph" w:styleId="List">
    <w:name w:val="List"/>
    <w:basedOn w:val="Normal"/>
    <w:rsid w:val="0030694E"/>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lang w:val="es-ES_tradnl"/>
    </w:rPr>
  </w:style>
  <w:style w:type="paragraph" w:customStyle="1" w:styleId="Part">
    <w:name w:val="Part"/>
    <w:basedOn w:val="Normal"/>
    <w:rsid w:val="0030694E"/>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lang w:val="es-ES_tradnl"/>
    </w:rPr>
  </w:style>
  <w:style w:type="paragraph" w:customStyle="1" w:styleId="meeting">
    <w:name w:val="meeting"/>
    <w:basedOn w:val="Head"/>
    <w:next w:val="Head"/>
    <w:rsid w:val="0030694E"/>
    <w:pPr>
      <w:tabs>
        <w:tab w:val="left" w:pos="7371"/>
      </w:tabs>
      <w:spacing w:after="567"/>
    </w:pPr>
  </w:style>
  <w:style w:type="paragraph" w:customStyle="1" w:styleId="Subject">
    <w:name w:val="Subject"/>
    <w:basedOn w:val="Normal"/>
    <w:next w:val="Source"/>
    <w:rsid w:val="0030694E"/>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lang w:val="es-ES_tradnl"/>
    </w:rPr>
  </w:style>
  <w:style w:type="paragraph" w:customStyle="1" w:styleId="Data">
    <w:name w:val="Data"/>
    <w:basedOn w:val="Subject"/>
    <w:next w:val="Subject"/>
    <w:rsid w:val="0030694E"/>
  </w:style>
  <w:style w:type="character" w:styleId="FollowedHyperlink">
    <w:name w:val="FollowedHyperlink"/>
    <w:basedOn w:val="DefaultParagraphFont"/>
    <w:rsid w:val="0030694E"/>
    <w:rPr>
      <w:color w:val="800080"/>
      <w:u w:val="single"/>
    </w:rPr>
  </w:style>
  <w:style w:type="paragraph" w:customStyle="1" w:styleId="dnum">
    <w:name w:val="dnum"/>
    <w:basedOn w:val="Normal"/>
    <w:rsid w:val="0030694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lang w:val="es-ES_tradnl"/>
    </w:rPr>
  </w:style>
  <w:style w:type="paragraph" w:customStyle="1" w:styleId="ddate">
    <w:name w:val="ddate"/>
    <w:basedOn w:val="Normal"/>
    <w:rsid w:val="0030694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dorlang">
    <w:name w:val="dorlang"/>
    <w:basedOn w:val="Normal"/>
    <w:rsid w:val="0030694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Tableref">
    <w:name w:val="Table_ref"/>
    <w:basedOn w:val="Normal"/>
    <w:next w:val="Tabletitle"/>
    <w:rsid w:val="0030694E"/>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lang w:val="es-ES_tradnl"/>
    </w:rPr>
  </w:style>
  <w:style w:type="paragraph" w:customStyle="1" w:styleId="docnoted">
    <w:name w:val="docnoted"/>
    <w:basedOn w:val="Normal"/>
    <w:rsid w:val="0030694E"/>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0"/>
      <w:szCs w:val="20"/>
      <w:lang w:val="es-ES_tradnl"/>
    </w:rPr>
  </w:style>
  <w:style w:type="paragraph" w:customStyle="1" w:styleId="Table">
    <w:name w:val="Table_#"/>
    <w:basedOn w:val="Normal"/>
    <w:next w:val="Normal"/>
    <w:rsid w:val="0030694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line="240" w:lineRule="auto"/>
      <w:jc w:val="center"/>
      <w:textAlignment w:val="auto"/>
    </w:pPr>
    <w:rPr>
      <w:rFonts w:cs="Times New Roman"/>
      <w:caps/>
      <w:szCs w:val="20"/>
      <w:lang w:val="en-GB"/>
    </w:rPr>
  </w:style>
  <w:style w:type="paragraph" w:customStyle="1" w:styleId="FigureNo">
    <w:name w:val="Figure_No"/>
    <w:basedOn w:val="Normal"/>
    <w:next w:val="Figuretitle"/>
    <w:rsid w:val="0030694E"/>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lang w:val="es-ES_tradnl"/>
    </w:rPr>
  </w:style>
  <w:style w:type="paragraph" w:styleId="ListParagraph">
    <w:name w:val="List Paragraph"/>
    <w:basedOn w:val="Normal"/>
    <w:uiPriority w:val="34"/>
    <w:qFormat/>
    <w:rsid w:val="0030694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rPr>
  </w:style>
  <w:style w:type="paragraph" w:customStyle="1" w:styleId="FigureNotitle0">
    <w:name w:val="Figure_No &amp; title"/>
    <w:basedOn w:val="Normal"/>
    <w:next w:val="Normal"/>
    <w:rsid w:val="0030694E"/>
    <w:pPr>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eastAsia="SimSun" w:cs="Times New Roman"/>
      <w:b/>
      <w:szCs w:val="24"/>
      <w:lang w:eastAsia="zh-CN"/>
    </w:rPr>
  </w:style>
  <w:style w:type="paragraph" w:customStyle="1" w:styleId="Normal2">
    <w:name w:val="Normal2"/>
    <w:basedOn w:val="Normal"/>
    <w:link w:val="Normal2Char"/>
    <w:rsid w:val="0030694E"/>
    <w:pPr>
      <w:tabs>
        <w:tab w:val="clear" w:pos="794"/>
        <w:tab w:val="clear" w:pos="1191"/>
        <w:tab w:val="clear" w:pos="1588"/>
        <w:tab w:val="clear" w:pos="1985"/>
      </w:tabs>
      <w:overflowPunct/>
      <w:autoSpaceDE/>
      <w:autoSpaceDN/>
      <w:adjustRightInd/>
      <w:spacing w:line="240" w:lineRule="auto"/>
      <w:textAlignment w:val="auto"/>
    </w:pPr>
    <w:rPr>
      <w:rFonts w:eastAsiaTheme="minorEastAsia"/>
      <w:sz w:val="22"/>
      <w:lang w:val="en-GB" w:eastAsia="zh-CN"/>
    </w:rPr>
  </w:style>
  <w:style w:type="character" w:customStyle="1" w:styleId="Normal2Char">
    <w:name w:val="Normal2 Char"/>
    <w:link w:val="Normal2"/>
    <w:rsid w:val="0030694E"/>
    <w:rPr>
      <w:rFonts w:eastAsiaTheme="minorEastAsia"/>
      <w:sz w:val="22"/>
      <w:szCs w:val="22"/>
      <w:lang w:val="en-GB"/>
    </w:rPr>
  </w:style>
  <w:style w:type="paragraph" w:customStyle="1" w:styleId="enumlevel">
    <w:name w:val="enumlevel"/>
    <w:basedOn w:val="Normal2"/>
    <w:rsid w:val="0030694E"/>
    <w:pPr>
      <w:numPr>
        <w:numId w:val="14"/>
      </w:numPr>
      <w:tabs>
        <w:tab w:val="num" w:pos="360"/>
        <w:tab w:val="num" w:pos="644"/>
      </w:tabs>
      <w:ind w:left="432" w:hanging="432"/>
    </w:pPr>
  </w:style>
  <w:style w:type="table" w:customStyle="1" w:styleId="GridTable4-Accent11">
    <w:name w:val="Grid Table 4 - Accent 11"/>
    <w:basedOn w:val="TableNormal"/>
    <w:uiPriority w:val="49"/>
    <w:rsid w:val="0030694E"/>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30694E"/>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30694E"/>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anner">
    <w:name w:val="Banner"/>
    <w:basedOn w:val="Normal"/>
    <w:rsid w:val="0030694E"/>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paragraph" w:customStyle="1" w:styleId="ResN">
    <w:name w:val="Res_N"/>
    <w:basedOn w:val="Annextitle"/>
    <w:rsid w:val="0030694E"/>
    <w:rPr>
      <w:rFonts w:asciiTheme="minorHAnsi" w:hAnsiTheme="minorHAnsi"/>
      <w:b w:val="0"/>
      <w:bCs/>
      <w:lang w:val="es-ES_tradnl"/>
    </w:rPr>
  </w:style>
  <w:style w:type="paragraph" w:customStyle="1" w:styleId="ResNoBRBodyCalibri">
    <w:name w:val="Res_No_BR + +Body (Calibri)"/>
    <w:basedOn w:val="ResN"/>
    <w:rsid w:val="0030694E"/>
  </w:style>
  <w:style w:type="paragraph" w:styleId="Date">
    <w:name w:val="Date"/>
    <w:basedOn w:val="Normal"/>
    <w:next w:val="Normal"/>
    <w:link w:val="DateChar"/>
    <w:rsid w:val="0030694E"/>
  </w:style>
  <w:style w:type="character" w:customStyle="1" w:styleId="DateChar">
    <w:name w:val="Date Char"/>
    <w:basedOn w:val="DefaultParagraphFont"/>
    <w:link w:val="Date"/>
    <w:rsid w:val="0030694E"/>
    <w:rPr>
      <w:sz w:val="24"/>
      <w:szCs w:val="22"/>
      <w:lang w:val="en-US" w:eastAsia="en-US"/>
    </w:rPr>
  </w:style>
  <w:style w:type="paragraph" w:customStyle="1" w:styleId="ResNoBR">
    <w:name w:val="Res_No_BR"/>
    <w:basedOn w:val="ResNoBRBodyCalibri"/>
    <w:rsid w:val="0030694E"/>
  </w:style>
  <w:style w:type="paragraph" w:customStyle="1" w:styleId="AnnexNoBodyCalibri">
    <w:name w:val="Annex_No + +Body (Calibri)"/>
    <w:aliases w:val="14 pt,Not Bold"/>
    <w:basedOn w:val="AnnexNo"/>
    <w:rsid w:val="0030694E"/>
    <w:pPr>
      <w:spacing w:line="240" w:lineRule="auto"/>
    </w:pPr>
    <w:rPr>
      <w:rFonts w:asciiTheme="minorHAnsi" w:hAnsiTheme="minorHAnsi"/>
      <w:b w:val="0"/>
      <w:bCs/>
      <w:sz w:val="28"/>
      <w:szCs w:val="28"/>
      <w:lang w:val="es-ES_tradnl"/>
    </w:rPr>
  </w:style>
  <w:style w:type="paragraph" w:customStyle="1" w:styleId="NormalJustifyLow">
    <w:name w:val="Normal + Justify Low"/>
    <w:aliases w:val="Before:  0 pt"/>
    <w:basedOn w:val="Normal"/>
    <w:rsid w:val="0030694E"/>
    <w:pPr>
      <w:tabs>
        <w:tab w:val="clear" w:pos="794"/>
        <w:tab w:val="clear" w:pos="1191"/>
        <w:tab w:val="clear" w:pos="1588"/>
        <w:tab w:val="clear" w:pos="1985"/>
      </w:tabs>
      <w:overflowPunct/>
      <w:autoSpaceDE/>
      <w:autoSpaceDN/>
      <w:adjustRightInd/>
      <w:spacing w:before="0" w:line="240" w:lineRule="auto"/>
      <w:jc w:val="lowKashida"/>
      <w:textAlignment w:val="auto"/>
    </w:pPr>
    <w:rPr>
      <w:lang w:val="es-ES_tradnl"/>
    </w:rPr>
  </w:style>
  <w:style w:type="paragraph" w:customStyle="1" w:styleId="PartNoCentered">
    <w:name w:val="Part_No + Centered"/>
    <w:basedOn w:val="PartNo"/>
    <w:rsid w:val="0030694E"/>
    <w:pPr>
      <w:spacing w:line="240" w:lineRule="auto"/>
      <w:jc w:val="center"/>
    </w:pPr>
    <w:rPr>
      <w:lang w:val="es-ES_tradnl"/>
    </w:rPr>
  </w:style>
  <w:style w:type="paragraph" w:customStyle="1" w:styleId="NormalLatinBold">
    <w:name w:val="Normal + (Latin) Bold"/>
    <w:basedOn w:val="Normal"/>
    <w:rsid w:val="0030694E"/>
    <w:pPr>
      <w:spacing w:line="240" w:lineRule="auto"/>
    </w:pPr>
    <w:rPr>
      <w:b/>
      <w:lang w:val="es-ES_tradnl"/>
    </w:rPr>
  </w:style>
  <w:style w:type="paragraph" w:customStyle="1" w:styleId="enumlev1Before0cm">
    <w:name w:val="enumlev1 + Before:  0 cm"/>
    <w:aliases w:val="Hanging:  2.1 cm"/>
    <w:basedOn w:val="enumlev1"/>
    <w:rsid w:val="0030694E"/>
    <w:pPr>
      <w:tabs>
        <w:tab w:val="clear" w:pos="794"/>
        <w:tab w:val="left" w:pos="426"/>
      </w:tabs>
      <w:spacing w:line="240" w:lineRule="auto"/>
      <w:ind w:left="1191" w:hanging="1191"/>
    </w:pPr>
    <w:rPr>
      <w:lang w:val="es-ES_tradnl"/>
    </w:rPr>
  </w:style>
  <w:style w:type="paragraph" w:customStyle="1" w:styleId="enumlev1Before127cm">
    <w:name w:val="enumlev1 + Before:  1.27 cm"/>
    <w:aliases w:val="Hanging:  0.83 cm"/>
    <w:basedOn w:val="Normal"/>
    <w:rsid w:val="0030694E"/>
    <w:pPr>
      <w:spacing w:line="240" w:lineRule="auto"/>
      <w:ind w:left="1191" w:hanging="471"/>
    </w:pPr>
    <w:rPr>
      <w:lang w:val="es-ES_tradnl"/>
    </w:rPr>
  </w:style>
  <w:style w:type="paragraph" w:customStyle="1" w:styleId="NormalBefore127cm">
    <w:name w:val="Normal + Before:  1.27 cm"/>
    <w:basedOn w:val="Normal"/>
    <w:rsid w:val="0030694E"/>
    <w:pPr>
      <w:spacing w:line="240" w:lineRule="auto"/>
      <w:ind w:left="720"/>
    </w:pPr>
    <w:rPr>
      <w:lang w:val="es-ES_tradnl"/>
    </w:rPr>
  </w:style>
  <w:style w:type="paragraph" w:customStyle="1" w:styleId="Heading2Before127cm">
    <w:name w:val="Heading 2 + Before:  1.27 cm"/>
    <w:basedOn w:val="Heading2"/>
    <w:rsid w:val="0030694E"/>
    <w:pPr>
      <w:spacing w:line="240" w:lineRule="auto"/>
      <w:ind w:left="1514"/>
    </w:pPr>
    <w:rPr>
      <w:lang w:val="es-ES_tradnl"/>
    </w:rPr>
  </w:style>
  <w:style w:type="paragraph" w:customStyle="1" w:styleId="Heading2After6pt">
    <w:name w:val="Heading 2 + After:  6 pt"/>
    <w:basedOn w:val="Heading2"/>
    <w:rsid w:val="0030694E"/>
    <w:pPr>
      <w:spacing w:after="120" w:line="240" w:lineRule="auto"/>
    </w:pPr>
    <w:rPr>
      <w:lang w:val="es-ES_tradnl"/>
    </w:rPr>
  </w:style>
  <w:style w:type="paragraph" w:customStyle="1" w:styleId="NormalAfter6pt">
    <w:name w:val="Normal + After:  6 pt"/>
    <w:basedOn w:val="Normal"/>
    <w:rsid w:val="0030694E"/>
    <w:pPr>
      <w:spacing w:after="120" w:line="240" w:lineRule="auto"/>
    </w:pPr>
    <w:rPr>
      <w:lang w:val="es-ES_tradnl"/>
    </w:rPr>
  </w:style>
  <w:style w:type="paragraph" w:customStyle="1" w:styleId="CallJustified">
    <w:name w:val="Call + Justified"/>
    <w:basedOn w:val="Call"/>
    <w:rsid w:val="0030694E"/>
    <w:pPr>
      <w:spacing w:line="240" w:lineRule="auto"/>
      <w:jc w:val="both"/>
    </w:pPr>
    <w:rPr>
      <w:lang w:val="es-ES_tradnl"/>
    </w:rPr>
  </w:style>
  <w:style w:type="paragraph" w:customStyle="1" w:styleId="enu">
    <w:name w:val="enu"/>
    <w:basedOn w:val="enumlev1"/>
    <w:rsid w:val="0030694E"/>
    <w:rPr>
      <w:noProof/>
      <w:lang w:val="es-ES_tradnl"/>
    </w:rPr>
  </w:style>
  <w:style w:type="paragraph" w:customStyle="1" w:styleId="TabletitleBR">
    <w:name w:val="Table_title_BR"/>
    <w:basedOn w:val="Normal"/>
    <w:next w:val="Tablehead"/>
    <w:rsid w:val="00026D75"/>
    <w:pPr>
      <w:keepNext/>
      <w:keepLines/>
      <w:spacing w:before="0" w:after="120" w:line="240" w:lineRule="auto"/>
      <w:jc w:val="center"/>
    </w:pPr>
    <w:rPr>
      <w:rFonts w:ascii="Times New Roman" w:hAnsi="Times New Roman" w:cs="Times New Roman"/>
      <w:b/>
      <w:szCs w:val="20"/>
      <w:lang w:val="es-ES_tradnl"/>
    </w:rPr>
  </w:style>
  <w:style w:type="paragraph" w:customStyle="1" w:styleId="AppendixNotitle0">
    <w:name w:val="Appendix_No &amp; title"/>
    <w:basedOn w:val="AnnexNotitle0"/>
    <w:next w:val="Normalaftertitle"/>
    <w:rsid w:val="00026D75"/>
    <w:rPr>
      <w:lang w:val="es-ES_tradnl"/>
    </w:rPr>
  </w:style>
  <w:style w:type="paragraph" w:customStyle="1" w:styleId="RecNoBR">
    <w:name w:val="Rec_No_BR"/>
    <w:basedOn w:val="Normal"/>
    <w:next w:val="Rectitle"/>
    <w:rsid w:val="00026D75"/>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026D75"/>
  </w:style>
  <w:style w:type="paragraph" w:customStyle="1" w:styleId="RepNoBR">
    <w:name w:val="Rep_No_BR"/>
    <w:basedOn w:val="RecNoBR"/>
    <w:next w:val="Reptitle"/>
    <w:rsid w:val="00026D75"/>
  </w:style>
  <w:style w:type="paragraph" w:customStyle="1" w:styleId="TableNotitle0">
    <w:name w:val="Table_No &amp; title"/>
    <w:basedOn w:val="Normal"/>
    <w:next w:val="Tablehead"/>
    <w:rsid w:val="00026D75"/>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rsid w:val="00026D75"/>
    <w:pPr>
      <w:keepNext/>
      <w:spacing w:before="560" w:after="120" w:line="240" w:lineRule="auto"/>
      <w:jc w:val="center"/>
    </w:pPr>
    <w:rPr>
      <w:rFonts w:ascii="Times New Roman" w:hAnsi="Times New Roman" w:cs="Times New Roman"/>
      <w:caps/>
      <w:szCs w:val="20"/>
      <w:lang w:val="es-ES_tradnl"/>
    </w:rPr>
  </w:style>
  <w:style w:type="character" w:customStyle="1" w:styleId="Appdef">
    <w:name w:val="App_def"/>
    <w:basedOn w:val="DefaultParagraphFont"/>
    <w:rsid w:val="00026D75"/>
    <w:rPr>
      <w:rFonts w:ascii="Times New Roman" w:hAnsi="Times New Roman"/>
      <w:b/>
    </w:rPr>
  </w:style>
  <w:style w:type="character" w:customStyle="1" w:styleId="Appref">
    <w:name w:val="App_ref"/>
    <w:basedOn w:val="DefaultParagraphFont"/>
    <w:rsid w:val="00026D75"/>
  </w:style>
  <w:style w:type="character" w:customStyle="1" w:styleId="Artdef">
    <w:name w:val="Art_def"/>
    <w:basedOn w:val="DefaultParagraphFont"/>
    <w:rsid w:val="00026D75"/>
    <w:rPr>
      <w:rFonts w:ascii="Times New Roman" w:hAnsi="Times New Roman"/>
      <w:b/>
    </w:rPr>
  </w:style>
  <w:style w:type="character" w:customStyle="1" w:styleId="Artref">
    <w:name w:val="Art_ref"/>
    <w:basedOn w:val="DefaultParagraphFont"/>
    <w:rsid w:val="00026D75"/>
  </w:style>
  <w:style w:type="character" w:customStyle="1" w:styleId="Recdef">
    <w:name w:val="Rec_def"/>
    <w:basedOn w:val="DefaultParagraphFont"/>
    <w:rsid w:val="00026D75"/>
    <w:rPr>
      <w:b/>
    </w:rPr>
  </w:style>
  <w:style w:type="character" w:customStyle="1" w:styleId="Resdef">
    <w:name w:val="Res_def"/>
    <w:basedOn w:val="DefaultParagraphFont"/>
    <w:rsid w:val="00026D75"/>
    <w:rPr>
      <w:rFonts w:ascii="Times New Roman" w:hAnsi="Times New Roman"/>
      <w:b/>
    </w:rPr>
  </w:style>
  <w:style w:type="character" w:customStyle="1" w:styleId="Tablefreq">
    <w:name w:val="Table_freq"/>
    <w:basedOn w:val="DefaultParagraphFont"/>
    <w:rsid w:val="00026D75"/>
    <w:rPr>
      <w:b/>
      <w:color w:val="auto"/>
    </w:rPr>
  </w:style>
  <w:style w:type="paragraph" w:customStyle="1" w:styleId="FiguretitleBR">
    <w:name w:val="Figure_title_BR"/>
    <w:basedOn w:val="TabletitleBR"/>
    <w:next w:val="Figurewithouttitle"/>
    <w:rsid w:val="00026D75"/>
    <w:pPr>
      <w:keepNext w:val="0"/>
      <w:spacing w:after="480"/>
    </w:pPr>
  </w:style>
  <w:style w:type="paragraph" w:customStyle="1" w:styleId="FigureNoBR">
    <w:name w:val="Figure_No_BR"/>
    <w:basedOn w:val="Normal"/>
    <w:next w:val="FiguretitleBR"/>
    <w:rsid w:val="00026D75"/>
    <w:pPr>
      <w:keepNext/>
      <w:keepLines/>
      <w:spacing w:before="480" w:after="120" w:line="240" w:lineRule="auto"/>
      <w:jc w:val="center"/>
    </w:pPr>
    <w:rPr>
      <w:rFonts w:ascii="Times New Roman" w:hAnsi="Times New Roman" w:cs="Times New Roman"/>
      <w:caps/>
      <w:szCs w:val="20"/>
      <w:lang w:val="es-ES_tradnl"/>
    </w:rPr>
  </w:style>
  <w:style w:type="paragraph" w:styleId="NormalWeb">
    <w:name w:val="Normal (Web)"/>
    <w:basedOn w:val="Normal"/>
    <w:uiPriority w:val="99"/>
    <w:unhideWhenUsed/>
    <w:rsid w:val="00026D7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character" w:customStyle="1" w:styleId="BodyText2Char">
    <w:name w:val="Body Text 2 Char"/>
    <w:basedOn w:val="DefaultParagraphFont"/>
    <w:link w:val="BodyText2"/>
    <w:rsid w:val="00026D75"/>
    <w:rPr>
      <w:rFonts w:ascii="Times New Roman" w:eastAsia="Batang" w:hAnsi="Times New Roman"/>
      <w:sz w:val="24"/>
      <w:lang w:val="en-GB" w:eastAsia="en-US"/>
    </w:rPr>
  </w:style>
  <w:style w:type="paragraph" w:styleId="BodyText2">
    <w:name w:val="Body Text 2"/>
    <w:basedOn w:val="Normal"/>
    <w:link w:val="BodyText2Char"/>
    <w:unhideWhenUsed/>
    <w:rsid w:val="00026D75"/>
    <w:pPr>
      <w:spacing w:before="120" w:after="120" w:line="480" w:lineRule="auto"/>
      <w:jc w:val="left"/>
      <w:textAlignment w:val="auto"/>
    </w:pPr>
    <w:rPr>
      <w:rFonts w:ascii="Times New Roman" w:eastAsia="Batang" w:hAnsi="Times New Roman"/>
      <w:szCs w:val="20"/>
      <w:lang w:val="en-GB"/>
    </w:rPr>
  </w:style>
  <w:style w:type="character" w:customStyle="1" w:styleId="BodyText2Char1">
    <w:name w:val="Body Text 2 Char1"/>
    <w:basedOn w:val="DefaultParagraphFont"/>
    <w:semiHidden/>
    <w:rsid w:val="00026D75"/>
    <w:rPr>
      <w:sz w:val="24"/>
      <w:szCs w:val="22"/>
      <w:lang w:val="en-US" w:eastAsia="en-US"/>
    </w:rPr>
  </w:style>
  <w:style w:type="character" w:customStyle="1" w:styleId="apple-converted-space">
    <w:name w:val="apple-converted-space"/>
    <w:basedOn w:val="DefaultParagraphFont"/>
    <w:rsid w:val="00026D75"/>
  </w:style>
  <w:style w:type="character" w:customStyle="1" w:styleId="NormalaftertitleChar">
    <w:name w:val="Normal_after_title Char"/>
    <w:basedOn w:val="DefaultParagraphFont"/>
    <w:link w:val="Normalaftertitle"/>
    <w:locked/>
    <w:rsid w:val="00026D75"/>
    <w:rPr>
      <w:sz w:val="24"/>
      <w:szCs w:val="22"/>
      <w:lang w:val="en-US" w:eastAsia="en-US"/>
    </w:rPr>
  </w:style>
  <w:style w:type="character" w:customStyle="1" w:styleId="CallChar">
    <w:name w:val="Call Char"/>
    <w:basedOn w:val="DefaultParagraphFont"/>
    <w:link w:val="Call"/>
    <w:locked/>
    <w:rsid w:val="00026D75"/>
    <w:rPr>
      <w:i/>
      <w:sz w:val="24"/>
      <w:szCs w:val="22"/>
      <w:lang w:val="en-US" w:eastAsia="en-US"/>
    </w:rPr>
  </w:style>
  <w:style w:type="character" w:customStyle="1" w:styleId="HeadingbChar">
    <w:name w:val="Heading_b Char"/>
    <w:link w:val="Headingb"/>
    <w:locked/>
    <w:rsid w:val="00026D75"/>
    <w:rPr>
      <w:b/>
      <w:sz w:val="24"/>
      <w:szCs w:val="22"/>
      <w:lang w:val="en-US" w:eastAsia="en-US"/>
    </w:rPr>
  </w:style>
  <w:style w:type="character" w:customStyle="1" w:styleId="RestitleChar">
    <w:name w:val="Res_title Char"/>
    <w:basedOn w:val="DefaultParagraphFont"/>
    <w:link w:val="Restitle"/>
    <w:locked/>
    <w:rsid w:val="00026D75"/>
    <w:rPr>
      <w:b/>
      <w:sz w:val="28"/>
      <w:szCs w:val="22"/>
      <w:lang w:val="en-US" w:eastAsia="en-US"/>
    </w:rPr>
  </w:style>
  <w:style w:type="paragraph" w:styleId="EndnoteText">
    <w:name w:val="endnote text"/>
    <w:basedOn w:val="Normal"/>
    <w:link w:val="EndnoteTextChar"/>
    <w:uiPriority w:val="99"/>
    <w:unhideWhenUsed/>
    <w:rsid w:val="00026D75"/>
    <w:pPr>
      <w:spacing w:before="0" w:line="240" w:lineRule="auto"/>
      <w:jc w:val="left"/>
      <w:textAlignment w:val="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026D75"/>
    <w:rPr>
      <w:rFonts w:ascii="Times New Roman" w:hAnsi="Times New Roman" w:cs="Times New Roman"/>
      <w:lang w:val="en-GB" w:eastAsia="en-US"/>
    </w:rPr>
  </w:style>
  <w:style w:type="paragraph" w:styleId="Title">
    <w:name w:val="Title"/>
    <w:basedOn w:val="Normal"/>
    <w:next w:val="Normal"/>
    <w:link w:val="TitleChar"/>
    <w:qFormat/>
    <w:rsid w:val="00026D75"/>
    <w:pPr>
      <w:pBdr>
        <w:bottom w:val="single" w:sz="8" w:space="4" w:color="4F81BD" w:themeColor="accent1"/>
      </w:pBdr>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026D75"/>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026D75"/>
    <w:pPr>
      <w:spacing w:before="120" w:line="240" w:lineRule="auto"/>
      <w:jc w:val="left"/>
      <w:textAlignment w:val="auto"/>
    </w:pPr>
    <w:rPr>
      <w:rFonts w:ascii="Times New Roman" w:hAnsi="Times New Roman" w:cs="Times New Roman"/>
      <w:b/>
      <w:bCs/>
      <w:i/>
      <w:iCs/>
      <w:szCs w:val="24"/>
      <w:lang w:val="en-GB"/>
    </w:rPr>
  </w:style>
  <w:style w:type="character" w:customStyle="1" w:styleId="BodyTextChar">
    <w:name w:val="Body Text Char"/>
    <w:basedOn w:val="DefaultParagraphFont"/>
    <w:link w:val="BodyText"/>
    <w:rsid w:val="00026D75"/>
    <w:rPr>
      <w:rFonts w:ascii="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026D75"/>
    <w:pPr>
      <w:spacing w:before="120" w:after="120" w:line="240" w:lineRule="auto"/>
      <w:ind w:left="360"/>
      <w:jc w:val="left"/>
      <w:textAlignment w:val="auto"/>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026D75"/>
    <w:rPr>
      <w:rFonts w:ascii="Times New Roman" w:hAnsi="Times New Roman" w:cs="Times New Roman"/>
      <w:sz w:val="24"/>
      <w:lang w:val="en-GB" w:eastAsia="en-US"/>
    </w:rPr>
  </w:style>
  <w:style w:type="paragraph" w:styleId="Subtitle">
    <w:name w:val="Subtitle"/>
    <w:basedOn w:val="Normal"/>
    <w:next w:val="Normal"/>
    <w:link w:val="SubtitleChar"/>
    <w:uiPriority w:val="11"/>
    <w:qFormat/>
    <w:rsid w:val="00026D75"/>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026D75"/>
    <w:rPr>
      <w:rFonts w:ascii="Cambria" w:eastAsia="SimSun" w:hAnsi="Cambria" w:cs="Times New Roman"/>
      <w:i/>
      <w:iCs/>
      <w:color w:val="4F81BD"/>
      <w:spacing w:val="15"/>
      <w:sz w:val="24"/>
      <w:szCs w:val="24"/>
      <w:lang w:val="en-US"/>
    </w:rPr>
  </w:style>
  <w:style w:type="paragraph" w:styleId="Revision">
    <w:name w:val="Revision"/>
    <w:uiPriority w:val="99"/>
    <w:semiHidden/>
    <w:rsid w:val="00026D75"/>
    <w:rPr>
      <w:rFonts w:ascii="Times New Roman" w:hAnsi="Times New Roman" w:cs="Times New Roman"/>
      <w:sz w:val="24"/>
      <w:lang w:val="en-GB" w:eastAsia="en-US"/>
    </w:rPr>
  </w:style>
  <w:style w:type="paragraph" w:styleId="CommentSubject">
    <w:name w:val="annotation subject"/>
    <w:basedOn w:val="CommentText"/>
    <w:next w:val="CommentText"/>
    <w:link w:val="CommentSubjectChar"/>
    <w:semiHidden/>
    <w:unhideWhenUsed/>
    <w:rsid w:val="00026D75"/>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026D75"/>
    <w:rPr>
      <w:rFonts w:ascii="Times New Roman" w:hAnsi="Times New Roman" w:cs="Times New Roman"/>
      <w:b/>
      <w:bCs/>
      <w:szCs w:val="22"/>
      <w:lang w:val="en-GB" w:eastAsia="en-US"/>
    </w:rPr>
  </w:style>
  <w:style w:type="table" w:customStyle="1" w:styleId="TableGrid1">
    <w:name w:val="Table Grid1"/>
    <w:basedOn w:val="TableNormal"/>
    <w:next w:val="TableGrid"/>
    <w:rsid w:val="00026D7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026D75"/>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26D75"/>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26D75"/>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image" Target="media/image1.emf"/><Relationship Id="rId18" Type="http://schemas.openxmlformats.org/officeDocument/2006/relationships/header" Target="header5.xml"/><Relationship Id="rId26" Type="http://schemas.openxmlformats.org/officeDocument/2006/relationships/hyperlink" Target="http://www.itu.int/en/events/Pages/Calendar-Events.aspx?sector=ITU-R"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brrag@itu.int" TargetMode="External"/><Relationship Id="rId34" Type="http://schemas.openxmlformats.org/officeDocument/2006/relationships/hyperlink" Target="http://www.itu.int/oth/T0404000005/en" TargetMode="External"/><Relationship Id="rId42" Type="http://schemas.openxmlformats.org/officeDocument/2006/relationships/chart" Target="charts/chart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www.itu.int/oth/T0404000004/en" TargetMode="External"/><Relationship Id="rId38" Type="http://schemas.openxmlformats.org/officeDocument/2006/relationships/header" Target="header1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alexandre.vallet@anfr.fr" TargetMode="External"/><Relationship Id="rId29" Type="http://schemas.openxmlformats.org/officeDocument/2006/relationships/hyperlink" Target="http://www.itu.int/online/mm/scripts/notify" TargetMode="External"/><Relationship Id="rId41" Type="http://schemas.openxmlformats.org/officeDocument/2006/relationships/package" Target="embeddings/Microsoft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yperlink" Target="http://www.itu.int/net/ITU-R/index.asp?redirect=true&amp;category=study-groups&amp;rlink=patents&amp;lang=es" TargetMode="External"/><Relationship Id="rId37" Type="http://schemas.openxmlformats.org/officeDocument/2006/relationships/footer" Target="footer6.xml"/><Relationship Id="rId40" Type="http://schemas.openxmlformats.org/officeDocument/2006/relationships/image" Target="media/image4.emf"/><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yperlink" Target="http://www.itu.int/ITU-R/go/delegate-reg-info/en" TargetMode="Externa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www.itu.int/en/ITU-R/study-groups/Pages/extcoop.aspx"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s://www.itu.int/md/R16-RAG16-C-0005/en" TargetMode="External"/><Relationship Id="rId27" Type="http://schemas.openxmlformats.org/officeDocument/2006/relationships/hyperlink" Target="http://www.itu.int/en/ITU-R/information/events" TargetMode="External"/><Relationship Id="rId30" Type="http://schemas.openxmlformats.org/officeDocument/2006/relationships/hyperlink" Target="http://www.itu.int/pub/R-RES" TargetMode="External"/><Relationship Id="rId35" Type="http://schemas.openxmlformats.org/officeDocument/2006/relationships/header" Target="header8.xml"/><Relationship Id="rId43" Type="http://schemas.openxmlformats.org/officeDocument/2006/relationships/header" Target="header1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a:t>
            </a:r>
            <a:r>
              <a:rPr lang="en-US" sz="1400" b="0" baseline="0">
                <a:solidFill>
                  <a:schemeClr val="accent1"/>
                </a:solidFill>
                <a:latin typeface="+mj-lt"/>
              </a:rPr>
              <a:t> de recursos planificada por Objetivo</a:t>
            </a:r>
            <a:endParaRPr lang="en-US" sz="1400" b="0">
              <a:solidFill>
                <a:schemeClr val="accent1"/>
              </a:solidFill>
              <a:latin typeface="+mj-lt"/>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446719160104985"/>
          <c:y val="0.48487168270632836"/>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0A82-91BD-4E60-AA3B-E482CE9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155</TotalTime>
  <Pages>43</Pages>
  <Words>13685</Words>
  <Characters>74681</Characters>
  <Application>Microsoft Office Word</Application>
  <DocSecurity>0</DocSecurity>
  <Lines>622</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88190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FHernández</cp:lastModifiedBy>
  <cp:revision>5</cp:revision>
  <cp:lastPrinted>2016-06-21T13:38:00Z</cp:lastPrinted>
  <dcterms:created xsi:type="dcterms:W3CDTF">2016-06-21T09:10:00Z</dcterms:created>
  <dcterms:modified xsi:type="dcterms:W3CDTF">2016-06-21T13:56:00Z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