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F30D2D">
        <w:tc>
          <w:tcPr>
            <w:tcW w:w="9039" w:type="dxa"/>
            <w:vAlign w:val="center"/>
          </w:tcPr>
          <w:p w:rsidR="00F96264" w:rsidRPr="00F30D2D" w:rsidRDefault="00F96264" w:rsidP="00F96264">
            <w:pPr>
              <w:spacing w:before="0"/>
              <w:rPr>
                <w:lang w:val="es-ES"/>
              </w:rPr>
            </w:pPr>
            <w:r w:rsidRPr="00F30D2D">
              <w:rPr>
                <w:rFonts w:ascii="Futura Lt BT" w:hAnsi="Futura Lt BT"/>
                <w:spacing w:val="5"/>
                <w:sz w:val="44"/>
                <w:lang w:val="es-ES"/>
              </w:rPr>
              <w:t>U</w:t>
            </w:r>
            <w:r w:rsidRPr="00F30D2D">
              <w:rPr>
                <w:rFonts w:ascii="Futura Lt BT" w:hAnsi="Futura Lt BT"/>
                <w:spacing w:val="5"/>
                <w:sz w:val="34"/>
                <w:szCs w:val="34"/>
                <w:lang w:val="es-ES"/>
              </w:rPr>
              <w:t>NIÓN</w:t>
            </w:r>
            <w:r w:rsidRPr="00F30D2D">
              <w:rPr>
                <w:rFonts w:ascii="Futura Lt BT" w:hAnsi="Futura Lt BT"/>
                <w:spacing w:val="5"/>
                <w:sz w:val="36"/>
                <w:lang w:val="es-ES"/>
              </w:rPr>
              <w:t xml:space="preserve"> </w:t>
            </w:r>
            <w:r w:rsidRPr="00F30D2D">
              <w:rPr>
                <w:rFonts w:ascii="Futura Lt BT" w:hAnsi="Futura Lt BT"/>
                <w:spacing w:val="5"/>
                <w:sz w:val="44"/>
                <w:lang w:val="es-ES"/>
              </w:rPr>
              <w:t>I</w:t>
            </w:r>
            <w:r w:rsidRPr="00F30D2D">
              <w:rPr>
                <w:rFonts w:ascii="Futura Lt BT" w:hAnsi="Futura Lt BT"/>
                <w:spacing w:val="5"/>
                <w:sz w:val="34"/>
                <w:szCs w:val="34"/>
                <w:lang w:val="es-ES"/>
              </w:rPr>
              <w:t>NTERNACIONAL DE</w:t>
            </w:r>
            <w:r w:rsidRPr="00F30D2D">
              <w:rPr>
                <w:rFonts w:ascii="Futura Lt BT" w:hAnsi="Futura Lt BT"/>
                <w:spacing w:val="5"/>
                <w:sz w:val="36"/>
                <w:lang w:val="es-ES"/>
              </w:rPr>
              <w:t xml:space="preserve"> </w:t>
            </w:r>
            <w:r w:rsidRPr="00F30D2D">
              <w:rPr>
                <w:rFonts w:ascii="Futura Lt BT" w:hAnsi="Futura Lt BT"/>
                <w:spacing w:val="5"/>
                <w:sz w:val="44"/>
                <w:lang w:val="es-ES"/>
              </w:rPr>
              <w:t>T</w:t>
            </w:r>
            <w:r w:rsidRPr="00F30D2D">
              <w:rPr>
                <w:rFonts w:ascii="Futura Lt BT" w:hAnsi="Futura Lt BT"/>
                <w:spacing w:val="5"/>
                <w:sz w:val="34"/>
                <w:szCs w:val="34"/>
                <w:lang w:val="es-ES"/>
              </w:rPr>
              <w:t>ELECOMUNICACIONES</w:t>
            </w:r>
          </w:p>
        </w:tc>
        <w:tc>
          <w:tcPr>
            <w:tcW w:w="1559" w:type="dxa"/>
          </w:tcPr>
          <w:p w:rsidR="00B040B1" w:rsidRPr="00F30D2D" w:rsidRDefault="005738B5" w:rsidP="00B040B1">
            <w:pPr>
              <w:rPr>
                <w:rFonts w:ascii="Futura Lt BT" w:hAnsi="Futura Lt BT"/>
                <w:sz w:val="34"/>
                <w:lang w:val="es-ES"/>
              </w:rPr>
            </w:pPr>
            <w:r w:rsidRPr="005738B5">
              <w:rPr>
                <w:noProof/>
                <w:sz w:val="34"/>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p w:rsidR="00F96264" w:rsidRPr="00F30D2D" w:rsidRDefault="00F96264" w:rsidP="00F96264">
            <w:pPr>
              <w:spacing w:before="0"/>
              <w:jc w:val="right"/>
              <w:rPr>
                <w:lang w:val="es-ES"/>
              </w:rPr>
            </w:pPr>
          </w:p>
        </w:tc>
      </w:tr>
    </w:tbl>
    <w:tbl>
      <w:tblPr>
        <w:tblW w:w="0" w:type="auto"/>
        <w:tblLayout w:type="fixed"/>
        <w:tblLook w:val="0000"/>
      </w:tblPr>
      <w:tblGrid>
        <w:gridCol w:w="5075"/>
      </w:tblGrid>
      <w:tr w:rsidR="00F96264" w:rsidRPr="00F30D2D">
        <w:trPr>
          <w:cantSplit/>
        </w:trPr>
        <w:tc>
          <w:tcPr>
            <w:tcW w:w="5075" w:type="dxa"/>
          </w:tcPr>
          <w:p w:rsidR="00F96264" w:rsidRPr="00F30D2D" w:rsidRDefault="00F96264" w:rsidP="00F96264">
            <w:pPr>
              <w:spacing w:before="0"/>
              <w:rPr>
                <w:i/>
                <w:smallCaps/>
                <w:sz w:val="28"/>
                <w:szCs w:val="28"/>
                <w:lang w:val="es-ES"/>
              </w:rPr>
            </w:pPr>
            <w:r w:rsidRPr="00F30D2D">
              <w:rPr>
                <w:i/>
                <w:sz w:val="28"/>
                <w:szCs w:val="28"/>
                <w:lang w:val="es-ES"/>
              </w:rPr>
              <w:t>Oficina de Radiocomunicaciones</w:t>
            </w:r>
          </w:p>
          <w:p w:rsidR="00F96264" w:rsidRPr="00F30D2D" w:rsidRDefault="00F96264" w:rsidP="00F96264">
            <w:pPr>
              <w:tabs>
                <w:tab w:val="clear" w:pos="794"/>
                <w:tab w:val="clear" w:pos="1191"/>
                <w:tab w:val="clear" w:pos="1588"/>
                <w:tab w:val="clear" w:pos="1985"/>
                <w:tab w:val="center" w:pos="1701"/>
              </w:tabs>
              <w:spacing w:before="0"/>
              <w:rPr>
                <w:b/>
                <w:smallCaps/>
                <w:sz w:val="18"/>
                <w:szCs w:val="18"/>
                <w:lang w:val="es-ES"/>
              </w:rPr>
            </w:pPr>
            <w:r w:rsidRPr="00F30D2D">
              <w:rPr>
                <w:i/>
                <w:sz w:val="18"/>
                <w:szCs w:val="18"/>
                <w:lang w:val="es-ES"/>
              </w:rPr>
              <w:tab/>
              <w:t>(N° de Fax directo +41 22 730 57 85)</w:t>
            </w:r>
          </w:p>
        </w:tc>
      </w:tr>
    </w:tbl>
    <w:p w:rsidR="00F96264" w:rsidRPr="00F30D2D" w:rsidRDefault="00F96264" w:rsidP="00F96264">
      <w:pPr>
        <w:tabs>
          <w:tab w:val="left" w:pos="7513"/>
        </w:tabs>
        <w:rPr>
          <w:lang w:val="es-ES"/>
        </w:rPr>
      </w:pPr>
    </w:p>
    <w:tbl>
      <w:tblPr>
        <w:tblW w:w="10020" w:type="dxa"/>
        <w:tblLayout w:type="fixed"/>
        <w:tblLook w:val="0000"/>
      </w:tblPr>
      <w:tblGrid>
        <w:gridCol w:w="2943"/>
        <w:gridCol w:w="7077"/>
      </w:tblGrid>
      <w:tr w:rsidR="00F96264" w:rsidRPr="00F30D2D" w:rsidTr="00457EA5">
        <w:trPr>
          <w:cantSplit/>
        </w:trPr>
        <w:tc>
          <w:tcPr>
            <w:tcW w:w="2943" w:type="dxa"/>
          </w:tcPr>
          <w:p w:rsidR="00F96264" w:rsidRPr="00457EA5" w:rsidRDefault="00D13543" w:rsidP="00F96264">
            <w:pPr>
              <w:tabs>
                <w:tab w:val="left" w:pos="7513"/>
              </w:tabs>
              <w:jc w:val="center"/>
              <w:rPr>
                <w:b/>
                <w:bCs/>
                <w:lang w:val="es-ES"/>
              </w:rPr>
            </w:pPr>
            <w:bookmarkStart w:id="0" w:name="dletter"/>
            <w:bookmarkEnd w:id="0"/>
            <w:r w:rsidRPr="00457EA5">
              <w:rPr>
                <w:b/>
                <w:bCs/>
                <w:lang w:val="es-ES"/>
              </w:rPr>
              <w:t>Circular Administrativa</w:t>
            </w:r>
          </w:p>
          <w:p w:rsidR="00F96264" w:rsidRPr="00D60F4A" w:rsidRDefault="00450E7A" w:rsidP="00F96264">
            <w:pPr>
              <w:tabs>
                <w:tab w:val="clear" w:pos="794"/>
                <w:tab w:val="clear" w:pos="1191"/>
              </w:tabs>
              <w:spacing w:before="0"/>
              <w:jc w:val="center"/>
              <w:rPr>
                <w:b/>
                <w:bCs/>
                <w:lang w:val="es-ES"/>
              </w:rPr>
            </w:pPr>
            <w:bookmarkStart w:id="1" w:name="dnum"/>
            <w:bookmarkEnd w:id="1"/>
            <w:r w:rsidRPr="00D60F4A">
              <w:rPr>
                <w:b/>
                <w:bCs/>
                <w:lang w:val="es-ES"/>
              </w:rPr>
              <w:t>CA/1</w:t>
            </w:r>
            <w:r w:rsidR="00A21FEF" w:rsidRPr="00D60F4A">
              <w:rPr>
                <w:b/>
                <w:bCs/>
                <w:lang w:val="es-ES"/>
              </w:rPr>
              <w:t>9</w:t>
            </w:r>
            <w:r w:rsidRPr="00D60F4A">
              <w:rPr>
                <w:b/>
                <w:bCs/>
                <w:lang w:val="es-ES"/>
              </w:rPr>
              <w:t>1</w:t>
            </w:r>
          </w:p>
        </w:tc>
        <w:tc>
          <w:tcPr>
            <w:tcW w:w="7077" w:type="dxa"/>
          </w:tcPr>
          <w:p w:rsidR="00F96264" w:rsidRPr="00F30D2D" w:rsidRDefault="00A07290" w:rsidP="00F715EA">
            <w:pPr>
              <w:tabs>
                <w:tab w:val="left" w:pos="7513"/>
              </w:tabs>
              <w:jc w:val="right"/>
              <w:rPr>
                <w:bCs/>
                <w:lang w:val="es-ES"/>
              </w:rPr>
            </w:pPr>
            <w:bookmarkStart w:id="2" w:name="ddate"/>
            <w:bookmarkEnd w:id="2"/>
            <w:r>
              <w:rPr>
                <w:bCs/>
                <w:lang w:val="es-ES"/>
              </w:rPr>
              <w:t>1</w:t>
            </w:r>
            <w:r w:rsidR="00D13543" w:rsidRPr="00F30D2D">
              <w:rPr>
                <w:bCs/>
                <w:lang w:val="es-ES"/>
              </w:rPr>
              <w:t xml:space="preserve"> de </w:t>
            </w:r>
            <w:r w:rsidR="00F715EA">
              <w:rPr>
                <w:bCs/>
                <w:lang w:val="es-ES"/>
              </w:rPr>
              <w:t>junio</w:t>
            </w:r>
            <w:r w:rsidR="00450E7A" w:rsidRPr="00F30D2D">
              <w:rPr>
                <w:bCs/>
                <w:lang w:val="es-ES"/>
              </w:rPr>
              <w:t xml:space="preserve"> </w:t>
            </w:r>
            <w:r w:rsidR="00D13543" w:rsidRPr="00F30D2D">
              <w:rPr>
                <w:bCs/>
                <w:lang w:val="es-ES"/>
              </w:rPr>
              <w:t>de 20</w:t>
            </w:r>
            <w:r w:rsidR="00450E7A" w:rsidRPr="00F30D2D">
              <w:rPr>
                <w:bCs/>
                <w:lang w:val="es-ES"/>
              </w:rPr>
              <w:t>1</w:t>
            </w:r>
            <w:r w:rsidR="00D13543" w:rsidRPr="00F30D2D">
              <w:rPr>
                <w:bCs/>
                <w:lang w:val="es-ES"/>
              </w:rPr>
              <w:t>0</w:t>
            </w:r>
          </w:p>
        </w:tc>
      </w:tr>
    </w:tbl>
    <w:p w:rsidR="00D13543" w:rsidRPr="00F30D2D" w:rsidRDefault="00D13543" w:rsidP="005738B5">
      <w:pPr>
        <w:tabs>
          <w:tab w:val="left" w:pos="7513"/>
        </w:tabs>
        <w:spacing w:before="360"/>
        <w:jc w:val="center"/>
        <w:rPr>
          <w:b/>
          <w:bCs/>
          <w:lang w:val="es-ES"/>
        </w:rPr>
      </w:pPr>
      <w:r w:rsidRPr="00F30D2D">
        <w:rPr>
          <w:b/>
          <w:lang w:val="es-ES"/>
        </w:rPr>
        <w:t>A las Administraciones de los Estados Miembros de la UIT</w:t>
      </w:r>
      <w:r w:rsidRPr="00F30D2D">
        <w:rPr>
          <w:b/>
          <w:bCs/>
          <w:lang w:val="es-ES"/>
        </w:rPr>
        <w:br/>
      </w:r>
      <w:r w:rsidRPr="00F30D2D">
        <w:rPr>
          <w:b/>
          <w:lang w:val="es-ES"/>
        </w:rPr>
        <w:t xml:space="preserve">y </w:t>
      </w:r>
      <w:r w:rsidR="005738B5">
        <w:rPr>
          <w:b/>
          <w:lang w:val="es-ES"/>
        </w:rPr>
        <w:t xml:space="preserve">a los </w:t>
      </w:r>
      <w:r w:rsidRPr="00F30D2D">
        <w:rPr>
          <w:b/>
          <w:lang w:val="es-ES"/>
        </w:rPr>
        <w:t>Miembros del Sector de Radiocomunicaciones</w:t>
      </w:r>
    </w:p>
    <w:p w:rsidR="00D13543" w:rsidRPr="00F30D2D" w:rsidRDefault="00D13543" w:rsidP="00457EA5">
      <w:pPr>
        <w:tabs>
          <w:tab w:val="clear" w:pos="794"/>
          <w:tab w:val="clear" w:pos="1191"/>
          <w:tab w:val="clear" w:pos="1588"/>
          <w:tab w:val="clear" w:pos="1985"/>
        </w:tabs>
        <w:spacing w:before="480"/>
        <w:ind w:left="1134" w:hanging="1134"/>
        <w:rPr>
          <w:lang w:val="es-ES"/>
        </w:rPr>
      </w:pPr>
      <w:r w:rsidRPr="00F30D2D">
        <w:rPr>
          <w:b/>
          <w:lang w:val="es-ES"/>
        </w:rPr>
        <w:t>Asunto</w:t>
      </w:r>
      <w:r w:rsidRPr="00F30D2D">
        <w:rPr>
          <w:lang w:val="es-ES"/>
        </w:rPr>
        <w:t>:</w:t>
      </w:r>
      <w:r w:rsidRPr="00F30D2D">
        <w:rPr>
          <w:lang w:val="es-ES"/>
        </w:rPr>
        <w:tab/>
      </w:r>
      <w:r w:rsidR="00450E7A" w:rsidRPr="00F30D2D">
        <w:rPr>
          <w:lang w:val="es-ES"/>
        </w:rPr>
        <w:t>Segunda</w:t>
      </w:r>
      <w:r w:rsidR="00A21FEF" w:rsidRPr="00F30D2D">
        <w:rPr>
          <w:lang w:val="es-ES"/>
        </w:rPr>
        <w:t xml:space="preserve"> sesión de la Reunión Preparatoria de la Conferencia </w:t>
      </w:r>
      <w:r w:rsidR="00450E7A" w:rsidRPr="00F30D2D">
        <w:rPr>
          <w:lang w:val="es-ES"/>
        </w:rPr>
        <w:t>de 2011</w:t>
      </w:r>
      <w:r w:rsidR="00360592">
        <w:rPr>
          <w:lang w:val="es-ES"/>
        </w:rPr>
        <w:br/>
      </w:r>
      <w:r w:rsidR="00A21FEF" w:rsidRPr="00F30D2D">
        <w:rPr>
          <w:lang w:val="es-ES"/>
        </w:rPr>
        <w:t>(RPC11</w:t>
      </w:r>
      <w:r w:rsidR="00A21FEF" w:rsidRPr="00F30D2D">
        <w:rPr>
          <w:lang w:val="es-ES"/>
        </w:rPr>
        <w:noBreakHyphen/>
      </w:r>
      <w:r w:rsidR="00450E7A" w:rsidRPr="00F30D2D">
        <w:rPr>
          <w:lang w:val="es-ES"/>
        </w:rPr>
        <w:t>2, Ginebra</w:t>
      </w:r>
      <w:r w:rsidR="005738B5">
        <w:rPr>
          <w:lang w:val="es-ES"/>
        </w:rPr>
        <w:t>,</w:t>
      </w:r>
      <w:r w:rsidR="00450E7A" w:rsidRPr="00F30D2D">
        <w:rPr>
          <w:lang w:val="es-ES"/>
        </w:rPr>
        <w:t xml:space="preserve"> del 14 al 25 de febrero de 2011</w:t>
      </w:r>
      <w:r w:rsidR="00A21FEF" w:rsidRPr="00F30D2D">
        <w:rPr>
          <w:lang w:val="es-ES"/>
        </w:rPr>
        <w:t>) par</w:t>
      </w:r>
      <w:r w:rsidR="000A2B3E">
        <w:rPr>
          <w:lang w:val="es-ES"/>
        </w:rPr>
        <w:t xml:space="preserve">a </w:t>
      </w:r>
      <w:r w:rsidR="00450E7A" w:rsidRPr="00F30D2D">
        <w:rPr>
          <w:lang w:val="es-ES"/>
        </w:rPr>
        <w:t xml:space="preserve">la preparación del Informe de la RPC a </w:t>
      </w:r>
      <w:r w:rsidR="00A21FEF" w:rsidRPr="00F30D2D">
        <w:rPr>
          <w:lang w:val="es-ES"/>
        </w:rPr>
        <w:t>la Conferencia Mundial de Radiocomunicaciones de 201</w:t>
      </w:r>
      <w:r w:rsidR="00411C25">
        <w:rPr>
          <w:lang w:val="es-ES"/>
        </w:rPr>
        <w:t>2 (CMR</w:t>
      </w:r>
      <w:r w:rsidR="00411C25">
        <w:rPr>
          <w:lang w:val="es-ES"/>
        </w:rPr>
        <w:noBreakHyphen/>
        <w:t>12)</w:t>
      </w:r>
      <w:r w:rsidR="00A21FEF" w:rsidRPr="00F30D2D">
        <w:rPr>
          <w:lang w:val="es-ES"/>
        </w:rPr>
        <w:t xml:space="preserve">, </w:t>
      </w:r>
      <w:r w:rsidR="005738B5">
        <w:rPr>
          <w:lang w:val="es-ES"/>
        </w:rPr>
        <w:t>y la </w:t>
      </w:r>
      <w:r w:rsidR="000A2B3E">
        <w:rPr>
          <w:lang w:val="es-ES"/>
        </w:rPr>
        <w:t>organización</w:t>
      </w:r>
      <w:r w:rsidR="00A21FEF" w:rsidRPr="00F30D2D">
        <w:rPr>
          <w:lang w:val="es-ES"/>
        </w:rPr>
        <w:t xml:space="preserve"> los estudios preparatorios para la </w:t>
      </w:r>
      <w:r w:rsidR="00450E7A" w:rsidRPr="00F30D2D">
        <w:rPr>
          <w:lang w:val="es-ES"/>
        </w:rPr>
        <w:t xml:space="preserve">siguiente Conferencia </w:t>
      </w:r>
    </w:p>
    <w:p w:rsidR="00D13543" w:rsidRPr="00F30D2D" w:rsidRDefault="00D13543" w:rsidP="00D13543">
      <w:pPr>
        <w:rPr>
          <w:b/>
          <w:bCs/>
          <w:szCs w:val="24"/>
          <w:lang w:val="es-ES"/>
        </w:rPr>
      </w:pPr>
    </w:p>
    <w:p w:rsidR="00A21FEF" w:rsidRPr="00F30D2D" w:rsidRDefault="00E41DFF" w:rsidP="00A21FEF">
      <w:pPr>
        <w:pStyle w:val="Headingb"/>
        <w:rPr>
          <w:lang w:val="es-ES"/>
        </w:rPr>
      </w:pPr>
      <w:r w:rsidRPr="00F30D2D">
        <w:rPr>
          <w:lang w:val="es-ES"/>
        </w:rPr>
        <w:t>1</w:t>
      </w:r>
      <w:r w:rsidRPr="00F30D2D">
        <w:rPr>
          <w:lang w:val="es-ES"/>
        </w:rPr>
        <w:tab/>
      </w:r>
      <w:r w:rsidR="00A21FEF" w:rsidRPr="00F30D2D">
        <w:rPr>
          <w:lang w:val="es-ES"/>
        </w:rPr>
        <w:t>Introducción</w:t>
      </w:r>
    </w:p>
    <w:p w:rsidR="00E41DFF" w:rsidRPr="00F30D2D" w:rsidRDefault="00E41DFF" w:rsidP="00E41DFF">
      <w:pPr>
        <w:rPr>
          <w:color w:val="000000"/>
          <w:lang w:val="es-ES"/>
        </w:rPr>
      </w:pPr>
      <w:r w:rsidRPr="00F30D2D">
        <w:rPr>
          <w:lang w:val="es-ES"/>
        </w:rPr>
        <w:t>1.1</w:t>
      </w:r>
      <w:r w:rsidRPr="00F30D2D">
        <w:rPr>
          <w:lang w:val="es-ES"/>
        </w:rPr>
        <w:tab/>
        <w:t xml:space="preserve">En su Resolución 805, la Conferencia Mundial de Radiocomunicaciones de 2007 resolvió </w:t>
      </w:r>
      <w:r w:rsidRPr="00F30D2D">
        <w:rPr>
          <w:color w:val="000000"/>
          <w:lang w:val="es-ES"/>
        </w:rPr>
        <w:t xml:space="preserve">poner en funcionamiento la Reunión Preparatoria de la Conferencia </w:t>
      </w:r>
      <w:r w:rsidR="00784935">
        <w:rPr>
          <w:color w:val="000000"/>
          <w:lang w:val="es-ES"/>
        </w:rPr>
        <w:t xml:space="preserve">(RPC) </w:t>
      </w:r>
      <w:r w:rsidRPr="00F30D2D">
        <w:rPr>
          <w:color w:val="000000"/>
          <w:lang w:val="es-ES"/>
        </w:rPr>
        <w:t xml:space="preserve">y la Comisión Especial sobre </w:t>
      </w:r>
      <w:r w:rsidR="00FA6921" w:rsidRPr="00F30D2D">
        <w:rPr>
          <w:color w:val="000000"/>
          <w:lang w:val="es-ES"/>
        </w:rPr>
        <w:t>Asuntos Reglamentarios</w:t>
      </w:r>
      <w:r w:rsidRPr="00F30D2D">
        <w:rPr>
          <w:color w:val="000000"/>
          <w:lang w:val="es-ES"/>
        </w:rPr>
        <w:t xml:space="preserve"> y de </w:t>
      </w:r>
      <w:r w:rsidR="00FA6921" w:rsidRPr="00F30D2D">
        <w:rPr>
          <w:color w:val="000000"/>
          <w:lang w:val="es-ES"/>
        </w:rPr>
        <w:t>P</w:t>
      </w:r>
      <w:r w:rsidRPr="00F30D2D">
        <w:rPr>
          <w:color w:val="000000"/>
          <w:lang w:val="es-ES"/>
        </w:rPr>
        <w:t>rocedimiento.</w:t>
      </w:r>
    </w:p>
    <w:p w:rsidR="00E41DFF" w:rsidRPr="00F30D2D" w:rsidRDefault="00E41DFF" w:rsidP="00E41DFF">
      <w:pPr>
        <w:rPr>
          <w:lang w:val="es-ES"/>
        </w:rPr>
      </w:pPr>
      <w:r w:rsidRPr="00F30D2D">
        <w:rPr>
          <w:lang w:val="es-ES"/>
        </w:rPr>
        <w:t>1.2</w:t>
      </w:r>
      <w:r w:rsidRPr="00F30D2D">
        <w:rPr>
          <w:lang w:val="es-ES"/>
        </w:rPr>
        <w:tab/>
        <w:t>Los principios que rigen las RPC, su cometido y métodos de trabajo fueron aprobados por la Asamblea de Radiocomunicaciones de 2007 en su Resolución UIT-R 2-5.</w:t>
      </w:r>
    </w:p>
    <w:p w:rsidR="00E41DFF" w:rsidRPr="00F30D2D" w:rsidRDefault="00E41DFF" w:rsidP="00701265">
      <w:pPr>
        <w:rPr>
          <w:lang w:val="es-ES"/>
        </w:rPr>
      </w:pPr>
      <w:r w:rsidRPr="00F30D2D">
        <w:rPr>
          <w:lang w:val="es-ES"/>
        </w:rPr>
        <w:t>1.3</w:t>
      </w:r>
      <w:r w:rsidRPr="00F30D2D">
        <w:rPr>
          <w:lang w:val="es-ES"/>
        </w:rPr>
        <w:tab/>
        <w:t>En la Circular Administrativa CA/171, de</w:t>
      </w:r>
      <w:r w:rsidR="005738B5">
        <w:rPr>
          <w:lang w:val="es-ES"/>
        </w:rPr>
        <w:t>l</w:t>
      </w:r>
      <w:r w:rsidRPr="00F30D2D">
        <w:rPr>
          <w:lang w:val="es-ES"/>
        </w:rPr>
        <w:t xml:space="preserve"> 20 de diciembre de 2007, se informó acerca de los resultados de la primera sesión de la Reunión Preparatoria de la Conferencia para la CMR-1</w:t>
      </w:r>
      <w:r w:rsidR="00701265">
        <w:rPr>
          <w:lang w:val="es-ES"/>
        </w:rPr>
        <w:t>2</w:t>
      </w:r>
      <w:r w:rsidRPr="00F30D2D">
        <w:rPr>
          <w:lang w:val="es-ES"/>
        </w:rPr>
        <w:t xml:space="preserve"> (RPC11</w:t>
      </w:r>
      <w:r w:rsidRPr="00F30D2D">
        <w:rPr>
          <w:lang w:val="es-ES"/>
        </w:rPr>
        <w:noBreakHyphen/>
        <w:t>1, Ginebra, 19 y 20 de noviembre de 2007)</w:t>
      </w:r>
      <w:r w:rsidR="00F30D2D">
        <w:rPr>
          <w:lang w:val="es-ES"/>
        </w:rPr>
        <w:t>. En el Addé</w:t>
      </w:r>
      <w:r w:rsidRPr="00F30D2D">
        <w:rPr>
          <w:lang w:val="es-ES"/>
        </w:rPr>
        <w:t xml:space="preserve">ndum 1 a la CA/171 se proporcionó información adicional, en particular las fechas para concluir la labor emprendida por los </w:t>
      </w:r>
      <w:r w:rsidR="00701265" w:rsidRPr="00F30D2D">
        <w:rPr>
          <w:lang w:val="es-ES"/>
        </w:rPr>
        <w:t>G</w:t>
      </w:r>
      <w:r w:rsidRPr="00F30D2D">
        <w:rPr>
          <w:lang w:val="es-ES"/>
        </w:rPr>
        <w:t xml:space="preserve">rupos </w:t>
      </w:r>
      <w:r w:rsidR="003B02E4" w:rsidRPr="00F30D2D">
        <w:rPr>
          <w:lang w:val="es-ES"/>
        </w:rPr>
        <w:t xml:space="preserve">de las Comisiones de Estudio </w:t>
      </w:r>
      <w:r w:rsidR="00784935">
        <w:rPr>
          <w:lang w:val="es-ES"/>
        </w:rPr>
        <w:t>encargados</w:t>
      </w:r>
      <w:r w:rsidRPr="00F30D2D">
        <w:rPr>
          <w:lang w:val="es-ES"/>
        </w:rPr>
        <w:t xml:space="preserve"> y la estructura y preparación de las contribuciones para el proyecto de Informe de la RPC a la CMR-12.</w:t>
      </w:r>
    </w:p>
    <w:p w:rsidR="00A21FEF" w:rsidRPr="00F30D2D" w:rsidRDefault="00E41DFF" w:rsidP="00A21FEF">
      <w:pPr>
        <w:pStyle w:val="Headingb"/>
        <w:rPr>
          <w:lang w:val="es-ES"/>
        </w:rPr>
      </w:pPr>
      <w:r w:rsidRPr="00F30D2D">
        <w:rPr>
          <w:lang w:val="es-ES"/>
        </w:rPr>
        <w:t>2</w:t>
      </w:r>
      <w:r w:rsidRPr="00F30D2D">
        <w:rPr>
          <w:lang w:val="es-ES"/>
        </w:rPr>
        <w:tab/>
      </w:r>
      <w:r w:rsidR="00A21FEF" w:rsidRPr="00F30D2D">
        <w:rPr>
          <w:lang w:val="es-ES"/>
        </w:rPr>
        <w:t>Fecha y lugar de la reunión</w:t>
      </w:r>
    </w:p>
    <w:p w:rsidR="00A21FEF" w:rsidRPr="00F30D2D" w:rsidRDefault="00A21FEF" w:rsidP="00701265">
      <w:pPr>
        <w:rPr>
          <w:lang w:val="es-ES"/>
        </w:rPr>
      </w:pPr>
      <w:r w:rsidRPr="00F30D2D">
        <w:rPr>
          <w:lang w:val="es-ES"/>
        </w:rPr>
        <w:t xml:space="preserve">La </w:t>
      </w:r>
      <w:r w:rsidR="00E1593A" w:rsidRPr="00F30D2D">
        <w:rPr>
          <w:lang w:val="es-ES"/>
        </w:rPr>
        <w:t xml:space="preserve">segunda </w:t>
      </w:r>
      <w:r w:rsidRPr="00F30D2D">
        <w:rPr>
          <w:lang w:val="es-ES"/>
        </w:rPr>
        <w:t xml:space="preserve">sesión de la </w:t>
      </w:r>
      <w:r w:rsidR="004D3FBA" w:rsidRPr="00F30D2D">
        <w:rPr>
          <w:lang w:val="es-ES"/>
        </w:rPr>
        <w:t>Reunión Preparatoria de la Conferencia de 2011 (RPC11</w:t>
      </w:r>
      <w:r w:rsidR="004D3FBA" w:rsidRPr="00F30D2D">
        <w:rPr>
          <w:lang w:val="es-ES"/>
        </w:rPr>
        <w:noBreakHyphen/>
        <w:t xml:space="preserve">2) </w:t>
      </w:r>
      <w:r w:rsidRPr="00F30D2D">
        <w:rPr>
          <w:lang w:val="es-ES"/>
        </w:rPr>
        <w:t>se celebrará en</w:t>
      </w:r>
      <w:r w:rsidR="00701265">
        <w:rPr>
          <w:lang w:val="es-ES"/>
        </w:rPr>
        <w:t> </w:t>
      </w:r>
      <w:r w:rsidR="004D3FBA" w:rsidRPr="00F30D2D">
        <w:rPr>
          <w:lang w:val="es-ES"/>
        </w:rPr>
        <w:t xml:space="preserve">el Centro Internacional de Conferencias de </w:t>
      </w:r>
      <w:r w:rsidRPr="00F30D2D">
        <w:rPr>
          <w:lang w:val="es-ES"/>
        </w:rPr>
        <w:t xml:space="preserve">Ginebra </w:t>
      </w:r>
      <w:r w:rsidR="004D3FBA" w:rsidRPr="00F30D2D">
        <w:rPr>
          <w:lang w:val="es-ES"/>
        </w:rPr>
        <w:t>(CICG), en la Sede de la Unión, del 14</w:t>
      </w:r>
      <w:r w:rsidR="00701265">
        <w:rPr>
          <w:lang w:val="es-ES"/>
        </w:rPr>
        <w:t> </w:t>
      </w:r>
      <w:r w:rsidR="004D3FBA" w:rsidRPr="00F30D2D">
        <w:rPr>
          <w:lang w:val="es-ES"/>
        </w:rPr>
        <w:t>al</w:t>
      </w:r>
      <w:r w:rsidR="00701265">
        <w:rPr>
          <w:lang w:val="es-ES"/>
        </w:rPr>
        <w:t> </w:t>
      </w:r>
      <w:r w:rsidR="004D3FBA" w:rsidRPr="00F30D2D">
        <w:rPr>
          <w:lang w:val="es-ES"/>
        </w:rPr>
        <w:t>25</w:t>
      </w:r>
      <w:r w:rsidR="00701265">
        <w:rPr>
          <w:lang w:val="es-ES"/>
        </w:rPr>
        <w:t> </w:t>
      </w:r>
      <w:r w:rsidR="004D3FBA" w:rsidRPr="00F30D2D">
        <w:rPr>
          <w:lang w:val="es-ES"/>
        </w:rPr>
        <w:t>de</w:t>
      </w:r>
      <w:r w:rsidR="00701265">
        <w:rPr>
          <w:lang w:val="es-ES"/>
        </w:rPr>
        <w:t> </w:t>
      </w:r>
      <w:r w:rsidR="004D3FBA" w:rsidRPr="00F30D2D">
        <w:rPr>
          <w:lang w:val="es-ES"/>
        </w:rPr>
        <w:t xml:space="preserve">febrero </w:t>
      </w:r>
      <w:r w:rsidRPr="00F30D2D">
        <w:rPr>
          <w:lang w:val="es-ES"/>
        </w:rPr>
        <w:t>de 20</w:t>
      </w:r>
      <w:r w:rsidR="004D3FBA" w:rsidRPr="00F30D2D">
        <w:rPr>
          <w:lang w:val="es-ES"/>
        </w:rPr>
        <w:t>11</w:t>
      </w:r>
      <w:r w:rsidRPr="00F30D2D">
        <w:rPr>
          <w:lang w:val="es-ES"/>
        </w:rPr>
        <w:t xml:space="preserve">. La inscripción </w:t>
      </w:r>
      <w:r w:rsidR="00784935" w:rsidRPr="00784935">
        <w:rPr>
          <w:i/>
          <w:iCs/>
          <w:lang w:val="es-ES"/>
        </w:rPr>
        <w:t>in situ</w:t>
      </w:r>
      <w:r w:rsidR="00784935">
        <w:rPr>
          <w:lang w:val="es-ES"/>
        </w:rPr>
        <w:t xml:space="preserve"> </w:t>
      </w:r>
      <w:r w:rsidR="004D3FBA" w:rsidRPr="00F30D2D">
        <w:rPr>
          <w:lang w:val="es-ES"/>
        </w:rPr>
        <w:t xml:space="preserve">de los delegados en el CICG </w:t>
      </w:r>
      <w:r w:rsidR="00784935" w:rsidRPr="00F30D2D">
        <w:rPr>
          <w:lang w:val="es-ES"/>
        </w:rPr>
        <w:t xml:space="preserve">comenzará </w:t>
      </w:r>
      <w:r w:rsidR="004D3FBA" w:rsidRPr="00F30D2D">
        <w:rPr>
          <w:lang w:val="es-ES"/>
        </w:rPr>
        <w:t>el domingo 13</w:t>
      </w:r>
      <w:r w:rsidR="00701265">
        <w:rPr>
          <w:lang w:val="es-ES"/>
        </w:rPr>
        <w:t> </w:t>
      </w:r>
      <w:r w:rsidR="004D3FBA" w:rsidRPr="00F30D2D">
        <w:rPr>
          <w:lang w:val="es-ES"/>
        </w:rPr>
        <w:t>de</w:t>
      </w:r>
      <w:r w:rsidR="00701265">
        <w:rPr>
          <w:lang w:val="es-ES"/>
        </w:rPr>
        <w:t> </w:t>
      </w:r>
      <w:r w:rsidR="004D3FBA" w:rsidRPr="00F30D2D">
        <w:rPr>
          <w:lang w:val="es-ES"/>
        </w:rPr>
        <w:t>febrero de 2011</w:t>
      </w:r>
      <w:r w:rsidR="00784935">
        <w:rPr>
          <w:lang w:val="es-ES"/>
        </w:rPr>
        <w:t>,</w:t>
      </w:r>
      <w:r w:rsidR="004D3FBA" w:rsidRPr="00F30D2D">
        <w:rPr>
          <w:lang w:val="es-ES"/>
        </w:rPr>
        <w:t xml:space="preserve"> de las 10</w:t>
      </w:r>
      <w:r w:rsidRPr="00F30D2D">
        <w:rPr>
          <w:lang w:val="es-ES"/>
        </w:rPr>
        <w:t>.</w:t>
      </w:r>
      <w:r w:rsidR="004D3FBA" w:rsidRPr="00F30D2D">
        <w:rPr>
          <w:lang w:val="es-ES"/>
        </w:rPr>
        <w:t>0</w:t>
      </w:r>
      <w:r w:rsidRPr="00F30D2D">
        <w:rPr>
          <w:lang w:val="es-ES"/>
        </w:rPr>
        <w:t xml:space="preserve">0 horas </w:t>
      </w:r>
      <w:r w:rsidR="004D3FBA" w:rsidRPr="00F30D2D">
        <w:rPr>
          <w:lang w:val="es-ES"/>
        </w:rPr>
        <w:t>a las 16.00 horas</w:t>
      </w:r>
      <w:r w:rsidR="00784935">
        <w:rPr>
          <w:lang w:val="es-ES"/>
        </w:rPr>
        <w:t>,</w:t>
      </w:r>
      <w:r w:rsidR="004D3FBA" w:rsidRPr="00F30D2D">
        <w:rPr>
          <w:lang w:val="es-ES"/>
        </w:rPr>
        <w:t xml:space="preserve"> </w:t>
      </w:r>
      <w:r w:rsidRPr="00F30D2D">
        <w:rPr>
          <w:lang w:val="es-ES"/>
        </w:rPr>
        <w:t xml:space="preserve">y </w:t>
      </w:r>
      <w:r w:rsidR="005738B5">
        <w:rPr>
          <w:lang w:val="es-ES"/>
        </w:rPr>
        <w:t>el 14 de febrero de 2011 a </w:t>
      </w:r>
      <w:r w:rsidR="004D3FBA" w:rsidRPr="00F30D2D">
        <w:rPr>
          <w:lang w:val="es-ES"/>
        </w:rPr>
        <w:t>partir de las</w:t>
      </w:r>
      <w:r w:rsidR="00701265">
        <w:rPr>
          <w:lang w:val="es-ES"/>
        </w:rPr>
        <w:t> </w:t>
      </w:r>
      <w:r w:rsidR="004D3FBA" w:rsidRPr="00F30D2D">
        <w:rPr>
          <w:lang w:val="es-ES"/>
        </w:rPr>
        <w:t>07.30 horas</w:t>
      </w:r>
      <w:r w:rsidRPr="00F30D2D">
        <w:rPr>
          <w:lang w:val="es-ES"/>
        </w:rPr>
        <w:t>.</w:t>
      </w:r>
      <w:r w:rsidR="004D3FBA" w:rsidRPr="00F30D2D">
        <w:rPr>
          <w:lang w:val="es-ES"/>
        </w:rPr>
        <w:t xml:space="preserve"> La sesión de apertura de la RPC11-2 comenzará el 14 de febrero de 2011 a las</w:t>
      </w:r>
      <w:r w:rsidR="00701265">
        <w:rPr>
          <w:lang w:val="es-ES"/>
        </w:rPr>
        <w:t> </w:t>
      </w:r>
      <w:r w:rsidR="004D3FBA" w:rsidRPr="00F30D2D">
        <w:rPr>
          <w:lang w:val="es-ES"/>
        </w:rPr>
        <w:t>09.30</w:t>
      </w:r>
      <w:r w:rsidR="00701265">
        <w:rPr>
          <w:lang w:val="es-ES"/>
        </w:rPr>
        <w:t> </w:t>
      </w:r>
      <w:r w:rsidR="004D3FBA" w:rsidRPr="00F30D2D">
        <w:rPr>
          <w:lang w:val="es-ES"/>
        </w:rPr>
        <w:t xml:space="preserve">horas. </w:t>
      </w:r>
    </w:p>
    <w:p w:rsidR="00A21FEF" w:rsidRPr="00F30D2D" w:rsidRDefault="004D3FBA" w:rsidP="00A21FEF">
      <w:pPr>
        <w:pStyle w:val="Headingb"/>
        <w:rPr>
          <w:lang w:val="es-ES"/>
        </w:rPr>
      </w:pPr>
      <w:r w:rsidRPr="00F30D2D">
        <w:rPr>
          <w:lang w:val="es-ES"/>
        </w:rPr>
        <w:t>3</w:t>
      </w:r>
      <w:r w:rsidRPr="00F30D2D">
        <w:rPr>
          <w:lang w:val="es-ES"/>
        </w:rPr>
        <w:tab/>
      </w:r>
      <w:r w:rsidR="00A21FEF" w:rsidRPr="00F30D2D">
        <w:rPr>
          <w:lang w:val="es-ES"/>
        </w:rPr>
        <w:t>Programa de la reunión</w:t>
      </w:r>
    </w:p>
    <w:p w:rsidR="00A21FEF" w:rsidRPr="00F30D2D" w:rsidRDefault="004D3FBA" w:rsidP="008113D4">
      <w:pPr>
        <w:rPr>
          <w:lang w:val="es-ES"/>
        </w:rPr>
      </w:pPr>
      <w:r w:rsidRPr="00F30D2D">
        <w:rPr>
          <w:lang w:val="es-ES"/>
        </w:rPr>
        <w:t xml:space="preserve">En el </w:t>
      </w:r>
      <w:r w:rsidRPr="00784935">
        <w:rPr>
          <w:b/>
          <w:bCs/>
          <w:lang w:val="es-ES"/>
        </w:rPr>
        <w:t>Anexo 1</w:t>
      </w:r>
      <w:r w:rsidRPr="00F30D2D">
        <w:rPr>
          <w:lang w:val="es-ES"/>
        </w:rPr>
        <w:t xml:space="preserve"> a la presente Circular se incluye el proyecto de orden del día que contiene e</w:t>
      </w:r>
      <w:r w:rsidR="00A21FEF" w:rsidRPr="00F30D2D">
        <w:rPr>
          <w:lang w:val="es-ES"/>
        </w:rPr>
        <w:t>l programa de la reunión.</w:t>
      </w:r>
      <w:r w:rsidR="008113D4" w:rsidRPr="00F30D2D">
        <w:rPr>
          <w:lang w:val="es-ES"/>
        </w:rPr>
        <w:t xml:space="preserve"> El Informe de la RPC a la CMR-12 se preparará de conformidad con el resumen que adopte la RPC-11-1 (véase el Anexo 7 a la CA/171), con la correspondiente referencia al orden del día que figura en la Resolución 1291 (MOD) del Consejo.</w:t>
      </w:r>
    </w:p>
    <w:p w:rsidR="008F16C9" w:rsidRPr="00F30D2D" w:rsidRDefault="00915AF0" w:rsidP="00A21FEF">
      <w:pPr>
        <w:pStyle w:val="headingb0"/>
      </w:pPr>
      <w:r w:rsidRPr="00F30D2D">
        <w:lastRenderedPageBreak/>
        <w:t>4</w:t>
      </w:r>
      <w:r w:rsidRPr="00F30D2D">
        <w:tab/>
      </w:r>
      <w:r w:rsidR="008F16C9" w:rsidRPr="00F30D2D">
        <w:t>Preparación del proyecto de Informe refundido de la RPC a la CMR-12</w:t>
      </w:r>
    </w:p>
    <w:p w:rsidR="008F16C9" w:rsidRPr="00F30D2D" w:rsidRDefault="008F16C9" w:rsidP="00701265">
      <w:pPr>
        <w:rPr>
          <w:lang w:val="es-ES"/>
        </w:rPr>
      </w:pPr>
      <w:r w:rsidRPr="00F30D2D">
        <w:rPr>
          <w:lang w:val="es-ES"/>
        </w:rPr>
        <w:t>4.1</w:t>
      </w:r>
      <w:r w:rsidRPr="00F30D2D">
        <w:rPr>
          <w:lang w:val="es-ES"/>
        </w:rPr>
        <w:tab/>
        <w:t>De conformidad con la Resolución UIT-R 2-5 y con las decisiones adoptadas en la RPC11</w:t>
      </w:r>
      <w:r w:rsidR="008B573E">
        <w:rPr>
          <w:lang w:val="es-ES"/>
        </w:rPr>
        <w:noBreakHyphen/>
      </w:r>
      <w:r w:rsidRPr="00F30D2D">
        <w:rPr>
          <w:lang w:val="es-ES"/>
        </w:rPr>
        <w:t>1, el Equipo Directivo de la RPC preparará el proyecto de Informe refundido de la RPC a la CMR</w:t>
      </w:r>
      <w:r w:rsidR="008B573E">
        <w:rPr>
          <w:lang w:val="es-ES"/>
        </w:rPr>
        <w:noBreakHyphen/>
      </w:r>
      <w:r w:rsidRPr="00F30D2D">
        <w:rPr>
          <w:lang w:val="es-ES"/>
        </w:rPr>
        <w:t xml:space="preserve">12 </w:t>
      </w:r>
      <w:r w:rsidR="0014025B" w:rsidRPr="00F30D2D">
        <w:rPr>
          <w:lang w:val="es-ES"/>
        </w:rPr>
        <w:t xml:space="preserve">a partir de </w:t>
      </w:r>
      <w:r w:rsidRPr="00F30D2D">
        <w:rPr>
          <w:lang w:val="es-ES"/>
        </w:rPr>
        <w:t xml:space="preserve">las </w:t>
      </w:r>
      <w:r w:rsidR="0014025B" w:rsidRPr="00F30D2D">
        <w:rPr>
          <w:lang w:val="es-ES"/>
        </w:rPr>
        <w:t xml:space="preserve">contribuciones de los </w:t>
      </w:r>
      <w:r w:rsidR="00701265">
        <w:rPr>
          <w:lang w:val="es-ES"/>
        </w:rPr>
        <w:t>G</w:t>
      </w:r>
      <w:r w:rsidR="0014025B" w:rsidRPr="00F30D2D">
        <w:rPr>
          <w:lang w:val="es-ES"/>
        </w:rPr>
        <w:t xml:space="preserve">rupos </w:t>
      </w:r>
      <w:r w:rsidR="003B02E4" w:rsidRPr="00F30D2D">
        <w:rPr>
          <w:lang w:val="es-ES"/>
        </w:rPr>
        <w:t>de las Comisiones de Estudio</w:t>
      </w:r>
      <w:r w:rsidR="003B02E4">
        <w:rPr>
          <w:lang w:val="es-ES"/>
        </w:rPr>
        <w:t xml:space="preserve"> </w:t>
      </w:r>
      <w:r w:rsidR="00784935">
        <w:rPr>
          <w:lang w:val="es-ES"/>
        </w:rPr>
        <w:t>encargados</w:t>
      </w:r>
      <w:r w:rsidR="0014025B" w:rsidRPr="00F30D2D">
        <w:rPr>
          <w:lang w:val="es-ES"/>
        </w:rPr>
        <w:t xml:space="preserve">, en la reunión que se celebrará del 26 al 30 de julio de 2010. </w:t>
      </w:r>
    </w:p>
    <w:p w:rsidR="0014025B" w:rsidRPr="00F30D2D" w:rsidRDefault="0014025B" w:rsidP="008A7ED1">
      <w:pPr>
        <w:rPr>
          <w:lang w:val="es-ES"/>
        </w:rPr>
      </w:pPr>
      <w:r w:rsidRPr="00F30D2D">
        <w:rPr>
          <w:lang w:val="es-ES"/>
        </w:rPr>
        <w:t>4.2</w:t>
      </w:r>
      <w:r w:rsidRPr="00F30D2D">
        <w:rPr>
          <w:lang w:val="es-ES"/>
        </w:rPr>
        <w:tab/>
        <w:t xml:space="preserve">El proyecto de Informe de la RPC a la CMR-12 sentará las bases para los trabajos de la segunda reunión de la RPC-11. Se publicará en la página web de la RPC como </w:t>
      </w:r>
      <w:r w:rsidR="008A7ED1">
        <w:rPr>
          <w:lang w:val="es-ES"/>
        </w:rPr>
        <w:t>D</w:t>
      </w:r>
      <w:r w:rsidRPr="00F30D2D">
        <w:rPr>
          <w:lang w:val="es-ES"/>
        </w:rPr>
        <w:t>ocumento CPM11</w:t>
      </w:r>
      <w:r w:rsidR="008A7ED1">
        <w:rPr>
          <w:lang w:val="es-ES"/>
        </w:rPr>
        <w:noBreakHyphen/>
      </w:r>
      <w:r w:rsidRPr="00F30D2D">
        <w:rPr>
          <w:lang w:val="es-ES"/>
        </w:rPr>
        <w:t>2/1, tras la reunión del Equipo Directivo de la RPC</w:t>
      </w:r>
      <w:r w:rsidR="003B02E4">
        <w:rPr>
          <w:lang w:val="es-ES"/>
        </w:rPr>
        <w:t>,</w:t>
      </w:r>
      <w:r w:rsidRPr="00F30D2D">
        <w:rPr>
          <w:lang w:val="es-ES"/>
        </w:rPr>
        <w:t xml:space="preserve"> primero en inglés y luego </w:t>
      </w:r>
      <w:r w:rsidR="003B02E4" w:rsidRPr="00F30D2D">
        <w:rPr>
          <w:lang w:val="es-ES"/>
        </w:rPr>
        <w:t xml:space="preserve">lo antes posible </w:t>
      </w:r>
      <w:r w:rsidRPr="00F30D2D">
        <w:rPr>
          <w:lang w:val="es-ES"/>
        </w:rPr>
        <w:t>en los demás idiomas de la Unión, a más tardar dos meses antes de la RPC11-2.</w:t>
      </w:r>
    </w:p>
    <w:p w:rsidR="0014025B" w:rsidRPr="00F30D2D" w:rsidRDefault="0014025B" w:rsidP="003B02E4">
      <w:pPr>
        <w:rPr>
          <w:lang w:val="es-ES"/>
        </w:rPr>
      </w:pPr>
      <w:r w:rsidRPr="00F30D2D">
        <w:rPr>
          <w:lang w:val="es-ES"/>
        </w:rPr>
        <w:t>4.3</w:t>
      </w:r>
      <w:r w:rsidRPr="00F30D2D">
        <w:rPr>
          <w:lang w:val="es-ES"/>
        </w:rPr>
        <w:tab/>
        <w:t xml:space="preserve">Por otra parte, la Comisión Especial redactará el proyecto de Informe sobre </w:t>
      </w:r>
      <w:r w:rsidR="005738B5" w:rsidRPr="00F30D2D">
        <w:rPr>
          <w:lang w:val="es-ES"/>
        </w:rPr>
        <w:t>A</w:t>
      </w:r>
      <w:r w:rsidRPr="00F30D2D">
        <w:rPr>
          <w:lang w:val="es-ES"/>
        </w:rPr>
        <w:t xml:space="preserve">suntos </w:t>
      </w:r>
      <w:r w:rsidR="005738B5" w:rsidRPr="00F30D2D">
        <w:rPr>
          <w:lang w:val="es-ES"/>
        </w:rPr>
        <w:t>R</w:t>
      </w:r>
      <w:r w:rsidRPr="00F30D2D">
        <w:rPr>
          <w:lang w:val="es-ES"/>
        </w:rPr>
        <w:t xml:space="preserve">eglamentarios y de </w:t>
      </w:r>
      <w:r w:rsidR="005738B5" w:rsidRPr="00F30D2D">
        <w:rPr>
          <w:lang w:val="es-ES"/>
        </w:rPr>
        <w:t>P</w:t>
      </w:r>
      <w:r w:rsidRPr="00F30D2D">
        <w:rPr>
          <w:lang w:val="es-ES"/>
        </w:rPr>
        <w:t xml:space="preserve">rocedimiento durante su reunión del 1 al 5 de noviembre de 2010, </w:t>
      </w:r>
      <w:r w:rsidR="003B02E4">
        <w:rPr>
          <w:lang w:val="es-ES"/>
        </w:rPr>
        <w:t xml:space="preserve">basándose en </w:t>
      </w:r>
      <w:r w:rsidRPr="00F30D2D">
        <w:rPr>
          <w:lang w:val="es-ES"/>
        </w:rPr>
        <w:t xml:space="preserve">las contribuciones presentadas por los Miembros y las Comisiones de Estudio. El </w:t>
      </w:r>
      <w:r w:rsidR="00701265" w:rsidRPr="00F30D2D">
        <w:rPr>
          <w:lang w:val="es-ES"/>
        </w:rPr>
        <w:t>I</w:t>
      </w:r>
      <w:r w:rsidRPr="00F30D2D">
        <w:rPr>
          <w:lang w:val="es-ES"/>
        </w:rPr>
        <w:t>nforme de la Comisión Especial se transmitirá directamente a la RPC11-2.</w:t>
      </w:r>
    </w:p>
    <w:p w:rsidR="00A21FEF" w:rsidRPr="00F30D2D" w:rsidRDefault="008F16C9" w:rsidP="00A21FEF">
      <w:pPr>
        <w:pStyle w:val="headingb0"/>
      </w:pPr>
      <w:r w:rsidRPr="00F30D2D">
        <w:t>5</w:t>
      </w:r>
      <w:r w:rsidRPr="00F30D2D">
        <w:tab/>
      </w:r>
      <w:r w:rsidR="00A21FEF" w:rsidRPr="00F30D2D">
        <w:t>Contribuciones</w:t>
      </w:r>
    </w:p>
    <w:p w:rsidR="00A21FEF" w:rsidRPr="00F30D2D" w:rsidRDefault="0014025B" w:rsidP="008B573E">
      <w:pPr>
        <w:rPr>
          <w:lang w:val="es-ES"/>
        </w:rPr>
      </w:pPr>
      <w:r w:rsidRPr="00F30D2D">
        <w:rPr>
          <w:lang w:val="es-ES"/>
        </w:rPr>
        <w:t>5.1</w:t>
      </w:r>
      <w:r w:rsidRPr="00F30D2D">
        <w:rPr>
          <w:lang w:val="es-ES"/>
        </w:rPr>
        <w:tab/>
      </w:r>
      <w:r w:rsidR="00A21FEF" w:rsidRPr="00F30D2D">
        <w:rPr>
          <w:lang w:val="es-ES"/>
        </w:rPr>
        <w:t xml:space="preserve">Se invita a los participantes a </w:t>
      </w:r>
      <w:r w:rsidRPr="00F30D2D">
        <w:rPr>
          <w:lang w:val="es-ES"/>
        </w:rPr>
        <w:t xml:space="preserve">enviar </w:t>
      </w:r>
      <w:r w:rsidR="00A21FEF" w:rsidRPr="00F30D2D">
        <w:rPr>
          <w:lang w:val="es-ES"/>
        </w:rPr>
        <w:t xml:space="preserve">sus contribuciones </w:t>
      </w:r>
      <w:r w:rsidRPr="00F30D2D">
        <w:rPr>
          <w:lang w:val="es-ES"/>
        </w:rPr>
        <w:t>para la segunda sesión de la RPC</w:t>
      </w:r>
      <w:r w:rsidR="008B573E">
        <w:rPr>
          <w:lang w:val="es-ES"/>
        </w:rPr>
        <w:noBreakHyphen/>
      </w:r>
      <w:r w:rsidRPr="00F30D2D">
        <w:rPr>
          <w:lang w:val="es-ES"/>
        </w:rPr>
        <w:t xml:space="preserve">11 a la siguiente dirección de </w:t>
      </w:r>
      <w:r w:rsidR="00A21FEF" w:rsidRPr="00F30D2D">
        <w:rPr>
          <w:lang w:val="es-ES"/>
        </w:rPr>
        <w:t>correo electrónico:</w:t>
      </w:r>
    </w:p>
    <w:p w:rsidR="00A21FEF" w:rsidRPr="00F30D2D" w:rsidRDefault="002551F0" w:rsidP="0014025B">
      <w:pPr>
        <w:jc w:val="center"/>
        <w:rPr>
          <w:u w:val="single"/>
          <w:lang w:val="es-ES"/>
        </w:rPr>
      </w:pPr>
      <w:hyperlink r:id="rId9" w:history="1">
        <w:r w:rsidR="0014025B" w:rsidRPr="00F30D2D">
          <w:rPr>
            <w:rStyle w:val="Hyperlink"/>
            <w:lang w:val="es-ES"/>
          </w:rPr>
          <w:t>cpm11-2@itu.int</w:t>
        </w:r>
      </w:hyperlink>
    </w:p>
    <w:p w:rsidR="00A21FEF" w:rsidRPr="00F30D2D" w:rsidRDefault="0014025B" w:rsidP="008B573E">
      <w:pPr>
        <w:rPr>
          <w:lang w:val="es-ES"/>
        </w:rPr>
      </w:pPr>
      <w:r w:rsidRPr="00F30D2D">
        <w:rPr>
          <w:lang w:val="es-ES"/>
        </w:rPr>
        <w:t>5.2</w:t>
      </w:r>
      <w:r w:rsidRPr="00F30D2D">
        <w:rPr>
          <w:lang w:val="es-ES"/>
        </w:rPr>
        <w:tab/>
      </w:r>
      <w:r w:rsidR="00A21FEF" w:rsidRPr="00F30D2D">
        <w:rPr>
          <w:lang w:val="es-ES"/>
        </w:rPr>
        <w:t xml:space="preserve">Las contribuciones se </w:t>
      </w:r>
      <w:r w:rsidRPr="00F30D2D">
        <w:rPr>
          <w:lang w:val="es-ES"/>
        </w:rPr>
        <w:t xml:space="preserve">tramitarán </w:t>
      </w:r>
      <w:r w:rsidR="00A21FEF" w:rsidRPr="00F30D2D">
        <w:rPr>
          <w:lang w:val="es-ES"/>
        </w:rPr>
        <w:t xml:space="preserve">de conformidad con </w:t>
      </w:r>
      <w:r w:rsidRPr="00F30D2D">
        <w:rPr>
          <w:lang w:val="es-ES"/>
        </w:rPr>
        <w:t xml:space="preserve">lo dispuesto en </w:t>
      </w:r>
      <w:r w:rsidR="00A21FEF" w:rsidRPr="00F30D2D">
        <w:rPr>
          <w:lang w:val="es-ES"/>
        </w:rPr>
        <w:t>las Resoluciones</w:t>
      </w:r>
      <w:r w:rsidR="008B573E">
        <w:rPr>
          <w:lang w:val="es-ES"/>
        </w:rPr>
        <w:t> </w:t>
      </w:r>
      <w:r w:rsidR="00A21FEF" w:rsidRPr="00F30D2D">
        <w:rPr>
          <w:lang w:val="es-ES"/>
        </w:rPr>
        <w:t>UIT</w:t>
      </w:r>
      <w:r w:rsidR="008B573E">
        <w:rPr>
          <w:lang w:val="es-ES"/>
        </w:rPr>
        <w:noBreakHyphen/>
      </w:r>
      <w:r w:rsidR="00A21FEF" w:rsidRPr="00F30D2D">
        <w:rPr>
          <w:lang w:val="es-ES"/>
        </w:rPr>
        <w:t>R 1</w:t>
      </w:r>
      <w:r w:rsidRPr="00F30D2D">
        <w:rPr>
          <w:lang w:val="es-ES"/>
        </w:rPr>
        <w:t>-5</w:t>
      </w:r>
      <w:r w:rsidR="00A21FEF" w:rsidRPr="00F30D2D">
        <w:rPr>
          <w:lang w:val="es-ES"/>
        </w:rPr>
        <w:t xml:space="preserve"> y UIT-R 2</w:t>
      </w:r>
      <w:r w:rsidRPr="00F30D2D">
        <w:rPr>
          <w:lang w:val="es-ES"/>
        </w:rPr>
        <w:t>-5</w:t>
      </w:r>
      <w:r w:rsidR="00A21FEF" w:rsidRPr="00F30D2D">
        <w:rPr>
          <w:lang w:val="es-ES"/>
        </w:rPr>
        <w:t xml:space="preserve"> y </w:t>
      </w:r>
      <w:r w:rsidR="00BA2D23" w:rsidRPr="00F30D2D">
        <w:rPr>
          <w:lang w:val="es-ES"/>
        </w:rPr>
        <w:t xml:space="preserve">se </w:t>
      </w:r>
      <w:r w:rsidR="00A21FEF" w:rsidRPr="00F30D2D">
        <w:rPr>
          <w:lang w:val="es-ES"/>
        </w:rPr>
        <w:t>publica</w:t>
      </w:r>
      <w:r w:rsidR="00BA2D23" w:rsidRPr="00F30D2D">
        <w:rPr>
          <w:lang w:val="es-ES"/>
        </w:rPr>
        <w:t>rán</w:t>
      </w:r>
      <w:r w:rsidR="00A21FEF" w:rsidRPr="00F30D2D">
        <w:rPr>
          <w:lang w:val="es-ES"/>
        </w:rPr>
        <w:t xml:space="preserve"> en</w:t>
      </w:r>
      <w:r w:rsidR="00F37856" w:rsidRPr="00F30D2D">
        <w:rPr>
          <w:rStyle w:val="FootnoteReference"/>
          <w:lang w:val="es-ES"/>
        </w:rPr>
        <w:footnoteReference w:id="1"/>
      </w:r>
      <w:r w:rsidR="00A21FEF" w:rsidRPr="00F30D2D">
        <w:rPr>
          <w:lang w:val="es-ES"/>
        </w:rPr>
        <w:t>:</w:t>
      </w:r>
    </w:p>
    <w:p w:rsidR="00A21FEF" w:rsidRPr="00F30D2D" w:rsidRDefault="002551F0" w:rsidP="0014025B">
      <w:pPr>
        <w:spacing w:before="136"/>
        <w:jc w:val="center"/>
        <w:rPr>
          <w:rStyle w:val="Hyperlink"/>
          <w:lang w:val="es-ES"/>
        </w:rPr>
      </w:pPr>
      <w:hyperlink r:id="rId10" w:history="1">
        <w:r w:rsidR="00A21FEF" w:rsidRPr="00F30D2D">
          <w:rPr>
            <w:rStyle w:val="Hyperlink"/>
            <w:lang w:val="es-ES"/>
          </w:rPr>
          <w:t>http://www.itu.int/ITU-R/go/rcpm</w:t>
        </w:r>
      </w:hyperlink>
    </w:p>
    <w:p w:rsidR="00A21FEF" w:rsidRPr="00F30D2D" w:rsidRDefault="009D1DE0" w:rsidP="009D1DE0">
      <w:pPr>
        <w:rPr>
          <w:lang w:val="es-ES"/>
        </w:rPr>
      </w:pPr>
      <w:r w:rsidRPr="00F30D2D">
        <w:rPr>
          <w:lang w:val="es-ES"/>
        </w:rPr>
        <w:t>5.3</w:t>
      </w:r>
      <w:r w:rsidRPr="00F30D2D">
        <w:rPr>
          <w:lang w:val="es-ES"/>
        </w:rPr>
        <w:tab/>
        <w:t>De conformidad con la Resolución UIT-R 1-5 y con las directrices relativas a los métodos de trabajo</w:t>
      </w:r>
      <w:r w:rsidR="00307DC5" w:rsidRPr="00F30D2D">
        <w:rPr>
          <w:rStyle w:val="FootnoteReference"/>
          <w:lang w:val="es-ES"/>
        </w:rPr>
        <w:footnoteReference w:id="2"/>
      </w:r>
      <w:r w:rsidRPr="00F30D2D">
        <w:rPr>
          <w:lang w:val="es-ES"/>
        </w:rPr>
        <w:t>, se aplicarán los siguientes plazos:</w:t>
      </w:r>
    </w:p>
    <w:p w:rsidR="009D1DE0" w:rsidRPr="00F30D2D" w:rsidRDefault="009D1DE0" w:rsidP="00F37856">
      <w:pPr>
        <w:rPr>
          <w:lang w:val="es-ES"/>
        </w:rPr>
      </w:pPr>
      <w:r w:rsidRPr="00F30D2D">
        <w:rPr>
          <w:lang w:val="es-ES"/>
        </w:rPr>
        <w:t>5.3.1</w:t>
      </w:r>
      <w:r w:rsidRPr="00F30D2D">
        <w:rPr>
          <w:lang w:val="es-ES"/>
        </w:rPr>
        <w:tab/>
      </w:r>
      <w:r w:rsidR="00D424E6" w:rsidRPr="00F30D2D">
        <w:rPr>
          <w:lang w:val="es-ES"/>
        </w:rPr>
        <w:t xml:space="preserve">Las </w:t>
      </w:r>
      <w:r w:rsidRPr="00F30D2D">
        <w:rPr>
          <w:lang w:val="es-ES"/>
        </w:rPr>
        <w:t xml:space="preserve">contribuciones deberán </w:t>
      </w:r>
      <w:r w:rsidR="00D424E6" w:rsidRPr="00F30D2D">
        <w:rPr>
          <w:lang w:val="es-ES"/>
        </w:rPr>
        <w:t xml:space="preserve">obrar en poder de la Oficina </w:t>
      </w:r>
      <w:r w:rsidRPr="00F30D2D">
        <w:rPr>
          <w:lang w:val="es-ES"/>
        </w:rPr>
        <w:t xml:space="preserve">al menos </w:t>
      </w:r>
      <w:r w:rsidRPr="00F30D2D">
        <w:rPr>
          <w:b/>
          <w:bCs/>
          <w:lang w:val="es-ES"/>
        </w:rPr>
        <w:t xml:space="preserve">3 meses antes de la </w:t>
      </w:r>
      <w:r w:rsidR="00D424E6" w:rsidRPr="00F30D2D">
        <w:rPr>
          <w:b/>
          <w:bCs/>
          <w:lang w:val="es-ES"/>
        </w:rPr>
        <w:t>RPC11-2, es decir, el 14 de noviembre de 2010</w:t>
      </w:r>
      <w:r w:rsidR="00D424E6" w:rsidRPr="00F30D2D">
        <w:rPr>
          <w:lang w:val="es-ES"/>
        </w:rPr>
        <w:t xml:space="preserve">. No se garantiza que las contribuciones recibidas después de </w:t>
      </w:r>
      <w:r w:rsidR="00F37856" w:rsidRPr="00F30D2D">
        <w:rPr>
          <w:lang w:val="es-ES"/>
        </w:rPr>
        <w:t xml:space="preserve">dicha </w:t>
      </w:r>
      <w:r w:rsidR="00D424E6" w:rsidRPr="00F30D2D">
        <w:rPr>
          <w:lang w:val="es-ES"/>
        </w:rPr>
        <w:t>fecha estén disponibles al comienzo de la reunión en los seis idiomas de la Unión.</w:t>
      </w:r>
    </w:p>
    <w:p w:rsidR="00F60C16" w:rsidRPr="00F30D2D" w:rsidRDefault="00F60C16" w:rsidP="008B573E">
      <w:pPr>
        <w:rPr>
          <w:lang w:val="es-ES"/>
        </w:rPr>
      </w:pPr>
      <w:r w:rsidRPr="00F30D2D">
        <w:rPr>
          <w:lang w:val="es-ES"/>
        </w:rPr>
        <w:t>5.3.2</w:t>
      </w:r>
      <w:r w:rsidRPr="00F30D2D">
        <w:rPr>
          <w:lang w:val="es-ES"/>
        </w:rPr>
        <w:tab/>
        <w:t xml:space="preserve">El </w:t>
      </w:r>
      <w:r w:rsidRPr="00761518">
        <w:rPr>
          <w:b/>
          <w:bCs/>
          <w:lang w:val="es-ES"/>
        </w:rPr>
        <w:t>plazo definitivo para presentar contribuciones a la Oficina termina el 31 de enero de 2011 a las</w:t>
      </w:r>
      <w:r w:rsidR="005738B5">
        <w:rPr>
          <w:b/>
          <w:bCs/>
          <w:lang w:val="es-ES"/>
        </w:rPr>
        <w:t xml:space="preserve"> </w:t>
      </w:r>
      <w:r w:rsidRPr="00761518">
        <w:rPr>
          <w:b/>
          <w:bCs/>
          <w:lang w:val="es-ES"/>
        </w:rPr>
        <w:t>16</w:t>
      </w:r>
      <w:r w:rsidR="008B573E">
        <w:rPr>
          <w:b/>
          <w:bCs/>
          <w:lang w:val="es-ES"/>
        </w:rPr>
        <w:t>.</w:t>
      </w:r>
      <w:r w:rsidRPr="00761518">
        <w:rPr>
          <w:b/>
          <w:bCs/>
          <w:lang w:val="es-ES"/>
        </w:rPr>
        <w:t>00 horas UTC</w:t>
      </w:r>
      <w:r w:rsidRPr="00F30D2D">
        <w:rPr>
          <w:lang w:val="es-ES"/>
        </w:rPr>
        <w:t xml:space="preserve">. </w:t>
      </w:r>
      <w:r w:rsidR="00F37856" w:rsidRPr="00F30D2D">
        <w:rPr>
          <w:lang w:val="es-ES"/>
        </w:rPr>
        <w:t>Las contribuciones que reciba la Oficina con posterioridad a dich</w:t>
      </w:r>
      <w:r w:rsidR="00761518">
        <w:rPr>
          <w:lang w:val="es-ES"/>
        </w:rPr>
        <w:t>a</w:t>
      </w:r>
      <w:r w:rsidR="00F37856" w:rsidRPr="00F30D2D">
        <w:rPr>
          <w:lang w:val="es-ES"/>
        </w:rPr>
        <w:t xml:space="preserve"> </w:t>
      </w:r>
      <w:r w:rsidR="00761518">
        <w:rPr>
          <w:lang w:val="es-ES"/>
        </w:rPr>
        <w:t>fecha</w:t>
      </w:r>
      <w:r w:rsidR="00F37856" w:rsidRPr="00F30D2D">
        <w:rPr>
          <w:lang w:val="es-ES"/>
        </w:rPr>
        <w:t xml:space="preserve"> no se aceptarán. Las contribuciones que no estén disponibles para los participantes en el momento de la apertura de la reunión no se examinarán.</w:t>
      </w:r>
    </w:p>
    <w:p w:rsidR="00F37856" w:rsidRPr="00F30D2D" w:rsidRDefault="00F37856" w:rsidP="00F37856">
      <w:pPr>
        <w:rPr>
          <w:lang w:val="es-ES"/>
        </w:rPr>
      </w:pPr>
      <w:r w:rsidRPr="00F30D2D">
        <w:rPr>
          <w:lang w:val="es-ES"/>
        </w:rPr>
        <w:t>5.4</w:t>
      </w:r>
      <w:r w:rsidRPr="00F30D2D">
        <w:rPr>
          <w:lang w:val="es-ES"/>
        </w:rPr>
        <w:tab/>
        <w:t>Por otra parte, en la primera sesión de la RPC-11 se estipuló que las contribuciones tendrán una longitud máxima de 10 páginas en promedio. En casos excepcionales, algunos documentos</w:t>
      </w:r>
      <w:r w:rsidR="00886AE1">
        <w:rPr>
          <w:lang w:val="es-ES"/>
        </w:rPr>
        <w:t xml:space="preserve"> </w:t>
      </w:r>
      <w:r w:rsidRPr="00F30D2D">
        <w:rPr>
          <w:lang w:val="es-ES"/>
        </w:rPr>
        <w:t>podrán llegar a 15 páginas (2 ó 3</w:t>
      </w:r>
      <w:r w:rsidR="00701265">
        <w:rPr>
          <w:lang w:val="es-ES"/>
        </w:rPr>
        <w:t xml:space="preserve"> documentos</w:t>
      </w:r>
      <w:r w:rsidRPr="00F30D2D">
        <w:rPr>
          <w:lang w:val="es-ES"/>
        </w:rPr>
        <w:t xml:space="preserve">) por Estado Miembro y Miembro de Sector. </w:t>
      </w:r>
    </w:p>
    <w:p w:rsidR="00457EA5" w:rsidRDefault="00457EA5">
      <w:pPr>
        <w:tabs>
          <w:tab w:val="clear" w:pos="794"/>
          <w:tab w:val="clear" w:pos="1191"/>
          <w:tab w:val="clear" w:pos="1588"/>
          <w:tab w:val="clear" w:pos="1985"/>
        </w:tabs>
        <w:overflowPunct/>
        <w:autoSpaceDE/>
        <w:autoSpaceDN/>
        <w:adjustRightInd/>
        <w:spacing w:before="0"/>
        <w:textAlignment w:val="auto"/>
        <w:rPr>
          <w:b/>
          <w:lang w:val="es-ES"/>
        </w:rPr>
      </w:pPr>
      <w:r>
        <w:rPr>
          <w:lang w:val="es-ES"/>
        </w:rPr>
        <w:br w:type="page"/>
      </w:r>
    </w:p>
    <w:p w:rsidR="009E6F6D" w:rsidRPr="00F30D2D" w:rsidRDefault="009E6F6D" w:rsidP="009E6F6D">
      <w:pPr>
        <w:pStyle w:val="Heading1"/>
        <w:rPr>
          <w:lang w:val="es-ES"/>
        </w:rPr>
      </w:pPr>
      <w:r w:rsidRPr="00F30D2D">
        <w:rPr>
          <w:lang w:val="es-ES"/>
        </w:rPr>
        <w:lastRenderedPageBreak/>
        <w:t>6</w:t>
      </w:r>
      <w:r w:rsidRPr="00F30D2D">
        <w:rPr>
          <w:lang w:val="es-ES"/>
        </w:rPr>
        <w:tab/>
        <w:t>Disponibilidad de documentos durante la RPC11-2</w:t>
      </w:r>
    </w:p>
    <w:p w:rsidR="009E6F6D" w:rsidRPr="00F30D2D" w:rsidRDefault="009E6F6D" w:rsidP="00402975">
      <w:pPr>
        <w:rPr>
          <w:lang w:val="es-ES"/>
        </w:rPr>
      </w:pPr>
      <w:r w:rsidRPr="00F30D2D">
        <w:rPr>
          <w:lang w:val="es-ES"/>
        </w:rPr>
        <w:t>6.1</w:t>
      </w:r>
      <w:r w:rsidRPr="00F30D2D">
        <w:rPr>
          <w:lang w:val="es-ES"/>
        </w:rPr>
        <w:tab/>
        <w:t>El día de apertura de la RPC11-2 se facilitará</w:t>
      </w:r>
      <w:r w:rsidR="00402975">
        <w:rPr>
          <w:lang w:val="es-ES"/>
        </w:rPr>
        <w:t>,</w:t>
      </w:r>
      <w:r w:rsidRPr="00F30D2D">
        <w:rPr>
          <w:lang w:val="es-ES"/>
        </w:rPr>
        <w:t xml:space="preserve"> </w:t>
      </w:r>
      <w:r w:rsidR="00402975" w:rsidRPr="00F30D2D">
        <w:rPr>
          <w:lang w:val="es-ES"/>
        </w:rPr>
        <w:t>en el mostrador del Servicio de Documentos</w:t>
      </w:r>
      <w:r w:rsidR="00402975">
        <w:rPr>
          <w:lang w:val="es-ES"/>
        </w:rPr>
        <w:t>,</w:t>
      </w:r>
      <w:r w:rsidR="00402975" w:rsidRPr="00F30D2D">
        <w:rPr>
          <w:lang w:val="es-ES"/>
        </w:rPr>
        <w:t xml:space="preserve"> </w:t>
      </w:r>
      <w:r w:rsidRPr="00F30D2D">
        <w:rPr>
          <w:lang w:val="es-ES"/>
        </w:rPr>
        <w:t>una copia en papel de todos los documentos preparados antes de la reunión</w:t>
      </w:r>
      <w:r w:rsidR="00402975" w:rsidRPr="00402975">
        <w:rPr>
          <w:lang w:val="es-ES"/>
        </w:rPr>
        <w:t xml:space="preserve"> </w:t>
      </w:r>
      <w:r w:rsidR="00402975" w:rsidRPr="00F30D2D">
        <w:rPr>
          <w:lang w:val="es-ES"/>
        </w:rPr>
        <w:t>a cada representante de Estado Miembro y Miembro de Sector</w:t>
      </w:r>
      <w:r w:rsidRPr="00F30D2D">
        <w:rPr>
          <w:lang w:val="es-ES"/>
        </w:rPr>
        <w:t>.</w:t>
      </w:r>
    </w:p>
    <w:p w:rsidR="009E6F6D" w:rsidRPr="00F30D2D" w:rsidRDefault="009E6F6D" w:rsidP="00402975">
      <w:pPr>
        <w:rPr>
          <w:lang w:val="es-ES"/>
        </w:rPr>
      </w:pPr>
      <w:r w:rsidRPr="00F30D2D">
        <w:rPr>
          <w:lang w:val="es-ES"/>
        </w:rPr>
        <w:t>6.2</w:t>
      </w:r>
      <w:r w:rsidRPr="00F30D2D">
        <w:rPr>
          <w:lang w:val="es-ES"/>
        </w:rPr>
        <w:tab/>
        <w:t xml:space="preserve">Se suministrará a cada delegado/participante una memoria </w:t>
      </w:r>
      <w:r w:rsidRPr="00F30D2D">
        <w:rPr>
          <w:rFonts w:eastAsia="SimSun"/>
          <w:szCs w:val="24"/>
          <w:lang w:val="es-ES" w:eastAsia="zh-CN"/>
        </w:rPr>
        <w:t>flash (</w:t>
      </w:r>
      <w:r w:rsidR="00402975" w:rsidRPr="00F30D2D">
        <w:rPr>
          <w:lang w:val="es-ES"/>
        </w:rPr>
        <w:t xml:space="preserve">llave </w:t>
      </w:r>
      <w:r w:rsidRPr="00F30D2D">
        <w:rPr>
          <w:lang w:val="es-ES"/>
        </w:rPr>
        <w:t xml:space="preserve">USB) con todos los documentos disponibles, que se actualizará automáticamente a medida que se vayan publicando nuevos documentos en </w:t>
      </w:r>
      <w:r w:rsidRPr="00345673">
        <w:rPr>
          <w:rFonts w:asciiTheme="majorBidi" w:hAnsiTheme="majorBidi" w:cstheme="majorBidi"/>
          <w:lang w:val="es-ES"/>
        </w:rPr>
        <w:t xml:space="preserve">la </w:t>
      </w:r>
      <w:hyperlink r:id="rId11" w:history="1">
        <w:r w:rsidRPr="00345673">
          <w:rPr>
            <w:rStyle w:val="Hyperlink"/>
            <w:rFonts w:asciiTheme="majorBidi" w:eastAsia="SimSun" w:hAnsiTheme="majorBidi" w:cstheme="majorBidi"/>
            <w:szCs w:val="24"/>
            <w:lang w:val="es-ES" w:eastAsia="zh-CN"/>
          </w:rPr>
          <w:t>página web de la RPC</w:t>
        </w:r>
      </w:hyperlink>
      <w:r w:rsidRPr="008B573E">
        <w:t>.</w:t>
      </w:r>
    </w:p>
    <w:p w:rsidR="009E6F6D" w:rsidRPr="00F30D2D" w:rsidRDefault="009E6F6D" w:rsidP="00DB2E4D">
      <w:pPr>
        <w:rPr>
          <w:lang w:val="es-ES"/>
        </w:rPr>
      </w:pPr>
      <w:r w:rsidRPr="00F30D2D">
        <w:rPr>
          <w:lang w:val="es-ES"/>
        </w:rPr>
        <w:t>6.3</w:t>
      </w:r>
      <w:r w:rsidRPr="00F30D2D">
        <w:rPr>
          <w:lang w:val="es-ES"/>
        </w:rPr>
        <w:tab/>
      </w:r>
      <w:r w:rsidR="00DB2E4D" w:rsidRPr="00F30D2D">
        <w:rPr>
          <w:lang w:val="es-ES"/>
        </w:rPr>
        <w:t xml:space="preserve">Todos los </w:t>
      </w:r>
      <w:r w:rsidRPr="00F30D2D">
        <w:rPr>
          <w:lang w:val="es-ES"/>
        </w:rPr>
        <w:t>document</w:t>
      </w:r>
      <w:r w:rsidR="00DB2E4D" w:rsidRPr="00F30D2D">
        <w:rPr>
          <w:lang w:val="es-ES"/>
        </w:rPr>
        <w:t>o</w:t>
      </w:r>
      <w:r w:rsidRPr="00F30D2D">
        <w:rPr>
          <w:lang w:val="es-ES"/>
        </w:rPr>
        <w:t xml:space="preserve">s </w:t>
      </w:r>
      <w:r w:rsidR="00DB2E4D" w:rsidRPr="00F30D2D">
        <w:rPr>
          <w:lang w:val="es-ES"/>
        </w:rPr>
        <w:t xml:space="preserve">estarán disponibles en formato electrónico en el sitio web de la RPC mencionado en el párrafo precedente, al que podrá accederse desde el cibercafé o la LAN inalámbrica instalada en el </w:t>
      </w:r>
      <w:r w:rsidRPr="00F30D2D">
        <w:rPr>
          <w:lang w:val="es-ES"/>
        </w:rPr>
        <w:t xml:space="preserve">CICG </w:t>
      </w:r>
      <w:r w:rsidR="00DB2E4D" w:rsidRPr="00F30D2D">
        <w:rPr>
          <w:lang w:val="es-ES"/>
        </w:rPr>
        <w:t>y en la U</w:t>
      </w:r>
      <w:r w:rsidRPr="00F30D2D">
        <w:rPr>
          <w:lang w:val="es-ES"/>
        </w:rPr>
        <w:t xml:space="preserve">IT, </w:t>
      </w:r>
      <w:r w:rsidR="00DB2E4D" w:rsidRPr="00F30D2D">
        <w:rPr>
          <w:lang w:val="es-ES"/>
        </w:rPr>
        <w:t>desde dentro y fuera de las salas de reunión</w:t>
      </w:r>
      <w:r w:rsidRPr="00F30D2D">
        <w:rPr>
          <w:lang w:val="es-ES"/>
        </w:rPr>
        <w:t xml:space="preserve">. </w:t>
      </w:r>
      <w:r w:rsidR="00DB2E4D" w:rsidRPr="00F30D2D">
        <w:rPr>
          <w:lang w:val="es-ES"/>
        </w:rPr>
        <w:t>Se alienta a los participantes a utilizar lo más posible este servicio</w:t>
      </w:r>
      <w:r w:rsidRPr="00F30D2D">
        <w:rPr>
          <w:lang w:val="es-ES"/>
        </w:rPr>
        <w:t>.</w:t>
      </w:r>
    </w:p>
    <w:p w:rsidR="009E6F6D" w:rsidRPr="00F30D2D" w:rsidRDefault="009E6F6D" w:rsidP="00345673">
      <w:pPr>
        <w:rPr>
          <w:lang w:val="es-ES"/>
        </w:rPr>
      </w:pPr>
      <w:r w:rsidRPr="00F30D2D">
        <w:rPr>
          <w:lang w:val="es-ES"/>
        </w:rPr>
        <w:t>6.4</w:t>
      </w:r>
      <w:r w:rsidRPr="00F30D2D">
        <w:rPr>
          <w:lang w:val="es-ES"/>
        </w:rPr>
        <w:tab/>
      </w:r>
      <w:r w:rsidR="00DB2E4D" w:rsidRPr="00F30D2D">
        <w:rPr>
          <w:lang w:val="es-ES"/>
        </w:rPr>
        <w:t>Al término de la RP</w:t>
      </w:r>
      <w:r w:rsidRPr="00F30D2D">
        <w:rPr>
          <w:lang w:val="es-ES"/>
        </w:rPr>
        <w:t xml:space="preserve">C11-2, </w:t>
      </w:r>
      <w:r w:rsidR="00DB2E4D" w:rsidRPr="00F30D2D">
        <w:rPr>
          <w:lang w:val="es-ES"/>
        </w:rPr>
        <w:t xml:space="preserve">se proporcionará al Jefe de Delegación de cada Estado Miembro y a un representante por Miembro de Sector una copia en papel del </w:t>
      </w:r>
      <w:r w:rsidR="00701265" w:rsidRPr="00F30D2D">
        <w:rPr>
          <w:lang w:val="es-ES"/>
        </w:rPr>
        <w:t>I</w:t>
      </w:r>
      <w:r w:rsidR="00DB2E4D" w:rsidRPr="00F30D2D">
        <w:rPr>
          <w:lang w:val="es-ES"/>
        </w:rPr>
        <w:t>nforme de la RPC a la CMR</w:t>
      </w:r>
      <w:r w:rsidR="00345673">
        <w:rPr>
          <w:lang w:val="es-ES"/>
        </w:rPr>
        <w:noBreakHyphen/>
      </w:r>
      <w:r w:rsidRPr="00F30D2D">
        <w:rPr>
          <w:lang w:val="es-ES"/>
        </w:rPr>
        <w:t>12.</w:t>
      </w:r>
    </w:p>
    <w:p w:rsidR="009E6F6D" w:rsidRPr="00F30D2D" w:rsidRDefault="009E6F6D" w:rsidP="00806676">
      <w:pPr>
        <w:rPr>
          <w:lang w:val="es-ES"/>
        </w:rPr>
      </w:pPr>
      <w:r w:rsidRPr="00F30D2D">
        <w:rPr>
          <w:lang w:val="es-ES"/>
        </w:rPr>
        <w:t>6.5</w:t>
      </w:r>
      <w:r w:rsidRPr="00F30D2D">
        <w:rPr>
          <w:lang w:val="es-ES"/>
        </w:rPr>
        <w:tab/>
      </w:r>
      <w:r w:rsidR="008624CC" w:rsidRPr="00F30D2D">
        <w:rPr>
          <w:lang w:val="es-ES"/>
        </w:rPr>
        <w:t xml:space="preserve">También se proporcionará a cada participante un </w:t>
      </w:r>
      <w:r w:rsidRPr="00F30D2D">
        <w:rPr>
          <w:lang w:val="es-ES"/>
        </w:rPr>
        <w:t>CD</w:t>
      </w:r>
      <w:r w:rsidRPr="00F30D2D">
        <w:rPr>
          <w:lang w:val="es-ES"/>
        </w:rPr>
        <w:noBreakHyphen/>
        <w:t xml:space="preserve">ROM </w:t>
      </w:r>
      <w:r w:rsidR="00806676" w:rsidRPr="00F30D2D">
        <w:rPr>
          <w:lang w:val="es-ES"/>
        </w:rPr>
        <w:t>con el Informe de la RPC a la CMR</w:t>
      </w:r>
      <w:r w:rsidRPr="00F30D2D">
        <w:rPr>
          <w:lang w:val="es-ES"/>
        </w:rPr>
        <w:t xml:space="preserve">-12 </w:t>
      </w:r>
      <w:r w:rsidR="00806676" w:rsidRPr="00F30D2D">
        <w:rPr>
          <w:lang w:val="es-ES"/>
        </w:rPr>
        <w:t>tras la clausura de la RP</w:t>
      </w:r>
      <w:r w:rsidRPr="00F30D2D">
        <w:rPr>
          <w:lang w:val="es-ES"/>
        </w:rPr>
        <w:t>C11-2.</w:t>
      </w:r>
    </w:p>
    <w:p w:rsidR="009E6F6D" w:rsidRPr="00F30D2D" w:rsidRDefault="009E6F6D" w:rsidP="00402975">
      <w:pPr>
        <w:rPr>
          <w:lang w:val="es-ES"/>
        </w:rPr>
      </w:pPr>
      <w:r w:rsidRPr="00F30D2D">
        <w:rPr>
          <w:lang w:val="es-ES"/>
        </w:rPr>
        <w:t>6.6</w:t>
      </w:r>
      <w:r w:rsidRPr="00F30D2D">
        <w:rPr>
          <w:lang w:val="es-ES"/>
        </w:rPr>
        <w:tab/>
      </w:r>
      <w:r w:rsidR="00CA5DF9" w:rsidRPr="00F30D2D">
        <w:rPr>
          <w:lang w:val="es-ES"/>
        </w:rPr>
        <w:t xml:space="preserve">Para ayudar a la Oficina a preparar el mínimo número necesario de copias en papel de los documentos mencionadas en </w:t>
      </w:r>
      <w:r w:rsidRPr="00F30D2D">
        <w:rPr>
          <w:color w:val="000000"/>
          <w:lang w:val="es-ES"/>
        </w:rPr>
        <w:t>§ </w:t>
      </w:r>
      <w:r w:rsidRPr="00F30D2D">
        <w:rPr>
          <w:lang w:val="es-ES"/>
        </w:rPr>
        <w:t xml:space="preserve">6.1 </w:t>
      </w:r>
      <w:r w:rsidR="00CA5DF9" w:rsidRPr="00F30D2D">
        <w:rPr>
          <w:lang w:val="es-ES"/>
        </w:rPr>
        <w:t xml:space="preserve">y </w:t>
      </w:r>
      <w:r w:rsidRPr="00F30D2D">
        <w:rPr>
          <w:color w:val="000000"/>
          <w:lang w:val="es-ES"/>
        </w:rPr>
        <w:t>§ </w:t>
      </w:r>
      <w:r w:rsidR="006A15F0">
        <w:rPr>
          <w:lang w:val="es-ES"/>
        </w:rPr>
        <w:t>6.4</w:t>
      </w:r>
      <w:r w:rsidRPr="00F30D2D">
        <w:rPr>
          <w:lang w:val="es-ES"/>
        </w:rPr>
        <w:t xml:space="preserve"> </w:t>
      </w:r>
      <w:r w:rsidR="00CA5DF9" w:rsidRPr="00F30D2D">
        <w:rPr>
          <w:i/>
          <w:iCs/>
          <w:lang w:val="es-ES"/>
        </w:rPr>
        <w:t>supra</w:t>
      </w:r>
      <w:r w:rsidRPr="00F30D2D">
        <w:rPr>
          <w:lang w:val="es-ES"/>
        </w:rPr>
        <w:t xml:space="preserve">, </w:t>
      </w:r>
      <w:r w:rsidR="00CA5DF9" w:rsidRPr="00F30D2D">
        <w:rPr>
          <w:lang w:val="es-ES"/>
        </w:rPr>
        <w:t xml:space="preserve">y habida cuenta del </w:t>
      </w:r>
      <w:r w:rsidR="00402975">
        <w:rPr>
          <w:lang w:val="es-ES"/>
        </w:rPr>
        <w:t xml:space="preserve">volumen </w:t>
      </w:r>
      <w:r w:rsidR="00CA5DF9" w:rsidRPr="00F30D2D">
        <w:rPr>
          <w:lang w:val="es-ES"/>
        </w:rPr>
        <w:t>del Informe de la RPC</w:t>
      </w:r>
      <w:r w:rsidRPr="00F30D2D">
        <w:rPr>
          <w:lang w:val="es-ES"/>
        </w:rPr>
        <w:t xml:space="preserve">, </w:t>
      </w:r>
      <w:r w:rsidR="00CA5DF9" w:rsidRPr="00F30D2D">
        <w:rPr>
          <w:lang w:val="es-ES"/>
        </w:rPr>
        <w:t>le rogamos indique a la Oficina antes del</w:t>
      </w:r>
      <w:r w:rsidR="00886AE1">
        <w:rPr>
          <w:lang w:val="es-ES"/>
        </w:rPr>
        <w:t xml:space="preserve"> </w:t>
      </w:r>
      <w:r w:rsidR="00CA5DF9" w:rsidRPr="00F30D2D">
        <w:rPr>
          <w:lang w:val="es-ES"/>
        </w:rPr>
        <w:t xml:space="preserve">15 de agosto de 2010 </w:t>
      </w:r>
      <w:r w:rsidR="00402975">
        <w:rPr>
          <w:lang w:val="es-ES"/>
        </w:rPr>
        <w:t>en qué idioma lo desea</w:t>
      </w:r>
      <w:r w:rsidRPr="00F30D2D">
        <w:rPr>
          <w:lang w:val="es-ES"/>
        </w:rPr>
        <w:t xml:space="preserve">, </w:t>
      </w:r>
      <w:r w:rsidR="00CA5DF9" w:rsidRPr="00F30D2D">
        <w:rPr>
          <w:lang w:val="es-ES"/>
        </w:rPr>
        <w:t xml:space="preserve">utilizando para ello el formulario que figura en el </w:t>
      </w:r>
      <w:r w:rsidRPr="00F30D2D">
        <w:rPr>
          <w:b/>
          <w:bCs/>
          <w:lang w:val="es-ES"/>
        </w:rPr>
        <w:t>Anex</w:t>
      </w:r>
      <w:r w:rsidR="00CA5DF9" w:rsidRPr="00F30D2D">
        <w:rPr>
          <w:b/>
          <w:bCs/>
          <w:lang w:val="es-ES"/>
        </w:rPr>
        <w:t>o</w:t>
      </w:r>
      <w:r w:rsidRPr="00F30D2D">
        <w:rPr>
          <w:b/>
          <w:bCs/>
          <w:lang w:val="es-ES"/>
        </w:rPr>
        <w:t xml:space="preserve"> 2</w:t>
      </w:r>
      <w:r w:rsidRPr="00F30D2D">
        <w:rPr>
          <w:lang w:val="es-ES"/>
        </w:rPr>
        <w:t xml:space="preserve"> </w:t>
      </w:r>
      <w:r w:rsidR="00CA5DF9" w:rsidRPr="00F30D2D">
        <w:rPr>
          <w:lang w:val="es-ES"/>
        </w:rPr>
        <w:t xml:space="preserve">a la presente </w:t>
      </w:r>
      <w:r w:rsidRPr="00F30D2D">
        <w:rPr>
          <w:lang w:val="es-ES"/>
        </w:rPr>
        <w:t xml:space="preserve">Circular </w:t>
      </w:r>
      <w:r w:rsidR="00CA5DF9" w:rsidRPr="00F30D2D">
        <w:rPr>
          <w:lang w:val="es-ES"/>
        </w:rPr>
        <w:t>debidamente rellenado</w:t>
      </w:r>
      <w:r w:rsidRPr="00F30D2D">
        <w:rPr>
          <w:lang w:val="es-ES"/>
        </w:rPr>
        <w:t>.</w:t>
      </w:r>
    </w:p>
    <w:p w:rsidR="009E6F6D" w:rsidRPr="00C04BD8" w:rsidRDefault="00047E0F" w:rsidP="009E6F6D">
      <w:pPr>
        <w:pStyle w:val="Heading1"/>
        <w:spacing w:before="240"/>
        <w:rPr>
          <w:rStyle w:val="Heading1Char"/>
          <w:b/>
          <w:bCs/>
          <w:lang w:val="es-ES"/>
        </w:rPr>
      </w:pPr>
      <w:r w:rsidRPr="00C04BD8">
        <w:rPr>
          <w:rStyle w:val="Heading1Char"/>
          <w:b/>
          <w:bCs/>
          <w:lang w:val="es-ES"/>
        </w:rPr>
        <w:t>7</w:t>
      </w:r>
      <w:r w:rsidRPr="00C04BD8">
        <w:rPr>
          <w:rStyle w:val="Heading1Char"/>
          <w:b/>
          <w:bCs/>
          <w:lang w:val="es-ES"/>
        </w:rPr>
        <w:tab/>
      </w:r>
      <w:r w:rsidR="009E6F6D" w:rsidRPr="00C04BD8">
        <w:rPr>
          <w:rStyle w:val="Heading1Char"/>
          <w:b/>
          <w:bCs/>
          <w:lang w:val="es-ES"/>
        </w:rPr>
        <w:t>Inscripción de delegados</w:t>
      </w:r>
    </w:p>
    <w:p w:rsidR="00E268B4" w:rsidRPr="00F30D2D" w:rsidRDefault="00E268B4" w:rsidP="00E268B4">
      <w:pPr>
        <w:rPr>
          <w:lang w:val="es-ES"/>
        </w:rPr>
      </w:pPr>
      <w:r w:rsidRPr="00F30D2D">
        <w:rPr>
          <w:lang w:val="es-ES"/>
        </w:rPr>
        <w:t xml:space="preserve">La inscripción de delegados para la RPC11-2 se llevará a cabo </w:t>
      </w:r>
      <w:r w:rsidRPr="00F30D2D">
        <w:rPr>
          <w:b/>
          <w:bCs/>
          <w:lang w:val="es-ES"/>
        </w:rPr>
        <w:t>exclusivamente en línea</w:t>
      </w:r>
      <w:r w:rsidRPr="00F30D2D">
        <w:rPr>
          <w:lang w:val="es-ES"/>
        </w:rPr>
        <w:t xml:space="preserve"> desde el sitio web de la RPC. En el </w:t>
      </w:r>
      <w:r w:rsidRPr="00F30D2D">
        <w:rPr>
          <w:b/>
          <w:bCs/>
          <w:lang w:val="es-ES"/>
        </w:rPr>
        <w:t>Anexo 3</w:t>
      </w:r>
      <w:r w:rsidRPr="00F30D2D">
        <w:rPr>
          <w:lang w:val="es-ES"/>
        </w:rPr>
        <w:t xml:space="preserve"> se indican los pormenores del proceso de inscripción en línea y la información que deberá presentarse obligatoriamente a la Secretaría del UIT-R.</w:t>
      </w:r>
    </w:p>
    <w:p w:rsidR="00A21FEF" w:rsidRPr="00F30D2D" w:rsidRDefault="00E268B4" w:rsidP="00A453A6">
      <w:pPr>
        <w:pStyle w:val="Heading1"/>
        <w:spacing w:before="160"/>
        <w:rPr>
          <w:lang w:val="es-ES"/>
        </w:rPr>
      </w:pPr>
      <w:r w:rsidRPr="00F30D2D">
        <w:rPr>
          <w:lang w:val="es-ES"/>
        </w:rPr>
        <w:t>8</w:t>
      </w:r>
      <w:r w:rsidRPr="00F30D2D">
        <w:rPr>
          <w:lang w:val="es-ES"/>
        </w:rPr>
        <w:tab/>
      </w:r>
      <w:r w:rsidR="00A21FEF" w:rsidRPr="00F30D2D">
        <w:rPr>
          <w:lang w:val="es-ES"/>
        </w:rPr>
        <w:t>Alojamiento en los hoteles</w:t>
      </w:r>
    </w:p>
    <w:p w:rsidR="00E268B4" w:rsidRPr="00F30D2D" w:rsidRDefault="00E268B4" w:rsidP="00C04BD8">
      <w:pPr>
        <w:rPr>
          <w:rFonts w:eastAsia="SimSun"/>
          <w:lang w:val="es-ES" w:eastAsia="zh-CN"/>
        </w:rPr>
      </w:pPr>
      <w:r w:rsidRPr="00F30D2D">
        <w:rPr>
          <w:lang w:val="es-ES"/>
        </w:rPr>
        <w:t>Se ha obtenido una reducción en l</w:t>
      </w:r>
      <w:r w:rsidR="00C04BD8">
        <w:rPr>
          <w:lang w:val="es-ES"/>
        </w:rPr>
        <w:t>a</w:t>
      </w:r>
      <w:r w:rsidRPr="00F30D2D">
        <w:rPr>
          <w:lang w:val="es-ES"/>
        </w:rPr>
        <w:t xml:space="preserve">s </w:t>
      </w:r>
      <w:r w:rsidR="00C04BD8">
        <w:rPr>
          <w:lang w:val="es-ES"/>
        </w:rPr>
        <w:t>tarifas</w:t>
      </w:r>
      <w:r w:rsidRPr="00F30D2D">
        <w:rPr>
          <w:lang w:val="es-ES"/>
        </w:rPr>
        <w:t xml:space="preserve"> de los hoteles en Ginebra para los delegados que participan en las Conferencias y reuniones de la UIT. La lista de los hoteles correspondientes junto con el formulario de reserva </w:t>
      </w:r>
      <w:r w:rsidRPr="00F30D2D">
        <w:rPr>
          <w:b/>
          <w:bCs/>
          <w:lang w:val="es-ES"/>
        </w:rPr>
        <w:t xml:space="preserve">que debe enviarse directamente al hotel, </w:t>
      </w:r>
      <w:r w:rsidRPr="00F30D2D">
        <w:rPr>
          <w:lang w:val="es-ES"/>
        </w:rPr>
        <w:t xml:space="preserve">figura en la siguiente dirección: </w:t>
      </w:r>
      <w:r w:rsidRPr="00F30D2D">
        <w:rPr>
          <w:rFonts w:eastAsia="SimSun"/>
          <w:color w:val="0000FF"/>
          <w:u w:val="single"/>
          <w:lang w:val="es-ES" w:eastAsia="zh-CN"/>
        </w:rPr>
        <w:t>http://www.itu.int/travel/</w:t>
      </w:r>
      <w:r w:rsidRPr="00F30D2D">
        <w:rPr>
          <w:rFonts w:eastAsia="SimSun"/>
          <w:lang w:val="es-ES" w:eastAsia="zh-CN"/>
        </w:rPr>
        <w:t>.</w:t>
      </w:r>
    </w:p>
    <w:p w:rsidR="00A21FEF" w:rsidRPr="00345673" w:rsidRDefault="00E268B4" w:rsidP="00345673">
      <w:pPr>
        <w:pStyle w:val="Heading1"/>
        <w:spacing w:before="160"/>
        <w:rPr>
          <w:bCs/>
        </w:rPr>
      </w:pPr>
      <w:r w:rsidRPr="00345673">
        <w:rPr>
          <w:bCs/>
        </w:rPr>
        <w:t>9</w:t>
      </w:r>
      <w:r w:rsidRPr="00345673">
        <w:rPr>
          <w:bCs/>
        </w:rPr>
        <w:tab/>
        <w:t>Requisitos de visado</w:t>
      </w:r>
    </w:p>
    <w:p w:rsidR="00E268B4" w:rsidRPr="00F30D2D" w:rsidRDefault="00E268B4" w:rsidP="00701265">
      <w:pPr>
        <w:rPr>
          <w:lang w:val="es-ES"/>
        </w:rPr>
      </w:pPr>
      <w:r w:rsidRPr="00F30D2D">
        <w:rPr>
          <w:lang w:val="es-ES"/>
        </w:rPr>
        <w:t xml:space="preserve">Le recordamos que los ciudadanos procedentes de ciertos países necesitan obtener un visado para entrar y permanecer en Suiza. </w:t>
      </w:r>
      <w:r w:rsidRPr="00701265">
        <w:rPr>
          <w:b/>
          <w:bCs/>
          <w:lang w:val="es-ES"/>
        </w:rPr>
        <w:t xml:space="preserve">El visado debe solicitarse </w:t>
      </w:r>
      <w:r w:rsidRPr="00F30D2D">
        <w:rPr>
          <w:b/>
          <w:bCs/>
          <w:lang w:val="es-ES"/>
        </w:rPr>
        <w:t xml:space="preserve">al menos cuatro semanas antes de la apertura de la RPC11-2 </w:t>
      </w:r>
      <w:r w:rsidRPr="00F30D2D">
        <w:rPr>
          <w:lang w:val="es-ES"/>
        </w:rPr>
        <w:t xml:space="preserve">y obtenerse en la oficina (embajada o consulado) que representa a Suiza en su país o, en su defecto, en la más próxima a su país de partida. Si surgen problemas, la Unión puede, previa solicitud oficial de la </w:t>
      </w:r>
      <w:r w:rsidR="00701265">
        <w:rPr>
          <w:lang w:val="es-ES"/>
        </w:rPr>
        <w:t>A</w:t>
      </w:r>
      <w:r w:rsidRPr="00F30D2D">
        <w:rPr>
          <w:lang w:val="es-ES"/>
        </w:rPr>
        <w:t>dministración o empresa que usted representa, intervenir ante las autoridades suizas competentes para facilitar la expedición del visado. Ahora bien, como se ha indicado antes, este trámite requiere cuatro semanas. La solicitud debe ir acompañada del formulario de inscripción correspondiente a la Conferencia o reunión de la UIT de que se trate.</w:t>
      </w:r>
    </w:p>
    <w:p w:rsidR="00E268B4" w:rsidRPr="00F30D2D" w:rsidRDefault="00E268B4" w:rsidP="00E268B4">
      <w:pPr>
        <w:rPr>
          <w:szCs w:val="24"/>
          <w:lang w:val="es-ES"/>
        </w:rPr>
      </w:pPr>
      <w:r w:rsidRPr="00F30D2D">
        <w:rPr>
          <w:szCs w:val="24"/>
          <w:lang w:val="es-ES"/>
        </w:rPr>
        <w:t xml:space="preserve">Para mayor información, véase </w:t>
      </w:r>
      <w:hyperlink r:id="rId12" w:history="1">
        <w:r w:rsidRPr="00F30D2D">
          <w:rPr>
            <w:rStyle w:val="Hyperlink"/>
            <w:szCs w:val="24"/>
            <w:lang w:val="es-ES"/>
          </w:rPr>
          <w:t>http://www.itu.int/ITU-R/go/delegate-reg-info/en</w:t>
        </w:r>
      </w:hyperlink>
      <w:r w:rsidRPr="00F30D2D">
        <w:rPr>
          <w:szCs w:val="24"/>
          <w:lang w:val="es-ES"/>
        </w:rPr>
        <w:t>.</w:t>
      </w:r>
    </w:p>
    <w:p w:rsidR="00345673" w:rsidRDefault="00345673">
      <w:pPr>
        <w:tabs>
          <w:tab w:val="clear" w:pos="794"/>
          <w:tab w:val="clear" w:pos="1191"/>
          <w:tab w:val="clear" w:pos="1588"/>
          <w:tab w:val="clear" w:pos="1985"/>
        </w:tabs>
        <w:overflowPunct/>
        <w:autoSpaceDE/>
        <w:autoSpaceDN/>
        <w:adjustRightInd/>
        <w:spacing w:before="0"/>
        <w:textAlignment w:val="auto"/>
        <w:rPr>
          <w:b/>
          <w:lang w:val="es-ES"/>
        </w:rPr>
      </w:pPr>
      <w:r>
        <w:rPr>
          <w:lang w:val="es-ES"/>
        </w:rPr>
        <w:br w:type="page"/>
      </w:r>
    </w:p>
    <w:p w:rsidR="00A21FEF" w:rsidRPr="00F30D2D" w:rsidRDefault="00A21FEF" w:rsidP="00A21FEF">
      <w:pPr>
        <w:pStyle w:val="Headingb"/>
        <w:rPr>
          <w:lang w:val="es-ES"/>
        </w:rPr>
      </w:pPr>
      <w:r w:rsidRPr="00F30D2D">
        <w:rPr>
          <w:lang w:val="es-ES"/>
        </w:rPr>
        <w:lastRenderedPageBreak/>
        <w:t>Solicitudes de visado</w:t>
      </w:r>
    </w:p>
    <w:p w:rsidR="00A21FEF" w:rsidRPr="00F30D2D" w:rsidRDefault="001B323D" w:rsidP="001B323D">
      <w:pPr>
        <w:rPr>
          <w:lang w:val="es-ES"/>
        </w:rPr>
      </w:pPr>
      <w:r>
        <w:rPr>
          <w:lang w:val="es-ES"/>
        </w:rPr>
        <w:t xml:space="preserve">Para los </w:t>
      </w:r>
      <w:r w:rsidR="00A21FEF" w:rsidRPr="00F30D2D">
        <w:rPr>
          <w:lang w:val="es-ES"/>
        </w:rPr>
        <w:t xml:space="preserve">delegados/participantes que hayan </w:t>
      </w:r>
      <w:r w:rsidR="00E268B4" w:rsidRPr="00F30D2D">
        <w:rPr>
          <w:lang w:val="es-ES"/>
        </w:rPr>
        <w:t xml:space="preserve">efectuado su </w:t>
      </w:r>
      <w:r w:rsidR="00A21FEF" w:rsidRPr="00F30D2D">
        <w:rPr>
          <w:lang w:val="es-ES"/>
        </w:rPr>
        <w:t>inscripción en línea a través del</w:t>
      </w:r>
      <w:r w:rsidR="00BA2D23" w:rsidRPr="00F30D2D">
        <w:rPr>
          <w:lang w:val="es-ES"/>
        </w:rPr>
        <w:t> </w:t>
      </w:r>
      <w:r w:rsidR="00E268B4" w:rsidRPr="00F30D2D">
        <w:rPr>
          <w:lang w:val="es-ES"/>
        </w:rPr>
        <w:t>coordinador designado</w:t>
      </w:r>
      <w:r w:rsidR="00A21FEF" w:rsidRPr="00F30D2D">
        <w:rPr>
          <w:lang w:val="es-ES"/>
        </w:rPr>
        <w:t xml:space="preserve"> </w:t>
      </w:r>
      <w:r w:rsidR="00924536">
        <w:rPr>
          <w:lang w:val="es-ES"/>
        </w:rPr>
        <w:t xml:space="preserve">por </w:t>
      </w:r>
      <w:r w:rsidR="00A21FEF" w:rsidRPr="00F30D2D">
        <w:rPr>
          <w:lang w:val="es-ES"/>
        </w:rPr>
        <w:t xml:space="preserve">su Estado Miembro/Miembro de Sector, se ha simplificado el </w:t>
      </w:r>
      <w:r>
        <w:rPr>
          <w:lang w:val="es-ES"/>
        </w:rPr>
        <w:t xml:space="preserve">trámite </w:t>
      </w:r>
      <w:r w:rsidR="00A21FEF" w:rsidRPr="00F30D2D">
        <w:rPr>
          <w:lang w:val="es-ES"/>
        </w:rPr>
        <w:t xml:space="preserve">para solicitar el visado. </w:t>
      </w:r>
      <w:r w:rsidR="00A21FEF" w:rsidRPr="00701265">
        <w:rPr>
          <w:b/>
          <w:bCs/>
          <w:lang w:val="es-ES"/>
        </w:rPr>
        <w:t>Si se requiere la asistencia de la Sede de la UIT</w:t>
      </w:r>
      <w:r w:rsidR="00A21FEF" w:rsidRPr="00F30D2D">
        <w:rPr>
          <w:lang w:val="es-ES"/>
        </w:rPr>
        <w:t xml:space="preserve">, el </w:t>
      </w:r>
      <w:r w:rsidR="00E268B4" w:rsidRPr="00F30D2D">
        <w:rPr>
          <w:lang w:val="es-ES"/>
        </w:rPr>
        <w:t xml:space="preserve">coordinador designado debe solicitar dicha asistencia </w:t>
      </w:r>
      <w:r w:rsidR="00A21FEF" w:rsidRPr="00F30D2D">
        <w:rPr>
          <w:lang w:val="es-ES"/>
        </w:rPr>
        <w:t>en el momento de completar la solicitud de inscripción de la persona interesada. El</w:t>
      </w:r>
      <w:r w:rsidR="00BA2D23" w:rsidRPr="00F30D2D">
        <w:rPr>
          <w:lang w:val="es-ES"/>
        </w:rPr>
        <w:t> </w:t>
      </w:r>
      <w:r w:rsidR="007635E5" w:rsidRPr="00F30D2D">
        <w:rPr>
          <w:lang w:val="es-ES"/>
        </w:rPr>
        <w:t xml:space="preserve">coordinarán </w:t>
      </w:r>
      <w:r w:rsidR="00A21FEF" w:rsidRPr="00F30D2D">
        <w:rPr>
          <w:lang w:val="es-ES"/>
        </w:rPr>
        <w:t>encontrará, en la parte inferior del formulario de inscripción, varias preguntas que deben contestar</w:t>
      </w:r>
      <w:r w:rsidR="007635E5" w:rsidRPr="00F30D2D">
        <w:rPr>
          <w:lang w:val="es-ES"/>
        </w:rPr>
        <w:t>se</w:t>
      </w:r>
      <w:r w:rsidR="00A21FEF" w:rsidRPr="00F30D2D">
        <w:rPr>
          <w:lang w:val="es-ES"/>
        </w:rPr>
        <w:t xml:space="preserve"> completamente y con precisión. La información solicitada es:</w:t>
      </w:r>
    </w:p>
    <w:p w:rsidR="007635E5" w:rsidRPr="00F30D2D" w:rsidRDefault="00345673" w:rsidP="00345673">
      <w:pPr>
        <w:pStyle w:val="enumlev1"/>
        <w:rPr>
          <w:lang w:val="es-ES"/>
        </w:rPr>
      </w:pPr>
      <w:r>
        <w:rPr>
          <w:lang w:val="es-ES"/>
        </w:rPr>
        <w:tab/>
      </w:r>
      <w:r w:rsidR="00A21FEF" w:rsidRPr="00F30D2D">
        <w:rPr>
          <w:lang w:val="es-ES"/>
        </w:rPr>
        <w:t>Fecha de nacimiento</w:t>
      </w:r>
    </w:p>
    <w:p w:rsidR="007635E5" w:rsidRPr="00F30D2D" w:rsidRDefault="00345673" w:rsidP="00345673">
      <w:pPr>
        <w:pStyle w:val="enumlev1"/>
        <w:rPr>
          <w:lang w:val="es-ES"/>
        </w:rPr>
      </w:pPr>
      <w:r>
        <w:rPr>
          <w:lang w:val="es-ES"/>
        </w:rPr>
        <w:tab/>
      </w:r>
      <w:r w:rsidR="00A21FEF" w:rsidRPr="00F30D2D">
        <w:rPr>
          <w:lang w:val="es-ES"/>
        </w:rPr>
        <w:t>Número de pasaporte</w:t>
      </w:r>
    </w:p>
    <w:p w:rsidR="00A21FEF" w:rsidRPr="00F30D2D" w:rsidRDefault="00345673" w:rsidP="00345673">
      <w:pPr>
        <w:pStyle w:val="enumlev1"/>
        <w:rPr>
          <w:lang w:val="es-ES"/>
        </w:rPr>
      </w:pPr>
      <w:r>
        <w:rPr>
          <w:lang w:val="es-ES"/>
        </w:rPr>
        <w:tab/>
      </w:r>
      <w:r w:rsidR="00A21FEF" w:rsidRPr="00F30D2D">
        <w:rPr>
          <w:lang w:val="es-ES"/>
        </w:rPr>
        <w:t>Fechas de expedición y vencimiento del pasaporte</w:t>
      </w:r>
    </w:p>
    <w:p w:rsidR="00A21FEF" w:rsidRPr="00F30D2D" w:rsidRDefault="007635E5" w:rsidP="007635E5">
      <w:pPr>
        <w:rPr>
          <w:lang w:val="es-ES"/>
        </w:rPr>
      </w:pPr>
      <w:r w:rsidRPr="00F30D2D">
        <w:rPr>
          <w:lang w:val="es-ES"/>
        </w:rPr>
        <w:t>E</w:t>
      </w:r>
      <w:r w:rsidR="00A21FEF" w:rsidRPr="00F30D2D">
        <w:rPr>
          <w:lang w:val="es-ES"/>
        </w:rPr>
        <w:t xml:space="preserve">l procedimiento de </w:t>
      </w:r>
      <w:r w:rsidRPr="00F30D2D">
        <w:rPr>
          <w:lang w:val="es-ES"/>
        </w:rPr>
        <w:t xml:space="preserve">asistencia para la obtención de </w:t>
      </w:r>
      <w:r w:rsidR="00A21FEF" w:rsidRPr="00F30D2D">
        <w:rPr>
          <w:lang w:val="es-ES"/>
        </w:rPr>
        <w:t>visado segui</w:t>
      </w:r>
      <w:r w:rsidR="005738B5">
        <w:rPr>
          <w:lang w:val="es-ES"/>
        </w:rPr>
        <w:t>rá su curso automáticamente. El </w:t>
      </w:r>
      <w:r w:rsidR="00A21FEF" w:rsidRPr="00F30D2D">
        <w:rPr>
          <w:lang w:val="es-ES"/>
        </w:rPr>
        <w:t xml:space="preserve">delegado/participante recibirá </w:t>
      </w:r>
      <w:r w:rsidRPr="00F30D2D">
        <w:rPr>
          <w:lang w:val="es-ES"/>
        </w:rPr>
        <w:t xml:space="preserve">por correo electrónico una </w:t>
      </w:r>
      <w:r w:rsidR="00A21FEF" w:rsidRPr="00F30D2D">
        <w:rPr>
          <w:lang w:val="es-ES"/>
        </w:rPr>
        <w:t xml:space="preserve">notificación de confirmación de </w:t>
      </w:r>
      <w:r w:rsidRPr="00F30D2D">
        <w:rPr>
          <w:lang w:val="es-ES"/>
        </w:rPr>
        <w:t xml:space="preserve">la </w:t>
      </w:r>
      <w:r w:rsidR="00A21FEF" w:rsidRPr="00F30D2D">
        <w:rPr>
          <w:lang w:val="es-ES"/>
        </w:rPr>
        <w:t>inscripción, indic</w:t>
      </w:r>
      <w:r w:rsidRPr="00F30D2D">
        <w:rPr>
          <w:lang w:val="es-ES"/>
        </w:rPr>
        <w:t>á</w:t>
      </w:r>
      <w:r w:rsidR="00A21FEF" w:rsidRPr="00F30D2D">
        <w:rPr>
          <w:lang w:val="es-ES"/>
        </w:rPr>
        <w:t>ndo</w:t>
      </w:r>
      <w:r w:rsidRPr="00F30D2D">
        <w:rPr>
          <w:lang w:val="es-ES"/>
        </w:rPr>
        <w:t>le</w:t>
      </w:r>
      <w:r w:rsidR="00A21FEF" w:rsidRPr="00F30D2D">
        <w:rPr>
          <w:lang w:val="es-ES"/>
        </w:rPr>
        <w:t xml:space="preserve"> que la solicitud de visado </w:t>
      </w:r>
      <w:r w:rsidRPr="00F30D2D">
        <w:rPr>
          <w:lang w:val="es-ES"/>
        </w:rPr>
        <w:t xml:space="preserve">se ha recibido </w:t>
      </w:r>
      <w:r w:rsidR="00A21FEF" w:rsidRPr="00F30D2D">
        <w:rPr>
          <w:lang w:val="es-ES"/>
        </w:rPr>
        <w:t xml:space="preserve">y que </w:t>
      </w:r>
      <w:r w:rsidRPr="00F30D2D">
        <w:rPr>
          <w:lang w:val="es-ES"/>
        </w:rPr>
        <w:t>se está tramitando</w:t>
      </w:r>
      <w:r w:rsidR="00A21FEF" w:rsidRPr="00F30D2D">
        <w:rPr>
          <w:lang w:val="es-ES"/>
        </w:rPr>
        <w:t>.</w:t>
      </w:r>
    </w:p>
    <w:p w:rsidR="007635E5" w:rsidRPr="00F30D2D" w:rsidRDefault="00345673" w:rsidP="008A7ED1">
      <w:pPr>
        <w:rPr>
          <w:lang w:val="es-ES"/>
        </w:rPr>
      </w:pPr>
      <w:r>
        <w:rPr>
          <w:b/>
          <w:lang w:val="es-ES"/>
        </w:rPr>
        <w:t>1</w:t>
      </w:r>
      <w:r w:rsidR="00B17EC4">
        <w:rPr>
          <w:b/>
          <w:lang w:val="es-ES"/>
        </w:rPr>
        <w:t>0</w:t>
      </w:r>
      <w:r w:rsidR="007635E5" w:rsidRPr="00F30D2D">
        <w:rPr>
          <w:lang w:val="es-ES"/>
        </w:rPr>
        <w:tab/>
        <w:t xml:space="preserve">La persona de contacto en la Oficina de </w:t>
      </w:r>
      <w:r w:rsidR="00F30D2D" w:rsidRPr="00F30D2D">
        <w:rPr>
          <w:lang w:val="es-ES"/>
        </w:rPr>
        <w:t>Radiocomunicaciones</w:t>
      </w:r>
      <w:r w:rsidR="007635E5" w:rsidRPr="00F30D2D">
        <w:rPr>
          <w:lang w:val="es-ES"/>
        </w:rPr>
        <w:t xml:space="preserve"> para cuestiones generales relacionadas con la RPC11-2 es el Sr. Philippe Aubineau (Tel</w:t>
      </w:r>
      <w:r w:rsidR="008A7ED1">
        <w:rPr>
          <w:lang w:val="es-ES"/>
        </w:rPr>
        <w:t>.</w:t>
      </w:r>
      <w:r w:rsidR="007635E5" w:rsidRPr="00F30D2D">
        <w:rPr>
          <w:lang w:val="es-ES"/>
        </w:rPr>
        <w:t xml:space="preserve">: +41 22 730 5992; </w:t>
      </w:r>
      <w:r w:rsidR="008A7ED1">
        <w:rPr>
          <w:lang w:val="es-ES"/>
        </w:rPr>
        <w:t>C</w:t>
      </w:r>
      <w:r w:rsidR="007635E5" w:rsidRPr="00F30D2D">
        <w:rPr>
          <w:lang w:val="es-ES"/>
        </w:rPr>
        <w:t>orreo</w:t>
      </w:r>
      <w:r w:rsidR="008A7ED1">
        <w:rPr>
          <w:lang w:val="es-ES"/>
        </w:rPr>
        <w:noBreakHyphen/>
      </w:r>
      <w:r w:rsidR="007635E5" w:rsidRPr="00F30D2D">
        <w:rPr>
          <w:lang w:val="es-ES"/>
        </w:rPr>
        <w:t>e:</w:t>
      </w:r>
      <w:r w:rsidR="008A7ED1">
        <w:rPr>
          <w:lang w:val="es-ES"/>
        </w:rPr>
        <w:t> </w:t>
      </w:r>
      <w:hyperlink r:id="rId13" w:history="1">
        <w:r w:rsidR="007635E5" w:rsidRPr="00F30D2D">
          <w:rPr>
            <w:rStyle w:val="Hyperlink"/>
            <w:lang w:val="es-ES"/>
          </w:rPr>
          <w:t>philippe.aubineau@itu.int</w:t>
        </w:r>
      </w:hyperlink>
      <w:r w:rsidR="007635E5" w:rsidRPr="00F30D2D">
        <w:rPr>
          <w:lang w:val="es-ES"/>
        </w:rPr>
        <w:t>).</w:t>
      </w:r>
    </w:p>
    <w:p w:rsidR="00A21FEF" w:rsidRPr="00F30D2D" w:rsidRDefault="00A21FEF" w:rsidP="00A21FEF">
      <w:pPr>
        <w:spacing w:before="0"/>
        <w:rPr>
          <w:lang w:val="es-ES"/>
        </w:rPr>
      </w:pPr>
    </w:p>
    <w:p w:rsidR="00A21FEF" w:rsidRPr="00F30D2D" w:rsidRDefault="00A21FEF" w:rsidP="00A21FEF">
      <w:pPr>
        <w:rPr>
          <w:rFonts w:eastAsia="SimSun"/>
          <w:lang w:val="es-ES" w:eastAsia="zh-CN"/>
        </w:rPr>
      </w:pPr>
    </w:p>
    <w:p w:rsidR="00A21FEF" w:rsidRPr="00F30D2D" w:rsidRDefault="00A21FEF" w:rsidP="00A21FEF">
      <w:pPr>
        <w:rPr>
          <w:lang w:val="es-ES"/>
        </w:rPr>
      </w:pPr>
    </w:p>
    <w:p w:rsidR="00A21FEF" w:rsidRPr="00F30D2D" w:rsidRDefault="00A21FEF" w:rsidP="00A21FEF">
      <w:pPr>
        <w:rPr>
          <w:lang w:val="es-ES"/>
        </w:rPr>
      </w:pPr>
    </w:p>
    <w:p w:rsidR="00A21FEF" w:rsidRPr="00F30D2D" w:rsidRDefault="00CC0D22" w:rsidP="00A21FEF">
      <w:pPr>
        <w:tabs>
          <w:tab w:val="clear" w:pos="794"/>
          <w:tab w:val="clear" w:pos="1191"/>
          <w:tab w:val="clear" w:pos="1588"/>
          <w:tab w:val="clear" w:pos="1985"/>
          <w:tab w:val="center" w:pos="6663"/>
        </w:tabs>
        <w:spacing w:before="0"/>
        <w:rPr>
          <w:lang w:val="es-ES"/>
        </w:rPr>
      </w:pPr>
      <w:r w:rsidRPr="00F30D2D">
        <w:rPr>
          <w:lang w:val="es-ES"/>
        </w:rPr>
        <w:tab/>
        <w:t>Valery Timofeev</w:t>
      </w:r>
      <w:r w:rsidRPr="00F30D2D">
        <w:rPr>
          <w:lang w:val="es-ES"/>
        </w:rPr>
        <w:br/>
      </w:r>
      <w:r w:rsidRPr="00F30D2D">
        <w:rPr>
          <w:lang w:val="es-ES"/>
        </w:rPr>
        <w:tab/>
        <w:t>Director</w:t>
      </w:r>
      <w:r w:rsidR="00701265">
        <w:rPr>
          <w:lang w:val="es-ES"/>
        </w:rPr>
        <w:t>,</w:t>
      </w:r>
      <w:r w:rsidRPr="00F30D2D">
        <w:rPr>
          <w:lang w:val="es-ES"/>
        </w:rPr>
        <w:t xml:space="preserve"> </w:t>
      </w:r>
      <w:r w:rsidR="00A21FEF" w:rsidRPr="00F30D2D">
        <w:rPr>
          <w:lang w:val="es-ES"/>
        </w:rPr>
        <w:t>Oficina de Radiocomunicaciones</w:t>
      </w:r>
    </w:p>
    <w:p w:rsidR="00A21FEF" w:rsidRPr="00F30D2D" w:rsidRDefault="00A21FEF" w:rsidP="00A21FEF">
      <w:pPr>
        <w:rPr>
          <w:lang w:val="es-ES"/>
        </w:rPr>
      </w:pPr>
    </w:p>
    <w:p w:rsidR="00A21FEF" w:rsidRPr="00F30D2D" w:rsidRDefault="00A21FEF" w:rsidP="00A21FEF">
      <w:pPr>
        <w:rPr>
          <w:lang w:val="es-ES"/>
        </w:rPr>
      </w:pPr>
    </w:p>
    <w:p w:rsidR="00A21FEF" w:rsidRPr="00F30D2D" w:rsidRDefault="00A21FEF" w:rsidP="00A21FEF">
      <w:pPr>
        <w:rPr>
          <w:lang w:val="es-ES"/>
        </w:rPr>
      </w:pPr>
    </w:p>
    <w:p w:rsidR="007635E5" w:rsidRPr="00F30D2D" w:rsidRDefault="007635E5" w:rsidP="00701265">
      <w:pPr>
        <w:tabs>
          <w:tab w:val="center" w:pos="7939"/>
          <w:tab w:val="right" w:pos="8505"/>
        </w:tabs>
        <w:ind w:left="1191" w:hanging="1191"/>
        <w:rPr>
          <w:lang w:val="es-ES"/>
        </w:rPr>
      </w:pPr>
      <w:r w:rsidRPr="00F30D2D">
        <w:rPr>
          <w:b/>
          <w:lang w:val="es-ES"/>
        </w:rPr>
        <w:t>Anexo 1</w:t>
      </w:r>
      <w:r w:rsidRPr="00F30D2D">
        <w:rPr>
          <w:b/>
          <w:bCs/>
          <w:lang w:val="es-ES"/>
        </w:rPr>
        <w:t>:</w:t>
      </w:r>
      <w:r w:rsidRPr="00F30D2D">
        <w:rPr>
          <w:lang w:val="es-ES"/>
        </w:rPr>
        <w:t xml:space="preserve"> </w:t>
      </w:r>
      <w:r w:rsidRPr="00F30D2D">
        <w:rPr>
          <w:lang w:val="es-ES"/>
        </w:rPr>
        <w:tab/>
        <w:t>Proyecto de orden del día de la segunda sesión de la Reunión Preparatoria de la Conferencia de 2011</w:t>
      </w:r>
    </w:p>
    <w:p w:rsidR="007635E5" w:rsidRPr="00F30D2D" w:rsidRDefault="007635E5" w:rsidP="007635E5">
      <w:pPr>
        <w:tabs>
          <w:tab w:val="center" w:pos="7939"/>
          <w:tab w:val="right" w:pos="8505"/>
        </w:tabs>
        <w:spacing w:before="80"/>
        <w:rPr>
          <w:lang w:val="es-ES"/>
        </w:rPr>
      </w:pPr>
      <w:r w:rsidRPr="00F30D2D">
        <w:rPr>
          <w:b/>
          <w:lang w:val="es-ES"/>
        </w:rPr>
        <w:t>Anexo 2:</w:t>
      </w:r>
      <w:r w:rsidRPr="00F30D2D">
        <w:rPr>
          <w:lang w:val="es-ES"/>
        </w:rPr>
        <w:t xml:space="preserve"> </w:t>
      </w:r>
      <w:r w:rsidRPr="00F30D2D">
        <w:rPr>
          <w:lang w:val="es-ES"/>
        </w:rPr>
        <w:tab/>
        <w:t xml:space="preserve">Idioma en que se desea obtener las copias en papel de la documentación </w:t>
      </w:r>
    </w:p>
    <w:p w:rsidR="007635E5" w:rsidRPr="00F30D2D" w:rsidRDefault="007635E5" w:rsidP="007635E5">
      <w:pPr>
        <w:tabs>
          <w:tab w:val="center" w:pos="7939"/>
          <w:tab w:val="right" w:pos="8505"/>
        </w:tabs>
        <w:spacing w:before="80"/>
        <w:rPr>
          <w:lang w:val="es-ES"/>
        </w:rPr>
      </w:pPr>
      <w:r w:rsidRPr="00F30D2D">
        <w:rPr>
          <w:b/>
          <w:lang w:val="es-ES"/>
        </w:rPr>
        <w:t>Anexo 3:</w:t>
      </w:r>
      <w:r w:rsidRPr="00F30D2D">
        <w:rPr>
          <w:lang w:val="es-ES"/>
        </w:rPr>
        <w:t xml:space="preserve"> </w:t>
      </w:r>
      <w:r w:rsidRPr="00F30D2D">
        <w:rPr>
          <w:lang w:val="es-ES"/>
        </w:rPr>
        <w:tab/>
        <w:t>Información sobre la inscripción en línea</w:t>
      </w:r>
    </w:p>
    <w:p w:rsidR="007635E5" w:rsidRDefault="007635E5" w:rsidP="007635E5">
      <w:pPr>
        <w:tabs>
          <w:tab w:val="center" w:pos="7939"/>
          <w:tab w:val="right" w:pos="8505"/>
        </w:tabs>
        <w:rPr>
          <w:lang w:val="es-ES"/>
        </w:rPr>
      </w:pPr>
    </w:p>
    <w:p w:rsidR="005738B5" w:rsidRPr="00F30D2D" w:rsidRDefault="005738B5" w:rsidP="007635E5">
      <w:pPr>
        <w:tabs>
          <w:tab w:val="center" w:pos="7939"/>
          <w:tab w:val="right" w:pos="8505"/>
        </w:tabs>
        <w:rPr>
          <w:lang w:val="es-ES"/>
        </w:rPr>
      </w:pPr>
    </w:p>
    <w:p w:rsidR="00A21FEF" w:rsidRPr="005738B5" w:rsidRDefault="00A21FEF" w:rsidP="00A21FEF">
      <w:pPr>
        <w:spacing w:before="20"/>
        <w:rPr>
          <w:sz w:val="18"/>
          <w:szCs w:val="18"/>
          <w:lang w:val="es-ES"/>
        </w:rPr>
      </w:pPr>
      <w:r w:rsidRPr="005738B5">
        <w:rPr>
          <w:b/>
          <w:bCs/>
          <w:sz w:val="18"/>
          <w:szCs w:val="18"/>
          <w:lang w:val="es-ES"/>
        </w:rPr>
        <w:t>Distribución</w:t>
      </w:r>
      <w:r w:rsidRPr="005738B5">
        <w:rPr>
          <w:sz w:val="18"/>
          <w:szCs w:val="18"/>
          <w:lang w:val="es-ES"/>
        </w:rPr>
        <w:t>:</w:t>
      </w:r>
      <w:r w:rsidR="007635E5" w:rsidRPr="005738B5">
        <w:rPr>
          <w:sz w:val="18"/>
          <w:szCs w:val="18"/>
          <w:lang w:val="es-ES"/>
        </w:rPr>
        <w:br/>
      </w:r>
    </w:p>
    <w:p w:rsidR="00A21FEF" w:rsidRPr="005738B5" w:rsidRDefault="00A21FEF" w:rsidP="00A21FEF">
      <w:pPr>
        <w:pStyle w:val="enumlev1"/>
        <w:tabs>
          <w:tab w:val="left" w:pos="567"/>
          <w:tab w:val="left" w:pos="851"/>
        </w:tabs>
        <w:spacing w:before="20"/>
        <w:rPr>
          <w:sz w:val="18"/>
          <w:szCs w:val="18"/>
          <w:lang w:val="es-ES"/>
        </w:rPr>
      </w:pPr>
      <w:r w:rsidRPr="005738B5">
        <w:rPr>
          <w:sz w:val="18"/>
          <w:szCs w:val="18"/>
          <w:lang w:val="es-ES"/>
        </w:rPr>
        <w:t>–</w:t>
      </w:r>
      <w:r w:rsidRPr="005738B5">
        <w:rPr>
          <w:sz w:val="18"/>
          <w:szCs w:val="18"/>
          <w:lang w:val="es-ES"/>
        </w:rPr>
        <w:tab/>
        <w:t>Administraciones de los Estados Miembros de la UIT</w:t>
      </w:r>
    </w:p>
    <w:p w:rsidR="00A21FEF" w:rsidRPr="005738B5" w:rsidRDefault="00A21FEF" w:rsidP="00A21FEF">
      <w:pPr>
        <w:pStyle w:val="enumlev1"/>
        <w:tabs>
          <w:tab w:val="left" w:pos="567"/>
        </w:tabs>
        <w:spacing w:before="20"/>
        <w:rPr>
          <w:sz w:val="18"/>
          <w:szCs w:val="18"/>
          <w:lang w:val="es-ES"/>
        </w:rPr>
      </w:pPr>
      <w:r w:rsidRPr="005738B5">
        <w:rPr>
          <w:sz w:val="18"/>
          <w:szCs w:val="18"/>
          <w:lang w:val="es-ES"/>
        </w:rPr>
        <w:t>–</w:t>
      </w:r>
      <w:r w:rsidRPr="005738B5">
        <w:rPr>
          <w:sz w:val="18"/>
          <w:szCs w:val="18"/>
          <w:lang w:val="es-ES"/>
        </w:rPr>
        <w:tab/>
        <w:t>Miembros del Sector de Radiocomunicaciones</w:t>
      </w:r>
    </w:p>
    <w:p w:rsidR="00A21FEF" w:rsidRPr="005738B5" w:rsidRDefault="00A21FEF" w:rsidP="00A21FEF">
      <w:pPr>
        <w:pStyle w:val="enumlev1"/>
        <w:tabs>
          <w:tab w:val="left" w:pos="567"/>
        </w:tabs>
        <w:spacing w:before="20"/>
        <w:ind w:left="567" w:hanging="567"/>
        <w:rPr>
          <w:sz w:val="18"/>
          <w:szCs w:val="18"/>
          <w:lang w:val="es-ES"/>
        </w:rPr>
      </w:pPr>
      <w:r w:rsidRPr="005738B5">
        <w:rPr>
          <w:sz w:val="18"/>
          <w:szCs w:val="18"/>
          <w:lang w:val="es-ES"/>
        </w:rPr>
        <w:t>–</w:t>
      </w:r>
      <w:r w:rsidRPr="005738B5">
        <w:rPr>
          <w:sz w:val="18"/>
          <w:szCs w:val="18"/>
          <w:lang w:val="es-ES"/>
        </w:rPr>
        <w:tab/>
        <w:t>Presidentes y Vicepresidentes de las Comisiones de Estudio de Radiocomunicaciones y Comisión Especial para</w:t>
      </w:r>
      <w:r w:rsidRPr="005738B5">
        <w:rPr>
          <w:sz w:val="18"/>
          <w:szCs w:val="18"/>
          <w:lang w:val="es-ES"/>
        </w:rPr>
        <w:br/>
        <w:t>Asuntos Reglamentarios y de Procedimiento</w:t>
      </w:r>
    </w:p>
    <w:p w:rsidR="00A21FEF" w:rsidRPr="005738B5" w:rsidRDefault="00A21FEF" w:rsidP="00A21FEF">
      <w:pPr>
        <w:pStyle w:val="enumlev1"/>
        <w:tabs>
          <w:tab w:val="left" w:pos="567"/>
        </w:tabs>
        <w:spacing w:before="20"/>
        <w:rPr>
          <w:sz w:val="18"/>
          <w:szCs w:val="18"/>
          <w:lang w:val="es-ES"/>
        </w:rPr>
      </w:pPr>
      <w:r w:rsidRPr="005738B5">
        <w:rPr>
          <w:sz w:val="18"/>
          <w:szCs w:val="18"/>
          <w:lang w:val="es-ES"/>
        </w:rPr>
        <w:t>–</w:t>
      </w:r>
      <w:r w:rsidRPr="005738B5">
        <w:rPr>
          <w:sz w:val="18"/>
          <w:szCs w:val="18"/>
          <w:lang w:val="es-ES"/>
        </w:rPr>
        <w:tab/>
        <w:t>Presidente y Vicepresidentes del Grupo Asesor de Radiocomunicaciones</w:t>
      </w:r>
    </w:p>
    <w:p w:rsidR="00A21FEF" w:rsidRPr="005738B5" w:rsidRDefault="00A21FEF" w:rsidP="00A21FEF">
      <w:pPr>
        <w:pStyle w:val="enumlev1"/>
        <w:tabs>
          <w:tab w:val="left" w:pos="567"/>
        </w:tabs>
        <w:spacing w:before="20"/>
        <w:rPr>
          <w:sz w:val="18"/>
          <w:szCs w:val="18"/>
          <w:lang w:val="es-ES"/>
        </w:rPr>
      </w:pPr>
      <w:r w:rsidRPr="005738B5">
        <w:rPr>
          <w:sz w:val="18"/>
          <w:szCs w:val="18"/>
          <w:lang w:val="es-ES"/>
        </w:rPr>
        <w:t>–</w:t>
      </w:r>
      <w:r w:rsidRPr="005738B5">
        <w:rPr>
          <w:sz w:val="18"/>
          <w:szCs w:val="18"/>
          <w:lang w:val="es-ES"/>
        </w:rPr>
        <w:tab/>
        <w:t>Presidente y Vicepresidentes de la Reunión Preparatoria de la Conferencia</w:t>
      </w:r>
    </w:p>
    <w:p w:rsidR="00A21FEF" w:rsidRPr="005738B5" w:rsidRDefault="00A21FEF" w:rsidP="00A21FEF">
      <w:pPr>
        <w:pStyle w:val="enumlev1"/>
        <w:tabs>
          <w:tab w:val="left" w:pos="567"/>
        </w:tabs>
        <w:spacing w:before="20"/>
        <w:rPr>
          <w:sz w:val="18"/>
          <w:szCs w:val="18"/>
          <w:lang w:val="es-ES"/>
        </w:rPr>
      </w:pPr>
      <w:r w:rsidRPr="005738B5">
        <w:rPr>
          <w:sz w:val="18"/>
          <w:szCs w:val="18"/>
          <w:lang w:val="es-ES"/>
        </w:rPr>
        <w:t>–</w:t>
      </w:r>
      <w:r w:rsidRPr="005738B5">
        <w:rPr>
          <w:sz w:val="18"/>
          <w:szCs w:val="18"/>
          <w:lang w:val="es-ES"/>
        </w:rPr>
        <w:tab/>
        <w:t>Miembros de la Junta del Reglamento de Radiocomunicaciones</w:t>
      </w:r>
    </w:p>
    <w:p w:rsidR="00A21FEF" w:rsidRPr="005738B5" w:rsidRDefault="00A21FEF" w:rsidP="00A21FEF">
      <w:pPr>
        <w:pStyle w:val="enumlev1"/>
        <w:tabs>
          <w:tab w:val="left" w:pos="567"/>
        </w:tabs>
        <w:spacing w:before="20"/>
        <w:ind w:left="567" w:hanging="567"/>
        <w:rPr>
          <w:sz w:val="18"/>
          <w:szCs w:val="18"/>
          <w:lang w:val="es-ES"/>
        </w:rPr>
      </w:pPr>
      <w:r w:rsidRPr="005738B5">
        <w:rPr>
          <w:sz w:val="18"/>
          <w:szCs w:val="18"/>
          <w:lang w:val="es-ES"/>
        </w:rPr>
        <w:t>–</w:t>
      </w:r>
      <w:r w:rsidRPr="005738B5">
        <w:rPr>
          <w:sz w:val="18"/>
          <w:szCs w:val="18"/>
          <w:lang w:val="es-ES"/>
        </w:rPr>
        <w:tab/>
        <w:t xml:space="preserve">Secretario General de la UIT, Director de la Oficina de Normalización de las Telecomunicaciones, Director de </w:t>
      </w:r>
      <w:r w:rsidRPr="005738B5">
        <w:rPr>
          <w:sz w:val="18"/>
          <w:szCs w:val="18"/>
          <w:lang w:val="es-ES"/>
        </w:rPr>
        <w:br/>
        <w:t>la Oficina de Desarrollo de las Telecomunicaciones</w:t>
      </w:r>
    </w:p>
    <w:p w:rsidR="00A80988" w:rsidRPr="00F30D2D" w:rsidRDefault="00A21FEF" w:rsidP="00701265">
      <w:pPr>
        <w:pStyle w:val="AnnexNotitle"/>
        <w:rPr>
          <w:i/>
          <w:lang w:val="es-ES"/>
        </w:rPr>
      </w:pPr>
      <w:r w:rsidRPr="00F30D2D">
        <w:rPr>
          <w:lang w:val="es-ES"/>
        </w:rPr>
        <w:br w:type="page"/>
      </w:r>
      <w:r w:rsidRPr="00F30D2D">
        <w:rPr>
          <w:lang w:val="es-ES"/>
        </w:rPr>
        <w:lastRenderedPageBreak/>
        <w:t xml:space="preserve">Anexo </w:t>
      </w:r>
      <w:r w:rsidR="00A80988" w:rsidRPr="00F30D2D">
        <w:rPr>
          <w:lang w:val="es-ES"/>
        </w:rPr>
        <w:t>1</w:t>
      </w:r>
      <w:r w:rsidRPr="00F30D2D">
        <w:rPr>
          <w:lang w:val="es-ES"/>
        </w:rPr>
        <w:br/>
      </w:r>
      <w:r w:rsidRPr="00F30D2D">
        <w:rPr>
          <w:lang w:val="es-ES"/>
        </w:rPr>
        <w:br/>
      </w:r>
      <w:r w:rsidRPr="00EF410B">
        <w:rPr>
          <w:lang w:val="es-ES"/>
        </w:rPr>
        <w:t>Proyecto de orden del día de la</w:t>
      </w:r>
      <w:r w:rsidR="00A80988" w:rsidRPr="00EF410B">
        <w:rPr>
          <w:lang w:val="es-ES"/>
        </w:rPr>
        <w:t xml:space="preserve"> segunda</w:t>
      </w:r>
      <w:r w:rsidRPr="00EF410B">
        <w:rPr>
          <w:lang w:val="es-ES"/>
        </w:rPr>
        <w:t xml:space="preserve"> sesión de la Reunión </w:t>
      </w:r>
      <w:r w:rsidR="00EF410B" w:rsidRPr="00EF410B">
        <w:rPr>
          <w:lang w:val="es-ES"/>
        </w:rPr>
        <w:br/>
      </w:r>
      <w:r w:rsidRPr="00EF410B">
        <w:rPr>
          <w:lang w:val="es-ES"/>
        </w:rPr>
        <w:t>Prepara</w:t>
      </w:r>
      <w:r w:rsidR="00A80988" w:rsidRPr="00EF410B">
        <w:rPr>
          <w:lang w:val="es-ES"/>
        </w:rPr>
        <w:t xml:space="preserve">toria de la Conferencia </w:t>
      </w:r>
      <w:r w:rsidR="00701265">
        <w:rPr>
          <w:lang w:val="es-ES"/>
        </w:rPr>
        <w:t xml:space="preserve">de 2011 </w:t>
      </w:r>
      <w:r w:rsidR="00A80988" w:rsidRPr="00EF410B">
        <w:rPr>
          <w:lang w:val="es-ES"/>
        </w:rPr>
        <w:t>(RPC11-2</w:t>
      </w:r>
      <w:r w:rsidRPr="00EF410B">
        <w:rPr>
          <w:lang w:val="es-ES"/>
        </w:rPr>
        <w:t>)</w:t>
      </w:r>
      <w:r w:rsidRPr="00EF410B">
        <w:rPr>
          <w:lang w:val="es-ES"/>
        </w:rPr>
        <w:br/>
      </w:r>
      <w:r w:rsidRPr="00F30D2D">
        <w:rPr>
          <w:lang w:val="es-ES"/>
        </w:rPr>
        <w:br/>
      </w:r>
      <w:r w:rsidR="00A80988" w:rsidRPr="00F30D2D">
        <w:rPr>
          <w:i/>
          <w:lang w:val="es-ES"/>
        </w:rPr>
        <w:t>Preparación del Informe de la RPC a la Conferencia Mundial</w:t>
      </w:r>
      <w:r w:rsidR="00701265">
        <w:rPr>
          <w:i/>
          <w:lang w:val="es-ES"/>
        </w:rPr>
        <w:br/>
      </w:r>
      <w:r w:rsidR="00A80988" w:rsidRPr="00F30D2D">
        <w:rPr>
          <w:i/>
          <w:lang w:val="es-ES"/>
        </w:rPr>
        <w:t xml:space="preserve">de Radiocomunicaciones de 2012 </w:t>
      </w:r>
    </w:p>
    <w:p w:rsidR="00A80988" w:rsidRPr="00F30D2D" w:rsidRDefault="00A80988" w:rsidP="00A80988">
      <w:pPr>
        <w:spacing w:before="136"/>
        <w:jc w:val="center"/>
        <w:rPr>
          <w:b/>
          <w:i/>
          <w:lang w:val="es-ES"/>
        </w:rPr>
      </w:pPr>
    </w:p>
    <w:p w:rsidR="00A80988" w:rsidRPr="00F30D2D" w:rsidRDefault="00A80988" w:rsidP="00A80988">
      <w:pPr>
        <w:pStyle w:val="Table"/>
        <w:keepNext w:val="0"/>
        <w:spacing w:before="136" w:after="0"/>
        <w:rPr>
          <w:bCs/>
          <w:caps w:val="0"/>
          <w:lang w:val="es-ES"/>
        </w:rPr>
      </w:pPr>
      <w:r w:rsidRPr="00F30D2D">
        <w:rPr>
          <w:bCs/>
          <w:caps w:val="0"/>
          <w:lang w:val="es-ES"/>
        </w:rPr>
        <w:t>(Ginebra, del 14 al 25 de febrero de 2011)</w:t>
      </w:r>
    </w:p>
    <w:p w:rsidR="00A80988" w:rsidRPr="00F30D2D" w:rsidRDefault="00A80988" w:rsidP="00A80988">
      <w:pPr>
        <w:tabs>
          <w:tab w:val="clear" w:pos="1191"/>
          <w:tab w:val="clear" w:pos="1588"/>
          <w:tab w:val="clear" w:pos="1985"/>
        </w:tabs>
        <w:spacing w:before="720"/>
        <w:rPr>
          <w:lang w:val="es-ES"/>
        </w:rPr>
      </w:pPr>
      <w:r w:rsidRPr="00F30D2D">
        <w:rPr>
          <w:b/>
          <w:lang w:val="es-ES"/>
        </w:rPr>
        <w:t>1</w:t>
      </w:r>
      <w:r w:rsidRPr="00F30D2D">
        <w:rPr>
          <w:lang w:val="es-ES"/>
        </w:rPr>
        <w:tab/>
        <w:t>Observaciones preliminares</w:t>
      </w:r>
    </w:p>
    <w:p w:rsidR="00A80988" w:rsidRPr="00F30D2D" w:rsidRDefault="00A80988" w:rsidP="00A80988">
      <w:pPr>
        <w:tabs>
          <w:tab w:val="clear" w:pos="1191"/>
          <w:tab w:val="clear" w:pos="1588"/>
          <w:tab w:val="clear" w:pos="1985"/>
        </w:tabs>
        <w:spacing w:before="136"/>
        <w:rPr>
          <w:lang w:val="es-ES"/>
        </w:rPr>
      </w:pPr>
      <w:r w:rsidRPr="00F30D2D">
        <w:rPr>
          <w:b/>
          <w:lang w:val="es-ES"/>
        </w:rPr>
        <w:t>2</w:t>
      </w:r>
      <w:r w:rsidRPr="00F30D2D">
        <w:rPr>
          <w:lang w:val="es-ES"/>
        </w:rPr>
        <w:tab/>
        <w:t>Aprobación del orden del día</w:t>
      </w:r>
    </w:p>
    <w:p w:rsidR="00A80988" w:rsidRPr="00F30D2D" w:rsidRDefault="00A80988" w:rsidP="00701265">
      <w:pPr>
        <w:tabs>
          <w:tab w:val="clear" w:pos="1191"/>
          <w:tab w:val="clear" w:pos="1588"/>
          <w:tab w:val="clear" w:pos="1985"/>
        </w:tabs>
        <w:spacing w:before="136"/>
        <w:ind w:left="794" w:hanging="794"/>
        <w:rPr>
          <w:lang w:val="es-ES"/>
        </w:rPr>
      </w:pPr>
      <w:r w:rsidRPr="00F30D2D">
        <w:rPr>
          <w:b/>
          <w:lang w:val="es-ES"/>
        </w:rPr>
        <w:t>3</w:t>
      </w:r>
      <w:r w:rsidRPr="00F30D2D">
        <w:rPr>
          <w:lang w:val="es-ES"/>
        </w:rPr>
        <w:tab/>
        <w:t xml:space="preserve">Estructura y métodos de trabajo de la segunda </w:t>
      </w:r>
      <w:r w:rsidR="00D06F7D" w:rsidRPr="00F30D2D">
        <w:rPr>
          <w:lang w:val="es-ES"/>
        </w:rPr>
        <w:t>sesión</w:t>
      </w:r>
      <w:r w:rsidRPr="00F30D2D">
        <w:rPr>
          <w:lang w:val="es-ES"/>
        </w:rPr>
        <w:t xml:space="preserve"> de la RPC-11</w:t>
      </w:r>
    </w:p>
    <w:p w:rsidR="00A80988" w:rsidRPr="00F30D2D" w:rsidRDefault="00A80988" w:rsidP="00A80988">
      <w:pPr>
        <w:tabs>
          <w:tab w:val="clear" w:pos="1191"/>
          <w:tab w:val="clear" w:pos="1588"/>
          <w:tab w:val="clear" w:pos="1985"/>
        </w:tabs>
        <w:spacing w:before="136"/>
        <w:ind w:left="794" w:hanging="794"/>
        <w:rPr>
          <w:lang w:val="es-ES"/>
        </w:rPr>
      </w:pPr>
      <w:r w:rsidRPr="00F30D2D">
        <w:rPr>
          <w:b/>
          <w:lang w:val="es-ES"/>
        </w:rPr>
        <w:t>4</w:t>
      </w:r>
      <w:r w:rsidRPr="00F30D2D">
        <w:rPr>
          <w:b/>
          <w:lang w:val="es-ES"/>
        </w:rPr>
        <w:tab/>
      </w:r>
      <w:r w:rsidRPr="00F30D2D">
        <w:rPr>
          <w:lang w:val="es-ES"/>
        </w:rPr>
        <w:t>Creación de los Grupos de Trabajo</w:t>
      </w:r>
    </w:p>
    <w:p w:rsidR="00A80988" w:rsidRPr="00F30D2D" w:rsidRDefault="00A80988" w:rsidP="00A80988">
      <w:pPr>
        <w:tabs>
          <w:tab w:val="clear" w:pos="1191"/>
          <w:tab w:val="clear" w:pos="1588"/>
          <w:tab w:val="clear" w:pos="1985"/>
        </w:tabs>
        <w:spacing w:before="136"/>
        <w:rPr>
          <w:lang w:val="es-ES"/>
        </w:rPr>
      </w:pPr>
      <w:r w:rsidRPr="00F30D2D">
        <w:rPr>
          <w:b/>
          <w:lang w:val="es-ES"/>
        </w:rPr>
        <w:t>5</w:t>
      </w:r>
      <w:r w:rsidRPr="00F30D2D">
        <w:rPr>
          <w:lang w:val="es-ES"/>
        </w:rPr>
        <w:tab/>
        <w:t>Atribución de documentos</w:t>
      </w:r>
    </w:p>
    <w:p w:rsidR="00A80988" w:rsidRPr="00F30D2D" w:rsidRDefault="00A80988" w:rsidP="00A80988">
      <w:pPr>
        <w:tabs>
          <w:tab w:val="clear" w:pos="1191"/>
          <w:tab w:val="clear" w:pos="1588"/>
          <w:tab w:val="clear" w:pos="1985"/>
        </w:tabs>
        <w:spacing w:before="136"/>
        <w:ind w:left="794" w:hanging="794"/>
        <w:rPr>
          <w:lang w:val="es-ES"/>
        </w:rPr>
      </w:pPr>
      <w:r w:rsidRPr="00F30D2D">
        <w:rPr>
          <w:b/>
          <w:lang w:val="es-ES"/>
        </w:rPr>
        <w:t>6</w:t>
      </w:r>
      <w:r w:rsidRPr="00F30D2D">
        <w:rPr>
          <w:lang w:val="es-ES"/>
        </w:rPr>
        <w:tab/>
        <w:t>Preparación del Informe de la RPC a la CMR-12</w:t>
      </w:r>
    </w:p>
    <w:p w:rsidR="00A80988" w:rsidRPr="00F30D2D" w:rsidRDefault="00A80988" w:rsidP="00A80988">
      <w:pPr>
        <w:tabs>
          <w:tab w:val="clear" w:pos="1191"/>
          <w:tab w:val="clear" w:pos="1588"/>
          <w:tab w:val="clear" w:pos="1985"/>
        </w:tabs>
        <w:spacing w:before="136"/>
        <w:rPr>
          <w:lang w:val="es-ES"/>
        </w:rPr>
      </w:pPr>
      <w:r w:rsidRPr="00F30D2D">
        <w:rPr>
          <w:b/>
          <w:lang w:val="es-ES"/>
        </w:rPr>
        <w:t>7</w:t>
      </w:r>
      <w:r w:rsidRPr="00F30D2D">
        <w:rPr>
          <w:lang w:val="es-ES"/>
        </w:rPr>
        <w:tab/>
        <w:t>Otros asuntos</w:t>
      </w:r>
    </w:p>
    <w:p w:rsidR="00A80988" w:rsidRPr="00F30D2D" w:rsidRDefault="00A80988" w:rsidP="00A80988">
      <w:pPr>
        <w:spacing w:before="136"/>
        <w:rPr>
          <w:lang w:val="es-ES"/>
        </w:rPr>
      </w:pPr>
    </w:p>
    <w:p w:rsidR="00A80988" w:rsidRPr="00F30D2D" w:rsidRDefault="00A80988" w:rsidP="00A80988">
      <w:pPr>
        <w:spacing w:before="136"/>
        <w:rPr>
          <w:lang w:val="es-ES"/>
        </w:rPr>
      </w:pPr>
    </w:p>
    <w:p w:rsidR="00A80988" w:rsidRPr="00F30D2D" w:rsidRDefault="00A80988" w:rsidP="00A80988">
      <w:pPr>
        <w:spacing w:before="136"/>
        <w:rPr>
          <w:lang w:val="es-ES"/>
        </w:rPr>
      </w:pPr>
    </w:p>
    <w:p w:rsidR="00A80988" w:rsidRPr="00F30D2D" w:rsidRDefault="00A80988" w:rsidP="00701265">
      <w:pPr>
        <w:tabs>
          <w:tab w:val="clear" w:pos="794"/>
          <w:tab w:val="clear" w:pos="1191"/>
          <w:tab w:val="clear" w:pos="1588"/>
          <w:tab w:val="clear" w:pos="1985"/>
          <w:tab w:val="center" w:pos="7513"/>
        </w:tabs>
        <w:spacing w:before="136"/>
        <w:rPr>
          <w:lang w:val="es-ES"/>
        </w:rPr>
      </w:pPr>
      <w:r w:rsidRPr="00F30D2D">
        <w:rPr>
          <w:lang w:val="es-ES"/>
        </w:rPr>
        <w:tab/>
        <w:t>A. NALBANDIAN</w:t>
      </w:r>
      <w:r w:rsidRPr="00F30D2D">
        <w:rPr>
          <w:lang w:val="es-ES"/>
        </w:rPr>
        <w:br/>
      </w:r>
      <w:r w:rsidRPr="00F30D2D">
        <w:rPr>
          <w:lang w:val="es-ES"/>
        </w:rPr>
        <w:tab/>
      </w:r>
      <w:r w:rsidR="00D06F7D" w:rsidRPr="00F30D2D">
        <w:rPr>
          <w:lang w:val="es-ES"/>
        </w:rPr>
        <w:t>Presidente de la RPC</w:t>
      </w:r>
      <w:r w:rsidRPr="00F30D2D">
        <w:rPr>
          <w:lang w:val="es-ES"/>
        </w:rPr>
        <w:t>-11</w:t>
      </w:r>
    </w:p>
    <w:p w:rsidR="00A21FEF" w:rsidRPr="00F30D2D" w:rsidRDefault="00A21FEF" w:rsidP="00A80988">
      <w:pPr>
        <w:pStyle w:val="AnnexNotitle"/>
        <w:rPr>
          <w:lang w:val="es-ES"/>
        </w:rPr>
      </w:pPr>
    </w:p>
    <w:p w:rsidR="00205863" w:rsidRPr="00F30D2D" w:rsidRDefault="00205863">
      <w:pPr>
        <w:tabs>
          <w:tab w:val="clear" w:pos="794"/>
          <w:tab w:val="clear" w:pos="1191"/>
          <w:tab w:val="clear" w:pos="1588"/>
          <w:tab w:val="clear" w:pos="1985"/>
        </w:tabs>
        <w:overflowPunct/>
        <w:autoSpaceDE/>
        <w:autoSpaceDN/>
        <w:adjustRightInd/>
        <w:spacing w:before="0"/>
        <w:textAlignment w:val="auto"/>
        <w:rPr>
          <w:lang w:val="es-ES"/>
        </w:rPr>
      </w:pPr>
      <w:r w:rsidRPr="00F30D2D">
        <w:rPr>
          <w:lang w:val="es-ES"/>
        </w:rPr>
        <w:br w:type="page"/>
      </w:r>
    </w:p>
    <w:p w:rsidR="00205863" w:rsidRPr="005738B5" w:rsidRDefault="00205863" w:rsidP="005738B5">
      <w:pPr>
        <w:pStyle w:val="AnnexNotitle"/>
        <w:spacing w:before="120"/>
        <w:ind w:right="-142"/>
        <w:rPr>
          <w:szCs w:val="28"/>
          <w:lang w:val="es-ES"/>
        </w:rPr>
      </w:pPr>
      <w:r w:rsidRPr="00F30D2D">
        <w:rPr>
          <w:lang w:val="es-ES"/>
        </w:rPr>
        <w:lastRenderedPageBreak/>
        <w:t>Anexo 2</w:t>
      </w:r>
      <w:r w:rsidR="00B17EC4">
        <w:rPr>
          <w:lang w:val="es-ES"/>
        </w:rPr>
        <w:br/>
      </w:r>
      <w:r w:rsidR="00B17EC4">
        <w:rPr>
          <w:lang w:val="es-ES"/>
        </w:rPr>
        <w:br/>
      </w:r>
      <w:r w:rsidRPr="005738B5">
        <w:rPr>
          <w:szCs w:val="28"/>
          <w:lang w:val="es-ES"/>
        </w:rPr>
        <w:t>Segunda sesión de la Reunión Preparatoria de la Conferencia de 2011 (RPC11-2)</w:t>
      </w:r>
    </w:p>
    <w:p w:rsidR="000765C2" w:rsidRDefault="000765C2" w:rsidP="00205863">
      <w:pPr>
        <w:tabs>
          <w:tab w:val="clear" w:pos="794"/>
          <w:tab w:val="clear" w:pos="1191"/>
          <w:tab w:val="clear" w:pos="1588"/>
          <w:tab w:val="clear" w:pos="1985"/>
          <w:tab w:val="right" w:leader="dot" w:pos="9639"/>
        </w:tabs>
        <w:spacing w:before="0"/>
        <w:rPr>
          <w:sz w:val="26"/>
          <w:szCs w:val="26"/>
          <w:lang w:val="es-ES"/>
        </w:rPr>
      </w:pPr>
    </w:p>
    <w:p w:rsidR="00B17EC4" w:rsidRPr="00F30D2D" w:rsidRDefault="00B17EC4" w:rsidP="00205863">
      <w:pPr>
        <w:tabs>
          <w:tab w:val="clear" w:pos="794"/>
          <w:tab w:val="clear" w:pos="1191"/>
          <w:tab w:val="clear" w:pos="1588"/>
          <w:tab w:val="clear" w:pos="1985"/>
          <w:tab w:val="right" w:leader="dot" w:pos="9639"/>
        </w:tabs>
        <w:spacing w:before="0"/>
        <w:rPr>
          <w:sz w:val="26"/>
          <w:szCs w:val="26"/>
          <w:lang w:val="es-ES"/>
        </w:rPr>
      </w:pPr>
    </w:p>
    <w:p w:rsidR="00205863" w:rsidRPr="00F30D2D" w:rsidRDefault="00205863" w:rsidP="00205863">
      <w:pPr>
        <w:tabs>
          <w:tab w:val="clear" w:pos="794"/>
          <w:tab w:val="clear" w:pos="1191"/>
          <w:tab w:val="clear" w:pos="1588"/>
          <w:tab w:val="clear" w:pos="1985"/>
          <w:tab w:val="right" w:leader="dot" w:pos="9639"/>
        </w:tabs>
        <w:spacing w:before="0"/>
        <w:rPr>
          <w:sz w:val="26"/>
          <w:szCs w:val="26"/>
          <w:lang w:val="es-ES"/>
        </w:rPr>
      </w:pPr>
      <w:r w:rsidRPr="00F30D2D">
        <w:rPr>
          <w:sz w:val="26"/>
          <w:szCs w:val="26"/>
          <w:lang w:val="es-ES"/>
        </w:rPr>
        <w:t>Estado Miembro:</w:t>
      </w:r>
      <w:r w:rsidRPr="00F30D2D">
        <w:rPr>
          <w:sz w:val="26"/>
          <w:szCs w:val="26"/>
          <w:lang w:val="es-ES"/>
        </w:rPr>
        <w:tab/>
      </w:r>
    </w:p>
    <w:p w:rsidR="00205863" w:rsidRPr="00F30D2D" w:rsidRDefault="00205863" w:rsidP="00205863">
      <w:pPr>
        <w:tabs>
          <w:tab w:val="right" w:leader="dot" w:pos="9639"/>
        </w:tabs>
        <w:spacing w:before="0"/>
        <w:rPr>
          <w:i/>
          <w:iCs/>
          <w:sz w:val="26"/>
          <w:szCs w:val="26"/>
          <w:lang w:val="es-ES"/>
        </w:rPr>
      </w:pPr>
      <w:r w:rsidRPr="00F30D2D">
        <w:rPr>
          <w:b/>
          <w:bCs/>
          <w:i/>
          <w:iCs/>
          <w:sz w:val="26"/>
          <w:szCs w:val="26"/>
          <w:lang w:val="es-ES"/>
        </w:rPr>
        <w:t>o</w:t>
      </w:r>
    </w:p>
    <w:p w:rsidR="00205863" w:rsidRPr="00F30D2D" w:rsidRDefault="00205863" w:rsidP="00205863">
      <w:pPr>
        <w:tabs>
          <w:tab w:val="clear" w:pos="794"/>
          <w:tab w:val="clear" w:pos="1191"/>
          <w:tab w:val="clear" w:pos="1588"/>
          <w:tab w:val="clear" w:pos="1985"/>
          <w:tab w:val="right" w:leader="dot" w:pos="9639"/>
        </w:tabs>
        <w:spacing w:before="0"/>
        <w:rPr>
          <w:sz w:val="26"/>
          <w:szCs w:val="26"/>
          <w:lang w:val="es-ES"/>
        </w:rPr>
      </w:pPr>
      <w:r w:rsidRPr="00F30D2D">
        <w:rPr>
          <w:sz w:val="26"/>
          <w:szCs w:val="26"/>
          <w:lang w:val="es-ES"/>
        </w:rPr>
        <w:t>Miembro de Sector:</w:t>
      </w:r>
      <w:r w:rsidRPr="00F30D2D">
        <w:rPr>
          <w:sz w:val="26"/>
          <w:szCs w:val="26"/>
          <w:lang w:val="es-ES"/>
        </w:rPr>
        <w:tab/>
      </w:r>
    </w:p>
    <w:p w:rsidR="00205863" w:rsidRPr="00F30D2D" w:rsidRDefault="00205863" w:rsidP="00205863">
      <w:pPr>
        <w:tabs>
          <w:tab w:val="clear" w:pos="794"/>
          <w:tab w:val="clear" w:pos="1191"/>
          <w:tab w:val="clear" w:pos="1588"/>
          <w:tab w:val="clear" w:pos="1985"/>
          <w:tab w:val="right" w:leader="dot" w:pos="9639"/>
        </w:tabs>
        <w:spacing w:before="0"/>
        <w:rPr>
          <w:sz w:val="26"/>
          <w:szCs w:val="26"/>
          <w:lang w:val="es-ES"/>
        </w:rPr>
      </w:pPr>
    </w:p>
    <w:p w:rsidR="000765C2" w:rsidRPr="00F30D2D" w:rsidRDefault="000765C2" w:rsidP="00701265">
      <w:pPr>
        <w:pStyle w:val="Rectitle"/>
        <w:spacing w:before="120"/>
        <w:rPr>
          <w:sz w:val="24"/>
          <w:szCs w:val="24"/>
          <w:lang w:val="es-ES"/>
        </w:rPr>
      </w:pPr>
      <w:r w:rsidRPr="00F30D2D">
        <w:rPr>
          <w:sz w:val="24"/>
          <w:szCs w:val="24"/>
          <w:lang w:val="es-ES"/>
        </w:rPr>
        <w:t xml:space="preserve">IDIOMA EN QUE DESEA RECIBIR EL </w:t>
      </w:r>
      <w:r w:rsidRPr="00F30D2D">
        <w:rPr>
          <w:sz w:val="24"/>
          <w:szCs w:val="24"/>
          <w:lang w:val="es-ES"/>
        </w:rPr>
        <w:br/>
        <w:t xml:space="preserve">CONJUNTO DE DOCUMENTOS DE LA RPC11-2* </w:t>
      </w:r>
    </w:p>
    <w:p w:rsidR="000765C2" w:rsidRPr="00F30D2D" w:rsidRDefault="000765C2" w:rsidP="000765C2">
      <w:pPr>
        <w:pStyle w:val="Rectitle"/>
        <w:spacing w:before="0"/>
        <w:rPr>
          <w:sz w:val="24"/>
          <w:szCs w:val="24"/>
          <w:lang w:val="es-ES"/>
        </w:rPr>
      </w:pPr>
      <w:r w:rsidRPr="00F30D2D">
        <w:rPr>
          <w:sz w:val="24"/>
          <w:szCs w:val="24"/>
          <w:lang w:val="es-ES"/>
        </w:rPr>
        <w:t>EN PAPEL EL PRIMER DÍA</w:t>
      </w:r>
    </w:p>
    <w:p w:rsidR="000765C2" w:rsidRPr="00F30D2D" w:rsidRDefault="000765C2" w:rsidP="000765C2">
      <w:pPr>
        <w:rPr>
          <w:szCs w:val="24"/>
          <w:lang w:val="es-ES"/>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894"/>
        <w:gridCol w:w="835"/>
        <w:gridCol w:w="928"/>
        <w:gridCol w:w="929"/>
        <w:gridCol w:w="858"/>
        <w:gridCol w:w="929"/>
      </w:tblGrid>
      <w:tr w:rsidR="000765C2" w:rsidRPr="00F30D2D" w:rsidTr="00345673">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0765C2" w:rsidRPr="00F30D2D" w:rsidRDefault="000765C2" w:rsidP="00345673">
            <w:pPr>
              <w:spacing w:before="60" w:after="60"/>
              <w:jc w:val="center"/>
              <w:rPr>
                <w:b/>
                <w:bCs/>
                <w:sz w:val="18"/>
                <w:szCs w:val="18"/>
                <w:lang w:val="es-ES"/>
              </w:rPr>
            </w:pPr>
            <w:r w:rsidRPr="00F30D2D">
              <w:rPr>
                <w:b/>
                <w:bCs/>
                <w:sz w:val="18"/>
                <w:szCs w:val="18"/>
                <w:lang w:val="es-ES"/>
              </w:rPr>
              <w:t>MARQUE (√) LA CASILLA QUE CORRESPONDA</w:t>
            </w:r>
          </w:p>
        </w:tc>
      </w:tr>
      <w:tr w:rsidR="000765C2" w:rsidRPr="00F30D2D" w:rsidTr="00345673">
        <w:trPr>
          <w:jc w:val="center"/>
        </w:trPr>
        <w:tc>
          <w:tcPr>
            <w:tcW w:w="894" w:type="dxa"/>
            <w:tcBorders>
              <w:top w:val="single" w:sz="8" w:space="0" w:color="auto"/>
              <w:left w:val="single" w:sz="12"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Inglés</w:t>
            </w:r>
          </w:p>
        </w:tc>
        <w:tc>
          <w:tcPr>
            <w:tcW w:w="835" w:type="dxa"/>
            <w:tcBorders>
              <w:top w:val="single" w:sz="8" w:space="0" w:color="auto"/>
              <w:left w:val="double" w:sz="4"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Árabe</w:t>
            </w:r>
          </w:p>
        </w:tc>
        <w:tc>
          <w:tcPr>
            <w:tcW w:w="928" w:type="dxa"/>
            <w:tcBorders>
              <w:top w:val="single" w:sz="8" w:space="0" w:color="auto"/>
              <w:left w:val="double" w:sz="4"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Chino</w:t>
            </w:r>
          </w:p>
        </w:tc>
        <w:tc>
          <w:tcPr>
            <w:tcW w:w="929" w:type="dxa"/>
            <w:tcBorders>
              <w:top w:val="single" w:sz="8" w:space="0" w:color="auto"/>
              <w:left w:val="double" w:sz="4"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Español</w:t>
            </w:r>
          </w:p>
        </w:tc>
        <w:tc>
          <w:tcPr>
            <w:tcW w:w="858" w:type="dxa"/>
            <w:tcBorders>
              <w:top w:val="single" w:sz="8" w:space="0" w:color="auto"/>
              <w:left w:val="double" w:sz="4"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Francés</w:t>
            </w:r>
          </w:p>
        </w:tc>
        <w:tc>
          <w:tcPr>
            <w:tcW w:w="929" w:type="dxa"/>
            <w:tcBorders>
              <w:top w:val="single" w:sz="8" w:space="0" w:color="auto"/>
              <w:left w:val="double" w:sz="4" w:space="0" w:color="auto"/>
              <w:bottom w:val="single" w:sz="8" w:space="0" w:color="auto"/>
              <w:right w:val="single" w:sz="12"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Ruso</w:t>
            </w:r>
          </w:p>
        </w:tc>
      </w:tr>
      <w:tr w:rsidR="000765C2" w:rsidRPr="00F30D2D" w:rsidTr="00345673">
        <w:trPr>
          <w:jc w:val="center"/>
        </w:trPr>
        <w:tc>
          <w:tcPr>
            <w:tcW w:w="894" w:type="dxa"/>
            <w:tcBorders>
              <w:top w:val="single" w:sz="8" w:space="0" w:color="auto"/>
              <w:left w:val="single" w:sz="12"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835" w:type="dxa"/>
            <w:tcBorders>
              <w:top w:val="single" w:sz="8" w:space="0" w:color="auto"/>
              <w:left w:val="double" w:sz="4"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928" w:type="dxa"/>
            <w:tcBorders>
              <w:top w:val="single" w:sz="8" w:space="0" w:color="auto"/>
              <w:left w:val="double" w:sz="4"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929" w:type="dxa"/>
            <w:tcBorders>
              <w:top w:val="single" w:sz="8" w:space="0" w:color="auto"/>
              <w:left w:val="double" w:sz="4"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858" w:type="dxa"/>
            <w:tcBorders>
              <w:top w:val="single" w:sz="8" w:space="0" w:color="auto"/>
              <w:left w:val="double" w:sz="4"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929" w:type="dxa"/>
            <w:tcBorders>
              <w:top w:val="single" w:sz="8" w:space="0" w:color="auto"/>
              <w:left w:val="double" w:sz="4" w:space="0" w:color="auto"/>
              <w:bottom w:val="single" w:sz="12" w:space="0" w:color="auto"/>
              <w:right w:val="single" w:sz="12" w:space="0" w:color="auto"/>
            </w:tcBorders>
          </w:tcPr>
          <w:p w:rsidR="000765C2" w:rsidRPr="00F30D2D" w:rsidRDefault="000765C2" w:rsidP="00345673">
            <w:pPr>
              <w:spacing w:after="120"/>
              <w:jc w:val="center"/>
              <w:rPr>
                <w:b/>
                <w:bCs/>
                <w:sz w:val="18"/>
                <w:szCs w:val="18"/>
                <w:lang w:val="es-ES"/>
              </w:rPr>
            </w:pPr>
          </w:p>
        </w:tc>
      </w:tr>
    </w:tbl>
    <w:p w:rsidR="000765C2" w:rsidRPr="00F30D2D" w:rsidRDefault="000765C2" w:rsidP="000765C2">
      <w:pPr>
        <w:rPr>
          <w:sz w:val="8"/>
          <w:lang w:val="es-ES"/>
        </w:rPr>
      </w:pPr>
    </w:p>
    <w:p w:rsidR="000765C2" w:rsidRPr="00F30D2D" w:rsidRDefault="000765C2" w:rsidP="006A15F0">
      <w:pPr>
        <w:tabs>
          <w:tab w:val="clear" w:pos="794"/>
          <w:tab w:val="left" w:pos="426"/>
        </w:tabs>
        <w:jc w:val="center"/>
        <w:rPr>
          <w:lang w:val="es-ES"/>
        </w:rPr>
      </w:pPr>
      <w:r w:rsidRPr="00F30D2D">
        <w:rPr>
          <w:sz w:val="28"/>
          <w:lang w:val="es-ES"/>
        </w:rPr>
        <w:t xml:space="preserve">* </w:t>
      </w:r>
      <w:r w:rsidRPr="00F30D2D">
        <w:rPr>
          <w:lang w:val="es-ES"/>
        </w:rPr>
        <w:t>Siguiendo la práctica habitual y como consecuencia de las restricciones financieras, el número</w:t>
      </w:r>
      <w:r w:rsidR="006A15F0">
        <w:rPr>
          <w:lang w:val="es-ES"/>
        </w:rPr>
        <w:t xml:space="preserve"> de </w:t>
      </w:r>
      <w:r w:rsidRPr="00F30D2D">
        <w:rPr>
          <w:lang w:val="es-ES"/>
        </w:rPr>
        <w:t xml:space="preserve">copias en papel que se distribuirá será limitado. El primer día de la </w:t>
      </w:r>
      <w:r w:rsidR="00701265">
        <w:rPr>
          <w:lang w:val="es-ES"/>
        </w:rPr>
        <w:t xml:space="preserve"> </w:t>
      </w:r>
      <w:r w:rsidRPr="00F30D2D">
        <w:rPr>
          <w:lang w:val="es-ES"/>
        </w:rPr>
        <w:t xml:space="preserve">reunión cada Estado Miembro/Miembro de Sector recibirá </w:t>
      </w:r>
      <w:r w:rsidRPr="00F30D2D">
        <w:rPr>
          <w:b/>
          <w:bCs/>
          <w:lang w:val="es-ES"/>
        </w:rPr>
        <w:t xml:space="preserve">un ejemplar </w:t>
      </w:r>
      <w:r w:rsidRPr="00F30D2D">
        <w:rPr>
          <w:lang w:val="es-ES"/>
        </w:rPr>
        <w:t>en papel</w:t>
      </w:r>
      <w:r w:rsidR="00701265">
        <w:rPr>
          <w:b/>
          <w:bCs/>
          <w:lang w:val="es-ES"/>
        </w:rPr>
        <w:t xml:space="preserve"> </w:t>
      </w:r>
      <w:r w:rsidR="006A15F0">
        <w:rPr>
          <w:b/>
          <w:bCs/>
          <w:lang w:val="es-ES"/>
        </w:rPr>
        <w:br/>
      </w:r>
      <w:r w:rsidRPr="00F30D2D">
        <w:rPr>
          <w:lang w:val="es-ES"/>
        </w:rPr>
        <w:t xml:space="preserve">de todos los documentos recibidos. </w:t>
      </w:r>
    </w:p>
    <w:p w:rsidR="000765C2" w:rsidRPr="00F30D2D" w:rsidRDefault="000765C2" w:rsidP="006A15F0">
      <w:pPr>
        <w:tabs>
          <w:tab w:val="clear" w:pos="794"/>
          <w:tab w:val="left" w:pos="426"/>
        </w:tabs>
        <w:jc w:val="center"/>
        <w:rPr>
          <w:lang w:val="es-ES"/>
        </w:rPr>
      </w:pPr>
      <w:r w:rsidRPr="00F30D2D">
        <w:rPr>
          <w:lang w:val="es-ES"/>
        </w:rPr>
        <w:t>Le ruego indique el idioma en que prefiere recibir la documentación. Observe que el</w:t>
      </w:r>
      <w:r w:rsidR="006A15F0">
        <w:rPr>
          <w:lang w:val="es-ES"/>
        </w:rPr>
        <w:t xml:space="preserve"> </w:t>
      </w:r>
      <w:r w:rsidRPr="00F30D2D">
        <w:rPr>
          <w:lang w:val="es-ES"/>
        </w:rPr>
        <w:t xml:space="preserve">primer día </w:t>
      </w:r>
      <w:r w:rsidR="006A15F0">
        <w:rPr>
          <w:lang w:val="es-ES"/>
        </w:rPr>
        <w:br/>
      </w:r>
      <w:r w:rsidRPr="00F30D2D">
        <w:rPr>
          <w:lang w:val="es-ES"/>
        </w:rPr>
        <w:t>de la reunión se distribuirá a cada delegado/participante una llave USB que</w:t>
      </w:r>
      <w:r w:rsidR="006A15F0">
        <w:rPr>
          <w:lang w:val="es-ES"/>
        </w:rPr>
        <w:t xml:space="preserve"> </w:t>
      </w:r>
      <w:r w:rsidRPr="00F30D2D">
        <w:rPr>
          <w:lang w:val="es-ES"/>
        </w:rPr>
        <w:t>contendrá</w:t>
      </w:r>
      <w:r w:rsidR="00701265">
        <w:rPr>
          <w:lang w:val="es-ES"/>
        </w:rPr>
        <w:t xml:space="preserve"> </w:t>
      </w:r>
      <w:r w:rsidR="006A15F0">
        <w:rPr>
          <w:lang w:val="es-ES"/>
        </w:rPr>
        <w:br/>
      </w:r>
      <w:r w:rsidRPr="00F30D2D">
        <w:rPr>
          <w:lang w:val="es-ES"/>
        </w:rPr>
        <w:t>todos los documentos antes mencionados</w:t>
      </w:r>
      <w:r w:rsidR="006A15F0">
        <w:rPr>
          <w:lang w:val="es-ES"/>
        </w:rPr>
        <w:t xml:space="preserve"> en todos los idiomas disponibles.</w:t>
      </w:r>
    </w:p>
    <w:p w:rsidR="000765C2" w:rsidRPr="00F30D2D" w:rsidRDefault="000765C2" w:rsidP="000765C2">
      <w:pPr>
        <w:tabs>
          <w:tab w:val="clear" w:pos="794"/>
          <w:tab w:val="left" w:pos="426"/>
        </w:tabs>
        <w:jc w:val="both"/>
        <w:rPr>
          <w:sz w:val="8"/>
          <w:lang w:val="es-ES"/>
        </w:rPr>
      </w:pPr>
    </w:p>
    <w:p w:rsidR="000765C2" w:rsidRPr="00F30D2D" w:rsidRDefault="000765C2" w:rsidP="000765C2">
      <w:pPr>
        <w:pStyle w:val="Rectitle"/>
        <w:spacing w:before="120"/>
        <w:rPr>
          <w:sz w:val="24"/>
          <w:szCs w:val="24"/>
          <w:lang w:val="es-ES"/>
        </w:rPr>
      </w:pPr>
      <w:r w:rsidRPr="00F30D2D">
        <w:rPr>
          <w:sz w:val="24"/>
          <w:szCs w:val="24"/>
          <w:lang w:val="es-ES"/>
        </w:rPr>
        <w:t>IDIOMA EN QUE DESEA RECIBIR LA</w:t>
      </w:r>
    </w:p>
    <w:p w:rsidR="000765C2" w:rsidRPr="00F30D2D" w:rsidRDefault="000765C2" w:rsidP="000765C2">
      <w:pPr>
        <w:pStyle w:val="Rectitle"/>
        <w:spacing w:before="0"/>
        <w:rPr>
          <w:sz w:val="24"/>
          <w:szCs w:val="24"/>
          <w:lang w:val="es-ES"/>
        </w:rPr>
      </w:pPr>
      <w:r w:rsidRPr="00F30D2D">
        <w:rPr>
          <w:sz w:val="24"/>
          <w:szCs w:val="24"/>
          <w:lang w:val="es-ES"/>
        </w:rPr>
        <w:t xml:space="preserve">COPIA EN PAPEL DEL INFORME DE LA RPC A LA CMR-12 </w:t>
      </w:r>
    </w:p>
    <w:p w:rsidR="000765C2" w:rsidRPr="00F30D2D" w:rsidRDefault="000765C2" w:rsidP="000765C2">
      <w:pPr>
        <w:pStyle w:val="Rectitle"/>
        <w:spacing w:before="0"/>
        <w:rPr>
          <w:sz w:val="24"/>
          <w:szCs w:val="24"/>
          <w:lang w:val="es-ES"/>
        </w:rPr>
      </w:pPr>
      <w:r w:rsidRPr="00F30D2D">
        <w:rPr>
          <w:sz w:val="24"/>
          <w:szCs w:val="24"/>
          <w:lang w:val="es-ES"/>
        </w:rPr>
        <w:t>QUE SE DISTRIBUIRÁ EL ÚLTIMO DÍA DE LA CONFERENCIA</w:t>
      </w:r>
    </w:p>
    <w:p w:rsidR="000765C2" w:rsidRPr="00F30D2D" w:rsidRDefault="000765C2" w:rsidP="000765C2">
      <w:pPr>
        <w:spacing w:before="0"/>
        <w:rPr>
          <w:szCs w:val="24"/>
          <w:lang w:val="es-ES"/>
        </w:rPr>
      </w:pPr>
    </w:p>
    <w:tbl>
      <w:tblPr>
        <w:tblW w:w="0" w:type="auto"/>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ook w:val="0000"/>
      </w:tblPr>
      <w:tblGrid>
        <w:gridCol w:w="894"/>
        <w:gridCol w:w="835"/>
        <w:gridCol w:w="928"/>
        <w:gridCol w:w="929"/>
        <w:gridCol w:w="858"/>
        <w:gridCol w:w="929"/>
      </w:tblGrid>
      <w:tr w:rsidR="000765C2" w:rsidRPr="00F30D2D" w:rsidTr="00345673">
        <w:trPr>
          <w:jc w:val="center"/>
        </w:trPr>
        <w:tc>
          <w:tcPr>
            <w:tcW w:w="5373" w:type="dxa"/>
            <w:gridSpan w:val="6"/>
            <w:tcBorders>
              <w:top w:val="single" w:sz="12" w:space="0" w:color="auto"/>
              <w:left w:val="single" w:sz="12" w:space="0" w:color="auto"/>
              <w:bottom w:val="single" w:sz="8" w:space="0" w:color="auto"/>
              <w:right w:val="single" w:sz="12" w:space="0" w:color="auto"/>
            </w:tcBorders>
          </w:tcPr>
          <w:p w:rsidR="000765C2" w:rsidRPr="00F30D2D" w:rsidRDefault="000765C2" w:rsidP="00345673">
            <w:pPr>
              <w:spacing w:before="60" w:after="60"/>
              <w:jc w:val="center"/>
              <w:rPr>
                <w:b/>
                <w:bCs/>
                <w:sz w:val="18"/>
                <w:szCs w:val="18"/>
                <w:lang w:val="es-ES"/>
              </w:rPr>
            </w:pPr>
            <w:r w:rsidRPr="00F30D2D">
              <w:rPr>
                <w:b/>
                <w:bCs/>
                <w:sz w:val="18"/>
                <w:szCs w:val="18"/>
                <w:lang w:val="es-ES"/>
              </w:rPr>
              <w:t>MARQUE (√) LA CASILLA QUE CORRESPONDA</w:t>
            </w:r>
          </w:p>
        </w:tc>
      </w:tr>
      <w:tr w:rsidR="000765C2" w:rsidRPr="00F30D2D" w:rsidTr="00345673">
        <w:trPr>
          <w:jc w:val="center"/>
        </w:trPr>
        <w:tc>
          <w:tcPr>
            <w:tcW w:w="894" w:type="dxa"/>
            <w:tcBorders>
              <w:top w:val="single" w:sz="8" w:space="0" w:color="auto"/>
              <w:left w:val="single" w:sz="12"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Inglés</w:t>
            </w:r>
          </w:p>
        </w:tc>
        <w:tc>
          <w:tcPr>
            <w:tcW w:w="835" w:type="dxa"/>
            <w:tcBorders>
              <w:top w:val="single" w:sz="8" w:space="0" w:color="auto"/>
              <w:left w:val="double" w:sz="4"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Árabe</w:t>
            </w:r>
          </w:p>
        </w:tc>
        <w:tc>
          <w:tcPr>
            <w:tcW w:w="928" w:type="dxa"/>
            <w:tcBorders>
              <w:top w:val="single" w:sz="8" w:space="0" w:color="auto"/>
              <w:left w:val="double" w:sz="4"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Chino</w:t>
            </w:r>
          </w:p>
        </w:tc>
        <w:tc>
          <w:tcPr>
            <w:tcW w:w="929" w:type="dxa"/>
            <w:tcBorders>
              <w:top w:val="single" w:sz="8" w:space="0" w:color="auto"/>
              <w:left w:val="double" w:sz="4"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Español</w:t>
            </w:r>
          </w:p>
        </w:tc>
        <w:tc>
          <w:tcPr>
            <w:tcW w:w="858" w:type="dxa"/>
            <w:tcBorders>
              <w:top w:val="single" w:sz="8" w:space="0" w:color="auto"/>
              <w:left w:val="double" w:sz="4" w:space="0" w:color="auto"/>
              <w:bottom w:val="single" w:sz="8" w:space="0" w:color="auto"/>
              <w:right w:val="double" w:sz="4"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Francés</w:t>
            </w:r>
          </w:p>
        </w:tc>
        <w:tc>
          <w:tcPr>
            <w:tcW w:w="929" w:type="dxa"/>
            <w:tcBorders>
              <w:top w:val="single" w:sz="8" w:space="0" w:color="auto"/>
              <w:left w:val="double" w:sz="4" w:space="0" w:color="auto"/>
              <w:bottom w:val="single" w:sz="8" w:space="0" w:color="auto"/>
              <w:right w:val="single" w:sz="12" w:space="0" w:color="auto"/>
            </w:tcBorders>
          </w:tcPr>
          <w:p w:rsidR="000765C2" w:rsidRPr="00F30D2D" w:rsidRDefault="000765C2" w:rsidP="00345673">
            <w:pPr>
              <w:spacing w:before="40" w:after="40"/>
              <w:jc w:val="center"/>
              <w:rPr>
                <w:b/>
                <w:bCs/>
                <w:sz w:val="18"/>
                <w:szCs w:val="18"/>
                <w:lang w:val="es-ES"/>
              </w:rPr>
            </w:pPr>
            <w:r w:rsidRPr="00F30D2D">
              <w:rPr>
                <w:b/>
                <w:bCs/>
                <w:sz w:val="18"/>
                <w:szCs w:val="18"/>
                <w:lang w:val="es-ES"/>
              </w:rPr>
              <w:t>Ruso</w:t>
            </w:r>
          </w:p>
        </w:tc>
      </w:tr>
      <w:tr w:rsidR="000765C2" w:rsidRPr="00F30D2D" w:rsidTr="00345673">
        <w:trPr>
          <w:jc w:val="center"/>
        </w:trPr>
        <w:tc>
          <w:tcPr>
            <w:tcW w:w="894" w:type="dxa"/>
            <w:tcBorders>
              <w:top w:val="single" w:sz="8" w:space="0" w:color="auto"/>
              <w:left w:val="single" w:sz="12"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835" w:type="dxa"/>
            <w:tcBorders>
              <w:top w:val="single" w:sz="8" w:space="0" w:color="auto"/>
              <w:left w:val="double" w:sz="4"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928" w:type="dxa"/>
            <w:tcBorders>
              <w:top w:val="single" w:sz="8" w:space="0" w:color="auto"/>
              <w:left w:val="double" w:sz="4"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929" w:type="dxa"/>
            <w:tcBorders>
              <w:top w:val="single" w:sz="8" w:space="0" w:color="auto"/>
              <w:left w:val="double" w:sz="4"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858" w:type="dxa"/>
            <w:tcBorders>
              <w:top w:val="single" w:sz="8" w:space="0" w:color="auto"/>
              <w:left w:val="double" w:sz="4" w:space="0" w:color="auto"/>
              <w:bottom w:val="single" w:sz="12" w:space="0" w:color="auto"/>
              <w:right w:val="double" w:sz="4" w:space="0" w:color="auto"/>
            </w:tcBorders>
          </w:tcPr>
          <w:p w:rsidR="000765C2" w:rsidRPr="00F30D2D" w:rsidRDefault="000765C2" w:rsidP="00345673">
            <w:pPr>
              <w:spacing w:after="120"/>
              <w:jc w:val="center"/>
              <w:rPr>
                <w:b/>
                <w:bCs/>
                <w:sz w:val="18"/>
                <w:szCs w:val="18"/>
                <w:lang w:val="es-ES"/>
              </w:rPr>
            </w:pPr>
          </w:p>
        </w:tc>
        <w:tc>
          <w:tcPr>
            <w:tcW w:w="929" w:type="dxa"/>
            <w:tcBorders>
              <w:top w:val="single" w:sz="8" w:space="0" w:color="auto"/>
              <w:left w:val="double" w:sz="4" w:space="0" w:color="auto"/>
              <w:bottom w:val="single" w:sz="12" w:space="0" w:color="auto"/>
              <w:right w:val="single" w:sz="12" w:space="0" w:color="auto"/>
            </w:tcBorders>
          </w:tcPr>
          <w:p w:rsidR="000765C2" w:rsidRPr="00F30D2D" w:rsidRDefault="000765C2" w:rsidP="00345673">
            <w:pPr>
              <w:spacing w:after="120"/>
              <w:jc w:val="center"/>
              <w:rPr>
                <w:b/>
                <w:bCs/>
                <w:sz w:val="18"/>
                <w:szCs w:val="18"/>
                <w:lang w:val="es-ES"/>
              </w:rPr>
            </w:pPr>
          </w:p>
        </w:tc>
      </w:tr>
    </w:tbl>
    <w:p w:rsidR="000765C2" w:rsidRPr="00F30D2D" w:rsidRDefault="000765C2" w:rsidP="000765C2">
      <w:pPr>
        <w:rPr>
          <w:szCs w:val="24"/>
          <w:lang w:val="es-ES"/>
        </w:rPr>
      </w:pPr>
    </w:p>
    <w:p w:rsidR="000765C2" w:rsidRPr="00F30D2D" w:rsidRDefault="000765C2" w:rsidP="000765C2">
      <w:pPr>
        <w:rPr>
          <w:sz w:val="8"/>
          <w:lang w:val="es-ES"/>
        </w:rPr>
      </w:pPr>
    </w:p>
    <w:p w:rsidR="000765C2" w:rsidRPr="00F30D2D" w:rsidRDefault="000765C2" w:rsidP="000765C2">
      <w:pPr>
        <w:tabs>
          <w:tab w:val="clear" w:pos="794"/>
          <w:tab w:val="clear" w:pos="1191"/>
          <w:tab w:val="clear" w:pos="1588"/>
          <w:tab w:val="clear" w:pos="1985"/>
          <w:tab w:val="right" w:leader="underscore" w:pos="3402"/>
          <w:tab w:val="right" w:pos="5670"/>
          <w:tab w:val="right" w:leader="underscore" w:pos="9072"/>
          <w:tab w:val="right" w:leader="underscore" w:pos="9639"/>
        </w:tabs>
        <w:rPr>
          <w:lang w:val="es-ES"/>
        </w:rPr>
      </w:pPr>
      <w:r w:rsidRPr="00F30D2D">
        <w:rPr>
          <w:lang w:val="es-ES"/>
        </w:rPr>
        <w:tab/>
      </w:r>
      <w:r w:rsidRPr="00F30D2D">
        <w:rPr>
          <w:lang w:val="es-ES"/>
        </w:rPr>
        <w:tab/>
      </w:r>
      <w:r w:rsidRPr="00F30D2D">
        <w:rPr>
          <w:lang w:val="es-ES"/>
        </w:rPr>
        <w:tab/>
      </w:r>
    </w:p>
    <w:p w:rsidR="000765C2" w:rsidRPr="00F30D2D" w:rsidRDefault="000765C2" w:rsidP="000765C2">
      <w:pPr>
        <w:tabs>
          <w:tab w:val="clear" w:pos="794"/>
          <w:tab w:val="clear" w:pos="1191"/>
          <w:tab w:val="clear" w:pos="1588"/>
          <w:tab w:val="clear" w:pos="1985"/>
          <w:tab w:val="center" w:pos="1134"/>
          <w:tab w:val="center" w:pos="3828"/>
          <w:tab w:val="center" w:pos="7513"/>
        </w:tabs>
        <w:spacing w:before="0"/>
        <w:rPr>
          <w:lang w:val="es-ES"/>
        </w:rPr>
      </w:pPr>
      <w:r w:rsidRPr="00F30D2D">
        <w:rPr>
          <w:lang w:val="es-ES"/>
        </w:rPr>
        <w:tab/>
        <w:t>(Fecha)</w:t>
      </w:r>
      <w:r w:rsidRPr="00F30D2D">
        <w:rPr>
          <w:lang w:val="es-ES"/>
        </w:rPr>
        <w:tab/>
      </w:r>
      <w:r w:rsidRPr="00F30D2D">
        <w:rPr>
          <w:lang w:val="es-ES"/>
        </w:rPr>
        <w:tab/>
        <w:t>(Firma)</w:t>
      </w:r>
    </w:p>
    <w:p w:rsidR="000765C2" w:rsidRPr="00F30D2D" w:rsidRDefault="000765C2" w:rsidP="00701265">
      <w:pPr>
        <w:rPr>
          <w:lang w:val="es-ES"/>
        </w:rPr>
      </w:pPr>
    </w:p>
    <w:p w:rsidR="000765C2" w:rsidRPr="00F30D2D" w:rsidRDefault="000765C2" w:rsidP="000765C2">
      <w:pPr>
        <w:tabs>
          <w:tab w:val="clear" w:pos="794"/>
          <w:tab w:val="clear" w:pos="1191"/>
          <w:tab w:val="clear" w:pos="1588"/>
          <w:tab w:val="clear" w:pos="1985"/>
          <w:tab w:val="center" w:pos="7513"/>
        </w:tabs>
        <w:spacing w:before="0"/>
        <w:rPr>
          <w:lang w:val="es-ES"/>
        </w:rPr>
      </w:pPr>
      <w:r w:rsidRPr="00F30D2D">
        <w:rPr>
          <w:lang w:val="es-ES"/>
        </w:rPr>
        <w:tab/>
      </w:r>
    </w:p>
    <w:tbl>
      <w:tblPr>
        <w:tblW w:w="0" w:type="auto"/>
        <w:tblBorders>
          <w:top w:val="single" w:sz="4" w:space="0" w:color="auto"/>
          <w:left w:val="single" w:sz="4" w:space="0" w:color="auto"/>
          <w:bottom w:val="single" w:sz="4" w:space="0" w:color="auto"/>
          <w:right w:val="single" w:sz="4" w:space="0" w:color="auto"/>
        </w:tblBorders>
        <w:tblLook w:val="0000"/>
      </w:tblPr>
      <w:tblGrid>
        <w:gridCol w:w="4927"/>
        <w:gridCol w:w="4928"/>
      </w:tblGrid>
      <w:tr w:rsidR="000765C2" w:rsidRPr="00F30D2D" w:rsidTr="00345673">
        <w:tc>
          <w:tcPr>
            <w:tcW w:w="4927" w:type="dxa"/>
            <w:tcBorders>
              <w:top w:val="single" w:sz="4" w:space="0" w:color="auto"/>
              <w:bottom w:val="single" w:sz="4" w:space="0" w:color="auto"/>
            </w:tcBorders>
            <w:vAlign w:val="center"/>
          </w:tcPr>
          <w:p w:rsidR="000765C2" w:rsidRPr="00F30D2D" w:rsidRDefault="00A30194" w:rsidP="00A30194">
            <w:pPr>
              <w:rPr>
                <w:sz w:val="22"/>
                <w:lang w:val="es-ES"/>
              </w:rPr>
            </w:pPr>
            <w:r>
              <w:rPr>
                <w:sz w:val="22"/>
                <w:lang w:val="es-ES"/>
              </w:rPr>
              <w:t xml:space="preserve">Devuélvase </w:t>
            </w:r>
            <w:r w:rsidR="000765C2" w:rsidRPr="00F30D2D">
              <w:rPr>
                <w:sz w:val="22"/>
                <w:lang w:val="es-ES"/>
              </w:rPr>
              <w:t xml:space="preserve">antes del </w:t>
            </w:r>
            <w:r w:rsidR="000765C2" w:rsidRPr="00F30D2D">
              <w:rPr>
                <w:b/>
                <w:bCs/>
                <w:sz w:val="22"/>
                <w:lang w:val="es-ES"/>
              </w:rPr>
              <w:t>15 de agosto de 2010</w:t>
            </w:r>
            <w:r w:rsidR="000765C2" w:rsidRPr="00F30D2D">
              <w:rPr>
                <w:sz w:val="22"/>
                <w:lang w:val="es-ES"/>
              </w:rPr>
              <w:t xml:space="preserve"> a:</w:t>
            </w:r>
          </w:p>
        </w:tc>
        <w:tc>
          <w:tcPr>
            <w:tcW w:w="4928" w:type="dxa"/>
            <w:tcBorders>
              <w:top w:val="single" w:sz="4" w:space="0" w:color="auto"/>
              <w:bottom w:val="single" w:sz="4" w:space="0" w:color="auto"/>
            </w:tcBorders>
            <w:vAlign w:val="center"/>
          </w:tcPr>
          <w:p w:rsidR="000765C2" w:rsidRPr="00F30D2D" w:rsidRDefault="000765C2" w:rsidP="00701265">
            <w:pPr>
              <w:rPr>
                <w:sz w:val="22"/>
                <w:lang w:val="es-ES"/>
              </w:rPr>
            </w:pPr>
            <w:r w:rsidRPr="00F30D2D">
              <w:rPr>
                <w:sz w:val="22"/>
                <w:lang w:val="es-ES"/>
              </w:rPr>
              <w:t>Unión Internacional de Telecomunicaciones</w:t>
            </w:r>
            <w:r w:rsidRPr="00F30D2D">
              <w:rPr>
                <w:sz w:val="22"/>
                <w:lang w:val="es-ES"/>
              </w:rPr>
              <w:br/>
              <w:t xml:space="preserve">Oficina de </w:t>
            </w:r>
            <w:r w:rsidR="00F30D2D" w:rsidRPr="00F30D2D">
              <w:rPr>
                <w:sz w:val="22"/>
                <w:lang w:val="es-ES"/>
              </w:rPr>
              <w:t>Radiocomunicaciones</w:t>
            </w:r>
            <w:r w:rsidRPr="00F30D2D">
              <w:rPr>
                <w:sz w:val="22"/>
                <w:lang w:val="es-ES"/>
              </w:rPr>
              <w:br/>
              <w:t>Secretaría de la RPC11-2/Oficina V.431</w:t>
            </w:r>
            <w:r w:rsidRPr="00F30D2D">
              <w:rPr>
                <w:sz w:val="22"/>
                <w:lang w:val="es-ES"/>
              </w:rPr>
              <w:br/>
              <w:t>1211 GINEBRA 20/Suiza</w:t>
            </w:r>
            <w:r w:rsidRPr="00F30D2D">
              <w:rPr>
                <w:sz w:val="22"/>
                <w:lang w:val="es-ES"/>
              </w:rPr>
              <w:br/>
              <w:t>Correo-e:</w:t>
            </w:r>
            <w:r w:rsidRPr="00F30D2D">
              <w:rPr>
                <w:sz w:val="22"/>
                <w:lang w:val="es-ES"/>
              </w:rPr>
              <w:tab/>
            </w:r>
            <w:hyperlink r:id="rId14" w:history="1">
              <w:r w:rsidRPr="00F30D2D">
                <w:rPr>
                  <w:rStyle w:val="Hyperlink"/>
                  <w:sz w:val="22"/>
                  <w:lang w:val="es-ES"/>
                </w:rPr>
                <w:t>iturcpmregistrations@itu.int</w:t>
              </w:r>
            </w:hyperlink>
            <w:r w:rsidRPr="00F30D2D">
              <w:rPr>
                <w:sz w:val="22"/>
                <w:lang w:val="es-ES"/>
              </w:rPr>
              <w:t xml:space="preserve"> </w:t>
            </w:r>
            <w:r w:rsidRPr="00F30D2D">
              <w:rPr>
                <w:sz w:val="22"/>
                <w:lang w:val="es-ES"/>
              </w:rPr>
              <w:br/>
              <w:t>Fax:</w:t>
            </w:r>
            <w:r w:rsidR="008B573E">
              <w:rPr>
                <w:sz w:val="22"/>
                <w:lang w:val="es-ES"/>
              </w:rPr>
              <w:tab/>
            </w:r>
            <w:r w:rsidRPr="00F30D2D">
              <w:rPr>
                <w:sz w:val="22"/>
                <w:lang w:val="es-ES"/>
              </w:rPr>
              <w:tab/>
              <w:t>+41 22 730 6600</w:t>
            </w:r>
          </w:p>
        </w:tc>
      </w:tr>
    </w:tbl>
    <w:p w:rsidR="00205863" w:rsidRPr="005738B5" w:rsidRDefault="00205863" w:rsidP="005738B5">
      <w:pPr>
        <w:pStyle w:val="AnnexNotitle"/>
        <w:spacing w:before="240"/>
        <w:ind w:right="-142"/>
      </w:pPr>
      <w:r w:rsidRPr="00F30D2D">
        <w:rPr>
          <w:lang w:val="es-ES"/>
        </w:rPr>
        <w:br w:type="page"/>
      </w:r>
      <w:r w:rsidRPr="00F30D2D">
        <w:rPr>
          <w:lang w:val="es-ES"/>
        </w:rPr>
        <w:lastRenderedPageBreak/>
        <w:t>Anex</w:t>
      </w:r>
      <w:r w:rsidR="000765C2" w:rsidRPr="00F30D2D">
        <w:rPr>
          <w:lang w:val="es-ES"/>
        </w:rPr>
        <w:t>o</w:t>
      </w:r>
      <w:r w:rsidRPr="00F30D2D">
        <w:rPr>
          <w:lang w:val="es-ES"/>
        </w:rPr>
        <w:t xml:space="preserve"> 3</w:t>
      </w:r>
      <w:r w:rsidRPr="00F30D2D">
        <w:rPr>
          <w:lang w:val="es-ES"/>
        </w:rPr>
        <w:br/>
      </w:r>
      <w:r w:rsidRPr="00F30D2D">
        <w:rPr>
          <w:lang w:val="es-ES"/>
        </w:rPr>
        <w:br/>
      </w:r>
      <w:r w:rsidR="00F76477" w:rsidRPr="005738B5">
        <w:t>Segunda sesión de la Reunión Preparatoria de la Conferencia de 2011 (RPC11-2)</w:t>
      </w:r>
    </w:p>
    <w:p w:rsidR="00205863" w:rsidRPr="00F30D2D" w:rsidRDefault="00F76477" w:rsidP="00F76477">
      <w:pPr>
        <w:pStyle w:val="Title1"/>
        <w:rPr>
          <w:lang w:val="es-ES"/>
        </w:rPr>
      </w:pPr>
      <w:r w:rsidRPr="00F30D2D">
        <w:rPr>
          <w:lang w:val="es-ES"/>
        </w:rPr>
        <w:t>CENTRO INTERNACIONAL DE CONFERENCIAS DE GINEBRA</w:t>
      </w:r>
      <w:r w:rsidR="00205863" w:rsidRPr="00F30D2D">
        <w:rPr>
          <w:lang w:val="es-ES"/>
        </w:rPr>
        <w:t xml:space="preserve"> (CICG)</w:t>
      </w:r>
      <w:r w:rsidR="00205863" w:rsidRPr="00F30D2D">
        <w:rPr>
          <w:lang w:val="es-ES"/>
        </w:rPr>
        <w:br/>
        <w:t xml:space="preserve">14 – 25 </w:t>
      </w:r>
      <w:r w:rsidRPr="00F30D2D">
        <w:rPr>
          <w:lang w:val="es-ES"/>
        </w:rPr>
        <w:t xml:space="preserve">DE FEBRERO DE </w:t>
      </w:r>
      <w:r w:rsidR="00205863" w:rsidRPr="00F30D2D">
        <w:rPr>
          <w:lang w:val="es-ES"/>
        </w:rPr>
        <w:t>2011</w:t>
      </w:r>
    </w:p>
    <w:p w:rsidR="00205863" w:rsidRPr="00F30D2D" w:rsidRDefault="00F76477" w:rsidP="00205863">
      <w:pPr>
        <w:pStyle w:val="Title2"/>
        <w:rPr>
          <w:lang w:val="es-ES"/>
        </w:rPr>
      </w:pPr>
      <w:r w:rsidRPr="00F30D2D">
        <w:rPr>
          <w:lang w:val="es-ES"/>
        </w:rPr>
        <w:t xml:space="preserve">INSCRIPCIÓN DE </w:t>
      </w:r>
      <w:r w:rsidR="00205863" w:rsidRPr="00F30D2D">
        <w:rPr>
          <w:lang w:val="es-ES"/>
        </w:rPr>
        <w:t>PARTICIPANT</w:t>
      </w:r>
      <w:r w:rsidRPr="00F30D2D">
        <w:rPr>
          <w:lang w:val="es-ES"/>
        </w:rPr>
        <w:t>E</w:t>
      </w:r>
      <w:r w:rsidR="00205863" w:rsidRPr="00F30D2D">
        <w:rPr>
          <w:lang w:val="es-ES"/>
        </w:rPr>
        <w:t>S</w:t>
      </w:r>
    </w:p>
    <w:p w:rsidR="00205863" w:rsidRPr="00F30D2D" w:rsidRDefault="00205863" w:rsidP="00205863">
      <w:pPr>
        <w:rPr>
          <w:lang w:val="es-ES"/>
        </w:rPr>
      </w:pPr>
    </w:p>
    <w:p w:rsidR="00205863" w:rsidRPr="00F30D2D" w:rsidRDefault="00F76477" w:rsidP="008B573E">
      <w:pPr>
        <w:spacing w:before="0"/>
        <w:jc w:val="center"/>
        <w:rPr>
          <w:color w:val="000000"/>
          <w:lang w:val="es-ES"/>
        </w:rPr>
      </w:pPr>
      <w:r w:rsidRPr="00F30D2D">
        <w:rPr>
          <w:color w:val="000000"/>
          <w:lang w:val="es-ES"/>
        </w:rPr>
        <w:t>La inscripción en la RP</w:t>
      </w:r>
      <w:r w:rsidR="00205863" w:rsidRPr="00F30D2D">
        <w:rPr>
          <w:color w:val="000000"/>
          <w:lang w:val="es-ES"/>
        </w:rPr>
        <w:t xml:space="preserve">C11-2 </w:t>
      </w:r>
      <w:r w:rsidRPr="00F30D2D">
        <w:rPr>
          <w:color w:val="000000"/>
          <w:lang w:val="es-ES"/>
        </w:rPr>
        <w:t xml:space="preserve">se llevará a cabo exclusivamente </w:t>
      </w:r>
      <w:r w:rsidRPr="00F30D2D">
        <w:rPr>
          <w:i/>
          <w:iCs/>
          <w:color w:val="000000"/>
          <w:lang w:val="es-ES"/>
        </w:rPr>
        <w:t>en línea</w:t>
      </w:r>
      <w:r w:rsidR="008B573E">
        <w:rPr>
          <w:color w:val="000000"/>
          <w:lang w:val="es-ES"/>
        </w:rPr>
        <w:br/>
      </w:r>
      <w:r w:rsidRPr="00F30D2D">
        <w:rPr>
          <w:color w:val="000000"/>
          <w:lang w:val="es-ES"/>
        </w:rPr>
        <w:t xml:space="preserve">desde la </w:t>
      </w:r>
      <w:hyperlink r:id="rId15" w:history="1">
        <w:r w:rsidRPr="00F30D2D">
          <w:rPr>
            <w:rStyle w:val="Hyperlink"/>
            <w:lang w:val="es-ES"/>
          </w:rPr>
          <w:t>página w</w:t>
        </w:r>
        <w:r w:rsidR="00205863" w:rsidRPr="00F30D2D">
          <w:rPr>
            <w:rStyle w:val="Hyperlink"/>
            <w:lang w:val="es-ES"/>
          </w:rPr>
          <w:t>eb</w:t>
        </w:r>
      </w:hyperlink>
      <w:r w:rsidRPr="00F30D2D">
        <w:rPr>
          <w:lang w:val="es-ES"/>
        </w:rPr>
        <w:t xml:space="preserve">, seleccionando </w:t>
      </w:r>
      <w:hyperlink r:id="rId16" w:history="1">
        <w:r w:rsidRPr="00F30D2D">
          <w:rPr>
            <w:rStyle w:val="Hyperlink"/>
            <w:lang w:val="es-ES"/>
          </w:rPr>
          <w:t>Inscripción de delegados en línea</w:t>
        </w:r>
      </w:hyperlink>
      <w:r w:rsidR="00205863" w:rsidRPr="00F30D2D">
        <w:rPr>
          <w:color w:val="000000"/>
          <w:lang w:val="es-ES"/>
        </w:rPr>
        <w:t>.</w:t>
      </w:r>
    </w:p>
    <w:p w:rsidR="00205863" w:rsidRPr="00F30D2D" w:rsidRDefault="00F76477" w:rsidP="007B4D07">
      <w:pPr>
        <w:rPr>
          <w:lang w:val="es-ES"/>
        </w:rPr>
      </w:pPr>
      <w:r w:rsidRPr="00F30D2D">
        <w:rPr>
          <w:color w:val="000000"/>
          <w:lang w:val="es-ES"/>
        </w:rPr>
        <w:t xml:space="preserve">Toda la información </w:t>
      </w:r>
      <w:r w:rsidR="00281AF9" w:rsidRPr="00F30D2D">
        <w:rPr>
          <w:color w:val="000000"/>
          <w:lang w:val="es-ES"/>
        </w:rPr>
        <w:t>disponible relativa a</w:t>
      </w:r>
      <w:r w:rsidRPr="00F30D2D">
        <w:rPr>
          <w:color w:val="000000"/>
          <w:lang w:val="es-ES"/>
        </w:rPr>
        <w:t xml:space="preserve"> </w:t>
      </w:r>
      <w:r w:rsidR="00281AF9" w:rsidRPr="00F30D2D">
        <w:rPr>
          <w:color w:val="000000"/>
          <w:lang w:val="es-ES"/>
        </w:rPr>
        <w:t>los</w:t>
      </w:r>
      <w:r w:rsidRPr="00F30D2D">
        <w:rPr>
          <w:color w:val="000000"/>
          <w:lang w:val="es-ES"/>
        </w:rPr>
        <w:t xml:space="preserve"> </w:t>
      </w:r>
      <w:r w:rsidR="00281AF9" w:rsidRPr="00F30D2D">
        <w:rPr>
          <w:color w:val="000000"/>
          <w:lang w:val="es-ES"/>
        </w:rPr>
        <w:t>c</w:t>
      </w:r>
      <w:r w:rsidRPr="00F30D2D">
        <w:rPr>
          <w:color w:val="000000"/>
          <w:lang w:val="es-ES"/>
        </w:rPr>
        <w:t>oordinador</w:t>
      </w:r>
      <w:r w:rsidR="00281AF9" w:rsidRPr="00F30D2D">
        <w:rPr>
          <w:color w:val="000000"/>
          <w:lang w:val="es-ES"/>
        </w:rPr>
        <w:t>es</w:t>
      </w:r>
      <w:r w:rsidRPr="00F30D2D">
        <w:rPr>
          <w:color w:val="000000"/>
          <w:lang w:val="es-ES"/>
        </w:rPr>
        <w:t xml:space="preserve"> </w:t>
      </w:r>
      <w:r w:rsidR="00281AF9" w:rsidRPr="00F30D2D">
        <w:rPr>
          <w:color w:val="000000"/>
          <w:lang w:val="es-ES"/>
        </w:rPr>
        <w:t>d</w:t>
      </w:r>
      <w:r w:rsidRPr="00F30D2D">
        <w:rPr>
          <w:color w:val="000000"/>
          <w:lang w:val="es-ES"/>
        </w:rPr>
        <w:t>esignado</w:t>
      </w:r>
      <w:r w:rsidR="00281AF9" w:rsidRPr="00F30D2D">
        <w:rPr>
          <w:color w:val="000000"/>
          <w:lang w:val="es-ES"/>
        </w:rPr>
        <w:t>s</w:t>
      </w:r>
      <w:r w:rsidRPr="00F30D2D">
        <w:rPr>
          <w:color w:val="000000"/>
          <w:lang w:val="es-ES"/>
        </w:rPr>
        <w:t xml:space="preserve"> </w:t>
      </w:r>
      <w:r w:rsidRPr="00F30D2D">
        <w:rPr>
          <w:lang w:val="es-ES"/>
        </w:rPr>
        <w:t xml:space="preserve">figura en la página web </w:t>
      </w:r>
      <w:r w:rsidRPr="00F30D2D">
        <w:rPr>
          <w:b/>
          <w:bCs/>
          <w:lang w:val="es-ES"/>
        </w:rPr>
        <w:t>Inscripción de delegados e información del UIT-R</w:t>
      </w:r>
      <w:r w:rsidR="00205863" w:rsidRPr="00F30D2D">
        <w:rPr>
          <w:lang w:val="es-ES"/>
        </w:rPr>
        <w:t>:</w:t>
      </w:r>
    </w:p>
    <w:p w:rsidR="00205863" w:rsidRPr="00F30D2D" w:rsidRDefault="002551F0" w:rsidP="00205863">
      <w:pPr>
        <w:spacing w:before="240"/>
        <w:ind w:left="284"/>
        <w:jc w:val="center"/>
        <w:rPr>
          <w:szCs w:val="24"/>
          <w:lang w:val="es-ES"/>
        </w:rPr>
      </w:pPr>
      <w:hyperlink r:id="rId17" w:history="1">
        <w:r w:rsidR="00205863" w:rsidRPr="00F30D2D">
          <w:rPr>
            <w:rStyle w:val="Hyperlink"/>
            <w:szCs w:val="24"/>
            <w:lang w:val="es-ES"/>
          </w:rPr>
          <w:t>http://www.itu.int/ITU-R/go/delegate-reg-info/en</w:t>
        </w:r>
      </w:hyperlink>
    </w:p>
    <w:p w:rsidR="00205863" w:rsidRPr="00F30D2D" w:rsidRDefault="00205863" w:rsidP="00205863">
      <w:pPr>
        <w:spacing w:before="0"/>
        <w:ind w:left="357"/>
        <w:rPr>
          <w:color w:val="000000"/>
          <w:lang w:val="es-ES"/>
        </w:rPr>
      </w:pPr>
    </w:p>
    <w:p w:rsidR="00205863" w:rsidRPr="00F30D2D" w:rsidRDefault="00281AF9" w:rsidP="00281AF9">
      <w:pPr>
        <w:ind w:left="360"/>
        <w:rPr>
          <w:color w:val="000000"/>
          <w:lang w:val="es-ES"/>
        </w:rPr>
      </w:pPr>
      <w:r w:rsidRPr="00F30D2D">
        <w:rPr>
          <w:color w:val="000000"/>
          <w:lang w:val="es-ES"/>
        </w:rPr>
        <w:t xml:space="preserve">Rellene el siguiente formulario </w:t>
      </w:r>
      <w:r w:rsidRPr="00F30D2D">
        <w:rPr>
          <w:b/>
          <w:bCs/>
          <w:i/>
          <w:iCs/>
          <w:color w:val="000000"/>
          <w:lang w:val="es-ES"/>
        </w:rPr>
        <w:t xml:space="preserve">únicamente </w:t>
      </w:r>
      <w:r w:rsidRPr="00F30D2D">
        <w:rPr>
          <w:color w:val="000000"/>
          <w:lang w:val="es-ES"/>
        </w:rPr>
        <w:t>en caso de que desee cambiar el nombre del coordinador designado que aparece en la lista actual</w:t>
      </w:r>
      <w:r w:rsidR="00205863" w:rsidRPr="00F30D2D">
        <w:rPr>
          <w:color w:val="000000"/>
          <w:lang w:val="es-ES"/>
        </w:rPr>
        <w:t xml:space="preserve">. </w:t>
      </w:r>
      <w:r w:rsidRPr="00F30D2D">
        <w:rPr>
          <w:color w:val="000000"/>
          <w:lang w:val="es-ES"/>
        </w:rPr>
        <w:t xml:space="preserve">El sistema de inscripción en línea estará disponible a partir del </w:t>
      </w:r>
      <w:r w:rsidR="00205863" w:rsidRPr="00F30D2D">
        <w:rPr>
          <w:color w:val="000000"/>
          <w:lang w:val="es-ES"/>
        </w:rPr>
        <w:t xml:space="preserve">15 </w:t>
      </w:r>
      <w:r w:rsidRPr="00F30D2D">
        <w:rPr>
          <w:color w:val="000000"/>
          <w:lang w:val="es-ES"/>
        </w:rPr>
        <w:t xml:space="preserve">de septiembre de </w:t>
      </w:r>
      <w:r w:rsidR="00205863" w:rsidRPr="00F30D2D">
        <w:rPr>
          <w:color w:val="000000"/>
          <w:lang w:val="es-ES"/>
        </w:rPr>
        <w:t>2010.</w:t>
      </w:r>
    </w:p>
    <w:p w:rsidR="00205863" w:rsidRPr="00F30D2D" w:rsidRDefault="00205863" w:rsidP="00205863">
      <w:pPr>
        <w:ind w:left="360"/>
        <w:jc w:val="center"/>
        <w:rPr>
          <w:color w:val="000000"/>
          <w:sz w:val="16"/>
          <w:szCs w:val="16"/>
          <w:lang w:val="es-ES"/>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205863" w:rsidRPr="00F30D2D" w:rsidTr="00205863">
        <w:tc>
          <w:tcPr>
            <w:tcW w:w="9180" w:type="dxa"/>
          </w:tcPr>
          <w:p w:rsidR="00205863" w:rsidRPr="00F30D2D" w:rsidRDefault="00205863" w:rsidP="00205863">
            <w:pPr>
              <w:ind w:left="360"/>
              <w:rPr>
                <w:b/>
                <w:bCs/>
                <w:szCs w:val="24"/>
                <w:lang w:val="es-ES"/>
              </w:rPr>
            </w:pPr>
          </w:p>
          <w:p w:rsidR="00205863" w:rsidRPr="00F30D2D" w:rsidRDefault="00281AF9" w:rsidP="00205863">
            <w:pPr>
              <w:tabs>
                <w:tab w:val="clear" w:pos="1191"/>
                <w:tab w:val="clear" w:pos="1588"/>
                <w:tab w:val="clear" w:pos="1985"/>
                <w:tab w:val="left" w:pos="1692"/>
                <w:tab w:val="left" w:pos="2232"/>
                <w:tab w:val="right" w:leader="underscore" w:pos="8352"/>
              </w:tabs>
              <w:ind w:left="360"/>
              <w:rPr>
                <w:b/>
                <w:bCs/>
                <w:color w:val="000000"/>
                <w:lang w:val="es-ES"/>
              </w:rPr>
            </w:pPr>
            <w:r w:rsidRPr="00F30D2D">
              <w:rPr>
                <w:b/>
                <w:bCs/>
                <w:szCs w:val="24"/>
                <w:lang w:val="es-ES"/>
              </w:rPr>
              <w:t>Estado Miembro</w:t>
            </w:r>
            <w:r w:rsidR="00205863" w:rsidRPr="00F30D2D">
              <w:rPr>
                <w:b/>
                <w:bCs/>
                <w:szCs w:val="24"/>
                <w:lang w:val="es-ES"/>
              </w:rPr>
              <w:t>:</w:t>
            </w:r>
            <w:r w:rsidR="00205863" w:rsidRPr="00F30D2D">
              <w:rPr>
                <w:b/>
                <w:bCs/>
                <w:szCs w:val="24"/>
                <w:lang w:val="es-ES"/>
              </w:rPr>
              <w:tab/>
            </w:r>
            <w:r w:rsidR="00205863" w:rsidRPr="00F30D2D">
              <w:rPr>
                <w:b/>
                <w:bCs/>
                <w:szCs w:val="24"/>
                <w:lang w:val="es-ES"/>
              </w:rPr>
              <w:tab/>
            </w:r>
            <w:r w:rsidR="00205863" w:rsidRPr="00F30D2D">
              <w:rPr>
                <w:b/>
                <w:bCs/>
                <w:szCs w:val="24"/>
                <w:lang w:val="es-ES"/>
              </w:rPr>
              <w:tab/>
            </w:r>
          </w:p>
          <w:p w:rsidR="00205863" w:rsidRPr="00F30D2D" w:rsidRDefault="00205863" w:rsidP="00281AF9">
            <w:pPr>
              <w:tabs>
                <w:tab w:val="clear" w:pos="1191"/>
                <w:tab w:val="clear" w:pos="1588"/>
                <w:tab w:val="clear" w:pos="1985"/>
                <w:tab w:val="left" w:pos="1692"/>
                <w:tab w:val="left" w:pos="2232"/>
                <w:tab w:val="left" w:pos="2952"/>
                <w:tab w:val="right" w:leader="underscore" w:pos="8352"/>
              </w:tabs>
              <w:ind w:left="360"/>
              <w:rPr>
                <w:b/>
                <w:bCs/>
                <w:i/>
                <w:iCs/>
                <w:color w:val="000000"/>
                <w:lang w:val="es-ES"/>
              </w:rPr>
            </w:pPr>
            <w:r w:rsidRPr="00F30D2D">
              <w:rPr>
                <w:b/>
                <w:bCs/>
                <w:i/>
                <w:iCs/>
                <w:color w:val="000000"/>
                <w:lang w:val="es-ES"/>
              </w:rPr>
              <w:t>o</w:t>
            </w:r>
          </w:p>
          <w:p w:rsidR="00205863" w:rsidRPr="00F30D2D" w:rsidRDefault="00281AF9" w:rsidP="00281AF9">
            <w:pPr>
              <w:tabs>
                <w:tab w:val="clear" w:pos="1191"/>
                <w:tab w:val="clear" w:pos="1588"/>
                <w:tab w:val="clear" w:pos="1985"/>
                <w:tab w:val="left" w:pos="2226"/>
                <w:tab w:val="right" w:leader="underscore" w:pos="8352"/>
              </w:tabs>
              <w:ind w:left="360"/>
              <w:rPr>
                <w:b/>
                <w:bCs/>
                <w:color w:val="000000"/>
                <w:lang w:val="es-ES"/>
              </w:rPr>
            </w:pPr>
            <w:r w:rsidRPr="00F30D2D">
              <w:rPr>
                <w:b/>
                <w:bCs/>
                <w:color w:val="000000"/>
                <w:szCs w:val="24"/>
                <w:lang w:val="es-ES"/>
              </w:rPr>
              <w:t xml:space="preserve">Miembro de </w:t>
            </w:r>
            <w:r w:rsidR="00205863" w:rsidRPr="00F30D2D">
              <w:rPr>
                <w:b/>
                <w:bCs/>
                <w:color w:val="000000"/>
                <w:szCs w:val="24"/>
                <w:lang w:val="es-ES"/>
              </w:rPr>
              <w:t>Sector:</w:t>
            </w:r>
            <w:r w:rsidR="00205863" w:rsidRPr="00F30D2D">
              <w:rPr>
                <w:b/>
                <w:bCs/>
                <w:color w:val="000000"/>
                <w:szCs w:val="24"/>
                <w:lang w:val="es-ES"/>
              </w:rPr>
              <w:tab/>
            </w:r>
            <w:r w:rsidR="00205863" w:rsidRPr="00F30D2D">
              <w:rPr>
                <w:b/>
                <w:bCs/>
                <w:color w:val="000000"/>
                <w:lang w:val="es-ES"/>
              </w:rPr>
              <w:tab/>
            </w:r>
          </w:p>
          <w:p w:rsidR="00205863" w:rsidRPr="00F30D2D" w:rsidRDefault="00205863" w:rsidP="00205863">
            <w:pPr>
              <w:ind w:left="360"/>
              <w:rPr>
                <w:color w:val="000000"/>
                <w:lang w:val="es-ES"/>
              </w:rPr>
            </w:pPr>
          </w:p>
        </w:tc>
      </w:tr>
      <w:tr w:rsidR="00205863" w:rsidRPr="00F30D2D" w:rsidTr="00205863">
        <w:tc>
          <w:tcPr>
            <w:tcW w:w="9180" w:type="dxa"/>
            <w:tcBorders>
              <w:bottom w:val="thickThinSmallGap" w:sz="24" w:space="0" w:color="auto"/>
            </w:tcBorders>
          </w:tcPr>
          <w:p w:rsidR="00205863" w:rsidRPr="00F30D2D" w:rsidRDefault="00281AF9" w:rsidP="00205863">
            <w:pPr>
              <w:spacing w:before="400"/>
              <w:ind w:left="357"/>
              <w:jc w:val="center"/>
              <w:rPr>
                <w:b/>
                <w:bCs/>
                <w:color w:val="000000"/>
                <w:sz w:val="28"/>
                <w:szCs w:val="28"/>
                <w:lang w:val="es-ES"/>
              </w:rPr>
            </w:pPr>
            <w:r w:rsidRPr="00F30D2D">
              <w:rPr>
                <w:b/>
                <w:bCs/>
                <w:color w:val="000000"/>
                <w:sz w:val="28"/>
                <w:szCs w:val="28"/>
                <w:lang w:val="es-ES"/>
              </w:rPr>
              <w:t>Coordinador designado</w:t>
            </w:r>
            <w:r w:rsidR="00205863" w:rsidRPr="00F30D2D">
              <w:rPr>
                <w:b/>
                <w:bCs/>
                <w:color w:val="000000"/>
                <w:sz w:val="28"/>
                <w:szCs w:val="28"/>
                <w:lang w:val="es-ES"/>
              </w:rPr>
              <w:t>:</w:t>
            </w:r>
          </w:p>
          <w:p w:rsidR="00205863" w:rsidRPr="00F30D2D" w:rsidRDefault="00205863" w:rsidP="00205863">
            <w:pPr>
              <w:ind w:left="360"/>
              <w:jc w:val="center"/>
              <w:rPr>
                <w:b/>
                <w:bCs/>
                <w:color w:val="000000"/>
                <w:sz w:val="28"/>
                <w:szCs w:val="28"/>
                <w:lang w:val="es-ES"/>
              </w:rPr>
            </w:pPr>
          </w:p>
          <w:p w:rsidR="00205863" w:rsidRPr="00F30D2D" w:rsidRDefault="00205863" w:rsidP="00205863">
            <w:pPr>
              <w:tabs>
                <w:tab w:val="clear" w:pos="794"/>
                <w:tab w:val="clear" w:pos="1191"/>
                <w:tab w:val="clear" w:pos="1588"/>
                <w:tab w:val="clear" w:pos="1985"/>
                <w:tab w:val="left" w:pos="567"/>
                <w:tab w:val="right" w:leader="underscore" w:pos="8352"/>
              </w:tabs>
              <w:ind w:left="360"/>
              <w:rPr>
                <w:i/>
                <w:iCs/>
                <w:color w:val="000000"/>
                <w:lang w:val="es-ES"/>
              </w:rPr>
            </w:pPr>
            <w:r w:rsidRPr="00F30D2D">
              <w:rPr>
                <w:i/>
                <w:iCs/>
                <w:color w:val="000000"/>
                <w:lang w:val="es-ES"/>
              </w:rPr>
              <w:tab/>
            </w:r>
            <w:r w:rsidRPr="00F30D2D">
              <w:rPr>
                <w:i/>
                <w:iCs/>
                <w:color w:val="000000"/>
                <w:lang w:val="es-ES"/>
              </w:rPr>
              <w:tab/>
            </w:r>
          </w:p>
          <w:p w:rsidR="00205863" w:rsidRPr="00F30D2D" w:rsidRDefault="00205863" w:rsidP="00281AF9">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es-ES"/>
              </w:rPr>
            </w:pPr>
            <w:r w:rsidRPr="00F30D2D">
              <w:rPr>
                <w:color w:val="000000"/>
                <w:lang w:val="es-ES"/>
              </w:rPr>
              <w:tab/>
            </w:r>
            <w:r w:rsidR="00281AF9" w:rsidRPr="00F30D2D">
              <w:rPr>
                <w:i/>
                <w:iCs/>
                <w:color w:val="000000"/>
                <w:sz w:val="20"/>
                <w:lang w:val="es-ES"/>
              </w:rPr>
              <w:t>Nombre</w:t>
            </w:r>
            <w:r w:rsidRPr="00F30D2D">
              <w:rPr>
                <w:i/>
                <w:iCs/>
                <w:color w:val="000000"/>
                <w:sz w:val="20"/>
                <w:lang w:val="es-ES"/>
              </w:rPr>
              <w:tab/>
            </w:r>
            <w:r w:rsidRPr="00F30D2D">
              <w:rPr>
                <w:i/>
                <w:iCs/>
                <w:color w:val="000000"/>
                <w:sz w:val="20"/>
                <w:lang w:val="es-ES"/>
              </w:rPr>
              <w:tab/>
            </w:r>
            <w:r w:rsidR="00281AF9" w:rsidRPr="00F30D2D">
              <w:rPr>
                <w:i/>
                <w:iCs/>
                <w:color w:val="000000"/>
                <w:sz w:val="20"/>
                <w:lang w:val="es-ES"/>
              </w:rPr>
              <w:t>Apellido(s)</w:t>
            </w:r>
          </w:p>
          <w:p w:rsidR="00205863" w:rsidRPr="00F30D2D" w:rsidRDefault="00205863" w:rsidP="00205863">
            <w:pPr>
              <w:tabs>
                <w:tab w:val="clear" w:pos="794"/>
                <w:tab w:val="clear" w:pos="1191"/>
                <w:tab w:val="clear" w:pos="1588"/>
                <w:tab w:val="clear" w:pos="1985"/>
                <w:tab w:val="left" w:pos="567"/>
                <w:tab w:val="right" w:leader="underscore" w:pos="8352"/>
              </w:tabs>
              <w:spacing w:before="300"/>
              <w:ind w:left="357"/>
              <w:rPr>
                <w:i/>
                <w:iCs/>
                <w:color w:val="000000"/>
                <w:lang w:val="es-ES"/>
              </w:rPr>
            </w:pPr>
            <w:r w:rsidRPr="00F30D2D">
              <w:rPr>
                <w:i/>
                <w:iCs/>
                <w:color w:val="000000"/>
                <w:lang w:val="es-ES"/>
              </w:rPr>
              <w:tab/>
            </w:r>
            <w:r w:rsidRPr="00F30D2D">
              <w:rPr>
                <w:i/>
                <w:iCs/>
                <w:color w:val="000000"/>
                <w:lang w:val="es-ES"/>
              </w:rPr>
              <w:tab/>
            </w:r>
          </w:p>
          <w:p w:rsidR="00205863" w:rsidRPr="00F30D2D" w:rsidRDefault="00205863" w:rsidP="00281AF9">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es-ES"/>
              </w:rPr>
            </w:pPr>
            <w:r w:rsidRPr="00F30D2D">
              <w:rPr>
                <w:color w:val="000000"/>
                <w:lang w:val="es-ES"/>
              </w:rPr>
              <w:tab/>
            </w:r>
            <w:r w:rsidRPr="00F30D2D">
              <w:rPr>
                <w:color w:val="000000"/>
                <w:lang w:val="es-ES"/>
              </w:rPr>
              <w:tab/>
            </w:r>
            <w:r w:rsidRPr="00F30D2D">
              <w:rPr>
                <w:i/>
                <w:iCs/>
                <w:color w:val="000000"/>
                <w:sz w:val="20"/>
                <w:lang w:val="es-ES"/>
              </w:rPr>
              <w:t>Tel</w:t>
            </w:r>
            <w:r w:rsidR="00281AF9" w:rsidRPr="00F30D2D">
              <w:rPr>
                <w:i/>
                <w:iCs/>
                <w:color w:val="000000"/>
                <w:sz w:val="20"/>
                <w:lang w:val="es-ES"/>
              </w:rPr>
              <w:t>éf</w:t>
            </w:r>
            <w:r w:rsidRPr="00F30D2D">
              <w:rPr>
                <w:i/>
                <w:iCs/>
                <w:color w:val="000000"/>
                <w:sz w:val="20"/>
                <w:lang w:val="es-ES"/>
              </w:rPr>
              <w:t>on</w:t>
            </w:r>
            <w:r w:rsidR="00281AF9" w:rsidRPr="00F30D2D">
              <w:rPr>
                <w:i/>
                <w:iCs/>
                <w:color w:val="000000"/>
                <w:sz w:val="20"/>
                <w:lang w:val="es-ES"/>
              </w:rPr>
              <w:t>o</w:t>
            </w:r>
          </w:p>
          <w:p w:rsidR="00205863" w:rsidRPr="00F30D2D" w:rsidRDefault="00205863" w:rsidP="00205863">
            <w:pPr>
              <w:tabs>
                <w:tab w:val="clear" w:pos="794"/>
                <w:tab w:val="clear" w:pos="1191"/>
                <w:tab w:val="clear" w:pos="1588"/>
                <w:tab w:val="clear" w:pos="1985"/>
                <w:tab w:val="left" w:pos="567"/>
                <w:tab w:val="right" w:leader="underscore" w:pos="8352"/>
              </w:tabs>
              <w:spacing w:before="300"/>
              <w:ind w:left="357"/>
              <w:rPr>
                <w:i/>
                <w:iCs/>
                <w:color w:val="000000"/>
                <w:lang w:val="es-ES"/>
              </w:rPr>
            </w:pPr>
            <w:r w:rsidRPr="00F30D2D">
              <w:rPr>
                <w:i/>
                <w:iCs/>
                <w:color w:val="000000"/>
                <w:lang w:val="es-ES"/>
              </w:rPr>
              <w:tab/>
            </w:r>
            <w:r w:rsidRPr="00F30D2D">
              <w:rPr>
                <w:i/>
                <w:iCs/>
                <w:color w:val="000000"/>
                <w:lang w:val="es-ES"/>
              </w:rPr>
              <w:tab/>
            </w:r>
          </w:p>
          <w:p w:rsidR="00205863" w:rsidRPr="00F30D2D" w:rsidRDefault="00205863" w:rsidP="00281AF9">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lang w:val="es-ES"/>
              </w:rPr>
            </w:pPr>
            <w:r w:rsidRPr="00F30D2D">
              <w:rPr>
                <w:i/>
                <w:iCs/>
                <w:color w:val="000000"/>
                <w:sz w:val="20"/>
                <w:lang w:val="es-ES"/>
              </w:rPr>
              <w:tab/>
            </w:r>
            <w:r w:rsidRPr="00F30D2D">
              <w:rPr>
                <w:i/>
                <w:iCs/>
                <w:color w:val="000000"/>
                <w:sz w:val="20"/>
                <w:lang w:val="es-ES"/>
              </w:rPr>
              <w:tab/>
            </w:r>
            <w:r w:rsidR="00281AF9" w:rsidRPr="00F30D2D">
              <w:rPr>
                <w:i/>
                <w:iCs/>
                <w:color w:val="000000"/>
                <w:sz w:val="20"/>
                <w:lang w:val="es-ES"/>
              </w:rPr>
              <w:t>Dirección de correo electrónico</w:t>
            </w:r>
          </w:p>
          <w:p w:rsidR="00205863" w:rsidRPr="00F30D2D" w:rsidRDefault="00205863" w:rsidP="00205863">
            <w:pPr>
              <w:ind w:left="360"/>
              <w:rPr>
                <w:b/>
                <w:bCs/>
                <w:szCs w:val="24"/>
                <w:lang w:val="es-ES"/>
              </w:rPr>
            </w:pPr>
          </w:p>
        </w:tc>
      </w:tr>
    </w:tbl>
    <w:p w:rsidR="00205863" w:rsidRPr="00F30D2D" w:rsidRDefault="00205863" w:rsidP="00205863">
      <w:pPr>
        <w:spacing w:before="0"/>
        <w:jc w:val="both"/>
        <w:rPr>
          <w:b/>
          <w:bCs/>
          <w:i/>
          <w:iCs/>
          <w:color w:val="000000"/>
          <w:lang w:val="es-ES"/>
        </w:rPr>
      </w:pPr>
    </w:p>
    <w:p w:rsidR="00205863" w:rsidRPr="00F30D2D" w:rsidRDefault="00281AF9" w:rsidP="00701265">
      <w:pPr>
        <w:spacing w:before="0"/>
        <w:rPr>
          <w:b/>
          <w:bCs/>
          <w:i/>
          <w:iCs/>
          <w:color w:val="000000"/>
          <w:lang w:val="es-ES"/>
        </w:rPr>
      </w:pPr>
      <w:r w:rsidRPr="00F30D2D">
        <w:rPr>
          <w:b/>
          <w:bCs/>
          <w:i/>
          <w:iCs/>
          <w:color w:val="000000"/>
          <w:lang w:val="es-ES"/>
        </w:rPr>
        <w:t xml:space="preserve">Para presentar el formulario anterior o solicitar información adicional, diríjase a la Secretaría de la Oficina de Radiocomunicaciones por </w:t>
      </w:r>
      <w:r w:rsidR="00701265">
        <w:rPr>
          <w:b/>
          <w:bCs/>
          <w:i/>
          <w:iCs/>
          <w:color w:val="000000"/>
          <w:lang w:val="es-ES"/>
        </w:rPr>
        <w:t>C</w:t>
      </w:r>
      <w:r w:rsidRPr="00F30D2D">
        <w:rPr>
          <w:b/>
          <w:bCs/>
          <w:i/>
          <w:iCs/>
          <w:color w:val="000000"/>
          <w:lang w:val="es-ES"/>
        </w:rPr>
        <w:t xml:space="preserve">orreo-e </w:t>
      </w:r>
      <w:r w:rsidR="00205863" w:rsidRPr="00F30D2D">
        <w:rPr>
          <w:b/>
          <w:bCs/>
          <w:i/>
          <w:iCs/>
          <w:color w:val="000000"/>
          <w:lang w:val="es-ES"/>
        </w:rPr>
        <w:t>(</w:t>
      </w:r>
      <w:hyperlink r:id="rId18" w:history="1">
        <w:r w:rsidR="00205863" w:rsidRPr="00F30D2D">
          <w:rPr>
            <w:rStyle w:val="Hyperlink"/>
            <w:b/>
            <w:bCs/>
            <w:i/>
            <w:iCs/>
            <w:lang w:val="es-ES"/>
          </w:rPr>
          <w:t>iturcpmregistrations@itu.int</w:t>
        </w:r>
      </w:hyperlink>
      <w:r w:rsidR="00205863" w:rsidRPr="00F30D2D">
        <w:rPr>
          <w:b/>
          <w:bCs/>
          <w:i/>
          <w:iCs/>
          <w:color w:val="000000"/>
          <w:lang w:val="es-ES"/>
        </w:rPr>
        <w:t xml:space="preserve">) o </w:t>
      </w:r>
      <w:r w:rsidRPr="00F30D2D">
        <w:rPr>
          <w:b/>
          <w:bCs/>
          <w:i/>
          <w:iCs/>
          <w:color w:val="000000"/>
          <w:lang w:val="es-ES"/>
        </w:rPr>
        <w:t xml:space="preserve">por </w:t>
      </w:r>
      <w:r w:rsidRPr="00F30D2D">
        <w:rPr>
          <w:b/>
          <w:bCs/>
          <w:i/>
          <w:iCs/>
          <w:color w:val="000000"/>
          <w:lang w:val="es-ES"/>
        </w:rPr>
        <w:br/>
      </w:r>
      <w:r w:rsidR="00205863" w:rsidRPr="00F30D2D">
        <w:rPr>
          <w:b/>
          <w:bCs/>
          <w:i/>
          <w:iCs/>
          <w:color w:val="000000"/>
          <w:lang w:val="es-ES"/>
        </w:rPr>
        <w:t>fax (+41 22 730 6600).</w:t>
      </w:r>
    </w:p>
    <w:p w:rsidR="00E919F0" w:rsidRPr="00F30D2D" w:rsidRDefault="00E919F0" w:rsidP="00205863">
      <w:pPr>
        <w:jc w:val="center"/>
        <w:rPr>
          <w:lang w:val="es-ES"/>
        </w:rPr>
      </w:pPr>
      <w:r w:rsidRPr="00F30D2D">
        <w:rPr>
          <w:lang w:val="es-ES"/>
        </w:rPr>
        <w:t>______________</w:t>
      </w:r>
    </w:p>
    <w:sectPr w:rsidR="00E919F0" w:rsidRPr="00F30D2D" w:rsidSect="00D963EA">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5EA" w:rsidRDefault="00F715EA">
      <w:r>
        <w:separator/>
      </w:r>
    </w:p>
  </w:endnote>
  <w:endnote w:type="continuationSeparator" w:id="0">
    <w:p w:rsidR="00F715EA" w:rsidRDefault="00F71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EA" w:rsidRPr="00B17EC4" w:rsidRDefault="00F715EA" w:rsidP="00B17EC4">
    <w:pPr>
      <w:pStyle w:val="Footer"/>
    </w:pPr>
    <w:fldSimple w:instr=" FILENAME  \p  \* MERGEFORMAT ">
      <w:r w:rsidR="006A15F0">
        <w:t>Y:\APP\BR\CIRCS_DMS\CA\100\191\191S.docx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EA" w:rsidRDefault="00F715EA"/>
  <w:tbl>
    <w:tblPr>
      <w:tblW w:w="5000" w:type="pct"/>
      <w:tblCellMar>
        <w:left w:w="107" w:type="dxa"/>
        <w:right w:w="107" w:type="dxa"/>
      </w:tblCellMar>
      <w:tblLook w:val="0000"/>
    </w:tblPr>
    <w:tblGrid>
      <w:gridCol w:w="2071"/>
      <w:gridCol w:w="3100"/>
      <w:gridCol w:w="2166"/>
      <w:gridCol w:w="2516"/>
    </w:tblGrid>
    <w:tr w:rsidR="00F715EA">
      <w:trPr>
        <w:cantSplit/>
      </w:trPr>
      <w:tc>
        <w:tcPr>
          <w:tcW w:w="1051" w:type="pct"/>
          <w:tcBorders>
            <w:top w:val="single" w:sz="6" w:space="0" w:color="auto"/>
          </w:tcBorders>
          <w:tcMar>
            <w:top w:w="57" w:type="dxa"/>
          </w:tcMar>
        </w:tcPr>
        <w:p w:rsidR="00F715EA" w:rsidRDefault="00F715EA">
          <w:pPr>
            <w:pStyle w:val="itu"/>
            <w:rPr>
              <w:lang w:val="es-ES_tradnl"/>
            </w:rPr>
          </w:pPr>
          <w:r>
            <w:rPr>
              <w:lang w:val="es-ES_tradnl"/>
            </w:rPr>
            <w:t>Place des Nations</w:t>
          </w:r>
        </w:p>
      </w:tc>
      <w:tc>
        <w:tcPr>
          <w:tcW w:w="1573" w:type="pct"/>
          <w:tcBorders>
            <w:top w:val="single" w:sz="6" w:space="0" w:color="auto"/>
          </w:tcBorders>
          <w:tcMar>
            <w:top w:w="57" w:type="dxa"/>
          </w:tcMar>
        </w:tcPr>
        <w:p w:rsidR="00F715EA" w:rsidRDefault="00F715EA">
          <w:pPr>
            <w:pStyle w:val="itu"/>
            <w:rPr>
              <w:lang w:val="es-ES_tradnl"/>
            </w:rPr>
          </w:pPr>
          <w:r>
            <w:rPr>
              <w:lang w:val="es-ES_tradnl"/>
            </w:rPr>
            <w:t xml:space="preserve">Teléfono </w:t>
          </w:r>
          <w:r>
            <w:rPr>
              <w:lang w:val="es-ES_tradnl"/>
            </w:rPr>
            <w:tab/>
          </w:r>
          <w:r>
            <w:rPr>
              <w:lang w:val="es-ES_tradnl"/>
            </w:rPr>
            <w:tab/>
            <w:t>+41 22 730 51 11</w:t>
          </w:r>
        </w:p>
      </w:tc>
      <w:tc>
        <w:tcPr>
          <w:tcW w:w="1099" w:type="pct"/>
          <w:tcBorders>
            <w:top w:val="single" w:sz="6" w:space="0" w:color="auto"/>
          </w:tcBorders>
          <w:tcMar>
            <w:top w:w="57" w:type="dxa"/>
          </w:tcMar>
        </w:tcPr>
        <w:p w:rsidR="00F715EA" w:rsidRDefault="00F715EA">
          <w:pPr>
            <w:pStyle w:val="itu"/>
            <w:rPr>
              <w:lang w:val="es-ES_tradnl"/>
            </w:rPr>
          </w:pPr>
          <w:r>
            <w:rPr>
              <w:lang w:val="es-ES_tradnl"/>
            </w:rPr>
            <w:t>Télex 421 000 uit ch</w:t>
          </w:r>
        </w:p>
      </w:tc>
      <w:tc>
        <w:tcPr>
          <w:tcW w:w="1277" w:type="pct"/>
          <w:tcBorders>
            <w:top w:val="single" w:sz="6" w:space="0" w:color="auto"/>
          </w:tcBorders>
          <w:tcMar>
            <w:top w:w="57" w:type="dxa"/>
          </w:tcMar>
        </w:tcPr>
        <w:p w:rsidR="00F715EA" w:rsidRDefault="00F715EA" w:rsidP="005E7506">
          <w:pPr>
            <w:pStyle w:val="itu"/>
            <w:tabs>
              <w:tab w:val="clear" w:pos="709"/>
              <w:tab w:val="clear" w:pos="1134"/>
              <w:tab w:val="left" w:pos="824"/>
            </w:tabs>
            <w:rPr>
              <w:lang w:val="es-ES_tradnl"/>
            </w:rPr>
          </w:pPr>
          <w:r>
            <w:rPr>
              <w:lang w:val="es-ES_tradnl"/>
            </w:rPr>
            <w:t>Correo-e:</w:t>
          </w:r>
          <w:r>
            <w:rPr>
              <w:lang w:val="es-ES_tradnl"/>
            </w:rPr>
            <w:tab/>
            <w:t>itumail@itu.int</w:t>
          </w:r>
        </w:p>
      </w:tc>
    </w:tr>
    <w:tr w:rsidR="00F715EA">
      <w:trPr>
        <w:cantSplit/>
      </w:trPr>
      <w:tc>
        <w:tcPr>
          <w:tcW w:w="1051" w:type="pct"/>
        </w:tcPr>
        <w:p w:rsidR="00F715EA" w:rsidRDefault="00F715EA">
          <w:pPr>
            <w:pStyle w:val="itu"/>
            <w:rPr>
              <w:lang w:val="es-ES_tradnl"/>
            </w:rPr>
          </w:pPr>
          <w:r>
            <w:rPr>
              <w:lang w:val="es-ES_tradnl"/>
            </w:rPr>
            <w:t>CH-1211 Ginebra 20</w:t>
          </w:r>
        </w:p>
      </w:tc>
      <w:tc>
        <w:tcPr>
          <w:tcW w:w="1573" w:type="pct"/>
        </w:tcPr>
        <w:p w:rsidR="00F715EA" w:rsidRDefault="00F715EA">
          <w:pPr>
            <w:pStyle w:val="itu"/>
            <w:rPr>
              <w:lang w:val="es-ES_tradnl"/>
            </w:rPr>
          </w:pPr>
          <w:r>
            <w:rPr>
              <w:lang w:val="es-ES_tradnl"/>
            </w:rPr>
            <w:t>Telefax</w:t>
          </w:r>
          <w:r>
            <w:rPr>
              <w:lang w:val="es-ES_tradnl"/>
            </w:rPr>
            <w:tab/>
            <w:t>Gr3:</w:t>
          </w:r>
          <w:r>
            <w:rPr>
              <w:lang w:val="es-ES_tradnl"/>
            </w:rPr>
            <w:tab/>
            <w:t>+41 22 733 72 56</w:t>
          </w:r>
        </w:p>
      </w:tc>
      <w:tc>
        <w:tcPr>
          <w:tcW w:w="1099" w:type="pct"/>
        </w:tcPr>
        <w:p w:rsidR="00F715EA" w:rsidRDefault="00F715EA">
          <w:pPr>
            <w:pStyle w:val="itu"/>
            <w:rPr>
              <w:lang w:val="es-ES_tradnl"/>
            </w:rPr>
          </w:pPr>
          <w:r>
            <w:rPr>
              <w:lang w:val="es-ES_tradnl"/>
            </w:rPr>
            <w:t>Telegrama ITU GENEVE</w:t>
          </w:r>
        </w:p>
      </w:tc>
      <w:tc>
        <w:tcPr>
          <w:tcW w:w="1277" w:type="pct"/>
        </w:tcPr>
        <w:p w:rsidR="00F715EA" w:rsidRDefault="00F715EA" w:rsidP="005E7506">
          <w:pPr>
            <w:pStyle w:val="itu"/>
            <w:tabs>
              <w:tab w:val="clear" w:pos="709"/>
              <w:tab w:val="left" w:pos="810"/>
            </w:tabs>
            <w:rPr>
              <w:lang w:val="es-ES_tradnl"/>
            </w:rPr>
          </w:pPr>
          <w:r>
            <w:rPr>
              <w:lang w:val="es-ES_tradnl"/>
            </w:rPr>
            <w:tab/>
          </w:r>
          <w:hyperlink r:id="rId1" w:history="1">
            <w:r>
              <w:rPr>
                <w:rStyle w:val="Hyperlink"/>
                <w:lang w:val="es-ES_tradnl"/>
              </w:rPr>
              <w:t>http://www.itu.int/</w:t>
            </w:r>
          </w:hyperlink>
        </w:p>
      </w:tc>
    </w:tr>
    <w:tr w:rsidR="00F715EA">
      <w:trPr>
        <w:cantSplit/>
      </w:trPr>
      <w:tc>
        <w:tcPr>
          <w:tcW w:w="1051" w:type="pct"/>
        </w:tcPr>
        <w:p w:rsidR="00F715EA" w:rsidRDefault="00F715EA">
          <w:pPr>
            <w:pStyle w:val="itu"/>
            <w:rPr>
              <w:lang w:val="es-ES_tradnl"/>
            </w:rPr>
          </w:pPr>
          <w:r>
            <w:rPr>
              <w:lang w:val="es-ES_tradnl"/>
            </w:rPr>
            <w:t>Suiza</w:t>
          </w:r>
        </w:p>
      </w:tc>
      <w:tc>
        <w:tcPr>
          <w:tcW w:w="1573" w:type="pct"/>
        </w:tcPr>
        <w:p w:rsidR="00F715EA" w:rsidRDefault="00F715EA">
          <w:pPr>
            <w:pStyle w:val="itu"/>
            <w:rPr>
              <w:lang w:val="es-ES_tradnl"/>
            </w:rPr>
          </w:pPr>
          <w:r>
            <w:rPr>
              <w:lang w:val="es-ES_tradnl"/>
            </w:rPr>
            <w:tab/>
            <w:t>Gr4:</w:t>
          </w:r>
          <w:r>
            <w:rPr>
              <w:lang w:val="es-ES_tradnl"/>
            </w:rPr>
            <w:tab/>
            <w:t>+41 22 730 65 00</w:t>
          </w:r>
        </w:p>
      </w:tc>
      <w:tc>
        <w:tcPr>
          <w:tcW w:w="1099" w:type="pct"/>
        </w:tcPr>
        <w:p w:rsidR="00F715EA" w:rsidRDefault="00F715EA">
          <w:pPr>
            <w:pStyle w:val="itu"/>
            <w:rPr>
              <w:lang w:val="es-ES_tradnl"/>
            </w:rPr>
          </w:pPr>
        </w:p>
      </w:tc>
      <w:tc>
        <w:tcPr>
          <w:tcW w:w="1277" w:type="pct"/>
        </w:tcPr>
        <w:p w:rsidR="00F715EA" w:rsidRDefault="00F715EA">
          <w:pPr>
            <w:pStyle w:val="itu"/>
            <w:rPr>
              <w:lang w:val="es-ES_tradnl"/>
            </w:rPr>
          </w:pPr>
        </w:p>
      </w:tc>
    </w:tr>
  </w:tbl>
  <w:p w:rsidR="00F715EA" w:rsidRDefault="00F715EA" w:rsidP="00F962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5EA" w:rsidRDefault="00F715EA">
      <w:r>
        <w:t>____________________</w:t>
      </w:r>
    </w:p>
  </w:footnote>
  <w:footnote w:type="continuationSeparator" w:id="0">
    <w:p w:rsidR="00F715EA" w:rsidRDefault="00F715EA">
      <w:r>
        <w:continuationSeparator/>
      </w:r>
    </w:p>
  </w:footnote>
  <w:footnote w:id="1">
    <w:p w:rsidR="00F715EA" w:rsidRPr="005738B5" w:rsidRDefault="00F715EA" w:rsidP="00701265">
      <w:pPr>
        <w:pStyle w:val="FootnoteText"/>
        <w:rPr>
          <w:szCs w:val="24"/>
          <w:lang w:val="es-ES"/>
        </w:rPr>
      </w:pPr>
      <w:r w:rsidRPr="005738B5">
        <w:rPr>
          <w:rStyle w:val="FootnoteReference"/>
          <w:szCs w:val="18"/>
        </w:rPr>
        <w:footnoteRef/>
      </w:r>
      <w:r w:rsidRPr="005738B5">
        <w:rPr>
          <w:szCs w:val="24"/>
          <w:lang w:val="es-ES"/>
        </w:rPr>
        <w:t xml:space="preserve"> </w:t>
      </w:r>
      <w:r w:rsidRPr="005738B5">
        <w:rPr>
          <w:szCs w:val="24"/>
          <w:lang w:val="es-ES"/>
        </w:rPr>
        <w:tab/>
        <w:t xml:space="preserve">Los documentos se publicarán en formato MS Word 2007 (para los usuarios MS Office 2003 se indica información importante en: </w:t>
      </w:r>
      <w:hyperlink r:id="rId1" w:history="1">
        <w:r w:rsidRPr="005738B5">
          <w:rPr>
            <w:rStyle w:val="Hyperlink"/>
            <w:szCs w:val="24"/>
            <w:lang w:val="es-ES"/>
          </w:rPr>
          <w:t>http://www.itu.int/ITU-R/go/sg-transition-to-office-2007</w:t>
        </w:r>
      </w:hyperlink>
      <w:r w:rsidRPr="005738B5">
        <w:rPr>
          <w:szCs w:val="24"/>
          <w:lang w:val="es-ES"/>
        </w:rPr>
        <w:t>).</w:t>
      </w:r>
    </w:p>
  </w:footnote>
  <w:footnote w:id="2">
    <w:p w:rsidR="00F715EA" w:rsidRPr="005738B5" w:rsidRDefault="00F715EA" w:rsidP="00307DC5">
      <w:pPr>
        <w:pStyle w:val="FootnoteText"/>
        <w:rPr>
          <w:szCs w:val="24"/>
          <w:lang w:val="fr-CH"/>
        </w:rPr>
      </w:pPr>
      <w:r w:rsidRPr="005738B5">
        <w:rPr>
          <w:rStyle w:val="FootnoteReference"/>
          <w:szCs w:val="18"/>
        </w:rPr>
        <w:footnoteRef/>
      </w:r>
      <w:r w:rsidRPr="005738B5">
        <w:rPr>
          <w:szCs w:val="24"/>
          <w:lang w:val="fr-CH"/>
        </w:rPr>
        <w:t xml:space="preserve"> </w:t>
      </w:r>
      <w:r w:rsidRPr="005738B5">
        <w:rPr>
          <w:szCs w:val="24"/>
          <w:lang w:val="fr-CH"/>
        </w:rPr>
        <w:tab/>
        <w:t xml:space="preserve">Véase </w:t>
      </w:r>
      <w:hyperlink r:id="rId2" w:history="1">
        <w:r w:rsidRPr="005738B5">
          <w:rPr>
            <w:rStyle w:val="Hyperlink"/>
            <w:szCs w:val="24"/>
            <w:lang w:val="fr-CH"/>
          </w:rPr>
          <w:t>http://www.itu.int/oth/R0A01000001</w:t>
        </w:r>
      </w:hyperlink>
      <w:r w:rsidRPr="005738B5">
        <w:rPr>
          <w:szCs w:val="24"/>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5EA" w:rsidRPr="00B040B1" w:rsidRDefault="00F715EA" w:rsidP="00B040B1">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A15F0">
      <w:rPr>
        <w:rStyle w:val="PageNumber"/>
        <w:noProof/>
      </w:rPr>
      <w:t>7</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1743"/>
    <w:multiLevelType w:val="hybridMultilevel"/>
    <w:tmpl w:val="4502B9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CE46E6"/>
    <w:multiLevelType w:val="hybridMultilevel"/>
    <w:tmpl w:val="785619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
  <w:rsids>
    <w:rsidRoot w:val="00670C79"/>
    <w:rsid w:val="000367D0"/>
    <w:rsid w:val="00047E0F"/>
    <w:rsid w:val="000765C2"/>
    <w:rsid w:val="00092FD8"/>
    <w:rsid w:val="000A2B3E"/>
    <w:rsid w:val="000E1C53"/>
    <w:rsid w:val="00131358"/>
    <w:rsid w:val="0014025B"/>
    <w:rsid w:val="00156FCB"/>
    <w:rsid w:val="001B323D"/>
    <w:rsid w:val="001D0EF2"/>
    <w:rsid w:val="00205863"/>
    <w:rsid w:val="002140DC"/>
    <w:rsid w:val="00224F07"/>
    <w:rsid w:val="00240010"/>
    <w:rsid w:val="002516B7"/>
    <w:rsid w:val="002551F0"/>
    <w:rsid w:val="002616B5"/>
    <w:rsid w:val="00281AF9"/>
    <w:rsid w:val="00300B4C"/>
    <w:rsid w:val="00307DC5"/>
    <w:rsid w:val="00310651"/>
    <w:rsid w:val="00345673"/>
    <w:rsid w:val="0034692D"/>
    <w:rsid w:val="00360592"/>
    <w:rsid w:val="003B02E4"/>
    <w:rsid w:val="003D2443"/>
    <w:rsid w:val="00402975"/>
    <w:rsid w:val="00405259"/>
    <w:rsid w:val="00411C25"/>
    <w:rsid w:val="00445B77"/>
    <w:rsid w:val="00450E7A"/>
    <w:rsid w:val="00457EA5"/>
    <w:rsid w:val="004C3D57"/>
    <w:rsid w:val="004D3FBA"/>
    <w:rsid w:val="00507BF5"/>
    <w:rsid w:val="00513FD9"/>
    <w:rsid w:val="00544BF9"/>
    <w:rsid w:val="005738B5"/>
    <w:rsid w:val="005E1955"/>
    <w:rsid w:val="005E7506"/>
    <w:rsid w:val="00602112"/>
    <w:rsid w:val="0062341A"/>
    <w:rsid w:val="00670C79"/>
    <w:rsid w:val="006A1429"/>
    <w:rsid w:val="006A15F0"/>
    <w:rsid w:val="00701265"/>
    <w:rsid w:val="00761518"/>
    <w:rsid w:val="007635E5"/>
    <w:rsid w:val="007840CE"/>
    <w:rsid w:val="00784935"/>
    <w:rsid w:val="007B4D07"/>
    <w:rsid w:val="00806676"/>
    <w:rsid w:val="008113D4"/>
    <w:rsid w:val="008624CC"/>
    <w:rsid w:val="00886AE1"/>
    <w:rsid w:val="008A7ED1"/>
    <w:rsid w:val="008B573E"/>
    <w:rsid w:val="008F16C9"/>
    <w:rsid w:val="00915AF0"/>
    <w:rsid w:val="00924536"/>
    <w:rsid w:val="009A673C"/>
    <w:rsid w:val="009D1DE0"/>
    <w:rsid w:val="009E6F6D"/>
    <w:rsid w:val="00A07290"/>
    <w:rsid w:val="00A21FEF"/>
    <w:rsid w:val="00A30194"/>
    <w:rsid w:val="00A43802"/>
    <w:rsid w:val="00A453A6"/>
    <w:rsid w:val="00A514D7"/>
    <w:rsid w:val="00A80988"/>
    <w:rsid w:val="00AC60D7"/>
    <w:rsid w:val="00AE07DC"/>
    <w:rsid w:val="00B040B1"/>
    <w:rsid w:val="00B17EC4"/>
    <w:rsid w:val="00B44316"/>
    <w:rsid w:val="00BA2D23"/>
    <w:rsid w:val="00C04BD8"/>
    <w:rsid w:val="00C13209"/>
    <w:rsid w:val="00C14D95"/>
    <w:rsid w:val="00CA5DF9"/>
    <w:rsid w:val="00CC0D22"/>
    <w:rsid w:val="00CE0EA6"/>
    <w:rsid w:val="00D04A11"/>
    <w:rsid w:val="00D06F7D"/>
    <w:rsid w:val="00D13543"/>
    <w:rsid w:val="00D223AF"/>
    <w:rsid w:val="00D424E6"/>
    <w:rsid w:val="00D53205"/>
    <w:rsid w:val="00D60F4A"/>
    <w:rsid w:val="00D963EA"/>
    <w:rsid w:val="00DB2E4D"/>
    <w:rsid w:val="00DB42E4"/>
    <w:rsid w:val="00E1593A"/>
    <w:rsid w:val="00E268B4"/>
    <w:rsid w:val="00E41DFF"/>
    <w:rsid w:val="00E80308"/>
    <w:rsid w:val="00E919F0"/>
    <w:rsid w:val="00EA7EAD"/>
    <w:rsid w:val="00EF410B"/>
    <w:rsid w:val="00F30D2D"/>
    <w:rsid w:val="00F37856"/>
    <w:rsid w:val="00F60C16"/>
    <w:rsid w:val="00F715EA"/>
    <w:rsid w:val="00F76477"/>
    <w:rsid w:val="00F8029A"/>
    <w:rsid w:val="00F96264"/>
    <w:rsid w:val="00FA692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3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Section of paper,h1,1st level,Heading U,H1,H11"/>
    <w:basedOn w:val="Normal"/>
    <w:next w:val="Normal"/>
    <w:qFormat/>
    <w:rsid w:val="00D963EA"/>
    <w:pPr>
      <w:keepNext/>
      <w:keepLines/>
      <w:spacing w:before="360"/>
      <w:ind w:left="794" w:hanging="794"/>
      <w:outlineLvl w:val="0"/>
    </w:pPr>
    <w:rPr>
      <w:b/>
    </w:rPr>
  </w:style>
  <w:style w:type="paragraph" w:styleId="Heading2">
    <w:name w:val="heading 2"/>
    <w:basedOn w:val="Heading1"/>
    <w:next w:val="Normal"/>
    <w:qFormat/>
    <w:rsid w:val="00D963EA"/>
    <w:pPr>
      <w:spacing w:before="240"/>
      <w:outlineLvl w:val="1"/>
    </w:pPr>
  </w:style>
  <w:style w:type="paragraph" w:styleId="Heading3">
    <w:name w:val="heading 3"/>
    <w:basedOn w:val="Heading1"/>
    <w:next w:val="Normal"/>
    <w:qFormat/>
    <w:rsid w:val="00D963EA"/>
    <w:pPr>
      <w:spacing w:before="160"/>
      <w:outlineLvl w:val="2"/>
    </w:pPr>
  </w:style>
  <w:style w:type="paragraph" w:styleId="Heading4">
    <w:name w:val="heading 4"/>
    <w:basedOn w:val="Heading3"/>
    <w:next w:val="Normal"/>
    <w:qFormat/>
    <w:rsid w:val="00D963EA"/>
    <w:pPr>
      <w:tabs>
        <w:tab w:val="clear" w:pos="794"/>
        <w:tab w:val="left" w:pos="1021"/>
      </w:tabs>
      <w:ind w:left="1021" w:hanging="1021"/>
      <w:outlineLvl w:val="3"/>
    </w:pPr>
  </w:style>
  <w:style w:type="paragraph" w:styleId="Heading5">
    <w:name w:val="heading 5"/>
    <w:basedOn w:val="Heading4"/>
    <w:next w:val="Normal"/>
    <w:qFormat/>
    <w:rsid w:val="00D963EA"/>
    <w:pPr>
      <w:outlineLvl w:val="4"/>
    </w:pPr>
  </w:style>
  <w:style w:type="paragraph" w:styleId="Heading6">
    <w:name w:val="heading 6"/>
    <w:basedOn w:val="Heading4"/>
    <w:next w:val="Normal"/>
    <w:qFormat/>
    <w:rsid w:val="00D963EA"/>
    <w:pPr>
      <w:tabs>
        <w:tab w:val="clear" w:pos="1021"/>
        <w:tab w:val="clear" w:pos="1191"/>
      </w:tabs>
      <w:ind w:left="1588" w:hanging="1588"/>
      <w:outlineLvl w:val="5"/>
    </w:pPr>
  </w:style>
  <w:style w:type="paragraph" w:styleId="Heading7">
    <w:name w:val="heading 7"/>
    <w:basedOn w:val="Heading6"/>
    <w:next w:val="Normal"/>
    <w:qFormat/>
    <w:rsid w:val="00D963EA"/>
    <w:pPr>
      <w:outlineLvl w:val="6"/>
    </w:pPr>
  </w:style>
  <w:style w:type="paragraph" w:styleId="Heading8">
    <w:name w:val="heading 8"/>
    <w:basedOn w:val="Heading6"/>
    <w:next w:val="Normal"/>
    <w:qFormat/>
    <w:rsid w:val="00D963EA"/>
    <w:pPr>
      <w:outlineLvl w:val="7"/>
    </w:pPr>
  </w:style>
  <w:style w:type="paragraph" w:styleId="Heading9">
    <w:name w:val="heading 9"/>
    <w:basedOn w:val="Heading6"/>
    <w:next w:val="Normal"/>
    <w:qFormat/>
    <w:rsid w:val="00D963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963EA"/>
  </w:style>
  <w:style w:type="paragraph" w:styleId="TOC4">
    <w:name w:val="toc 4"/>
    <w:basedOn w:val="TOC3"/>
    <w:semiHidden/>
    <w:rsid w:val="00D963EA"/>
  </w:style>
  <w:style w:type="paragraph" w:styleId="TOC3">
    <w:name w:val="toc 3"/>
    <w:basedOn w:val="TOC2"/>
    <w:semiHidden/>
    <w:rsid w:val="00D963EA"/>
  </w:style>
  <w:style w:type="paragraph" w:styleId="TOC2">
    <w:name w:val="toc 2"/>
    <w:basedOn w:val="TOC1"/>
    <w:semiHidden/>
    <w:rsid w:val="00D963EA"/>
    <w:pPr>
      <w:spacing w:before="80"/>
      <w:ind w:left="1531" w:hanging="851"/>
    </w:pPr>
  </w:style>
  <w:style w:type="paragraph" w:styleId="TOC1">
    <w:name w:val="toc 1"/>
    <w:basedOn w:val="Normal"/>
    <w:semiHidden/>
    <w:rsid w:val="00D963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D963EA"/>
  </w:style>
  <w:style w:type="paragraph" w:styleId="TOC6">
    <w:name w:val="toc 6"/>
    <w:basedOn w:val="TOC4"/>
    <w:semiHidden/>
    <w:rsid w:val="00D963EA"/>
  </w:style>
  <w:style w:type="paragraph" w:styleId="TOC5">
    <w:name w:val="toc 5"/>
    <w:basedOn w:val="TOC4"/>
    <w:semiHidden/>
    <w:rsid w:val="00D963EA"/>
  </w:style>
  <w:style w:type="paragraph" w:customStyle="1" w:styleId="FigureNotitle">
    <w:name w:val="Figure_No &amp; title"/>
    <w:basedOn w:val="Normal"/>
    <w:next w:val="Normalaftertitle"/>
    <w:rsid w:val="00D963EA"/>
    <w:pPr>
      <w:keepLines/>
      <w:spacing w:before="240" w:after="120"/>
      <w:jc w:val="center"/>
    </w:pPr>
    <w:rPr>
      <w:b/>
    </w:rPr>
  </w:style>
  <w:style w:type="paragraph" w:customStyle="1" w:styleId="Normalaftertitle">
    <w:name w:val="Normal_after_title"/>
    <w:basedOn w:val="Normal"/>
    <w:next w:val="Normal"/>
    <w:link w:val="NormalaftertitleChar"/>
    <w:rsid w:val="00D963EA"/>
    <w:pPr>
      <w:spacing w:before="360"/>
    </w:pPr>
  </w:style>
  <w:style w:type="paragraph" w:customStyle="1" w:styleId="TabletitleBR">
    <w:name w:val="Table_title_BR"/>
    <w:basedOn w:val="Normal"/>
    <w:next w:val="Tablehead"/>
    <w:rsid w:val="00D963EA"/>
    <w:pPr>
      <w:keepNext/>
      <w:keepLines/>
      <w:spacing w:before="0" w:after="120"/>
      <w:jc w:val="center"/>
    </w:pPr>
    <w:rPr>
      <w:b/>
    </w:rPr>
  </w:style>
  <w:style w:type="paragraph" w:customStyle="1" w:styleId="Tablehead">
    <w:name w:val="Table_head"/>
    <w:basedOn w:val="Normal"/>
    <w:next w:val="Tabletext"/>
    <w:rsid w:val="00D963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D963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D963EA"/>
    <w:pPr>
      <w:keepNext/>
      <w:keepLines/>
      <w:spacing w:before="480"/>
      <w:jc w:val="center"/>
    </w:pPr>
    <w:rPr>
      <w:b/>
      <w:sz w:val="28"/>
    </w:rPr>
  </w:style>
  <w:style w:type="paragraph" w:customStyle="1" w:styleId="AppendixNotitle">
    <w:name w:val="Appendix_No &amp; title"/>
    <w:basedOn w:val="AnnexNotitle"/>
    <w:next w:val="Normalaftertitle"/>
    <w:rsid w:val="00D963EA"/>
  </w:style>
  <w:style w:type="paragraph" w:styleId="Index3">
    <w:name w:val="index 3"/>
    <w:basedOn w:val="Normal"/>
    <w:next w:val="Normal"/>
    <w:semiHidden/>
    <w:rsid w:val="00D963EA"/>
    <w:pPr>
      <w:ind w:left="566"/>
    </w:pPr>
  </w:style>
  <w:style w:type="paragraph" w:styleId="Index2">
    <w:name w:val="index 2"/>
    <w:basedOn w:val="Normal"/>
    <w:next w:val="Normal"/>
    <w:semiHidden/>
    <w:rsid w:val="00D963EA"/>
    <w:pPr>
      <w:ind w:left="283"/>
    </w:pPr>
  </w:style>
  <w:style w:type="paragraph" w:styleId="Index1">
    <w:name w:val="index 1"/>
    <w:basedOn w:val="Normal"/>
    <w:next w:val="Normal"/>
    <w:semiHidden/>
    <w:rsid w:val="00D963EA"/>
  </w:style>
  <w:style w:type="paragraph" w:customStyle="1" w:styleId="FiguretitleBR">
    <w:name w:val="Figure_title_BR"/>
    <w:basedOn w:val="TabletitleBR"/>
    <w:next w:val="Figurewithouttitle"/>
    <w:rsid w:val="00D963EA"/>
    <w:pPr>
      <w:keepNext w:val="0"/>
      <w:spacing w:after="480"/>
    </w:pPr>
  </w:style>
  <w:style w:type="paragraph" w:customStyle="1" w:styleId="Figure">
    <w:name w:val="Figure"/>
    <w:basedOn w:val="Normal"/>
    <w:next w:val="FigureNotitle"/>
    <w:rsid w:val="00D963EA"/>
    <w:pPr>
      <w:keepNext/>
      <w:keepLines/>
      <w:spacing w:before="240" w:after="120"/>
      <w:jc w:val="center"/>
    </w:pPr>
  </w:style>
  <w:style w:type="paragraph" w:styleId="Footer">
    <w:name w:val="footer"/>
    <w:basedOn w:val="Normal"/>
    <w:rsid w:val="00D963EA"/>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D963EA"/>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 + 11 pt,Italic,Appel note de bas de p"/>
    <w:basedOn w:val="DefaultParagraphFont"/>
    <w:semiHidden/>
    <w:rsid w:val="00D963EA"/>
    <w:rPr>
      <w:position w:val="6"/>
      <w:sz w:val="18"/>
    </w:rPr>
  </w:style>
  <w:style w:type="paragraph" w:styleId="FootnoteText">
    <w:name w:val="footnote text"/>
    <w:basedOn w:val="Note"/>
    <w:link w:val="FootnoteTextChar"/>
    <w:semiHidden/>
    <w:rsid w:val="00D963EA"/>
    <w:pPr>
      <w:keepLines/>
      <w:tabs>
        <w:tab w:val="left" w:pos="255"/>
      </w:tabs>
      <w:ind w:left="255" w:hanging="255"/>
    </w:pPr>
  </w:style>
  <w:style w:type="paragraph" w:customStyle="1" w:styleId="Note">
    <w:name w:val="Note"/>
    <w:basedOn w:val="Normal"/>
    <w:rsid w:val="00D963EA"/>
    <w:pPr>
      <w:spacing w:before="80"/>
    </w:pPr>
  </w:style>
  <w:style w:type="paragraph" w:customStyle="1" w:styleId="FooterQP">
    <w:name w:val="Footer_QP"/>
    <w:basedOn w:val="Normal"/>
    <w:rsid w:val="00D963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D963EA"/>
    <w:pPr>
      <w:spacing w:before="80"/>
      <w:ind w:left="794" w:hanging="794"/>
    </w:pPr>
  </w:style>
  <w:style w:type="paragraph" w:customStyle="1" w:styleId="enumlev2">
    <w:name w:val="enumlev2"/>
    <w:basedOn w:val="enumlev1"/>
    <w:rsid w:val="00D963EA"/>
    <w:pPr>
      <w:ind w:left="1191" w:hanging="397"/>
    </w:pPr>
  </w:style>
  <w:style w:type="paragraph" w:customStyle="1" w:styleId="enumlev3">
    <w:name w:val="enumlev3"/>
    <w:basedOn w:val="enumlev2"/>
    <w:rsid w:val="00D963EA"/>
    <w:pPr>
      <w:ind w:left="1588"/>
    </w:pPr>
  </w:style>
  <w:style w:type="paragraph" w:customStyle="1" w:styleId="Equation">
    <w:name w:val="Equation"/>
    <w:basedOn w:val="Normal"/>
    <w:rsid w:val="00D963EA"/>
    <w:pPr>
      <w:tabs>
        <w:tab w:val="clear" w:pos="1191"/>
        <w:tab w:val="clear" w:pos="1588"/>
        <w:tab w:val="clear" w:pos="1985"/>
        <w:tab w:val="center" w:pos="4820"/>
        <w:tab w:val="right" w:pos="9639"/>
      </w:tabs>
    </w:pPr>
  </w:style>
  <w:style w:type="paragraph" w:customStyle="1" w:styleId="Head">
    <w:name w:val="Head"/>
    <w:basedOn w:val="Normal"/>
    <w:rsid w:val="00D963EA"/>
    <w:pPr>
      <w:tabs>
        <w:tab w:val="clear" w:pos="794"/>
        <w:tab w:val="clear" w:pos="1191"/>
        <w:tab w:val="clear" w:pos="1588"/>
        <w:tab w:val="clear" w:pos="1985"/>
        <w:tab w:val="left" w:pos="6663"/>
      </w:tabs>
      <w:spacing w:before="0"/>
    </w:pPr>
  </w:style>
  <w:style w:type="paragraph" w:customStyle="1" w:styleId="toc0">
    <w:name w:val="toc 0"/>
    <w:basedOn w:val="Normal"/>
    <w:next w:val="TOC1"/>
    <w:rsid w:val="00D963EA"/>
    <w:pPr>
      <w:tabs>
        <w:tab w:val="clear" w:pos="794"/>
        <w:tab w:val="clear" w:pos="1191"/>
        <w:tab w:val="clear" w:pos="1588"/>
        <w:tab w:val="clear" w:pos="1985"/>
        <w:tab w:val="right" w:pos="9639"/>
      </w:tabs>
    </w:pPr>
    <w:rPr>
      <w:b/>
    </w:rPr>
  </w:style>
  <w:style w:type="paragraph" w:styleId="List">
    <w:name w:val="List"/>
    <w:basedOn w:val="Normal"/>
    <w:rsid w:val="00D963E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963E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963E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963EA"/>
    <w:pPr>
      <w:tabs>
        <w:tab w:val="clear" w:pos="794"/>
        <w:tab w:val="clear" w:pos="1191"/>
        <w:tab w:val="clear" w:pos="1588"/>
        <w:tab w:val="clear" w:pos="1985"/>
        <w:tab w:val="left" w:pos="4820"/>
        <w:tab w:val="left" w:pos="5529"/>
      </w:tabs>
      <w:ind w:left="794"/>
    </w:pPr>
  </w:style>
  <w:style w:type="paragraph" w:customStyle="1" w:styleId="itu">
    <w:name w:val="itu"/>
    <w:basedOn w:val="Normal"/>
    <w:rsid w:val="00D963E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D963EA"/>
    <w:pPr>
      <w:tabs>
        <w:tab w:val="clear" w:pos="1191"/>
        <w:tab w:val="clear" w:pos="1588"/>
      </w:tabs>
      <w:ind w:left="794" w:hanging="794"/>
    </w:pPr>
  </w:style>
  <w:style w:type="paragraph" w:customStyle="1" w:styleId="Qlist">
    <w:name w:val="Qlist"/>
    <w:basedOn w:val="Normal"/>
    <w:rsid w:val="00D963EA"/>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D963EA"/>
    <w:pPr>
      <w:tabs>
        <w:tab w:val="left" w:pos="7371"/>
      </w:tabs>
      <w:spacing w:after="560"/>
    </w:pPr>
  </w:style>
  <w:style w:type="paragraph" w:customStyle="1" w:styleId="FirstFooter">
    <w:name w:val="FirstFooter"/>
    <w:basedOn w:val="Footer"/>
    <w:rsid w:val="00D963EA"/>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D963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D963EA"/>
  </w:style>
  <w:style w:type="character" w:styleId="Hyperlink">
    <w:name w:val="Hyperlink"/>
    <w:basedOn w:val="DefaultParagraphFont"/>
    <w:rsid w:val="00D963EA"/>
    <w:rPr>
      <w:color w:val="0000FF"/>
      <w:u w:val="single"/>
    </w:rPr>
  </w:style>
  <w:style w:type="paragraph" w:customStyle="1" w:styleId="Formal">
    <w:name w:val="Formal"/>
    <w:basedOn w:val="ASN1"/>
    <w:rsid w:val="00D963EA"/>
    <w:rPr>
      <w:b w:val="0"/>
    </w:rPr>
  </w:style>
  <w:style w:type="character" w:styleId="PageNumber">
    <w:name w:val="page number"/>
    <w:basedOn w:val="DefaultParagraphFont"/>
    <w:rsid w:val="00D963EA"/>
  </w:style>
  <w:style w:type="paragraph" w:customStyle="1" w:styleId="RecNoBR">
    <w:name w:val="Rec_No_BR"/>
    <w:basedOn w:val="Normal"/>
    <w:next w:val="Rectitle"/>
    <w:rsid w:val="00D963EA"/>
    <w:pPr>
      <w:keepNext/>
      <w:keepLines/>
      <w:spacing w:before="480"/>
      <w:jc w:val="center"/>
    </w:pPr>
    <w:rPr>
      <w:caps/>
      <w:sz w:val="28"/>
    </w:rPr>
  </w:style>
  <w:style w:type="paragraph" w:customStyle="1" w:styleId="Rectitle">
    <w:name w:val="Rec_title"/>
    <w:basedOn w:val="Normal"/>
    <w:next w:val="Normalaftertitle"/>
    <w:rsid w:val="00D963EA"/>
    <w:pPr>
      <w:keepNext/>
      <w:keepLines/>
      <w:spacing w:before="360"/>
      <w:jc w:val="center"/>
    </w:pPr>
    <w:rPr>
      <w:b/>
      <w:sz w:val="28"/>
    </w:rPr>
  </w:style>
  <w:style w:type="character" w:customStyle="1" w:styleId="Appdef">
    <w:name w:val="App_def"/>
    <w:basedOn w:val="DefaultParagraphFont"/>
    <w:rsid w:val="00D963EA"/>
    <w:rPr>
      <w:rFonts w:ascii="Times New Roman" w:hAnsi="Times New Roman"/>
      <w:b/>
    </w:rPr>
  </w:style>
  <w:style w:type="character" w:customStyle="1" w:styleId="Appref">
    <w:name w:val="App_ref"/>
    <w:basedOn w:val="DefaultParagraphFont"/>
    <w:rsid w:val="00D963EA"/>
  </w:style>
  <w:style w:type="paragraph" w:customStyle="1" w:styleId="QuestionNoBR">
    <w:name w:val="Question_No_BR"/>
    <w:basedOn w:val="RecNoBR"/>
    <w:next w:val="Questiontitle"/>
    <w:rsid w:val="00D963EA"/>
  </w:style>
  <w:style w:type="paragraph" w:customStyle="1" w:styleId="Questiontitle">
    <w:name w:val="Question_title"/>
    <w:basedOn w:val="Rectitle"/>
    <w:next w:val="Questionref"/>
    <w:rsid w:val="00D963EA"/>
  </w:style>
  <w:style w:type="paragraph" w:customStyle="1" w:styleId="Questionref">
    <w:name w:val="Question_ref"/>
    <w:basedOn w:val="Recref"/>
    <w:next w:val="Questiondate"/>
    <w:rsid w:val="00D963EA"/>
  </w:style>
  <w:style w:type="paragraph" w:customStyle="1" w:styleId="Recref">
    <w:name w:val="Rec_ref"/>
    <w:basedOn w:val="Normal"/>
    <w:next w:val="Recdate"/>
    <w:rsid w:val="00D963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963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D963EA"/>
  </w:style>
  <w:style w:type="paragraph" w:customStyle="1" w:styleId="RepNoBR">
    <w:name w:val="Rep_No_BR"/>
    <w:basedOn w:val="RecNoBR"/>
    <w:next w:val="Reptitle"/>
    <w:rsid w:val="00D963EA"/>
  </w:style>
  <w:style w:type="paragraph" w:customStyle="1" w:styleId="Reptitle">
    <w:name w:val="Rep_title"/>
    <w:basedOn w:val="Rectitle"/>
    <w:next w:val="Repref"/>
    <w:rsid w:val="00D963EA"/>
  </w:style>
  <w:style w:type="paragraph" w:customStyle="1" w:styleId="Repref">
    <w:name w:val="Rep_ref"/>
    <w:basedOn w:val="Recref"/>
    <w:next w:val="Repdate"/>
    <w:rsid w:val="00D963EA"/>
  </w:style>
  <w:style w:type="paragraph" w:customStyle="1" w:styleId="Repdate">
    <w:name w:val="Rep_date"/>
    <w:basedOn w:val="Recdate"/>
    <w:next w:val="Normalaftertitle"/>
    <w:rsid w:val="00D963EA"/>
  </w:style>
  <w:style w:type="paragraph" w:customStyle="1" w:styleId="ResNoBR">
    <w:name w:val="Res_No_BR"/>
    <w:basedOn w:val="RecNoBR"/>
    <w:next w:val="Restitle"/>
    <w:rsid w:val="00D963EA"/>
  </w:style>
  <w:style w:type="paragraph" w:customStyle="1" w:styleId="Restitle">
    <w:name w:val="Res_title"/>
    <w:basedOn w:val="Rectitle"/>
    <w:next w:val="Resref"/>
    <w:rsid w:val="00D963EA"/>
  </w:style>
  <w:style w:type="paragraph" w:customStyle="1" w:styleId="Resref">
    <w:name w:val="Res_ref"/>
    <w:basedOn w:val="Recref"/>
    <w:next w:val="Resdate"/>
    <w:rsid w:val="00D963EA"/>
  </w:style>
  <w:style w:type="paragraph" w:customStyle="1" w:styleId="Resdate">
    <w:name w:val="Res_date"/>
    <w:basedOn w:val="Recdate"/>
    <w:next w:val="Normalaftertitle"/>
    <w:rsid w:val="00D963EA"/>
  </w:style>
  <w:style w:type="character" w:customStyle="1" w:styleId="Artdef">
    <w:name w:val="Art_def"/>
    <w:basedOn w:val="DefaultParagraphFont"/>
    <w:rsid w:val="00D963EA"/>
    <w:rPr>
      <w:rFonts w:ascii="Times New Roman" w:hAnsi="Times New Roman"/>
      <w:b/>
    </w:rPr>
  </w:style>
  <w:style w:type="paragraph" w:customStyle="1" w:styleId="Artheading">
    <w:name w:val="Art_heading"/>
    <w:basedOn w:val="Normal"/>
    <w:next w:val="Normalaftertitle"/>
    <w:rsid w:val="00D963EA"/>
    <w:pPr>
      <w:spacing w:before="480"/>
      <w:jc w:val="center"/>
    </w:pPr>
    <w:rPr>
      <w:b/>
      <w:sz w:val="28"/>
    </w:rPr>
  </w:style>
  <w:style w:type="paragraph" w:customStyle="1" w:styleId="ArtNo">
    <w:name w:val="Art_No"/>
    <w:basedOn w:val="Normal"/>
    <w:next w:val="Arttitle"/>
    <w:rsid w:val="00D963EA"/>
    <w:pPr>
      <w:keepNext/>
      <w:keepLines/>
      <w:spacing w:before="480"/>
      <w:jc w:val="center"/>
    </w:pPr>
    <w:rPr>
      <w:caps/>
      <w:sz w:val="28"/>
    </w:rPr>
  </w:style>
  <w:style w:type="paragraph" w:customStyle="1" w:styleId="Arttitle">
    <w:name w:val="Art_title"/>
    <w:basedOn w:val="Normal"/>
    <w:next w:val="Normalaftertitle"/>
    <w:rsid w:val="00D963EA"/>
    <w:pPr>
      <w:keepNext/>
      <w:keepLines/>
      <w:spacing w:before="240"/>
      <w:jc w:val="center"/>
    </w:pPr>
    <w:rPr>
      <w:b/>
      <w:sz w:val="28"/>
    </w:rPr>
  </w:style>
  <w:style w:type="character" w:customStyle="1" w:styleId="Artref">
    <w:name w:val="Art_ref"/>
    <w:basedOn w:val="DefaultParagraphFont"/>
    <w:rsid w:val="00D963EA"/>
  </w:style>
  <w:style w:type="paragraph" w:customStyle="1" w:styleId="Call">
    <w:name w:val="Call"/>
    <w:basedOn w:val="Normal"/>
    <w:next w:val="Normal"/>
    <w:rsid w:val="00D963EA"/>
    <w:pPr>
      <w:keepNext/>
      <w:keepLines/>
      <w:spacing w:before="160"/>
      <w:ind w:left="794"/>
    </w:pPr>
    <w:rPr>
      <w:i/>
    </w:rPr>
  </w:style>
  <w:style w:type="paragraph" w:customStyle="1" w:styleId="ChapNo">
    <w:name w:val="Chap_No"/>
    <w:basedOn w:val="Normal"/>
    <w:next w:val="Chaptitle"/>
    <w:rsid w:val="00D963EA"/>
    <w:pPr>
      <w:keepNext/>
      <w:keepLines/>
      <w:spacing w:before="480"/>
      <w:jc w:val="center"/>
    </w:pPr>
    <w:rPr>
      <w:b/>
      <w:caps/>
      <w:sz w:val="28"/>
    </w:rPr>
  </w:style>
  <w:style w:type="paragraph" w:customStyle="1" w:styleId="Chaptitle">
    <w:name w:val="Chap_title"/>
    <w:basedOn w:val="Normal"/>
    <w:next w:val="Normalaftertitle"/>
    <w:rsid w:val="00D963EA"/>
    <w:pPr>
      <w:keepNext/>
      <w:keepLines/>
      <w:spacing w:before="240"/>
      <w:jc w:val="center"/>
    </w:pPr>
    <w:rPr>
      <w:b/>
      <w:sz w:val="28"/>
    </w:rPr>
  </w:style>
  <w:style w:type="character" w:styleId="EndnoteReference">
    <w:name w:val="endnote reference"/>
    <w:basedOn w:val="DefaultParagraphFont"/>
    <w:semiHidden/>
    <w:rsid w:val="00D963EA"/>
    <w:rPr>
      <w:vertAlign w:val="superscript"/>
    </w:rPr>
  </w:style>
  <w:style w:type="paragraph" w:customStyle="1" w:styleId="Equationlegend">
    <w:name w:val="Equation_legend"/>
    <w:basedOn w:val="Normal"/>
    <w:rsid w:val="00D963EA"/>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963EA"/>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D963EA"/>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963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D963EA"/>
    <w:pPr>
      <w:keepNext/>
      <w:keepLines/>
      <w:spacing w:before="360" w:after="120"/>
      <w:jc w:val="center"/>
    </w:pPr>
    <w:rPr>
      <w:b/>
    </w:rPr>
  </w:style>
  <w:style w:type="paragraph" w:customStyle="1" w:styleId="Figurewithouttitle">
    <w:name w:val="Figure_without_title"/>
    <w:basedOn w:val="Normal"/>
    <w:next w:val="Normalaftertitle"/>
    <w:rsid w:val="00D963EA"/>
    <w:pPr>
      <w:keepLines/>
      <w:spacing w:before="240" w:after="120"/>
      <w:jc w:val="center"/>
    </w:pPr>
  </w:style>
  <w:style w:type="paragraph" w:customStyle="1" w:styleId="Headingb">
    <w:name w:val="Heading_b"/>
    <w:basedOn w:val="Normal"/>
    <w:next w:val="Normal"/>
    <w:rsid w:val="00D963EA"/>
    <w:pPr>
      <w:keepNext/>
      <w:spacing w:before="160"/>
    </w:pPr>
    <w:rPr>
      <w:b/>
    </w:rPr>
  </w:style>
  <w:style w:type="paragraph" w:customStyle="1" w:styleId="Headingi">
    <w:name w:val="Heading_i"/>
    <w:basedOn w:val="Normal"/>
    <w:next w:val="Normal"/>
    <w:rsid w:val="00D963EA"/>
    <w:pPr>
      <w:keepNext/>
      <w:spacing w:before="160"/>
    </w:pPr>
    <w:rPr>
      <w:i/>
    </w:rPr>
  </w:style>
  <w:style w:type="paragraph" w:customStyle="1" w:styleId="PartNo">
    <w:name w:val="Part_No"/>
    <w:basedOn w:val="Normal"/>
    <w:next w:val="Partref"/>
    <w:rsid w:val="00D963EA"/>
    <w:pPr>
      <w:keepNext/>
      <w:keepLines/>
      <w:spacing w:before="480" w:after="80"/>
      <w:jc w:val="center"/>
    </w:pPr>
    <w:rPr>
      <w:caps/>
      <w:sz w:val="28"/>
    </w:rPr>
  </w:style>
  <w:style w:type="paragraph" w:customStyle="1" w:styleId="Partref">
    <w:name w:val="Part_ref"/>
    <w:basedOn w:val="Normal"/>
    <w:next w:val="Parttitle"/>
    <w:rsid w:val="00D963EA"/>
    <w:pPr>
      <w:keepNext/>
      <w:keepLines/>
      <w:spacing w:before="280"/>
      <w:jc w:val="center"/>
    </w:pPr>
  </w:style>
  <w:style w:type="paragraph" w:customStyle="1" w:styleId="Parttitle">
    <w:name w:val="Part_title"/>
    <w:basedOn w:val="Normal"/>
    <w:next w:val="Normalaftertitle"/>
    <w:rsid w:val="00D963EA"/>
    <w:pPr>
      <w:keepNext/>
      <w:keepLines/>
      <w:spacing w:before="240" w:after="280"/>
      <w:jc w:val="center"/>
    </w:pPr>
    <w:rPr>
      <w:b/>
      <w:sz w:val="28"/>
    </w:rPr>
  </w:style>
  <w:style w:type="paragraph" w:customStyle="1" w:styleId="RecNo">
    <w:name w:val="Rec_No"/>
    <w:basedOn w:val="Normal"/>
    <w:next w:val="Rectitle"/>
    <w:rsid w:val="00D963EA"/>
    <w:pPr>
      <w:keepNext/>
      <w:keepLines/>
      <w:spacing w:before="0"/>
    </w:pPr>
    <w:rPr>
      <w:b/>
      <w:sz w:val="28"/>
    </w:rPr>
  </w:style>
  <w:style w:type="paragraph" w:customStyle="1" w:styleId="QuestionNo">
    <w:name w:val="Question_No"/>
    <w:basedOn w:val="RecNo"/>
    <w:next w:val="Questiontitle"/>
    <w:rsid w:val="00D963EA"/>
  </w:style>
  <w:style w:type="character" w:customStyle="1" w:styleId="Recdef">
    <w:name w:val="Rec_def"/>
    <w:basedOn w:val="DefaultParagraphFont"/>
    <w:rsid w:val="00D963EA"/>
    <w:rPr>
      <w:b/>
    </w:rPr>
  </w:style>
  <w:style w:type="paragraph" w:customStyle="1" w:styleId="Reftext">
    <w:name w:val="Ref_text"/>
    <w:basedOn w:val="Normal"/>
    <w:rsid w:val="00D963EA"/>
    <w:pPr>
      <w:ind w:left="794" w:hanging="794"/>
    </w:pPr>
  </w:style>
  <w:style w:type="paragraph" w:customStyle="1" w:styleId="Reftitle">
    <w:name w:val="Ref_title"/>
    <w:basedOn w:val="Normal"/>
    <w:next w:val="Reftext"/>
    <w:rsid w:val="00D963EA"/>
    <w:pPr>
      <w:spacing w:before="480"/>
      <w:jc w:val="center"/>
    </w:pPr>
    <w:rPr>
      <w:b/>
    </w:rPr>
  </w:style>
  <w:style w:type="paragraph" w:customStyle="1" w:styleId="RepNo">
    <w:name w:val="Rep_No"/>
    <w:basedOn w:val="RecNo"/>
    <w:next w:val="Reptitle"/>
    <w:rsid w:val="00D963EA"/>
  </w:style>
  <w:style w:type="character" w:customStyle="1" w:styleId="Resdef">
    <w:name w:val="Res_def"/>
    <w:basedOn w:val="DefaultParagraphFont"/>
    <w:rsid w:val="00D963EA"/>
    <w:rPr>
      <w:rFonts w:ascii="Times New Roman" w:hAnsi="Times New Roman"/>
      <w:b/>
    </w:rPr>
  </w:style>
  <w:style w:type="paragraph" w:customStyle="1" w:styleId="ResNo">
    <w:name w:val="Res_No"/>
    <w:basedOn w:val="RecNo"/>
    <w:next w:val="Restitle"/>
    <w:rsid w:val="00D963EA"/>
  </w:style>
  <w:style w:type="paragraph" w:customStyle="1" w:styleId="SectionNo">
    <w:name w:val="Section_No"/>
    <w:basedOn w:val="Normal"/>
    <w:next w:val="Sectiontitle"/>
    <w:rsid w:val="00D963EA"/>
    <w:pPr>
      <w:keepNext/>
      <w:keepLines/>
      <w:spacing w:before="480" w:after="80"/>
      <w:jc w:val="center"/>
    </w:pPr>
    <w:rPr>
      <w:caps/>
      <w:sz w:val="28"/>
    </w:rPr>
  </w:style>
  <w:style w:type="paragraph" w:customStyle="1" w:styleId="Sectiontitle">
    <w:name w:val="Section_title"/>
    <w:basedOn w:val="Normal"/>
    <w:next w:val="Normalaftertitle"/>
    <w:rsid w:val="00D963EA"/>
    <w:pPr>
      <w:keepNext/>
      <w:keepLines/>
      <w:spacing w:before="480" w:after="280"/>
      <w:jc w:val="center"/>
    </w:pPr>
    <w:rPr>
      <w:b/>
      <w:sz w:val="28"/>
    </w:rPr>
  </w:style>
  <w:style w:type="paragraph" w:customStyle="1" w:styleId="Source">
    <w:name w:val="Source"/>
    <w:basedOn w:val="Normal"/>
    <w:next w:val="Normalaftertitle"/>
    <w:rsid w:val="00D963EA"/>
    <w:pPr>
      <w:spacing w:before="840" w:after="200"/>
      <w:jc w:val="center"/>
    </w:pPr>
    <w:rPr>
      <w:b/>
      <w:sz w:val="28"/>
    </w:rPr>
  </w:style>
  <w:style w:type="paragraph" w:customStyle="1" w:styleId="SpecialFooter">
    <w:name w:val="Special Footer"/>
    <w:basedOn w:val="Footer"/>
    <w:rsid w:val="00D963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D963EA"/>
    <w:rPr>
      <w:b/>
      <w:color w:val="auto"/>
    </w:rPr>
  </w:style>
  <w:style w:type="paragraph" w:customStyle="1" w:styleId="Tablelegend">
    <w:name w:val="Table_legend"/>
    <w:basedOn w:val="Normal"/>
    <w:rsid w:val="00D963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D963EA"/>
    <w:pPr>
      <w:keepNext/>
      <w:spacing w:before="560" w:after="120"/>
      <w:jc w:val="center"/>
    </w:pPr>
    <w:rPr>
      <w:caps/>
    </w:rPr>
  </w:style>
  <w:style w:type="paragraph" w:customStyle="1" w:styleId="Tableref">
    <w:name w:val="Table_ref"/>
    <w:basedOn w:val="Normal"/>
    <w:next w:val="TabletitleBR"/>
    <w:rsid w:val="00D963EA"/>
    <w:pPr>
      <w:keepNext/>
      <w:spacing w:before="0" w:after="120"/>
      <w:jc w:val="center"/>
    </w:pPr>
  </w:style>
  <w:style w:type="paragraph" w:customStyle="1" w:styleId="Title1">
    <w:name w:val="Title 1"/>
    <w:basedOn w:val="Source"/>
    <w:next w:val="Title2"/>
    <w:rsid w:val="00D963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963EA"/>
  </w:style>
  <w:style w:type="paragraph" w:customStyle="1" w:styleId="Title3">
    <w:name w:val="Title 3"/>
    <w:basedOn w:val="Title2"/>
    <w:next w:val="Title4"/>
    <w:rsid w:val="00D963EA"/>
    <w:rPr>
      <w:caps w:val="0"/>
    </w:rPr>
  </w:style>
  <w:style w:type="paragraph" w:customStyle="1" w:styleId="Title4">
    <w:name w:val="Title 4"/>
    <w:basedOn w:val="Title3"/>
    <w:next w:val="Heading1"/>
    <w:rsid w:val="00D963EA"/>
    <w:rPr>
      <w:b/>
    </w:rPr>
  </w:style>
  <w:style w:type="paragraph" w:customStyle="1" w:styleId="FigureNoBR">
    <w:name w:val="Figure_No_BR"/>
    <w:basedOn w:val="Normal"/>
    <w:next w:val="FiguretitleBR"/>
    <w:rsid w:val="00D963EA"/>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headingb0">
    <w:name w:val="heading_b"/>
    <w:basedOn w:val="Heading3"/>
    <w:next w:val="Normal"/>
    <w:rsid w:val="00A21FEF"/>
    <w:pPr>
      <w:tabs>
        <w:tab w:val="clear" w:pos="1191"/>
        <w:tab w:val="clear" w:pos="1588"/>
        <w:tab w:val="clear" w:pos="1985"/>
        <w:tab w:val="left" w:pos="2127"/>
        <w:tab w:val="left" w:pos="2410"/>
        <w:tab w:val="left" w:pos="2921"/>
        <w:tab w:val="left" w:pos="3261"/>
      </w:tabs>
      <w:ind w:left="0" w:firstLine="0"/>
      <w:outlineLvl w:val="9"/>
    </w:pPr>
    <w:rPr>
      <w:lang w:val="es-ES"/>
    </w:rPr>
  </w:style>
  <w:style w:type="character" w:customStyle="1" w:styleId="Heading1Char">
    <w:name w:val="Heading 1 Char"/>
    <w:aliases w:val="Section of paper Char,título 1 Char,h1 Char,1st level Char,Heading U Char,H1 Char,H11 Char"/>
    <w:basedOn w:val="DefaultParagraphFont"/>
    <w:rsid w:val="00A21FEF"/>
    <w:rPr>
      <w:b/>
      <w:sz w:val="24"/>
      <w:lang w:val="en-GB" w:eastAsia="en-US" w:bidi="ar-SA"/>
    </w:rPr>
  </w:style>
  <w:style w:type="paragraph" w:customStyle="1" w:styleId="CharCharCharCharCharChar">
    <w:name w:val="Char Char Char Char Char Char"/>
    <w:basedOn w:val="Normal"/>
    <w:rsid w:val="00E41DF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har1CharChar1Char">
    <w:name w:val="Char1 Char Char1 Char"/>
    <w:basedOn w:val="Normal"/>
    <w:rsid w:val="009D1DE0"/>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FootnoteTextChar">
    <w:name w:val="Footnote Text Char"/>
    <w:basedOn w:val="DefaultParagraphFont"/>
    <w:link w:val="FootnoteText"/>
    <w:semiHidden/>
    <w:rsid w:val="00F37856"/>
    <w:rPr>
      <w:rFonts w:ascii="Times New Roman" w:hAnsi="Times New Roman"/>
      <w:sz w:val="24"/>
      <w:lang w:val="es-ES_tradnl" w:eastAsia="en-US"/>
    </w:rPr>
  </w:style>
  <w:style w:type="paragraph" w:customStyle="1" w:styleId="Table">
    <w:name w:val="Table_#"/>
    <w:basedOn w:val="Normal"/>
    <w:next w:val="Normal"/>
    <w:rsid w:val="00A80988"/>
    <w:pPr>
      <w:keepNext/>
      <w:overflowPunct/>
      <w:autoSpaceDE/>
      <w:autoSpaceDN/>
      <w:adjustRightInd/>
      <w:spacing w:before="560" w:after="120"/>
      <w:jc w:val="center"/>
      <w:textAlignment w:val="auto"/>
    </w:pPr>
    <w:rPr>
      <w:caps/>
      <w:lang w:val="en-GB"/>
    </w:rPr>
  </w:style>
  <w:style w:type="character" w:customStyle="1" w:styleId="NormalaftertitleChar">
    <w:name w:val="Normal_after_title Char"/>
    <w:basedOn w:val="DefaultParagraphFont"/>
    <w:link w:val="Normalaftertitle"/>
    <w:locked/>
    <w:rsid w:val="00205863"/>
    <w:rPr>
      <w:rFonts w:ascii="Times New Roman" w:hAnsi="Times New Roman"/>
      <w:sz w:val="24"/>
      <w:lang w:val="es-ES_tradnl" w:eastAsia="en-US"/>
    </w:rPr>
  </w:style>
  <w:style w:type="character" w:styleId="FollowedHyperlink">
    <w:name w:val="FollowedHyperlink"/>
    <w:basedOn w:val="DefaultParagraphFont"/>
    <w:rsid w:val="00281A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hilippe.aubineau@itu.int" TargetMode="External"/><Relationship Id="rId18" Type="http://schemas.openxmlformats.org/officeDocument/2006/relationships/hyperlink" Target="mailto:iturcpmregistrations@itu.in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R/go/delegate-reg-info/en" TargetMode="External"/><Relationship Id="rId17" Type="http://schemas.openxmlformats.org/officeDocument/2006/relationships/hyperlink" Target="http://www.itu.int/ITU-R/go/delegate-reg-info/en" TargetMode="External"/><Relationship Id="rId2" Type="http://schemas.openxmlformats.org/officeDocument/2006/relationships/numbering" Target="numbering.xml"/><Relationship Id="rId16" Type="http://schemas.openxmlformats.org/officeDocument/2006/relationships/hyperlink" Target="http://www.itu.int/ITU-R/go/delegate-reg-acti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rcpm" TargetMode="External"/><Relationship Id="rId5" Type="http://schemas.openxmlformats.org/officeDocument/2006/relationships/webSettings" Target="webSettings.xml"/><Relationship Id="rId15" Type="http://schemas.openxmlformats.org/officeDocument/2006/relationships/hyperlink" Target="http://www.itu.int/ITU-R/go/rcpm" TargetMode="External"/><Relationship Id="rId23" Type="http://schemas.openxmlformats.org/officeDocument/2006/relationships/theme" Target="theme/theme1.xml"/><Relationship Id="rId10" Type="http://schemas.openxmlformats.org/officeDocument/2006/relationships/hyperlink" Target="http://www.itu.int/ITU-R/go/rcpm/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m11-2@itu.int" TargetMode="External"/><Relationship Id="rId14" Type="http://schemas.openxmlformats.org/officeDocument/2006/relationships/hyperlink" Target="mailto:iturcpmregistrations@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oth/R0A01000001" TargetMode="External"/><Relationship Id="rId1" Type="http://schemas.openxmlformats.org/officeDocument/2006/relationships/hyperlink" Target="http://www.itu.int/ITU-R/go/sg-transition-to-office-20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ana\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1227-1367-46B4-A144-CB11A134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67</TotalTime>
  <Pages>7</Pages>
  <Words>2116</Words>
  <Characters>11581</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UNIÓN INTERNACIONAL DE TELECOMUNICACIONES</vt:lpstr>
      <vt:lpstr>6	Disponibilidad de documentos durante la RPC11-2</vt:lpstr>
      <vt:lpstr>7	Inscripción de delegados</vt:lpstr>
      <vt:lpstr>8	Alojamiento en los hoteles</vt:lpstr>
      <vt:lpstr>9	Requisitos de visado</vt:lpstr>
    </vt:vector>
  </TitlesOfParts>
  <Company>ITU</Company>
  <LinksUpToDate>false</LinksUpToDate>
  <CharactersWithSpaces>13670</CharactersWithSpaces>
  <SharedDoc>false</SharedDoc>
  <HLinks>
    <vt:vector size="36" baseType="variant">
      <vt:variant>
        <vt:i4>1572969</vt:i4>
      </vt:variant>
      <vt:variant>
        <vt:i4>12</vt:i4>
      </vt:variant>
      <vt:variant>
        <vt:i4>0</vt:i4>
      </vt:variant>
      <vt:variant>
        <vt:i4>5</vt:i4>
      </vt:variant>
      <vt:variant>
        <vt:lpwstr>mailto:linda.kocher@itu.int</vt:lpwstr>
      </vt:variant>
      <vt:variant>
        <vt:lpwstr/>
      </vt:variant>
      <vt:variant>
        <vt:i4>720922</vt:i4>
      </vt:variant>
      <vt:variant>
        <vt:i4>9</vt:i4>
      </vt:variant>
      <vt:variant>
        <vt:i4>0</vt:i4>
      </vt:variant>
      <vt:variant>
        <vt:i4>5</vt:i4>
      </vt:variant>
      <vt:variant>
        <vt:lpwstr>http://www.itu.int/ITU-R/go/ra-07-registration/en</vt:lpwstr>
      </vt:variant>
      <vt:variant>
        <vt:lpwstr/>
      </vt:variant>
      <vt:variant>
        <vt:i4>4718675</vt:i4>
      </vt:variant>
      <vt:variant>
        <vt:i4>6</vt:i4>
      </vt:variant>
      <vt:variant>
        <vt:i4>0</vt:i4>
      </vt:variant>
      <vt:variant>
        <vt:i4>5</vt:i4>
      </vt:variant>
      <vt:variant>
        <vt:lpwstr>http://www.itu.int/travel/index.html</vt:lpwstr>
      </vt:variant>
      <vt:variant>
        <vt:lpwstr/>
      </vt:variant>
      <vt:variant>
        <vt:i4>6750335</vt:i4>
      </vt:variant>
      <vt:variant>
        <vt:i4>3</vt:i4>
      </vt:variant>
      <vt:variant>
        <vt:i4>0</vt:i4>
      </vt:variant>
      <vt:variant>
        <vt:i4>5</vt:i4>
      </vt:variant>
      <vt:variant>
        <vt:lpwstr>http://www.itu.int/ITU-R/go/rcpm/en</vt:lpwstr>
      </vt:variant>
      <vt:variant>
        <vt:lpwstr/>
      </vt:variant>
      <vt:variant>
        <vt:i4>1310769</vt:i4>
      </vt:variant>
      <vt:variant>
        <vt:i4>0</vt:i4>
      </vt:variant>
      <vt:variant>
        <vt:i4>0</vt:i4>
      </vt:variant>
      <vt:variant>
        <vt:i4>5</vt:i4>
      </vt:variant>
      <vt:variant>
        <vt:lpwstr>mailto:rcpm@itu.int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bonnici</cp:lastModifiedBy>
  <cp:revision>8</cp:revision>
  <cp:lastPrinted>2010-06-01T08:26:00Z</cp:lastPrinted>
  <dcterms:created xsi:type="dcterms:W3CDTF">2010-05-26T14:12:00Z</dcterms:created>
  <dcterms:modified xsi:type="dcterms:W3CDTF">2010-06-01T08:26:00Z</dcterms:modified>
</cp:coreProperties>
</file>