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590119" w:rsidRPr="00F50108" w:rsidTr="00DB0155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DB0155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DB0155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DB0155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590119" w:rsidRPr="00F50108" w:rsidRDefault="00590119" w:rsidP="00DB015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FABEFF2" wp14:editId="7220DE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 w:rsidTr="00DB0155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DB015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DB015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E9370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E93708">
        <w:rPr>
          <w:rFonts w:hint="eastAsia"/>
          <w:lang w:eastAsia="zh-CN"/>
        </w:rPr>
        <w:t>2015</w:t>
      </w:r>
      <w:r w:rsidR="00E93708" w:rsidRPr="00C4074C">
        <w:rPr>
          <w:rFonts w:hint="eastAsia"/>
        </w:rPr>
        <w:t>年</w:t>
      </w:r>
      <w:r w:rsidR="00E93708">
        <w:rPr>
          <w:rFonts w:hint="eastAsia"/>
          <w:lang w:eastAsia="zh-CN"/>
        </w:rPr>
        <w:t>5</w:t>
      </w:r>
      <w:r w:rsidR="00E93708" w:rsidRPr="00C4074C">
        <w:rPr>
          <w:rFonts w:hint="eastAsia"/>
        </w:rPr>
        <w:t>月</w:t>
      </w:r>
      <w:r w:rsidR="00E93708">
        <w:rPr>
          <w:rFonts w:hint="eastAsia"/>
          <w:lang w:eastAsia="zh-CN"/>
        </w:rPr>
        <w:t>13</w:t>
      </w:r>
      <w:proofErr w:type="spellStart"/>
      <w:r w:rsidR="00E93708" w:rsidRPr="00C4074C">
        <w:rPr>
          <w:rFonts w:hint="eastAsia"/>
        </w:rPr>
        <w:t>日，日内瓦</w:t>
      </w:r>
      <w:proofErr w:type="spellEnd"/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67444D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67444D">
            <w:pPr>
              <w:tabs>
                <w:tab w:val="left" w:pos="4111"/>
              </w:tabs>
              <w:spacing w:before="0"/>
              <w:rPr>
                <w:szCs w:val="24"/>
              </w:rPr>
            </w:pPr>
          </w:p>
          <w:p w:rsidR="00E93708" w:rsidRDefault="00E93708" w:rsidP="0067444D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</w:p>
          <w:p w:rsidR="0063445E" w:rsidRPr="00841612" w:rsidRDefault="0063445E" w:rsidP="0067444D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67444D">
            <w:pPr>
              <w:tabs>
                <w:tab w:val="left" w:pos="4111"/>
              </w:tabs>
              <w:spacing w:before="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67444D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E93708">
              <w:rPr>
                <w:b/>
                <w:szCs w:val="24"/>
                <w:lang w:eastAsia="zh-CN"/>
              </w:rPr>
              <w:t>151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E93708" w:rsidRPr="009471BB" w:rsidRDefault="00E93708" w:rsidP="0067444D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lang w:val="fr-CH" w:eastAsia="zh-CN"/>
              </w:rPr>
              <w:t>COM 17/MEU</w:t>
            </w:r>
          </w:p>
          <w:p w:rsidR="00E93708" w:rsidRDefault="00E93708" w:rsidP="0067444D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</w:p>
          <w:p w:rsidR="0063445E" w:rsidRPr="00841612" w:rsidRDefault="00E93708" w:rsidP="0067444D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697BC1">
              <w:t xml:space="preserve">+41 22 730 </w:t>
            </w:r>
            <w:r>
              <w:t>5866</w:t>
            </w:r>
            <w:r w:rsidRPr="00697BC1">
              <w:br/>
              <w:t>+41 22 730 5853</w:t>
            </w:r>
            <w:r w:rsidRPr="00697BC1">
              <w:br/>
            </w:r>
          </w:p>
        </w:tc>
        <w:tc>
          <w:tcPr>
            <w:tcW w:w="4436" w:type="dxa"/>
          </w:tcPr>
          <w:p w:rsidR="0063445E" w:rsidRDefault="0063445E" w:rsidP="00E937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E93708" w:rsidRPr="00C4074C">
              <w:rPr>
                <w:rFonts w:hint="eastAsia"/>
                <w:lang w:eastAsia="zh-CN"/>
              </w:rPr>
              <w:t>致国际电联各</w:t>
            </w:r>
            <w:r w:rsidR="00E93708">
              <w:rPr>
                <w:rFonts w:hint="eastAsia"/>
                <w:lang w:eastAsia="zh-CN"/>
              </w:rPr>
              <w:t>成</w:t>
            </w:r>
            <w:r w:rsidR="00E93708" w:rsidRPr="00C4074C">
              <w:rPr>
                <w:rFonts w:hint="eastAsia"/>
                <w:lang w:eastAsia="zh-CN"/>
              </w:rPr>
              <w:t>员国主管部门；</w:t>
            </w:r>
            <w:r w:rsidR="00E93708">
              <w:rPr>
                <w:lang w:eastAsia="zh-CN"/>
              </w:rPr>
              <w:t>ITU-T</w:t>
            </w:r>
            <w:r w:rsidR="00E93708">
              <w:rPr>
                <w:rFonts w:hint="eastAsia"/>
                <w:lang w:val="en-US" w:eastAsia="zh-CN"/>
              </w:rPr>
              <w:t>部门成员、</w:t>
            </w:r>
            <w:r w:rsidR="00E93708">
              <w:rPr>
                <w:lang w:eastAsia="zh-CN"/>
              </w:rPr>
              <w:t>ITU-T</w:t>
            </w:r>
            <w:r w:rsidR="00E93708" w:rsidRPr="00C4074C">
              <w:rPr>
                <w:rFonts w:hint="eastAsia"/>
                <w:lang w:eastAsia="zh-CN"/>
              </w:rPr>
              <w:t>准成员</w:t>
            </w:r>
            <w:r w:rsidR="00E93708">
              <w:rPr>
                <w:rFonts w:hint="eastAsia"/>
                <w:lang w:eastAsia="zh-CN"/>
              </w:rPr>
              <w:t>和</w:t>
            </w:r>
            <w:r w:rsidR="00E93708">
              <w:rPr>
                <w:lang w:eastAsia="zh-CN"/>
              </w:rPr>
              <w:t>ITU-T</w:t>
            </w:r>
            <w:r w:rsidR="00E93708" w:rsidRPr="00C4074C">
              <w:rPr>
                <w:rFonts w:hint="eastAsia"/>
                <w:lang w:eastAsia="zh-CN"/>
              </w:rPr>
              <w:t>非洲区学术成员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67444D">
            <w:pPr>
              <w:spacing w:before="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67444D" w:rsidRDefault="0067444D" w:rsidP="0067444D">
            <w:pPr>
              <w:tabs>
                <w:tab w:val="left" w:pos="4111"/>
              </w:tabs>
              <w:spacing w:before="40"/>
            </w:pPr>
          </w:p>
          <w:p w:rsidR="00160A43" w:rsidRPr="00E93708" w:rsidRDefault="00E811B4" w:rsidP="0067444D">
            <w:pPr>
              <w:tabs>
                <w:tab w:val="left" w:pos="4111"/>
              </w:tabs>
              <w:spacing w:before="0"/>
              <w:rPr>
                <w:lang w:val="en-US" w:eastAsia="zh-CN"/>
              </w:rPr>
            </w:pPr>
            <w:hyperlink r:id="rId9" w:history="1">
              <w:r w:rsidR="00E93708" w:rsidRPr="00A222ED">
                <w:rPr>
                  <w:rStyle w:val="Hyperlink"/>
                </w:rPr>
                <w:t>tsbsg17@itu.int</w:t>
              </w:r>
            </w:hyperlink>
          </w:p>
          <w:p w:rsidR="007568DA" w:rsidRPr="00841612" w:rsidRDefault="007568DA" w:rsidP="0067444D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E93708" w:rsidRDefault="00E93708" w:rsidP="00E9370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非洲电信联盟（</w:t>
            </w:r>
            <w:r>
              <w:rPr>
                <w:rFonts w:hint="eastAsia"/>
                <w:lang w:eastAsia="zh-CN"/>
              </w:rPr>
              <w:t>ATU</w:t>
            </w:r>
            <w:r>
              <w:rPr>
                <w:rFonts w:hint="eastAsia"/>
                <w:lang w:eastAsia="zh-CN"/>
              </w:rPr>
              <w:t>）；</w:t>
            </w:r>
          </w:p>
          <w:p w:rsidR="00E93708" w:rsidRDefault="00E93708" w:rsidP="00E9370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C4074C">
              <w:rPr>
                <w:rFonts w:hint="eastAsia"/>
                <w:lang w:eastAsia="zh-CN"/>
              </w:rPr>
              <w:t>非洲</w:t>
            </w:r>
            <w:r w:rsidRPr="00C4074C">
              <w:rPr>
                <w:rFonts w:hint="eastAsia"/>
                <w:lang w:eastAsia="zh-CN"/>
              </w:rPr>
              <w:t>ICT</w:t>
            </w:r>
            <w:r w:rsidRPr="00C4074C">
              <w:rPr>
                <w:rFonts w:hint="eastAsia"/>
                <w:lang w:eastAsia="zh-CN"/>
              </w:rPr>
              <w:t>消费者网络（</w:t>
            </w:r>
            <w:r w:rsidRPr="00C4074C">
              <w:rPr>
                <w:rFonts w:hint="eastAsia"/>
                <w:lang w:eastAsia="zh-CN"/>
              </w:rPr>
              <w:t>AICN</w:t>
            </w:r>
            <w:r w:rsidRPr="00C4074C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；</w:t>
            </w:r>
          </w:p>
          <w:p w:rsidR="00E93708" w:rsidRDefault="00E93708" w:rsidP="00E9370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C4074C">
              <w:rPr>
                <w:rFonts w:hint="eastAsia"/>
                <w:lang w:eastAsia="zh-CN"/>
              </w:rPr>
              <w:t>西非国家经济共同体（</w:t>
            </w:r>
            <w:r w:rsidRPr="00C4074C">
              <w:rPr>
                <w:rFonts w:hint="eastAsia"/>
                <w:lang w:eastAsia="zh-CN"/>
              </w:rPr>
              <w:t>ECOWAS</w:t>
            </w:r>
            <w:r w:rsidRPr="00C4074C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；</w:t>
            </w:r>
          </w:p>
          <w:p w:rsidR="00E93708" w:rsidRDefault="00E93708" w:rsidP="00E9370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C4074C">
              <w:rPr>
                <w:rFonts w:hint="eastAsia"/>
                <w:lang w:eastAsia="zh-CN"/>
              </w:rPr>
              <w:t>东非通信组织（</w:t>
            </w:r>
            <w:r w:rsidRPr="00C4074C">
              <w:rPr>
                <w:rFonts w:hint="eastAsia"/>
                <w:lang w:eastAsia="zh-CN"/>
              </w:rPr>
              <w:t>EACO</w:t>
            </w:r>
            <w:r w:rsidRPr="00C4074C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；</w:t>
            </w:r>
          </w:p>
          <w:p w:rsidR="00E93708" w:rsidRDefault="00E93708" w:rsidP="00E9370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阿拉伯国家联盟；</w:t>
            </w:r>
          </w:p>
          <w:p w:rsidR="00E93708" w:rsidRDefault="00E93708" w:rsidP="00E9370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国际电联非洲区区域代表处；</w:t>
            </w:r>
          </w:p>
          <w:p w:rsidR="00E93708" w:rsidRDefault="00E93708" w:rsidP="00E9370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国际电联非洲区办事处；</w:t>
            </w:r>
          </w:p>
          <w:p w:rsidR="00E93708" w:rsidRDefault="00E93708" w:rsidP="00E93708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C4074C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17</w:t>
            </w:r>
            <w:r w:rsidRPr="00C4074C">
              <w:rPr>
                <w:rFonts w:hint="eastAsia"/>
                <w:lang w:eastAsia="zh-CN"/>
              </w:rPr>
              <w:t>研究组正副主席；</w:t>
            </w:r>
          </w:p>
          <w:p w:rsidR="00E93708" w:rsidRDefault="00E93708" w:rsidP="00E93708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C4074C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17</w:t>
            </w:r>
            <w:r w:rsidRPr="00C4074C">
              <w:rPr>
                <w:rFonts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非洲区域组</w:t>
            </w:r>
            <w:r w:rsidRPr="00C4074C">
              <w:rPr>
                <w:rFonts w:hint="eastAsia"/>
                <w:lang w:eastAsia="zh-CN"/>
              </w:rPr>
              <w:t>正副主席；</w:t>
            </w:r>
          </w:p>
          <w:p w:rsidR="00E93708" w:rsidRDefault="00E93708" w:rsidP="00E93708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E93708" w:rsidP="00E9370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E93708" w:rsidP="00956D3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创建</w:t>
            </w:r>
            <w:r>
              <w:rPr>
                <w:b/>
                <w:bCs/>
                <w:lang w:eastAsia="zh-CN"/>
              </w:rPr>
              <w:t>ITU-T</w:t>
            </w:r>
            <w:r>
              <w:rPr>
                <w:b/>
                <w:bCs/>
                <w:lang w:eastAsia="zh-CN"/>
              </w:rPr>
              <w:t>第</w:t>
            </w:r>
            <w:r>
              <w:rPr>
                <w:b/>
                <w:bCs/>
                <w:lang w:eastAsia="zh-CN"/>
              </w:rPr>
              <w:t>17</w:t>
            </w:r>
            <w:r>
              <w:rPr>
                <w:b/>
                <w:bCs/>
                <w:lang w:eastAsia="zh-CN"/>
              </w:rPr>
              <w:t>研究组非洲区域组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lang w:eastAsia="zh-CN"/>
              </w:rPr>
              <w:t xml:space="preserve">SG17 </w:t>
            </w:r>
            <w:r w:rsidRPr="00E305CF">
              <w:rPr>
                <w:b/>
                <w:bCs/>
                <w:lang w:eastAsia="zh-CN"/>
              </w:rPr>
              <w:t>RG-AFR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E93708" w:rsidRDefault="00E93708" w:rsidP="00E93708">
      <w:pPr>
        <w:spacing w:before="480"/>
        <w:rPr>
          <w:lang w:eastAsia="zh-CN"/>
        </w:rPr>
      </w:pPr>
      <w:r>
        <w:rPr>
          <w:rFonts w:hint="eastAsia"/>
          <w:lang w:eastAsia="zh-CN"/>
        </w:rPr>
        <w:t>尊敬</w:t>
      </w:r>
      <w:r>
        <w:rPr>
          <w:lang w:eastAsia="zh-CN"/>
        </w:rPr>
        <w:t>的</w:t>
      </w:r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E93708" w:rsidRDefault="00E93708" w:rsidP="00E93708">
      <w:pPr>
        <w:spacing w:before="36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我谨在此通知您，负责研究“</w:t>
      </w:r>
      <w:r w:rsidRPr="006A1CBC">
        <w:rPr>
          <w:rFonts w:ascii="KaiTi" w:eastAsia="KaiTi" w:hAnsi="KaiTi" w:hint="eastAsia"/>
          <w:lang w:eastAsia="zh-CN"/>
        </w:rPr>
        <w:t>安全性</w:t>
      </w:r>
      <w:r>
        <w:rPr>
          <w:rFonts w:hint="eastAsia"/>
          <w:lang w:eastAsia="zh-CN"/>
        </w:rPr>
        <w:t>”的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lang w:eastAsia="zh-CN"/>
        </w:rPr>
        <w:t>17</w:t>
      </w:r>
      <w:r>
        <w:rPr>
          <w:lang w:eastAsia="zh-CN"/>
        </w:rPr>
        <w:t>研究组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日的闭幕全体会议上决定应</w:t>
      </w:r>
      <w:r w:rsidRPr="00F27F8E">
        <w:rPr>
          <w:rFonts w:cstheme="majorBidi"/>
          <w:szCs w:val="24"/>
          <w:lang w:eastAsia="zh-CN"/>
        </w:rPr>
        <w:t>WTSA-12</w:t>
      </w:r>
      <w:r>
        <w:rPr>
          <w:rFonts w:cstheme="majorBidi" w:hint="eastAsia"/>
          <w:szCs w:val="24"/>
          <w:lang w:eastAsia="zh-CN"/>
        </w:rPr>
        <w:t>第</w:t>
      </w:r>
      <w:r>
        <w:rPr>
          <w:rFonts w:cstheme="majorBidi" w:hint="eastAsia"/>
          <w:szCs w:val="24"/>
          <w:lang w:eastAsia="zh-CN"/>
        </w:rPr>
        <w:t>54</w:t>
      </w:r>
      <w:r>
        <w:rPr>
          <w:rFonts w:cstheme="majorBidi" w:hint="eastAsia"/>
          <w:szCs w:val="24"/>
          <w:lang w:eastAsia="zh-CN"/>
        </w:rPr>
        <w:t>号决议的要求，</w:t>
      </w:r>
      <w:r>
        <w:rPr>
          <w:rFonts w:hint="eastAsia"/>
          <w:lang w:eastAsia="zh-CN"/>
        </w:rPr>
        <w:t>创建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lang w:eastAsia="zh-CN"/>
        </w:rPr>
        <w:t>17</w:t>
      </w:r>
      <w:r>
        <w:rPr>
          <w:lang w:eastAsia="zh-CN"/>
        </w:rPr>
        <w:t>研究组非洲区域组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SG17 </w:t>
      </w:r>
      <w:r w:rsidRPr="008B2093">
        <w:rPr>
          <w:lang w:eastAsia="zh-CN"/>
        </w:rPr>
        <w:t>RG-AFR</w:t>
      </w:r>
      <w:r>
        <w:rPr>
          <w:rFonts w:hint="eastAsia"/>
          <w:lang w:eastAsia="zh-CN"/>
        </w:rPr>
        <w:t>）。</w:t>
      </w:r>
    </w:p>
    <w:p w:rsidR="00E93708" w:rsidRPr="003108B9" w:rsidRDefault="00E93708" w:rsidP="00E93708">
      <w:pPr>
        <w:ind w:firstLineChars="200" w:firstLine="480"/>
      </w:pPr>
      <w:r>
        <w:t xml:space="preserve">Michael </w:t>
      </w:r>
      <w:proofErr w:type="spellStart"/>
      <w:r>
        <w:t>Katundu</w:t>
      </w:r>
      <w:proofErr w:type="spellEnd"/>
      <w:r>
        <w:rPr>
          <w:rFonts w:hint="eastAsia"/>
          <w:lang w:eastAsia="zh-CN"/>
        </w:rPr>
        <w:t>先生（肯尼亚）担任</w:t>
      </w:r>
      <w:r>
        <w:t>第</w:t>
      </w:r>
      <w:r>
        <w:t>17</w:t>
      </w:r>
      <w:proofErr w:type="spellStart"/>
      <w:r>
        <w:t>研究组非洲区域组</w:t>
      </w:r>
      <w:proofErr w:type="spellEnd"/>
      <w:r>
        <w:rPr>
          <w:rFonts w:hint="eastAsia"/>
          <w:lang w:eastAsia="zh-CN"/>
        </w:rPr>
        <w:t>的主席，</w:t>
      </w:r>
      <w:r w:rsidRPr="003108B9">
        <w:t xml:space="preserve">Mohamed </w:t>
      </w:r>
      <w:proofErr w:type="spellStart"/>
      <w:r w:rsidRPr="003108B9">
        <w:t>Elhaj</w:t>
      </w:r>
      <w:proofErr w:type="spellEnd"/>
      <w:r>
        <w:rPr>
          <w:rFonts w:hint="eastAsia"/>
          <w:lang w:eastAsia="zh-CN"/>
        </w:rPr>
        <w:t>先生（苏丹）、</w:t>
      </w:r>
      <w:r w:rsidRPr="003108B9">
        <w:t xml:space="preserve">Patrick </w:t>
      </w:r>
      <w:proofErr w:type="spellStart"/>
      <w:r w:rsidRPr="003108B9">
        <w:t>Mwesigwa</w:t>
      </w:r>
      <w:proofErr w:type="spellEnd"/>
      <w:r>
        <w:rPr>
          <w:rFonts w:hint="eastAsia"/>
          <w:lang w:eastAsia="zh-CN"/>
        </w:rPr>
        <w:t>先生（乌干达）和</w:t>
      </w:r>
      <w:r w:rsidRPr="003108B9">
        <w:t xml:space="preserve">Mohamed </w:t>
      </w:r>
      <w:proofErr w:type="spellStart"/>
      <w:r w:rsidRPr="003108B9">
        <w:t>Touré</w:t>
      </w:r>
      <w:proofErr w:type="spellEnd"/>
      <w:r>
        <w:rPr>
          <w:rFonts w:hint="eastAsia"/>
          <w:lang w:eastAsia="zh-CN"/>
        </w:rPr>
        <w:t>先生（几内亚）担任副主席。</w:t>
      </w:r>
    </w:p>
    <w:p w:rsidR="00E93708" w:rsidRDefault="00E937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93708" w:rsidRDefault="00E93708" w:rsidP="00E9370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各区域组在协调区域提交文稿方面一直十分有效，亦是就近组织会议的一种出色载体。区域组亦可为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的标准化流程贡献力量。</w:t>
      </w:r>
    </w:p>
    <w:p w:rsidR="00E93708" w:rsidRDefault="00E93708" w:rsidP="00E93708">
      <w:pPr>
        <w:ind w:firstLineChars="200" w:firstLine="480"/>
        <w:rPr>
          <w:lang w:eastAsia="zh-CN"/>
        </w:rPr>
      </w:pPr>
      <w:r>
        <w:rPr>
          <w:rFonts w:cstheme="majorBidi"/>
          <w:szCs w:val="24"/>
          <w:lang w:eastAsia="zh-CN"/>
        </w:rPr>
        <w:t>ITU-T</w:t>
      </w:r>
      <w:r>
        <w:rPr>
          <w:rFonts w:cstheme="majorBidi"/>
          <w:szCs w:val="24"/>
          <w:lang w:eastAsia="zh-CN"/>
        </w:rPr>
        <w:t>第</w:t>
      </w:r>
      <w:r>
        <w:rPr>
          <w:rFonts w:cstheme="majorBidi"/>
          <w:szCs w:val="24"/>
          <w:lang w:eastAsia="zh-CN"/>
        </w:rPr>
        <w:t>17</w:t>
      </w:r>
      <w:r>
        <w:rPr>
          <w:rFonts w:cstheme="majorBidi"/>
          <w:szCs w:val="24"/>
          <w:lang w:eastAsia="zh-CN"/>
        </w:rPr>
        <w:t>研究组非洲区域组</w:t>
      </w:r>
      <w:r>
        <w:rPr>
          <w:rFonts w:cstheme="majorBidi" w:hint="eastAsia"/>
          <w:szCs w:val="24"/>
          <w:lang w:eastAsia="zh-CN"/>
        </w:rPr>
        <w:t>（</w:t>
      </w:r>
      <w:r>
        <w:rPr>
          <w:rFonts w:cstheme="majorBidi"/>
          <w:szCs w:val="24"/>
          <w:lang w:eastAsia="zh-CN"/>
        </w:rPr>
        <w:t xml:space="preserve">SG17 </w:t>
      </w:r>
      <w:r w:rsidRPr="00ED1DF4">
        <w:rPr>
          <w:rFonts w:cstheme="majorBidi"/>
          <w:szCs w:val="24"/>
          <w:lang w:eastAsia="zh-CN"/>
        </w:rPr>
        <w:t>RG-AFR</w:t>
      </w:r>
      <w:r>
        <w:rPr>
          <w:rFonts w:cstheme="majorBidi" w:hint="eastAsia"/>
          <w:szCs w:val="24"/>
          <w:lang w:eastAsia="zh-CN"/>
        </w:rPr>
        <w:t>）的职责范围请参见</w:t>
      </w:r>
      <w:r w:rsidRPr="006A1CBC">
        <w:rPr>
          <w:rFonts w:cstheme="majorBidi" w:hint="eastAsia"/>
          <w:b/>
          <w:bCs/>
          <w:szCs w:val="24"/>
          <w:lang w:eastAsia="zh-CN"/>
        </w:rPr>
        <w:t>附件</w:t>
      </w:r>
      <w:r w:rsidRPr="006A1CBC">
        <w:rPr>
          <w:rFonts w:cstheme="majorBidi" w:hint="eastAsia"/>
          <w:b/>
          <w:bCs/>
          <w:szCs w:val="24"/>
          <w:lang w:eastAsia="zh-CN"/>
        </w:rPr>
        <w:t>A</w:t>
      </w:r>
      <w:r>
        <w:rPr>
          <w:rFonts w:cstheme="majorBidi" w:hint="eastAsia"/>
          <w:szCs w:val="24"/>
          <w:lang w:eastAsia="zh-CN"/>
        </w:rPr>
        <w:t>。</w:t>
      </w:r>
    </w:p>
    <w:p w:rsidR="00E93708" w:rsidRDefault="00E93708" w:rsidP="00E9370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相关网页请参见：</w:t>
      </w:r>
      <w:hyperlink r:id="rId10" w:history="1">
        <w:r w:rsidRPr="007B19DD">
          <w:rPr>
            <w:rStyle w:val="Hyperlink"/>
          </w:rPr>
          <w:t>http://www.itu.int/en/ITU-T/studygroups/2013-2016/17/sg17rgafr</w:t>
        </w:r>
      </w:hyperlink>
      <w:r>
        <w:rPr>
          <w:rFonts w:hint="eastAsia"/>
          <w:lang w:eastAsia="zh-CN"/>
        </w:rPr>
        <w:t>。</w:t>
      </w:r>
    </w:p>
    <w:p w:rsidR="00E93708" w:rsidRDefault="00E93708" w:rsidP="00E9370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邮件清单请访问：</w:t>
      </w:r>
      <w:hyperlink r:id="rId11" w:history="1">
        <w:r>
          <w:rPr>
            <w:rStyle w:val="Hyperlink"/>
            <w:lang w:eastAsia="zh-CN"/>
          </w:rPr>
          <w:t>t13sg17rgafr@lists.itu.int</w:t>
        </w:r>
      </w:hyperlink>
      <w:r>
        <w:rPr>
          <w:rFonts w:hint="eastAsia"/>
          <w:lang w:eastAsia="zh-CN"/>
        </w:rPr>
        <w:t>。</w:t>
      </w:r>
    </w:p>
    <w:p w:rsidR="00E93708" w:rsidRDefault="00E93708" w:rsidP="00E93708">
      <w:pPr>
        <w:spacing w:before="36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我们期盼能与各方开展卓有成效的合作，欢迎您支持并参与</w:t>
      </w:r>
      <w:r w:rsidRPr="0001523F">
        <w:rPr>
          <w:rFonts w:hint="eastAsia"/>
          <w:lang w:eastAsia="zh-CN"/>
        </w:rPr>
        <w:t>第</w:t>
      </w:r>
      <w:r w:rsidRPr="0001523F">
        <w:rPr>
          <w:rFonts w:hint="eastAsia"/>
          <w:lang w:eastAsia="zh-CN"/>
        </w:rPr>
        <w:t>17</w:t>
      </w:r>
      <w:r w:rsidRPr="0001523F">
        <w:rPr>
          <w:rFonts w:hint="eastAsia"/>
          <w:lang w:eastAsia="zh-CN"/>
        </w:rPr>
        <w:t>研究组非洲区域组</w:t>
      </w:r>
      <w:r>
        <w:rPr>
          <w:rFonts w:hint="eastAsia"/>
          <w:lang w:eastAsia="zh-CN"/>
        </w:rPr>
        <w:t>的工作。</w:t>
      </w:r>
    </w:p>
    <w:p w:rsidR="00E93708" w:rsidRDefault="00E93708" w:rsidP="00E93708">
      <w:pPr>
        <w:tabs>
          <w:tab w:val="left" w:pos="1418"/>
          <w:tab w:val="left" w:pos="1702"/>
          <w:tab w:val="left" w:pos="2160"/>
        </w:tabs>
        <w:spacing w:before="240" w:after="20"/>
        <w:ind w:right="91" w:firstLineChars="200" w:firstLine="480"/>
        <w:rPr>
          <w:lang w:eastAsia="zh-CN"/>
        </w:rPr>
      </w:pPr>
    </w:p>
    <w:p w:rsidR="00E93708" w:rsidRDefault="00E93708" w:rsidP="00E93708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E93708" w:rsidRPr="0005218B" w:rsidRDefault="00E93708" w:rsidP="00E93708">
      <w:pPr>
        <w:spacing w:before="1560"/>
        <w:rPr>
          <w:szCs w:val="22"/>
          <w:lang w:eastAsia="zh-CN"/>
        </w:rPr>
      </w:pPr>
      <w:bookmarkStart w:id="3" w:name="_GoBack"/>
      <w:bookmarkEnd w:id="3"/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p w:rsidR="00237051" w:rsidRDefault="00237051" w:rsidP="00237051">
      <w:pPr>
        <w:spacing w:before="1440"/>
        <w:rPr>
          <w:b/>
          <w:bCs/>
          <w:lang w:eastAsia="zh-CN"/>
        </w:rPr>
      </w:pPr>
    </w:p>
    <w:p w:rsidR="00E93708" w:rsidRDefault="00E93708" w:rsidP="00237051">
      <w:pPr>
        <w:spacing w:before="1440"/>
        <w:rPr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E93708" w:rsidRDefault="00E93708" w:rsidP="00E937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93708" w:rsidRDefault="00E93708" w:rsidP="00E93708">
      <w:pPr>
        <w:ind w:right="-194"/>
        <w:jc w:val="center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lastRenderedPageBreak/>
        <w:t>（</w:t>
      </w:r>
      <w:r w:rsidRPr="00330A9A">
        <w:rPr>
          <w:rFonts w:hint="eastAsia"/>
          <w:b/>
          <w:bCs/>
          <w:szCs w:val="24"/>
          <w:lang w:eastAsia="zh-CN"/>
        </w:rPr>
        <w:t>电信标准化局第</w:t>
      </w:r>
      <w:r w:rsidRPr="00330A9A">
        <w:rPr>
          <w:rFonts w:hint="eastAsia"/>
          <w:b/>
          <w:bCs/>
          <w:szCs w:val="24"/>
          <w:lang w:eastAsia="zh-CN"/>
        </w:rPr>
        <w:t>151</w:t>
      </w:r>
      <w:r w:rsidRPr="00330A9A">
        <w:rPr>
          <w:rFonts w:hint="eastAsia"/>
          <w:b/>
          <w:bCs/>
          <w:szCs w:val="24"/>
          <w:lang w:eastAsia="zh-CN"/>
        </w:rPr>
        <w:t>号通函</w:t>
      </w:r>
      <w:r>
        <w:rPr>
          <w:rFonts w:hint="eastAsia"/>
          <w:b/>
          <w:bCs/>
          <w:szCs w:val="24"/>
          <w:lang w:eastAsia="zh-CN"/>
        </w:rPr>
        <w:t>）</w:t>
      </w:r>
    </w:p>
    <w:p w:rsidR="00E93708" w:rsidRPr="00237051" w:rsidRDefault="00E93708" w:rsidP="00237051">
      <w:pPr>
        <w:pStyle w:val="Annex"/>
        <w:rPr>
          <w:rFonts w:asciiTheme="minorHAnsi" w:eastAsiaTheme="minorEastAsia" w:hAnsiTheme="minorHAnsi"/>
          <w:b/>
          <w:bCs/>
          <w:sz w:val="28"/>
          <w:szCs w:val="28"/>
          <w:lang w:eastAsia="zh-CN"/>
        </w:rPr>
      </w:pPr>
      <w:r w:rsidRPr="00237051">
        <w:rPr>
          <w:rFonts w:asciiTheme="minorHAnsi" w:eastAsiaTheme="minorEastAsia" w:hAnsiTheme="minorHAnsi" w:cs="Microsoft YaHei"/>
          <w:b/>
          <w:bCs/>
          <w:caps w:val="0"/>
          <w:lang w:eastAsia="zh-CN"/>
        </w:rPr>
        <w:t>附件</w:t>
      </w:r>
      <w:r w:rsidRPr="00237051">
        <w:rPr>
          <w:rFonts w:asciiTheme="minorHAnsi" w:eastAsiaTheme="minorEastAsia" w:hAnsiTheme="minorHAnsi"/>
          <w:b/>
          <w:bCs/>
          <w:caps w:val="0"/>
          <w:lang w:eastAsia="zh-CN"/>
        </w:rPr>
        <w:t>A</w:t>
      </w:r>
    </w:p>
    <w:p w:rsidR="00E93708" w:rsidRPr="00237051" w:rsidRDefault="00E93708" w:rsidP="00237051">
      <w:pPr>
        <w:pStyle w:val="AnnexTitle"/>
        <w:rPr>
          <w:rFonts w:asciiTheme="minorHAnsi" w:eastAsiaTheme="minorEastAsia" w:hAnsiTheme="minorHAnsi"/>
          <w:lang w:val="fr-CH" w:eastAsia="zh-CN"/>
        </w:rPr>
      </w:pPr>
      <w:r w:rsidRPr="00237051">
        <w:rPr>
          <w:rFonts w:asciiTheme="minorHAnsi" w:eastAsiaTheme="minorEastAsia" w:hAnsiTheme="minorHAnsi"/>
          <w:lang w:val="fr-CH" w:eastAsia="zh-CN"/>
        </w:rPr>
        <w:t>ITU-T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第</w:t>
      </w:r>
      <w:r w:rsidRPr="00237051">
        <w:rPr>
          <w:rFonts w:asciiTheme="minorHAnsi" w:eastAsiaTheme="minorEastAsia" w:hAnsiTheme="minorHAnsi"/>
          <w:lang w:val="fr-CH" w:eastAsia="zh-CN"/>
        </w:rPr>
        <w:t>17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研究组非洲区域组（</w:t>
      </w:r>
      <w:r w:rsidRPr="00237051">
        <w:rPr>
          <w:rFonts w:asciiTheme="minorHAnsi" w:eastAsiaTheme="minorEastAsia" w:hAnsiTheme="minorHAnsi"/>
          <w:lang w:val="fr-CH" w:eastAsia="zh-CN"/>
        </w:rPr>
        <w:t>SG17 RG-AFR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）的职责范围</w:t>
      </w:r>
    </w:p>
    <w:p w:rsidR="00E93708" w:rsidRPr="00F27F8E" w:rsidRDefault="00E93708" w:rsidP="00237051">
      <w:pPr>
        <w:ind w:right="-194" w:firstLineChars="200" w:firstLine="480"/>
        <w:rPr>
          <w:rFonts w:cstheme="majorBidi"/>
          <w:szCs w:val="24"/>
          <w:lang w:eastAsia="zh-CN"/>
        </w:rPr>
      </w:pPr>
      <w:r w:rsidRPr="00F27F8E">
        <w:rPr>
          <w:rFonts w:cstheme="majorBidi"/>
          <w:szCs w:val="24"/>
          <w:lang w:eastAsia="zh-CN"/>
        </w:rPr>
        <w:t>ICT</w:t>
      </w:r>
      <w:r>
        <w:rPr>
          <w:rFonts w:cstheme="majorBidi" w:hint="eastAsia"/>
          <w:szCs w:val="24"/>
          <w:lang w:eastAsia="zh-CN"/>
        </w:rPr>
        <w:t>安全性被视作发展中国家与发达国家面临的主要挑战之一。为实现此目标并树立使用信息通信技术（</w:t>
      </w:r>
      <w:r>
        <w:rPr>
          <w:rFonts w:cstheme="majorBidi" w:hint="eastAsia"/>
          <w:szCs w:val="24"/>
          <w:lang w:eastAsia="zh-CN"/>
        </w:rPr>
        <w:t>ICT</w:t>
      </w:r>
      <w:r>
        <w:rPr>
          <w:rFonts w:cstheme="majorBidi" w:hint="eastAsia"/>
          <w:szCs w:val="24"/>
          <w:lang w:eastAsia="zh-CN"/>
        </w:rPr>
        <w:t>）的信心和提高安全性，国际电联通过了一系列有关安全的决议：</w:t>
      </w:r>
    </w:p>
    <w:p w:rsidR="00E93708" w:rsidRPr="00237051" w:rsidRDefault="00E93708" w:rsidP="00237051">
      <w:pPr>
        <w:pStyle w:val="enumlev1"/>
        <w:numPr>
          <w:ilvl w:val="0"/>
          <w:numId w:val="1"/>
        </w:numPr>
        <w:ind w:left="794" w:hanging="794"/>
        <w:rPr>
          <w:rFonts w:asciiTheme="minorHAnsi" w:eastAsiaTheme="minorEastAsia" w:hAnsiTheme="minorHAnsi" w:cstheme="majorBidi"/>
          <w:szCs w:val="24"/>
          <w:lang w:eastAsia="zh-CN"/>
        </w:rPr>
      </w:pP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国际电联全权代表大会第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181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（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2010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年，瓜达拉哈拉）、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130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、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174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、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179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、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188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、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189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、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198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、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199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、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200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、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201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号决议（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2014</w:t>
      </w:r>
      <w:r w:rsidRPr="00237051">
        <w:rPr>
          <w:rFonts w:asciiTheme="minorHAnsi" w:eastAsiaTheme="minorEastAsia" w:hAnsiTheme="minorHAnsi" w:cstheme="majorBidi"/>
          <w:szCs w:val="24"/>
          <w:lang w:eastAsia="zh-CN"/>
        </w:rPr>
        <w:t>年，釜山）；</w:t>
      </w:r>
    </w:p>
    <w:p w:rsidR="00E93708" w:rsidRPr="00237051" w:rsidRDefault="00E93708" w:rsidP="00237051">
      <w:pPr>
        <w:pStyle w:val="enumlev1"/>
        <w:numPr>
          <w:ilvl w:val="0"/>
          <w:numId w:val="1"/>
        </w:numPr>
        <w:ind w:left="794" w:hanging="794"/>
        <w:rPr>
          <w:rFonts w:asciiTheme="minorHAnsi" w:eastAsiaTheme="minorEastAsia" w:hAnsiTheme="minorHAnsi"/>
          <w:lang w:val="fr-CH" w:eastAsia="zh-CN"/>
        </w:rPr>
      </w:pPr>
      <w:r w:rsidRPr="00237051">
        <w:rPr>
          <w:rFonts w:asciiTheme="minorHAnsi" w:eastAsiaTheme="minorEastAsia" w:hAnsiTheme="minorHAnsi" w:cs="Microsoft YaHei"/>
          <w:lang w:val="fr-CH" w:eastAsia="zh-CN"/>
        </w:rPr>
        <w:t>国际电联</w:t>
      </w:r>
      <w:r w:rsidR="00237051">
        <w:rPr>
          <w:rFonts w:asciiTheme="minorHAnsi" w:eastAsiaTheme="minorEastAsia" w:hAnsiTheme="minorHAnsi" w:cs="Microsoft YaHei" w:hint="eastAsia"/>
          <w:lang w:val="fr-CH" w:eastAsia="zh-CN"/>
        </w:rPr>
        <w:t>世界电信发展大会</w:t>
      </w:r>
      <w:r w:rsidR="00237051">
        <w:rPr>
          <w:rFonts w:asciiTheme="minorHAnsi" w:eastAsiaTheme="minorEastAsia" w:hAnsiTheme="minorHAnsi" w:cs="Microsoft YaHei"/>
          <w:lang w:val="fr-CH" w:eastAsia="zh-CN"/>
        </w:rPr>
        <w:t>（</w:t>
      </w:r>
      <w:r w:rsidRPr="00237051">
        <w:rPr>
          <w:rFonts w:asciiTheme="minorHAnsi" w:eastAsiaTheme="minorEastAsia" w:hAnsiTheme="minorHAnsi"/>
          <w:lang w:val="fr-CH" w:eastAsia="zh-CN"/>
        </w:rPr>
        <w:t>WTDC</w:t>
      </w:r>
      <w:r w:rsidR="00237051">
        <w:rPr>
          <w:rFonts w:asciiTheme="minorHAnsi" w:eastAsiaTheme="minorEastAsia" w:hAnsiTheme="minorHAnsi" w:hint="eastAsia"/>
          <w:lang w:val="fr-CH" w:eastAsia="zh-CN"/>
        </w:rPr>
        <w:t>）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第</w:t>
      </w:r>
      <w:r w:rsidRPr="00237051">
        <w:rPr>
          <w:rFonts w:asciiTheme="minorHAnsi" w:eastAsiaTheme="minorEastAsia" w:hAnsiTheme="minorHAnsi"/>
          <w:lang w:val="fr-CH" w:eastAsia="zh-CN"/>
        </w:rPr>
        <w:t>34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、</w:t>
      </w:r>
      <w:r w:rsidRPr="00237051">
        <w:rPr>
          <w:rFonts w:asciiTheme="minorHAnsi" w:eastAsiaTheme="minorEastAsia" w:hAnsiTheme="minorHAnsi"/>
          <w:lang w:val="fr-CH" w:eastAsia="zh-CN"/>
        </w:rPr>
        <w:t>45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、</w:t>
      </w:r>
      <w:r w:rsidRPr="00237051">
        <w:rPr>
          <w:rFonts w:asciiTheme="minorHAnsi" w:eastAsiaTheme="minorEastAsia" w:hAnsiTheme="minorHAnsi"/>
          <w:lang w:val="fr-CH" w:eastAsia="zh-CN"/>
        </w:rPr>
        <w:t>67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、</w:t>
      </w:r>
      <w:r w:rsidRPr="00237051">
        <w:rPr>
          <w:rFonts w:asciiTheme="minorHAnsi" w:eastAsiaTheme="minorEastAsia" w:hAnsiTheme="minorHAnsi"/>
          <w:lang w:val="fr-CH" w:eastAsia="zh-CN"/>
        </w:rPr>
        <w:t>69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、</w:t>
      </w:r>
      <w:r w:rsidRPr="00237051">
        <w:rPr>
          <w:rFonts w:asciiTheme="minorHAnsi" w:eastAsiaTheme="minorEastAsia" w:hAnsiTheme="minorHAnsi"/>
          <w:lang w:val="fr-CH" w:eastAsia="zh-CN"/>
        </w:rPr>
        <w:t>79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号决议（</w:t>
      </w:r>
      <w:r w:rsidRPr="00237051">
        <w:rPr>
          <w:rFonts w:asciiTheme="minorHAnsi" w:eastAsiaTheme="minorEastAsia" w:hAnsiTheme="minorHAnsi"/>
          <w:lang w:val="fr-CH" w:eastAsia="zh-CN"/>
        </w:rPr>
        <w:t>2014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年，迪拜，修订版）；</w:t>
      </w:r>
    </w:p>
    <w:p w:rsidR="00E93708" w:rsidRPr="00237051" w:rsidRDefault="00E93708" w:rsidP="00237051">
      <w:pPr>
        <w:pStyle w:val="enumlev1"/>
        <w:numPr>
          <w:ilvl w:val="0"/>
          <w:numId w:val="1"/>
        </w:numPr>
        <w:ind w:left="794" w:hanging="794"/>
        <w:rPr>
          <w:rFonts w:asciiTheme="minorHAnsi" w:hAnsiTheme="minorHAnsi"/>
          <w:lang w:val="fr-CH" w:eastAsia="zh-CN"/>
        </w:rPr>
      </w:pPr>
      <w:r w:rsidRPr="00237051">
        <w:rPr>
          <w:rFonts w:asciiTheme="minorHAnsi" w:eastAsiaTheme="minorEastAsia" w:hAnsiTheme="minorHAnsi" w:cs="Microsoft YaHei"/>
          <w:lang w:val="fr-CH" w:eastAsia="zh-CN"/>
        </w:rPr>
        <w:t>国际电联</w:t>
      </w:r>
      <w:r w:rsidR="00237051">
        <w:rPr>
          <w:rFonts w:asciiTheme="minorHAnsi" w:eastAsiaTheme="minorEastAsia" w:hAnsiTheme="minorHAnsi" w:cs="Microsoft YaHei" w:hint="eastAsia"/>
          <w:lang w:val="fr-CH" w:eastAsia="zh-CN"/>
        </w:rPr>
        <w:t>世界</w:t>
      </w:r>
      <w:r w:rsidR="00237051">
        <w:rPr>
          <w:rFonts w:asciiTheme="minorHAnsi" w:eastAsiaTheme="minorEastAsia" w:hAnsiTheme="minorHAnsi" w:cs="Microsoft YaHei"/>
          <w:lang w:val="fr-CH" w:eastAsia="zh-CN"/>
        </w:rPr>
        <w:t>电信标准化全会（</w:t>
      </w:r>
      <w:r w:rsidRPr="00237051">
        <w:rPr>
          <w:rFonts w:asciiTheme="minorHAnsi" w:eastAsiaTheme="minorEastAsia" w:hAnsiTheme="minorHAnsi"/>
          <w:lang w:val="fr-CH" w:eastAsia="zh-CN"/>
        </w:rPr>
        <w:t>WTSA</w:t>
      </w:r>
      <w:r w:rsidR="00237051">
        <w:rPr>
          <w:rFonts w:asciiTheme="minorHAnsi" w:eastAsiaTheme="minorEastAsia" w:hAnsiTheme="minorHAnsi" w:hint="eastAsia"/>
          <w:lang w:val="fr-CH" w:eastAsia="zh-CN"/>
        </w:rPr>
        <w:t>）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第</w:t>
      </w:r>
      <w:r w:rsidRPr="00237051">
        <w:rPr>
          <w:rFonts w:asciiTheme="minorHAnsi" w:eastAsiaTheme="minorEastAsia" w:hAnsiTheme="minorHAnsi"/>
          <w:lang w:val="fr-CH" w:eastAsia="zh-CN"/>
        </w:rPr>
        <w:t>50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、</w:t>
      </w:r>
      <w:r w:rsidRPr="00237051">
        <w:rPr>
          <w:rFonts w:asciiTheme="minorHAnsi" w:eastAsiaTheme="minorEastAsia" w:hAnsiTheme="minorHAnsi"/>
          <w:lang w:val="fr-CH" w:eastAsia="zh-CN"/>
        </w:rPr>
        <w:t>52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、</w:t>
      </w:r>
      <w:r w:rsidRPr="00237051">
        <w:rPr>
          <w:rFonts w:asciiTheme="minorHAnsi" w:eastAsiaTheme="minorEastAsia" w:hAnsiTheme="minorHAnsi"/>
          <w:lang w:val="fr-CH" w:eastAsia="zh-CN"/>
        </w:rPr>
        <w:t>58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号决议（</w:t>
      </w:r>
      <w:r w:rsidRPr="00237051">
        <w:rPr>
          <w:rFonts w:asciiTheme="minorHAnsi" w:eastAsiaTheme="minorEastAsia" w:hAnsiTheme="minorHAnsi"/>
          <w:lang w:val="fr-CH" w:eastAsia="zh-CN"/>
        </w:rPr>
        <w:t>2012</w:t>
      </w:r>
      <w:r w:rsidRPr="00237051">
        <w:rPr>
          <w:rFonts w:asciiTheme="minorHAnsi" w:eastAsiaTheme="minorEastAsia" w:hAnsiTheme="minorHAnsi" w:cs="Microsoft YaHei"/>
          <w:lang w:val="fr-CH" w:eastAsia="zh-CN"/>
        </w:rPr>
        <w:t>年，迪拜，修订版）。</w:t>
      </w:r>
    </w:p>
    <w:p w:rsidR="00E93708" w:rsidRPr="00F27F8E" w:rsidRDefault="00E93708" w:rsidP="00237051">
      <w:pPr>
        <w:spacing w:before="240"/>
        <w:ind w:right="-193" w:firstLineChars="200" w:firstLine="480"/>
        <w:rPr>
          <w:rFonts w:cstheme="majorBidi"/>
          <w:szCs w:val="24"/>
          <w:lang w:eastAsia="zh-CN"/>
        </w:rPr>
      </w:pPr>
      <w:r>
        <w:rPr>
          <w:rFonts w:cstheme="majorBidi" w:hint="eastAsia"/>
          <w:szCs w:val="24"/>
          <w:lang w:eastAsia="zh-CN"/>
        </w:rPr>
        <w:t>此外，提高安全性并树立使用信息通信技术应用的信心，亦是</w:t>
      </w:r>
      <w:r>
        <w:rPr>
          <w:rFonts w:cstheme="majorBidi" w:hint="eastAsia"/>
          <w:szCs w:val="24"/>
          <w:lang w:eastAsia="zh-CN"/>
        </w:rPr>
        <w:t>2014</w:t>
      </w:r>
      <w:r>
        <w:rPr>
          <w:rFonts w:cstheme="majorBidi" w:hint="eastAsia"/>
          <w:szCs w:val="24"/>
          <w:lang w:eastAsia="zh-CN"/>
        </w:rPr>
        <w:t>年世界电信发展大会通过的《迪拜行动计划》部门目标</w:t>
      </w:r>
      <w:r>
        <w:rPr>
          <w:rFonts w:cstheme="majorBidi" w:hint="eastAsia"/>
          <w:szCs w:val="24"/>
          <w:lang w:eastAsia="zh-CN"/>
        </w:rPr>
        <w:t>3</w:t>
      </w:r>
      <w:r>
        <w:rPr>
          <w:rFonts w:cstheme="majorBidi" w:hint="eastAsia"/>
          <w:szCs w:val="24"/>
          <w:lang w:eastAsia="zh-CN"/>
        </w:rPr>
        <w:t>的重点工作领域之一。</w:t>
      </w:r>
    </w:p>
    <w:p w:rsidR="00E93708" w:rsidRPr="00F27F8E" w:rsidRDefault="00E93708" w:rsidP="00237051">
      <w:pPr>
        <w:ind w:right="-194" w:firstLineChars="200" w:firstLine="480"/>
        <w:rPr>
          <w:rFonts w:cstheme="majorBidi"/>
          <w:szCs w:val="24"/>
          <w:lang w:eastAsia="zh-CN"/>
        </w:rPr>
      </w:pPr>
      <w:r>
        <w:rPr>
          <w:rFonts w:cstheme="majorBidi" w:hint="eastAsia"/>
          <w:szCs w:val="24"/>
          <w:lang w:eastAsia="zh-CN"/>
        </w:rPr>
        <w:t>考虑到上述决议并虑及</w:t>
      </w:r>
      <w:r w:rsidRPr="00F27F8E">
        <w:rPr>
          <w:rFonts w:cstheme="majorBidi"/>
          <w:szCs w:val="24"/>
          <w:lang w:eastAsia="zh-CN"/>
        </w:rPr>
        <w:t>WTSA-12</w:t>
      </w:r>
      <w:r>
        <w:rPr>
          <w:rFonts w:cstheme="majorBidi" w:hint="eastAsia"/>
          <w:szCs w:val="24"/>
          <w:lang w:eastAsia="zh-CN"/>
        </w:rPr>
        <w:t>第</w:t>
      </w:r>
      <w:r>
        <w:rPr>
          <w:rFonts w:cstheme="majorBidi" w:hint="eastAsia"/>
          <w:szCs w:val="24"/>
          <w:lang w:eastAsia="zh-CN"/>
        </w:rPr>
        <w:t>17</w:t>
      </w:r>
      <w:r>
        <w:rPr>
          <w:rFonts w:cstheme="majorBidi" w:hint="eastAsia"/>
          <w:szCs w:val="24"/>
          <w:lang w:eastAsia="zh-CN"/>
        </w:rPr>
        <w:t>号决议</w:t>
      </w:r>
      <w:r>
        <w:rPr>
          <w:rFonts w:cstheme="majorBidi"/>
          <w:szCs w:val="24"/>
          <w:lang w:eastAsia="zh-CN"/>
        </w:rPr>
        <w:t>（</w:t>
      </w:r>
      <w:r w:rsidRPr="004D1FA9">
        <w:rPr>
          <w:rFonts w:cstheme="majorBidi" w:hint="eastAsia"/>
          <w:szCs w:val="24"/>
          <w:lang w:eastAsia="zh-CN"/>
        </w:rPr>
        <w:t>电信标准化与发展中国家利益的关系</w:t>
      </w:r>
      <w:r>
        <w:rPr>
          <w:rFonts w:cstheme="majorBidi"/>
          <w:szCs w:val="24"/>
          <w:lang w:eastAsia="zh-CN"/>
        </w:rPr>
        <w:t>）</w:t>
      </w:r>
      <w:r w:rsidRPr="00F27F8E">
        <w:rPr>
          <w:rFonts w:cstheme="majorBidi"/>
          <w:szCs w:val="24"/>
          <w:lang w:eastAsia="zh-CN"/>
        </w:rPr>
        <w:t xml:space="preserve"> </w:t>
      </w:r>
      <w:r>
        <w:rPr>
          <w:rFonts w:cstheme="majorBidi" w:hint="eastAsia"/>
          <w:szCs w:val="24"/>
          <w:lang w:eastAsia="zh-CN"/>
        </w:rPr>
        <w:t>和第</w:t>
      </w:r>
      <w:r w:rsidRPr="00F27F8E">
        <w:rPr>
          <w:rFonts w:cstheme="majorBidi"/>
          <w:szCs w:val="24"/>
          <w:lang w:eastAsia="zh-CN"/>
        </w:rPr>
        <w:t>44</w:t>
      </w:r>
      <w:r>
        <w:rPr>
          <w:rFonts w:cstheme="majorBidi" w:hint="eastAsia"/>
          <w:szCs w:val="24"/>
          <w:lang w:eastAsia="zh-CN"/>
        </w:rPr>
        <w:t>号决议</w:t>
      </w:r>
      <w:r>
        <w:rPr>
          <w:rFonts w:cstheme="majorBidi"/>
          <w:szCs w:val="24"/>
          <w:lang w:eastAsia="zh-CN"/>
        </w:rPr>
        <w:t>（</w:t>
      </w:r>
      <w:r w:rsidRPr="004D1FA9">
        <w:rPr>
          <w:rFonts w:cstheme="majorBidi" w:hint="eastAsia"/>
          <w:szCs w:val="24"/>
          <w:lang w:eastAsia="zh-CN"/>
        </w:rPr>
        <w:t>缩小发展中国家与发达国家之间在标准化工作方面的差距</w:t>
      </w:r>
      <w:r>
        <w:rPr>
          <w:rFonts w:cstheme="majorBidi"/>
          <w:szCs w:val="24"/>
          <w:lang w:eastAsia="zh-CN"/>
        </w:rPr>
        <w:t>）</w:t>
      </w:r>
      <w:r>
        <w:rPr>
          <w:rFonts w:cstheme="majorBidi" w:hint="eastAsia"/>
          <w:szCs w:val="24"/>
          <w:lang w:eastAsia="zh-CN"/>
        </w:rPr>
        <w:t>，全权代表大会第</w:t>
      </w:r>
      <w:r>
        <w:rPr>
          <w:rFonts w:cstheme="majorBidi" w:hint="eastAsia"/>
          <w:szCs w:val="24"/>
          <w:lang w:eastAsia="zh-CN"/>
        </w:rPr>
        <w:t>123</w:t>
      </w:r>
      <w:r>
        <w:rPr>
          <w:rFonts w:cstheme="majorBidi" w:hint="eastAsia"/>
          <w:szCs w:val="24"/>
          <w:lang w:eastAsia="zh-CN"/>
        </w:rPr>
        <w:t>号决议，第</w:t>
      </w:r>
      <w:r>
        <w:rPr>
          <w:rFonts w:cstheme="majorBidi" w:hint="eastAsia"/>
          <w:szCs w:val="24"/>
          <w:lang w:eastAsia="zh-CN"/>
        </w:rPr>
        <w:t>17</w:t>
      </w:r>
      <w:r>
        <w:rPr>
          <w:rFonts w:cstheme="majorBidi" w:hint="eastAsia"/>
          <w:szCs w:val="24"/>
          <w:lang w:eastAsia="zh-CN"/>
        </w:rPr>
        <w:t>研究组的闭幕全体会议（</w:t>
      </w:r>
      <w:r w:rsidRPr="00F27F8E">
        <w:rPr>
          <w:rFonts w:cstheme="majorBidi"/>
          <w:szCs w:val="24"/>
          <w:lang w:eastAsia="zh-CN"/>
        </w:rPr>
        <w:t>2015</w:t>
      </w:r>
      <w:r>
        <w:rPr>
          <w:rFonts w:cstheme="majorBidi" w:hint="eastAsia"/>
          <w:szCs w:val="24"/>
          <w:lang w:eastAsia="zh-CN"/>
        </w:rPr>
        <w:t>年</w:t>
      </w:r>
      <w:r>
        <w:rPr>
          <w:rFonts w:cstheme="majorBidi" w:hint="eastAsia"/>
          <w:szCs w:val="24"/>
          <w:lang w:eastAsia="zh-CN"/>
        </w:rPr>
        <w:t>4</w:t>
      </w:r>
      <w:r>
        <w:rPr>
          <w:rFonts w:cstheme="majorBidi" w:hint="eastAsia"/>
          <w:szCs w:val="24"/>
          <w:lang w:eastAsia="zh-CN"/>
        </w:rPr>
        <w:t>月</w:t>
      </w:r>
      <w:r>
        <w:rPr>
          <w:rFonts w:cstheme="majorBidi" w:hint="eastAsia"/>
          <w:szCs w:val="24"/>
          <w:lang w:eastAsia="zh-CN"/>
        </w:rPr>
        <w:t>17</w:t>
      </w:r>
      <w:r>
        <w:rPr>
          <w:rFonts w:cstheme="majorBidi" w:hint="eastAsia"/>
          <w:szCs w:val="24"/>
          <w:lang w:eastAsia="zh-CN"/>
        </w:rPr>
        <w:t>日</w:t>
      </w:r>
      <w:r>
        <w:rPr>
          <w:rFonts w:cstheme="majorBidi"/>
          <w:szCs w:val="24"/>
          <w:lang w:eastAsia="zh-CN"/>
        </w:rPr>
        <w:t>）</w:t>
      </w:r>
      <w:r>
        <w:rPr>
          <w:rFonts w:hint="eastAsia"/>
          <w:lang w:eastAsia="zh-CN"/>
        </w:rPr>
        <w:t>应</w:t>
      </w:r>
      <w:r w:rsidRPr="00F27F8E">
        <w:rPr>
          <w:rFonts w:cstheme="majorBidi"/>
          <w:szCs w:val="24"/>
          <w:lang w:eastAsia="zh-CN"/>
        </w:rPr>
        <w:t>WTSA-12</w:t>
      </w:r>
      <w:r>
        <w:rPr>
          <w:rFonts w:cstheme="majorBidi" w:hint="eastAsia"/>
          <w:szCs w:val="24"/>
          <w:lang w:eastAsia="zh-CN"/>
        </w:rPr>
        <w:t>第</w:t>
      </w:r>
      <w:r>
        <w:rPr>
          <w:rFonts w:cstheme="majorBidi" w:hint="eastAsia"/>
          <w:szCs w:val="24"/>
          <w:lang w:eastAsia="zh-CN"/>
        </w:rPr>
        <w:t>54</w:t>
      </w:r>
      <w:r>
        <w:rPr>
          <w:rFonts w:cstheme="majorBidi" w:hint="eastAsia"/>
          <w:szCs w:val="24"/>
          <w:lang w:eastAsia="zh-CN"/>
        </w:rPr>
        <w:t>号决议的要求，</w:t>
      </w:r>
      <w:r>
        <w:rPr>
          <w:rFonts w:hint="eastAsia"/>
          <w:lang w:eastAsia="zh-CN"/>
        </w:rPr>
        <w:t>创建了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lang w:eastAsia="zh-CN"/>
        </w:rPr>
        <w:t>17</w:t>
      </w:r>
      <w:r>
        <w:rPr>
          <w:lang w:eastAsia="zh-CN"/>
        </w:rPr>
        <w:t>研究组非洲区域组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SG17 </w:t>
      </w:r>
      <w:r w:rsidRPr="008B2093">
        <w:rPr>
          <w:lang w:eastAsia="zh-CN"/>
        </w:rPr>
        <w:t>RG-AFR</w:t>
      </w:r>
      <w:r>
        <w:rPr>
          <w:rFonts w:hint="eastAsia"/>
          <w:lang w:eastAsia="zh-CN"/>
        </w:rPr>
        <w:t>）。</w:t>
      </w:r>
    </w:p>
    <w:p w:rsidR="00E93708" w:rsidRPr="00237051" w:rsidRDefault="00E93708" w:rsidP="00237051">
      <w:pPr>
        <w:pStyle w:val="headingb"/>
        <w:rPr>
          <w:rFonts w:asciiTheme="majorEastAsia" w:eastAsiaTheme="majorEastAsia" w:hAnsiTheme="majorEastAsia" w:cstheme="majorBidi"/>
          <w:b w:val="0"/>
          <w:bCs/>
          <w:szCs w:val="24"/>
          <w:lang w:eastAsia="zh-CN"/>
        </w:rPr>
      </w:pPr>
      <w:r w:rsidRPr="00237051">
        <w:rPr>
          <w:rFonts w:asciiTheme="majorEastAsia" w:eastAsiaTheme="majorEastAsia" w:hAnsiTheme="majorEastAsia" w:cs="Microsoft YaHei" w:hint="eastAsia"/>
          <w:lang w:val="fr-CH" w:eastAsia="zh-CN"/>
        </w:rPr>
        <w:t>目标</w:t>
      </w:r>
    </w:p>
    <w:p w:rsidR="00E93708" w:rsidRPr="00F27F8E" w:rsidRDefault="00E93708" w:rsidP="00667175">
      <w:pPr>
        <w:spacing w:before="240"/>
        <w:ind w:right="-193" w:firstLineChars="200" w:firstLine="480"/>
        <w:rPr>
          <w:rFonts w:cstheme="majorBidi"/>
          <w:szCs w:val="24"/>
          <w:lang w:eastAsia="zh-CN"/>
        </w:rPr>
      </w:pPr>
      <w:r w:rsidRPr="004D1FA9">
        <w:rPr>
          <w:rFonts w:cstheme="majorBidi" w:hint="eastAsia"/>
          <w:szCs w:val="24"/>
          <w:lang w:eastAsia="zh-CN"/>
        </w:rPr>
        <w:t>此区域组的主要目标是鼓励非洲各国的主管部门和运营商携手合作，</w:t>
      </w:r>
      <w:r>
        <w:rPr>
          <w:rFonts w:cstheme="majorBidi" w:hint="eastAsia"/>
          <w:szCs w:val="24"/>
          <w:lang w:eastAsia="zh-CN"/>
        </w:rPr>
        <w:t>特别是</w:t>
      </w:r>
      <w:r w:rsidRPr="004D1FA9">
        <w:rPr>
          <w:rFonts w:cstheme="majorBidi" w:hint="eastAsia"/>
          <w:szCs w:val="24"/>
          <w:lang w:eastAsia="zh-CN"/>
        </w:rPr>
        <w:t>根据</w:t>
      </w:r>
      <w:r w:rsidRPr="004D1FA9">
        <w:rPr>
          <w:rFonts w:cstheme="majorBidi" w:hint="eastAsia"/>
          <w:szCs w:val="24"/>
          <w:lang w:eastAsia="zh-CN"/>
        </w:rPr>
        <w:t>ITU-T</w:t>
      </w:r>
      <w:r w:rsidRPr="004D1FA9">
        <w:rPr>
          <w:rFonts w:cstheme="majorBidi" w:hint="eastAsia"/>
          <w:szCs w:val="24"/>
          <w:lang w:eastAsia="zh-CN"/>
        </w:rPr>
        <w:t>第</w:t>
      </w:r>
      <w:r w:rsidRPr="004D1FA9">
        <w:rPr>
          <w:rFonts w:cstheme="majorBidi" w:hint="eastAsia"/>
          <w:szCs w:val="24"/>
          <w:lang w:eastAsia="zh-CN"/>
        </w:rPr>
        <w:t>1</w:t>
      </w:r>
      <w:r>
        <w:rPr>
          <w:rFonts w:cstheme="majorBidi" w:hint="eastAsia"/>
          <w:szCs w:val="24"/>
          <w:lang w:eastAsia="zh-CN"/>
        </w:rPr>
        <w:t>7</w:t>
      </w:r>
      <w:r w:rsidRPr="004D1FA9">
        <w:rPr>
          <w:rFonts w:cstheme="majorBidi" w:hint="eastAsia"/>
          <w:szCs w:val="24"/>
          <w:lang w:eastAsia="zh-CN"/>
        </w:rPr>
        <w:t>研究组的职</w:t>
      </w:r>
      <w:r>
        <w:rPr>
          <w:rFonts w:cstheme="majorBidi" w:hint="eastAsia"/>
          <w:szCs w:val="24"/>
          <w:lang w:eastAsia="zh-CN"/>
        </w:rPr>
        <w:t>责</w:t>
      </w:r>
      <w:r w:rsidRPr="004D1FA9">
        <w:rPr>
          <w:rFonts w:cstheme="majorBidi" w:hint="eastAsia"/>
          <w:szCs w:val="24"/>
          <w:lang w:eastAsia="zh-CN"/>
        </w:rPr>
        <w:t>范围更好地为第</w:t>
      </w:r>
      <w:r>
        <w:rPr>
          <w:rFonts w:cstheme="majorBidi" w:hint="eastAsia"/>
          <w:szCs w:val="24"/>
          <w:lang w:eastAsia="zh-CN"/>
        </w:rPr>
        <w:t>17</w:t>
      </w:r>
      <w:r w:rsidRPr="004D1FA9">
        <w:rPr>
          <w:rFonts w:cstheme="majorBidi" w:hint="eastAsia"/>
          <w:szCs w:val="24"/>
          <w:lang w:eastAsia="zh-CN"/>
        </w:rPr>
        <w:t>研究组的各项活动献计献策。</w:t>
      </w:r>
    </w:p>
    <w:p w:rsidR="00E93708" w:rsidRPr="00F27F8E" w:rsidRDefault="00E93708" w:rsidP="00237051">
      <w:pPr>
        <w:pStyle w:val="headingb"/>
        <w:rPr>
          <w:rFonts w:cstheme="majorBidi"/>
          <w:b w:val="0"/>
          <w:bCs/>
          <w:szCs w:val="24"/>
          <w:lang w:eastAsia="zh-CN"/>
        </w:rPr>
      </w:pPr>
      <w:r w:rsidRPr="00237051">
        <w:rPr>
          <w:rFonts w:asciiTheme="majorEastAsia" w:eastAsiaTheme="majorEastAsia" w:hAnsiTheme="majorEastAsia" w:cs="Microsoft YaHei" w:hint="eastAsia"/>
          <w:lang w:val="fr-CH" w:eastAsia="zh-CN"/>
        </w:rPr>
        <w:t>职责范围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a)</w:t>
      </w:r>
      <w:r>
        <w:rPr>
          <w:rFonts w:asciiTheme="minorHAnsi" w:eastAsiaTheme="minorEastAsia" w:hAnsiTheme="minorHAnsi" w:hint="eastAsia"/>
          <w:lang w:eastAsia="zh-CN"/>
        </w:rPr>
        <w:tab/>
      </w:r>
      <w:r w:rsidR="00E93708" w:rsidRPr="00667175">
        <w:rPr>
          <w:rFonts w:asciiTheme="minorHAnsi" w:eastAsiaTheme="minorEastAsia" w:hAnsiTheme="minorHAnsi"/>
          <w:lang w:eastAsia="zh-CN"/>
        </w:rPr>
        <w:t>鼓励非洲各主管部门、监管机构和运营商积极参与</w:t>
      </w:r>
      <w:r w:rsidR="00E93708" w:rsidRPr="00667175">
        <w:rPr>
          <w:rFonts w:asciiTheme="minorHAnsi" w:eastAsiaTheme="minorEastAsia" w:hAnsiTheme="minorHAnsi"/>
          <w:lang w:eastAsia="zh-CN"/>
        </w:rPr>
        <w:t>ITU-T</w:t>
      </w:r>
      <w:r w:rsidR="00E93708" w:rsidRPr="00667175">
        <w:rPr>
          <w:rFonts w:asciiTheme="minorHAnsi" w:eastAsiaTheme="minorEastAsia" w:hAnsiTheme="minorHAnsi"/>
          <w:lang w:eastAsia="zh-CN"/>
        </w:rPr>
        <w:t>第</w:t>
      </w:r>
      <w:r w:rsidR="00E93708" w:rsidRPr="00667175">
        <w:rPr>
          <w:rFonts w:asciiTheme="minorHAnsi" w:eastAsiaTheme="minorEastAsia" w:hAnsiTheme="minorHAnsi"/>
          <w:lang w:eastAsia="zh-CN"/>
        </w:rPr>
        <w:t>17</w:t>
      </w:r>
      <w:r w:rsidR="00E93708" w:rsidRPr="00667175">
        <w:rPr>
          <w:rFonts w:asciiTheme="minorHAnsi" w:eastAsiaTheme="minorEastAsia" w:hAnsiTheme="minorHAnsi"/>
          <w:lang w:eastAsia="zh-CN"/>
        </w:rPr>
        <w:t>研究组的工作，并向其报告</w:t>
      </w:r>
      <w:r w:rsidR="00E93708" w:rsidRPr="00667175">
        <w:rPr>
          <w:rFonts w:asciiTheme="minorHAnsi" w:eastAsiaTheme="minorEastAsia" w:hAnsiTheme="minorHAnsi"/>
          <w:lang w:eastAsia="zh-CN"/>
        </w:rPr>
        <w:t>ITU-T</w:t>
      </w:r>
      <w:r w:rsidR="00E93708" w:rsidRPr="00667175">
        <w:rPr>
          <w:rFonts w:asciiTheme="minorHAnsi" w:eastAsiaTheme="minorEastAsia" w:hAnsiTheme="minorHAnsi"/>
          <w:lang w:eastAsia="zh-CN"/>
        </w:rPr>
        <w:t>第</w:t>
      </w:r>
      <w:r w:rsidR="00E93708" w:rsidRPr="00667175">
        <w:rPr>
          <w:rFonts w:asciiTheme="minorHAnsi" w:eastAsiaTheme="minorEastAsia" w:hAnsiTheme="minorHAnsi"/>
          <w:lang w:eastAsia="zh-CN"/>
        </w:rPr>
        <w:t>17</w:t>
      </w:r>
      <w:r w:rsidR="00E93708" w:rsidRPr="00667175">
        <w:rPr>
          <w:rFonts w:asciiTheme="minorHAnsi" w:eastAsiaTheme="minorEastAsia" w:hAnsiTheme="minorHAnsi"/>
          <w:lang w:eastAsia="zh-CN"/>
        </w:rPr>
        <w:t>研究组的成果和实际成果</w:t>
      </w:r>
      <w:r>
        <w:rPr>
          <w:rFonts w:asciiTheme="minorHAnsi" w:eastAsiaTheme="minorEastAsia" w:hAnsiTheme="minorHAnsi" w:hint="eastAsia"/>
          <w:lang w:eastAsia="zh-CN"/>
        </w:rPr>
        <w:t>；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b)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促进非洲区国际电联成员国和部门成员参加涉及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ICT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安全的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ITU-T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会议；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c)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与其它利益攸关方共同确定该区域内安全领域的相关工作重点；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d)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根据有关</w:t>
      </w:r>
      <w:r w:rsidRPr="00667175">
        <w:rPr>
          <w:rFonts w:ascii="SimSun" w:eastAsia="SimSun" w:hAnsi="SimSun" w:cs="Calibri"/>
          <w:szCs w:val="24"/>
          <w:lang w:eastAsia="zh-CN"/>
        </w:rPr>
        <w:t>“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缩小标准化工作差距</w:t>
      </w:r>
      <w:r w:rsidRPr="00667175">
        <w:rPr>
          <w:rFonts w:ascii="SimSun" w:eastAsia="SimSun" w:hAnsi="SimSun" w:cs="Calibri"/>
          <w:szCs w:val="24"/>
          <w:lang w:eastAsia="zh-CN"/>
        </w:rPr>
        <w:t>”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2012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年，迪拜，修订版）的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WTSA-12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第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44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号决议，加强区域内的标准制定能力；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e)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鼓励非洲国家为制定有关安全的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ITU-T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建议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>书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积极献策；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f)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传播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>并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分享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>由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ITU-T SG17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和其它有关安全问题的类似技术机构提供的相关信息；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g)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帮助非洲主管部门、监管机构和运营商落实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ITU-T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建议书；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 xml:space="preserve"> 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h)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确定非洲各运营商和监管机构的培训需求，并与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ITU-T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第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17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研究组协调，在该区域组织有关此类主题的技术演示会；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i)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充当非洲各主管部门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/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运营商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/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监管机构与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ITU-T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之间有关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ICT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安全标准的联络机构；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j)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与非洲电信联盟（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ATU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）和非洲其它区域组织协作；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k)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鼓励讨论非洲大陆成员国面临的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ICT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安全挑战；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l)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鼓励非洲国家参加报告人组会议、研讨会和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ITU-T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第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17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研究组的其它活动；</w:t>
      </w:r>
    </w:p>
    <w:p w:rsidR="00E93708" w:rsidRPr="00667175" w:rsidRDefault="00667175" w:rsidP="00667175">
      <w:pPr>
        <w:pStyle w:val="enumlev1"/>
        <w:rPr>
          <w:rFonts w:asciiTheme="minorHAnsi" w:eastAsiaTheme="minorEastAsia" w:hAnsiTheme="minorHAnsi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lastRenderedPageBreak/>
        <w:t>m)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与非洲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-CERT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等区域机构密切合作，反映非洲在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ICT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安全方面面临的真实问题与需求；</w:t>
      </w:r>
    </w:p>
    <w:p w:rsidR="00E93708" w:rsidRPr="00667175" w:rsidRDefault="00667175" w:rsidP="00667175">
      <w:pPr>
        <w:pStyle w:val="enumlev1"/>
        <w:rPr>
          <w:rFonts w:asciiTheme="minorEastAsia" w:eastAsiaTheme="minorEastAsia" w:hAnsiTheme="minorEastAsia" w:cstheme="majorBidi"/>
          <w:szCs w:val="24"/>
          <w:lang w:eastAsia="zh-CN"/>
        </w:rPr>
      </w:pPr>
      <w:r>
        <w:rPr>
          <w:rFonts w:asciiTheme="minorHAnsi" w:eastAsiaTheme="minorEastAsia" w:hAnsiTheme="minorHAnsi" w:cs="Microsoft YaHei" w:hint="eastAsia"/>
          <w:szCs w:val="24"/>
          <w:lang w:eastAsia="zh-CN"/>
        </w:rPr>
        <w:t>n)</w:t>
      </w:r>
      <w:r>
        <w:rPr>
          <w:rFonts w:asciiTheme="minorHAnsi" w:eastAsiaTheme="minorEastAsia" w:hAnsiTheme="minorHAnsi" w:cs="Microsoft YaHei" w:hint="eastAsia"/>
          <w:szCs w:val="24"/>
          <w:lang w:eastAsia="zh-CN"/>
        </w:rPr>
        <w:tab/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该区域组将就第</w:t>
      </w:r>
      <w:r w:rsidR="00E93708" w:rsidRPr="00667175">
        <w:rPr>
          <w:rFonts w:asciiTheme="minorHAnsi" w:eastAsiaTheme="minorEastAsia" w:hAnsiTheme="minorHAnsi" w:cstheme="majorBidi"/>
          <w:szCs w:val="24"/>
          <w:lang w:eastAsia="zh-CN"/>
        </w:rPr>
        <w:t>17</w:t>
      </w:r>
      <w:r w:rsidR="00E93708" w:rsidRPr="00667175">
        <w:rPr>
          <w:rFonts w:asciiTheme="minorHAnsi" w:eastAsiaTheme="minorEastAsia" w:hAnsiTheme="minorHAnsi" w:cs="Microsoft YaHei"/>
          <w:szCs w:val="24"/>
          <w:lang w:eastAsia="zh-CN"/>
        </w:rPr>
        <w:t>研究组的各项活动提交一份进展报告。</w:t>
      </w:r>
    </w:p>
    <w:p w:rsidR="00E93708" w:rsidRPr="00F27F8E" w:rsidRDefault="00E93708" w:rsidP="00237051">
      <w:pPr>
        <w:pStyle w:val="headingb"/>
        <w:rPr>
          <w:rFonts w:cstheme="majorBidi"/>
          <w:b w:val="0"/>
          <w:bCs/>
          <w:szCs w:val="24"/>
          <w:lang w:eastAsia="zh-CN"/>
        </w:rPr>
      </w:pPr>
      <w:r w:rsidRPr="00237051">
        <w:rPr>
          <w:rFonts w:asciiTheme="majorEastAsia" w:eastAsiaTheme="majorEastAsia" w:hAnsiTheme="majorEastAsia" w:cs="Microsoft YaHei" w:hint="eastAsia"/>
          <w:lang w:val="fr-CH" w:eastAsia="zh-CN"/>
        </w:rPr>
        <w:t>工作方法</w:t>
      </w:r>
    </w:p>
    <w:p w:rsidR="00E93708" w:rsidRDefault="00E93708" w:rsidP="00667175">
      <w:pPr>
        <w:spacing w:before="240"/>
        <w:ind w:right="-193" w:firstLineChars="200" w:firstLine="480"/>
        <w:rPr>
          <w:rFonts w:cstheme="majorBidi"/>
          <w:szCs w:val="24"/>
          <w:lang w:eastAsia="zh-CN"/>
        </w:rPr>
      </w:pPr>
      <w:r>
        <w:rPr>
          <w:rFonts w:cstheme="majorBidi" w:hint="eastAsia"/>
          <w:szCs w:val="24"/>
          <w:lang w:eastAsia="zh-CN"/>
        </w:rPr>
        <w:t>该区域组主要采用电子工作方法并通过指定的联系人发送信函，在可能的情况下也会考虑召开面对面会议。</w:t>
      </w:r>
    </w:p>
    <w:p w:rsidR="00E93708" w:rsidRDefault="00E93708" w:rsidP="00E93708">
      <w:pPr>
        <w:spacing w:before="240"/>
        <w:ind w:right="-193"/>
        <w:rPr>
          <w:rFonts w:cstheme="majorBidi"/>
          <w:szCs w:val="24"/>
          <w:lang w:eastAsia="zh-CN"/>
        </w:rPr>
      </w:pPr>
    </w:p>
    <w:p w:rsidR="00667175" w:rsidRPr="00F27F8E" w:rsidRDefault="00667175" w:rsidP="00E93708">
      <w:pPr>
        <w:spacing w:before="240"/>
        <w:ind w:right="-193"/>
        <w:rPr>
          <w:rFonts w:cstheme="majorBidi"/>
          <w:szCs w:val="24"/>
          <w:lang w:eastAsia="zh-CN"/>
        </w:rPr>
      </w:pPr>
    </w:p>
    <w:p w:rsidR="00E93708" w:rsidRPr="006C0CC4" w:rsidRDefault="00E93708" w:rsidP="00E93708">
      <w:pPr>
        <w:overflowPunct/>
        <w:autoSpaceDE/>
        <w:autoSpaceDN/>
        <w:adjustRightInd/>
        <w:spacing w:before="0"/>
        <w:jc w:val="center"/>
        <w:textAlignment w:val="auto"/>
      </w:pPr>
      <w:r>
        <w:t>_____________</w:t>
      </w:r>
    </w:p>
    <w:sectPr w:rsidR="00E93708" w:rsidRPr="006C0CC4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91" w:rsidRDefault="00FB4991">
      <w:r>
        <w:separator/>
      </w:r>
    </w:p>
  </w:endnote>
  <w:endnote w:type="continuationSeparator" w:id="0">
    <w:p w:rsidR="00FB4991" w:rsidRDefault="00FB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155" w:rsidRPr="00DB0155" w:rsidRDefault="00DB0155" w:rsidP="00DB015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="Calibri" w:eastAsia="Times New Roman" w:hAnsi="Calibri"/>
        <w:caps/>
        <w:noProof/>
        <w:sz w:val="16"/>
        <w:lang w:val="fr-CH"/>
      </w:rPr>
    </w:pPr>
    <w:r w:rsidRPr="00DB0155">
      <w:rPr>
        <w:rFonts w:ascii="Calibri" w:eastAsia="Times New Roman" w:hAnsi="Calibri"/>
        <w:caps/>
        <w:noProof/>
        <w:sz w:val="16"/>
        <w:lang w:val="fr-CH"/>
      </w:rPr>
      <w:t>I</w:t>
    </w:r>
    <w:r>
      <w:rPr>
        <w:rFonts w:ascii="Calibri" w:eastAsia="Times New Roman" w:hAnsi="Calibri"/>
        <w:caps/>
        <w:noProof/>
        <w:sz w:val="16"/>
        <w:lang w:val="fr-CH"/>
      </w:rPr>
      <w:t>TU-T\BUREAU\CIRC\151C</w:t>
    </w:r>
    <w:r w:rsidRPr="00DB0155">
      <w:rPr>
        <w:rFonts w:ascii="Calibri" w:eastAsia="Times New Roman" w:hAnsi="Calibri"/>
        <w:caps/>
        <w:noProof/>
        <w:sz w:val="16"/>
        <w:lang w:val="fr-CH"/>
      </w:rPr>
      <w:t>.DOC</w:t>
    </w:r>
  </w:p>
  <w:p w:rsidR="00237051" w:rsidRPr="00DB0155" w:rsidRDefault="00237051" w:rsidP="00DB0155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E41E39" w:rsidRDefault="00E41E39" w:rsidP="00A55D7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A55D76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91" w:rsidRDefault="00FB4991">
      <w:r>
        <w:separator/>
      </w:r>
    </w:p>
  </w:footnote>
  <w:footnote w:type="continuationSeparator" w:id="0">
    <w:p w:rsidR="00FB4991" w:rsidRDefault="00FB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Default="00841612" w:rsidP="00590119">
    <w:pPr>
      <w:pStyle w:val="Header"/>
    </w:pPr>
    <w:r>
      <w:fldChar w:fldCharType="begin"/>
    </w:r>
    <w:r>
      <w:instrText>PAGE</w:instrText>
    </w:r>
    <w:r>
      <w:fldChar w:fldCharType="separate"/>
    </w:r>
    <w:r w:rsidR="00E811B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CC85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1656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76E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265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449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26E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566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2E7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AE4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148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F81A9D"/>
    <w:multiLevelType w:val="hybridMultilevel"/>
    <w:tmpl w:val="6E182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D32B6"/>
    <w:multiLevelType w:val="hybridMultilevel"/>
    <w:tmpl w:val="5DF0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91"/>
    <w:rsid w:val="00027EE3"/>
    <w:rsid w:val="00081BA5"/>
    <w:rsid w:val="00090E72"/>
    <w:rsid w:val="00094C0B"/>
    <w:rsid w:val="000A2484"/>
    <w:rsid w:val="00117471"/>
    <w:rsid w:val="00160A43"/>
    <w:rsid w:val="001D6E70"/>
    <w:rsid w:val="00234A9B"/>
    <w:rsid w:val="00237051"/>
    <w:rsid w:val="00282732"/>
    <w:rsid w:val="00284869"/>
    <w:rsid w:val="002E05E3"/>
    <w:rsid w:val="00303A2A"/>
    <w:rsid w:val="003064AD"/>
    <w:rsid w:val="00334A24"/>
    <w:rsid w:val="0035674D"/>
    <w:rsid w:val="003F1CCA"/>
    <w:rsid w:val="00464015"/>
    <w:rsid w:val="00486359"/>
    <w:rsid w:val="00590119"/>
    <w:rsid w:val="005C26FD"/>
    <w:rsid w:val="00627AE8"/>
    <w:rsid w:val="0063445E"/>
    <w:rsid w:val="00667175"/>
    <w:rsid w:val="0067444D"/>
    <w:rsid w:val="006B463C"/>
    <w:rsid w:val="006D22B1"/>
    <w:rsid w:val="006D42C6"/>
    <w:rsid w:val="007568DA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D16F47"/>
    <w:rsid w:val="00D34F86"/>
    <w:rsid w:val="00DB0155"/>
    <w:rsid w:val="00DB2F19"/>
    <w:rsid w:val="00E35907"/>
    <w:rsid w:val="00E41E39"/>
    <w:rsid w:val="00E47AFF"/>
    <w:rsid w:val="00E811B4"/>
    <w:rsid w:val="00E93708"/>
    <w:rsid w:val="00F07A3C"/>
    <w:rsid w:val="00F346AB"/>
    <w:rsid w:val="00F9383A"/>
    <w:rsid w:val="00F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A0F432F5-141D-4041-948E-E1A2055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0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7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E9370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93708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Theme="minorEastAsia" w:hAnsi="Times New Roman"/>
    </w:rPr>
  </w:style>
  <w:style w:type="character" w:customStyle="1" w:styleId="FooterChar">
    <w:name w:val="Footer Char"/>
    <w:basedOn w:val="DefaultParagraphFont"/>
    <w:link w:val="Footer"/>
    <w:rsid w:val="00237051"/>
    <w:rPr>
      <w:rFonts w:asciiTheme="minorHAnsi" w:hAnsiTheme="minorHAnsi"/>
      <w:caps/>
      <w:sz w:val="18"/>
      <w:lang w:val="en-GB" w:eastAsia="en-US"/>
    </w:rPr>
  </w:style>
  <w:style w:type="paragraph" w:customStyle="1" w:styleId="enumlev1">
    <w:name w:val="enumlev1"/>
    <w:basedOn w:val="Normal"/>
    <w:link w:val="enumlev1Char"/>
    <w:rsid w:val="00237051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BodyTextChar">
    <w:name w:val="Body Text Char"/>
    <w:basedOn w:val="DefaultParagraphFont"/>
    <w:link w:val="BodyText"/>
    <w:rsid w:val="00237051"/>
    <w:rPr>
      <w:rFonts w:ascii="Futura Lt BT" w:hAnsi="Futura Lt BT"/>
      <w:sz w:val="18"/>
      <w:lang w:val="fr-FR" w:eastAsia="en-US"/>
    </w:rPr>
  </w:style>
  <w:style w:type="character" w:customStyle="1" w:styleId="enumlev1Char">
    <w:name w:val="enumlev1 Char"/>
    <w:link w:val="enumlev1"/>
    <w:rsid w:val="00237051"/>
    <w:rPr>
      <w:rFonts w:eastAsia="Times New Roman"/>
      <w:sz w:val="24"/>
      <w:lang w:val="fr-FR" w:eastAsia="en-US"/>
    </w:rPr>
  </w:style>
  <w:style w:type="paragraph" w:customStyle="1" w:styleId="AnnexTitle">
    <w:name w:val="Annex_Title"/>
    <w:basedOn w:val="Normal"/>
    <w:next w:val="Normal"/>
    <w:rsid w:val="00237051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lang w:val="fr-FR"/>
    </w:rPr>
  </w:style>
  <w:style w:type="paragraph" w:customStyle="1" w:styleId="Annex">
    <w:name w:val="Annex_#"/>
    <w:basedOn w:val="Normal"/>
    <w:next w:val="Normal"/>
    <w:rsid w:val="00237051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lang w:val="fr-FR"/>
    </w:rPr>
  </w:style>
  <w:style w:type="paragraph" w:customStyle="1" w:styleId="headingb">
    <w:name w:val="heading_b"/>
    <w:basedOn w:val="Heading3"/>
    <w:next w:val="Normal"/>
    <w:rsid w:val="0023705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eastAsia="Times New Roman" w:hAnsi="Times New Roman" w:cs="Times New Roman"/>
      <w:b/>
      <w:color w:val="auto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237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13sg17rgafr@lists.itu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studygroups/2013-2016/17/sg17rga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20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2348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cp:keywords/>
  <dc:description>151C.DOCX  For: _x000d_Document date: _x000d_Saved by ITU51006837 at 11:28:49 on 21/05/15</dc:description>
  <cp:lastModifiedBy>Aveline, Marion</cp:lastModifiedBy>
  <cp:revision>4</cp:revision>
  <cp:lastPrinted>2015-05-21T11:49:00Z</cp:lastPrinted>
  <dcterms:created xsi:type="dcterms:W3CDTF">2015-05-21T11:29:00Z</dcterms:created>
  <dcterms:modified xsi:type="dcterms:W3CDTF">2015-05-21T11:54:00Z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151C.DOCX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