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697BC1" w:rsidTr="009D51FA">
        <w:trPr>
          <w:cantSplit/>
        </w:trPr>
        <w:tc>
          <w:tcPr>
            <w:tcW w:w="6426" w:type="dxa"/>
            <w:vAlign w:val="center"/>
          </w:tcPr>
          <w:p w:rsidR="00517A03" w:rsidRPr="00697BC1" w:rsidRDefault="00517A03" w:rsidP="00697BC1">
            <w:pPr>
              <w:tabs>
                <w:tab w:val="right" w:pos="8732"/>
              </w:tabs>
              <w:spacing w:before="0"/>
              <w:rPr>
                <w:rFonts w:asciiTheme="minorHAnsi" w:hAnsiTheme="minorHAnsi"/>
                <w:b/>
                <w:bCs/>
                <w:iCs/>
                <w:color w:val="FFFFFF"/>
                <w:sz w:val="30"/>
                <w:szCs w:val="30"/>
              </w:rPr>
            </w:pPr>
            <w:bookmarkStart w:id="0" w:name="_GoBack"/>
            <w:bookmarkEnd w:id="0"/>
            <w:r w:rsidRPr="00697BC1">
              <w:rPr>
                <w:rFonts w:asciiTheme="minorHAnsi" w:hAnsiTheme="minorHAnsi"/>
                <w:b/>
                <w:bCs/>
                <w:iCs/>
                <w:sz w:val="32"/>
                <w:szCs w:val="32"/>
              </w:rPr>
              <w:t>Bureau de la normalisation</w:t>
            </w:r>
            <w:r w:rsidR="00697BC1" w:rsidRPr="00697BC1">
              <w:rPr>
                <w:rFonts w:asciiTheme="minorHAnsi" w:hAnsiTheme="minorHAnsi"/>
                <w:b/>
                <w:bCs/>
                <w:iCs/>
                <w:sz w:val="32"/>
                <w:szCs w:val="32"/>
              </w:rPr>
              <w:t xml:space="preserve"> </w:t>
            </w:r>
            <w:r w:rsidR="00740343">
              <w:rPr>
                <w:rFonts w:asciiTheme="minorHAnsi" w:hAnsiTheme="minorHAnsi"/>
                <w:b/>
                <w:bCs/>
                <w:iCs/>
                <w:sz w:val="32"/>
                <w:szCs w:val="32"/>
              </w:rPr>
              <w:t>des </w:t>
            </w:r>
            <w:r w:rsidRPr="00697BC1">
              <w:rPr>
                <w:rFonts w:asciiTheme="minorHAnsi" w:hAnsiTheme="minorHAnsi"/>
                <w:b/>
                <w:bCs/>
                <w:iCs/>
                <w:sz w:val="32"/>
                <w:szCs w:val="32"/>
              </w:rPr>
              <w:t>télécommunications</w:t>
            </w:r>
          </w:p>
        </w:tc>
        <w:tc>
          <w:tcPr>
            <w:tcW w:w="3355" w:type="dxa"/>
            <w:vAlign w:val="center"/>
          </w:tcPr>
          <w:p w:rsidR="00517A03" w:rsidRPr="00697BC1" w:rsidRDefault="001026FD" w:rsidP="00A5280F">
            <w:pPr>
              <w:spacing w:before="0"/>
              <w:jc w:val="right"/>
              <w:rPr>
                <w:rFonts w:asciiTheme="minorHAnsi" w:hAnsiTheme="minorHAnsi"/>
                <w:color w:val="FFFFFF"/>
                <w:sz w:val="26"/>
                <w:szCs w:val="26"/>
              </w:rPr>
            </w:pPr>
            <w:r w:rsidRPr="00697BC1">
              <w:rPr>
                <w:rFonts w:asciiTheme="minorHAnsi" w:hAnsiTheme="minorHAnsi"/>
                <w:b/>
                <w:bCs/>
                <w:noProof/>
                <w:color w:val="FFFFFF"/>
                <w:sz w:val="26"/>
                <w:szCs w:val="26"/>
                <w:lang w:val="en-GB" w:eastAsia="en-GB"/>
              </w:rPr>
              <w:drawing>
                <wp:inline distT="0" distB="0" distL="0" distR="0">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97BC1" w:rsidTr="009D51FA">
        <w:trPr>
          <w:cantSplit/>
        </w:trPr>
        <w:tc>
          <w:tcPr>
            <w:tcW w:w="6426" w:type="dxa"/>
            <w:vAlign w:val="center"/>
          </w:tcPr>
          <w:p w:rsidR="00517A03" w:rsidRPr="00697BC1" w:rsidRDefault="00517A03" w:rsidP="00A5280F">
            <w:pPr>
              <w:tabs>
                <w:tab w:val="right" w:pos="8732"/>
              </w:tabs>
              <w:spacing w:before="0"/>
              <w:rPr>
                <w:rFonts w:asciiTheme="minorHAnsi" w:hAnsiTheme="minorHAnsi"/>
                <w:b/>
                <w:bCs/>
                <w:iCs/>
                <w:sz w:val="18"/>
                <w:szCs w:val="18"/>
              </w:rPr>
            </w:pPr>
          </w:p>
        </w:tc>
        <w:tc>
          <w:tcPr>
            <w:tcW w:w="3355" w:type="dxa"/>
            <w:vAlign w:val="center"/>
          </w:tcPr>
          <w:p w:rsidR="00517A03" w:rsidRPr="00697BC1" w:rsidRDefault="00517A03" w:rsidP="00A5280F">
            <w:pPr>
              <w:spacing w:before="0"/>
              <w:ind w:left="993" w:hanging="993"/>
              <w:jc w:val="right"/>
              <w:rPr>
                <w:rFonts w:asciiTheme="minorHAnsi" w:hAnsiTheme="minorHAnsi"/>
                <w:sz w:val="18"/>
                <w:szCs w:val="18"/>
              </w:rPr>
            </w:pPr>
          </w:p>
        </w:tc>
      </w:tr>
    </w:tbl>
    <w:p w:rsidR="004B4FD9" w:rsidRDefault="004B4FD9" w:rsidP="00A5280F">
      <w:pPr>
        <w:tabs>
          <w:tab w:val="clear" w:pos="794"/>
          <w:tab w:val="clear" w:pos="1191"/>
          <w:tab w:val="clear" w:pos="1588"/>
          <w:tab w:val="clear" w:pos="1985"/>
          <w:tab w:val="left" w:pos="4962"/>
        </w:tabs>
        <w:spacing w:before="0"/>
        <w:rPr>
          <w:rFonts w:asciiTheme="minorHAnsi" w:hAnsiTheme="minorHAnsi"/>
        </w:rPr>
      </w:pPr>
    </w:p>
    <w:p w:rsidR="00517A03" w:rsidRDefault="00517A03" w:rsidP="00A5280F">
      <w:pPr>
        <w:tabs>
          <w:tab w:val="clear" w:pos="794"/>
          <w:tab w:val="clear" w:pos="1191"/>
          <w:tab w:val="clear" w:pos="1588"/>
          <w:tab w:val="clear" w:pos="1985"/>
          <w:tab w:val="left" w:pos="4962"/>
        </w:tabs>
        <w:spacing w:before="0"/>
        <w:rPr>
          <w:rFonts w:asciiTheme="minorHAnsi" w:hAnsiTheme="minorHAnsi"/>
        </w:rPr>
      </w:pPr>
      <w:r w:rsidRPr="00572B2C">
        <w:rPr>
          <w:rFonts w:asciiTheme="minorHAnsi" w:hAnsiTheme="minorHAnsi"/>
        </w:rPr>
        <w:tab/>
        <w:t xml:space="preserve">Genève, le </w:t>
      </w:r>
      <w:r w:rsidR="00740343" w:rsidRPr="00572B2C">
        <w:rPr>
          <w:rFonts w:asciiTheme="minorHAnsi" w:hAnsiTheme="minorHAnsi"/>
        </w:rPr>
        <w:t>25 août 2014</w:t>
      </w:r>
    </w:p>
    <w:p w:rsidR="004B4FD9" w:rsidRPr="00572B2C" w:rsidRDefault="004B4FD9" w:rsidP="00A5280F">
      <w:pPr>
        <w:tabs>
          <w:tab w:val="clear" w:pos="794"/>
          <w:tab w:val="clear" w:pos="1191"/>
          <w:tab w:val="clear" w:pos="1588"/>
          <w:tab w:val="clear" w:pos="1985"/>
          <w:tab w:val="left" w:pos="4962"/>
        </w:tabs>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517A03" w:rsidRPr="00572B2C" w:rsidTr="00697BC1">
        <w:trPr>
          <w:cantSplit/>
          <w:trHeight w:val="340"/>
        </w:trPr>
        <w:tc>
          <w:tcPr>
            <w:tcW w:w="822" w:type="dxa"/>
          </w:tcPr>
          <w:p w:rsidR="00517A03" w:rsidRPr="00572B2C" w:rsidRDefault="00517A03" w:rsidP="00A5280F">
            <w:pPr>
              <w:tabs>
                <w:tab w:val="left" w:pos="4111"/>
              </w:tabs>
              <w:spacing w:before="10"/>
              <w:ind w:left="57"/>
              <w:rPr>
                <w:rFonts w:asciiTheme="minorHAnsi" w:hAnsiTheme="minorHAnsi"/>
              </w:rPr>
            </w:pPr>
            <w:r w:rsidRPr="00572B2C">
              <w:rPr>
                <w:rFonts w:asciiTheme="minorHAnsi" w:hAnsiTheme="minorHAnsi"/>
              </w:rPr>
              <w:t>Réf.:</w:t>
            </w:r>
          </w:p>
          <w:p w:rsidR="00517A03" w:rsidRPr="00572B2C" w:rsidRDefault="00517A03" w:rsidP="00A5280F">
            <w:pPr>
              <w:tabs>
                <w:tab w:val="left" w:pos="4111"/>
              </w:tabs>
              <w:spacing w:before="10"/>
              <w:ind w:left="57"/>
              <w:rPr>
                <w:rFonts w:asciiTheme="minorHAnsi" w:hAnsiTheme="minorHAnsi"/>
              </w:rPr>
            </w:pPr>
          </w:p>
          <w:p w:rsidR="00517A03" w:rsidRPr="00572B2C" w:rsidRDefault="00517A03" w:rsidP="00A5280F">
            <w:pPr>
              <w:tabs>
                <w:tab w:val="left" w:pos="4111"/>
              </w:tabs>
              <w:spacing w:before="10"/>
              <w:ind w:left="57"/>
              <w:rPr>
                <w:rFonts w:asciiTheme="minorHAnsi" w:hAnsiTheme="minorHAnsi"/>
              </w:rPr>
            </w:pPr>
          </w:p>
          <w:p w:rsidR="00517A03" w:rsidRPr="00572B2C" w:rsidRDefault="00517A03" w:rsidP="00A5280F">
            <w:pPr>
              <w:tabs>
                <w:tab w:val="left" w:pos="4111"/>
              </w:tabs>
              <w:spacing w:before="10"/>
              <w:ind w:left="57"/>
              <w:rPr>
                <w:rFonts w:asciiTheme="minorHAnsi" w:hAnsiTheme="minorHAnsi"/>
              </w:rPr>
            </w:pPr>
            <w:r w:rsidRPr="00572B2C">
              <w:rPr>
                <w:rFonts w:asciiTheme="minorHAnsi" w:hAnsiTheme="minorHAnsi"/>
              </w:rPr>
              <w:t>Tél.:</w:t>
            </w:r>
            <w:r w:rsidRPr="00572B2C">
              <w:rPr>
                <w:rFonts w:asciiTheme="minorHAnsi" w:hAnsiTheme="minorHAnsi"/>
              </w:rPr>
              <w:br/>
              <w:t>Fax:</w:t>
            </w:r>
            <w:r w:rsidRPr="00572B2C">
              <w:rPr>
                <w:rFonts w:asciiTheme="minorHAnsi" w:hAnsiTheme="minorHAnsi"/>
              </w:rPr>
              <w:br/>
              <w:t>E-mail:</w:t>
            </w:r>
          </w:p>
        </w:tc>
        <w:tc>
          <w:tcPr>
            <w:tcW w:w="4055" w:type="dxa"/>
          </w:tcPr>
          <w:p w:rsidR="00517A03" w:rsidRPr="00572B2C" w:rsidRDefault="00740343" w:rsidP="00A5280F">
            <w:pPr>
              <w:tabs>
                <w:tab w:val="left" w:pos="4111"/>
              </w:tabs>
              <w:spacing w:before="10"/>
              <w:ind w:left="57"/>
              <w:rPr>
                <w:rFonts w:asciiTheme="minorHAnsi" w:hAnsiTheme="minorHAnsi"/>
                <w:b/>
              </w:rPr>
            </w:pPr>
            <w:r w:rsidRPr="00572B2C">
              <w:rPr>
                <w:rFonts w:asciiTheme="minorHAnsi" w:hAnsiTheme="minorHAnsi"/>
                <w:b/>
              </w:rPr>
              <w:t>Circulaire TSB 114</w:t>
            </w:r>
          </w:p>
          <w:p w:rsidR="00517A03" w:rsidRPr="00572B2C" w:rsidRDefault="00740343" w:rsidP="00A5280F">
            <w:pPr>
              <w:tabs>
                <w:tab w:val="left" w:pos="4111"/>
              </w:tabs>
              <w:spacing w:before="10"/>
              <w:ind w:left="57"/>
              <w:rPr>
                <w:rFonts w:asciiTheme="minorHAnsi" w:hAnsiTheme="minorHAnsi"/>
                <w:b/>
              </w:rPr>
            </w:pPr>
            <w:r w:rsidRPr="00572B2C">
              <w:rPr>
                <w:rFonts w:asciiTheme="minorHAnsi" w:hAnsiTheme="minorHAnsi"/>
              </w:rPr>
              <w:t>FG DFS/VM</w:t>
            </w:r>
          </w:p>
          <w:p w:rsidR="00517A03" w:rsidRPr="00572B2C" w:rsidRDefault="00517A03" w:rsidP="00A5280F">
            <w:pPr>
              <w:tabs>
                <w:tab w:val="left" w:pos="4111"/>
              </w:tabs>
              <w:spacing w:before="10"/>
              <w:ind w:left="57"/>
              <w:rPr>
                <w:rFonts w:asciiTheme="minorHAnsi" w:hAnsiTheme="minorHAnsi"/>
              </w:rPr>
            </w:pPr>
          </w:p>
          <w:p w:rsidR="00517A03" w:rsidRPr="00572B2C" w:rsidRDefault="00517A03" w:rsidP="00A5280F">
            <w:pPr>
              <w:tabs>
                <w:tab w:val="left" w:pos="4111"/>
              </w:tabs>
              <w:spacing w:before="10"/>
              <w:ind w:left="57"/>
              <w:rPr>
                <w:rFonts w:asciiTheme="minorHAnsi" w:hAnsiTheme="minorHAnsi"/>
              </w:rPr>
            </w:pPr>
            <w:r w:rsidRPr="00572B2C">
              <w:rPr>
                <w:rFonts w:asciiTheme="minorHAnsi" w:hAnsiTheme="minorHAnsi"/>
              </w:rPr>
              <w:t xml:space="preserve">+41 22 730 </w:t>
            </w:r>
            <w:r w:rsidR="00572B2C" w:rsidRPr="00572B2C">
              <w:rPr>
                <w:rFonts w:asciiTheme="minorHAnsi" w:hAnsiTheme="minorHAnsi"/>
              </w:rPr>
              <w:t>5591</w:t>
            </w:r>
            <w:r w:rsidRPr="00572B2C">
              <w:rPr>
                <w:rFonts w:asciiTheme="minorHAnsi" w:hAnsiTheme="minorHAnsi"/>
              </w:rPr>
              <w:br/>
              <w:t>+41 22 730 5853</w:t>
            </w:r>
            <w:r w:rsidRPr="00572B2C">
              <w:rPr>
                <w:rFonts w:asciiTheme="minorHAnsi" w:hAnsiTheme="minorHAnsi"/>
              </w:rPr>
              <w:br/>
            </w:r>
            <w:hyperlink r:id="rId9" w:history="1">
              <w:r w:rsidR="00E67744" w:rsidRPr="00E67744">
                <w:rPr>
                  <w:rStyle w:val="Hyperlink"/>
                  <w:rFonts w:asciiTheme="minorHAnsi" w:hAnsiTheme="minorHAnsi"/>
                </w:rPr>
                <w:t>tsbfgdfs@itu.int</w:t>
              </w:r>
            </w:hyperlink>
          </w:p>
        </w:tc>
        <w:tc>
          <w:tcPr>
            <w:tcW w:w="5046" w:type="dxa"/>
            <w:gridSpan w:val="2"/>
          </w:tcPr>
          <w:p w:rsidR="00517A03" w:rsidRPr="00572B2C"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1" w:name="Addressee_F"/>
            <w:bookmarkEnd w:id="1"/>
            <w:r w:rsidRPr="00572B2C">
              <w:rPr>
                <w:rFonts w:asciiTheme="minorHAnsi" w:hAnsiTheme="minorHAnsi"/>
              </w:rPr>
              <w:t>-</w:t>
            </w:r>
            <w:r w:rsidRPr="00572B2C">
              <w:rPr>
                <w:rFonts w:asciiTheme="minorHAnsi" w:hAnsiTheme="minorHAnsi"/>
              </w:rPr>
              <w:tab/>
              <w:t>Aux administrations des Etats Membres de l</w:t>
            </w:r>
            <w:r w:rsidR="00167472" w:rsidRPr="00572B2C">
              <w:rPr>
                <w:rFonts w:asciiTheme="minorHAnsi" w:hAnsiTheme="minorHAnsi"/>
              </w:rPr>
              <w:t>'</w:t>
            </w:r>
            <w:r w:rsidRPr="00572B2C">
              <w:rPr>
                <w:rFonts w:asciiTheme="minorHAnsi" w:hAnsiTheme="minorHAnsi"/>
              </w:rPr>
              <w:t>Union</w:t>
            </w:r>
          </w:p>
          <w:p w:rsidR="00740343" w:rsidRPr="00572B2C" w:rsidRDefault="00E67744" w:rsidP="00740343">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rPr>
            </w:pPr>
            <w:r>
              <w:rPr>
                <w:rFonts w:asciiTheme="minorHAnsi" w:hAnsiTheme="minorHAnsi"/>
              </w:rPr>
              <w:t>Aux Membres du Secteur UIT</w:t>
            </w:r>
            <w:r w:rsidR="00FB04CF">
              <w:rPr>
                <w:rFonts w:asciiTheme="minorHAnsi" w:hAnsiTheme="minorHAnsi"/>
              </w:rPr>
              <w:t>-T</w:t>
            </w:r>
          </w:p>
          <w:p w:rsidR="00740343" w:rsidRPr="00572B2C" w:rsidRDefault="00E67744" w:rsidP="00740343">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rPr>
            </w:pPr>
            <w:r>
              <w:rPr>
                <w:rFonts w:asciiTheme="minorHAnsi" w:hAnsiTheme="minorHAnsi"/>
              </w:rPr>
              <w:t>Aux Associés de l'UIT</w:t>
            </w:r>
            <w:r w:rsidR="00FB04CF">
              <w:rPr>
                <w:rFonts w:asciiTheme="minorHAnsi" w:hAnsiTheme="minorHAnsi"/>
              </w:rPr>
              <w:t>-T</w:t>
            </w:r>
          </w:p>
          <w:p w:rsidR="00740343" w:rsidRPr="00572B2C" w:rsidRDefault="00740343" w:rsidP="00740343">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rPr>
            </w:pPr>
            <w:r w:rsidRPr="00572B2C">
              <w:rPr>
                <w:rFonts w:asciiTheme="minorHAnsi" w:hAnsiTheme="minorHAnsi"/>
              </w:rPr>
              <w:t xml:space="preserve">Aux établissements universitaires participant </w:t>
            </w:r>
            <w:r w:rsidRPr="00572B2C">
              <w:rPr>
                <w:rFonts w:asciiTheme="minorHAnsi" w:hAnsiTheme="minorHAnsi"/>
              </w:rPr>
              <w:br/>
              <w:t>aux travaux de l'UIT</w:t>
            </w:r>
            <w:r w:rsidR="00FB04CF">
              <w:rPr>
                <w:rFonts w:asciiTheme="minorHAnsi" w:hAnsiTheme="minorHAnsi"/>
              </w:rPr>
              <w:t>-T</w:t>
            </w:r>
          </w:p>
        </w:tc>
      </w:tr>
      <w:tr w:rsidR="00517A03" w:rsidRPr="00572B2C" w:rsidTr="00697BC1">
        <w:trPr>
          <w:cantSplit/>
        </w:trPr>
        <w:tc>
          <w:tcPr>
            <w:tcW w:w="822" w:type="dxa"/>
          </w:tcPr>
          <w:p w:rsidR="00517A03" w:rsidRPr="00572B2C" w:rsidRDefault="00517A03" w:rsidP="00A5280F">
            <w:pPr>
              <w:tabs>
                <w:tab w:val="left" w:pos="4111"/>
              </w:tabs>
              <w:spacing w:before="10"/>
              <w:ind w:left="57"/>
              <w:rPr>
                <w:rFonts w:asciiTheme="minorHAnsi" w:hAnsiTheme="minorHAnsi"/>
                <w:sz w:val="20"/>
              </w:rPr>
            </w:pPr>
          </w:p>
        </w:tc>
        <w:tc>
          <w:tcPr>
            <w:tcW w:w="4055" w:type="dxa"/>
          </w:tcPr>
          <w:p w:rsidR="00517A03" w:rsidRPr="00572B2C" w:rsidRDefault="00517A03" w:rsidP="00A5280F">
            <w:pPr>
              <w:tabs>
                <w:tab w:val="left" w:pos="4111"/>
              </w:tabs>
              <w:spacing w:before="0"/>
              <w:ind w:left="57"/>
              <w:rPr>
                <w:rFonts w:asciiTheme="minorHAnsi" w:hAnsiTheme="minorHAnsi"/>
              </w:rPr>
            </w:pPr>
          </w:p>
        </w:tc>
        <w:tc>
          <w:tcPr>
            <w:tcW w:w="5046" w:type="dxa"/>
            <w:gridSpan w:val="2"/>
          </w:tcPr>
          <w:p w:rsidR="00517A03" w:rsidRPr="00572B2C" w:rsidRDefault="00517A03" w:rsidP="00A5280F">
            <w:pPr>
              <w:tabs>
                <w:tab w:val="left" w:pos="4111"/>
              </w:tabs>
              <w:spacing w:before="0"/>
              <w:rPr>
                <w:rFonts w:asciiTheme="minorHAnsi" w:hAnsiTheme="minorHAnsi"/>
              </w:rPr>
            </w:pPr>
            <w:r w:rsidRPr="00572B2C">
              <w:rPr>
                <w:rFonts w:asciiTheme="minorHAnsi" w:hAnsiTheme="minorHAnsi"/>
                <w:b/>
              </w:rPr>
              <w:t>Copie</w:t>
            </w:r>
            <w:r w:rsidRPr="00572B2C">
              <w:rPr>
                <w:rFonts w:asciiTheme="minorHAnsi" w:hAnsiTheme="minorHAnsi"/>
              </w:rPr>
              <w:t>:</w:t>
            </w:r>
          </w:p>
          <w:p w:rsidR="00517A03" w:rsidRPr="00572B2C" w:rsidRDefault="00517A03" w:rsidP="00740343">
            <w:pPr>
              <w:tabs>
                <w:tab w:val="clear" w:pos="794"/>
                <w:tab w:val="left" w:pos="226"/>
                <w:tab w:val="left" w:pos="4111"/>
              </w:tabs>
              <w:spacing w:before="0"/>
              <w:ind w:left="226" w:hanging="226"/>
              <w:rPr>
                <w:rFonts w:asciiTheme="minorHAnsi" w:hAnsiTheme="minorHAnsi"/>
              </w:rPr>
            </w:pPr>
            <w:r w:rsidRPr="00572B2C">
              <w:rPr>
                <w:rFonts w:asciiTheme="minorHAnsi" w:hAnsiTheme="minorHAnsi"/>
              </w:rPr>
              <w:t>-</w:t>
            </w:r>
            <w:r w:rsidRPr="00572B2C">
              <w:rPr>
                <w:rFonts w:asciiTheme="minorHAnsi" w:hAnsiTheme="minorHAnsi"/>
              </w:rPr>
              <w:tab/>
              <w:t>Aux Président</w:t>
            </w:r>
            <w:r w:rsidR="00740343" w:rsidRPr="00572B2C">
              <w:rPr>
                <w:rFonts w:asciiTheme="minorHAnsi" w:hAnsiTheme="minorHAnsi"/>
              </w:rPr>
              <w:t>s</w:t>
            </w:r>
            <w:r w:rsidRPr="00572B2C">
              <w:rPr>
                <w:rFonts w:asciiTheme="minorHAnsi" w:hAnsiTheme="minorHAnsi"/>
              </w:rPr>
              <w:t xml:space="preserve"> et Vice-Présidents de </w:t>
            </w:r>
            <w:r w:rsidR="00740343" w:rsidRPr="00572B2C">
              <w:rPr>
                <w:rFonts w:asciiTheme="minorHAnsi" w:hAnsiTheme="minorHAnsi"/>
              </w:rPr>
              <w:t xml:space="preserve">toutes les </w:t>
            </w:r>
            <w:r w:rsidRPr="00572B2C">
              <w:rPr>
                <w:rFonts w:asciiTheme="minorHAnsi" w:hAnsiTheme="minorHAnsi"/>
              </w:rPr>
              <w:t>Commission</w:t>
            </w:r>
            <w:r w:rsidR="00740343" w:rsidRPr="00572B2C">
              <w:rPr>
                <w:rFonts w:asciiTheme="minorHAnsi" w:hAnsiTheme="minorHAnsi"/>
              </w:rPr>
              <w:t>s</w:t>
            </w:r>
            <w:r w:rsidRPr="00572B2C">
              <w:rPr>
                <w:rFonts w:asciiTheme="minorHAnsi" w:hAnsiTheme="minorHAnsi"/>
              </w:rPr>
              <w:t xml:space="preserve"> d</w:t>
            </w:r>
            <w:r w:rsidR="00167472" w:rsidRPr="00572B2C">
              <w:rPr>
                <w:rFonts w:asciiTheme="minorHAnsi" w:hAnsiTheme="minorHAnsi"/>
              </w:rPr>
              <w:t>'</w:t>
            </w:r>
            <w:r w:rsidR="00740343" w:rsidRPr="00572B2C">
              <w:rPr>
                <w:rFonts w:asciiTheme="minorHAnsi" w:hAnsiTheme="minorHAnsi"/>
              </w:rPr>
              <w:t>études</w:t>
            </w:r>
            <w:r w:rsidR="004B4FD9">
              <w:rPr>
                <w:rFonts w:asciiTheme="minorHAnsi" w:hAnsiTheme="minorHAnsi"/>
              </w:rPr>
              <w:t xml:space="preserve"> de l'UIT-T</w:t>
            </w:r>
          </w:p>
          <w:p w:rsidR="00517A03" w:rsidRPr="00572B2C" w:rsidRDefault="00517A03" w:rsidP="00A5280F">
            <w:pPr>
              <w:tabs>
                <w:tab w:val="clear" w:pos="794"/>
                <w:tab w:val="left" w:pos="226"/>
                <w:tab w:val="left" w:pos="4111"/>
              </w:tabs>
              <w:spacing w:before="0"/>
              <w:ind w:left="226" w:hanging="226"/>
              <w:rPr>
                <w:rFonts w:asciiTheme="minorHAnsi" w:hAnsiTheme="minorHAnsi"/>
              </w:rPr>
            </w:pPr>
            <w:r w:rsidRPr="00572B2C">
              <w:rPr>
                <w:rFonts w:asciiTheme="minorHAnsi" w:hAnsiTheme="minorHAnsi"/>
              </w:rPr>
              <w:t>-</w:t>
            </w:r>
            <w:r w:rsidRPr="00572B2C">
              <w:rPr>
                <w:rFonts w:asciiTheme="minorHAnsi" w:hAnsiTheme="minorHAnsi"/>
              </w:rPr>
              <w:tab/>
              <w:t>Au Directeur du Bureau de dével</w:t>
            </w:r>
            <w:r w:rsidR="00740343" w:rsidRPr="00572B2C">
              <w:rPr>
                <w:rFonts w:asciiTheme="minorHAnsi" w:hAnsiTheme="minorHAnsi"/>
              </w:rPr>
              <w:t>oppement des télécommunications</w:t>
            </w:r>
          </w:p>
          <w:p w:rsidR="00517A03" w:rsidRPr="00572B2C" w:rsidRDefault="00517A03" w:rsidP="00FB04CF">
            <w:pPr>
              <w:tabs>
                <w:tab w:val="clear" w:pos="794"/>
                <w:tab w:val="left" w:pos="226"/>
                <w:tab w:val="left" w:pos="4111"/>
              </w:tabs>
              <w:spacing w:before="0"/>
              <w:ind w:left="226" w:hanging="226"/>
              <w:rPr>
                <w:rFonts w:asciiTheme="minorHAnsi" w:hAnsiTheme="minorHAnsi"/>
              </w:rPr>
            </w:pPr>
            <w:r w:rsidRPr="00572B2C">
              <w:rPr>
                <w:rFonts w:asciiTheme="minorHAnsi" w:hAnsiTheme="minorHAnsi"/>
              </w:rPr>
              <w:t>-</w:t>
            </w:r>
            <w:r w:rsidRPr="00572B2C">
              <w:rPr>
                <w:rFonts w:asciiTheme="minorHAnsi" w:hAnsiTheme="minorHAnsi"/>
              </w:rPr>
              <w:tab/>
              <w:t xml:space="preserve">Au Directeur du Bureau </w:t>
            </w:r>
            <w:r w:rsidR="00FB04CF">
              <w:rPr>
                <w:rFonts w:asciiTheme="minorHAnsi" w:hAnsiTheme="minorHAnsi"/>
              </w:rPr>
              <w:br/>
            </w:r>
            <w:r w:rsidRPr="00572B2C">
              <w:rPr>
                <w:rFonts w:asciiTheme="minorHAnsi" w:hAnsiTheme="minorHAnsi"/>
              </w:rPr>
              <w:t>des</w:t>
            </w:r>
            <w:r w:rsidR="00FB04CF">
              <w:rPr>
                <w:rFonts w:asciiTheme="minorHAnsi" w:hAnsiTheme="minorHAnsi"/>
              </w:rPr>
              <w:t xml:space="preserve"> </w:t>
            </w:r>
            <w:r w:rsidRPr="00572B2C">
              <w:rPr>
                <w:rFonts w:asciiTheme="minorHAnsi" w:hAnsiTheme="minorHAnsi"/>
              </w:rPr>
              <w:t>radiocommunications</w:t>
            </w:r>
          </w:p>
          <w:p w:rsidR="00740343" w:rsidRPr="00572B2C" w:rsidRDefault="00740343" w:rsidP="00A5280F">
            <w:pPr>
              <w:tabs>
                <w:tab w:val="clear" w:pos="794"/>
                <w:tab w:val="left" w:pos="226"/>
                <w:tab w:val="left" w:pos="4111"/>
              </w:tabs>
              <w:spacing w:before="0"/>
              <w:ind w:left="226" w:hanging="226"/>
              <w:rPr>
                <w:rFonts w:asciiTheme="minorHAnsi" w:hAnsiTheme="minorHAnsi"/>
              </w:rPr>
            </w:pPr>
            <w:r w:rsidRPr="00572B2C">
              <w:rPr>
                <w:rFonts w:asciiTheme="minorHAnsi" w:hAnsiTheme="minorHAnsi"/>
              </w:rPr>
              <w:t>-</w:t>
            </w:r>
            <w:r w:rsidRPr="00572B2C">
              <w:rPr>
                <w:rFonts w:asciiTheme="minorHAnsi" w:hAnsiTheme="minorHAnsi"/>
              </w:rPr>
              <w:tab/>
              <w:t>Aux Directeurs des Bureaux régionaux de l'UIT</w:t>
            </w:r>
          </w:p>
        </w:tc>
      </w:tr>
      <w:tr w:rsidR="00517A03" w:rsidRPr="00572B2C" w:rsidTr="00697BC1">
        <w:trPr>
          <w:gridAfter w:val="1"/>
          <w:wAfter w:w="8" w:type="dxa"/>
          <w:cantSplit/>
          <w:trHeight w:val="680"/>
        </w:trPr>
        <w:tc>
          <w:tcPr>
            <w:tcW w:w="822" w:type="dxa"/>
          </w:tcPr>
          <w:p w:rsidR="00517A03" w:rsidRPr="00572B2C" w:rsidRDefault="00517A03" w:rsidP="00572B2C">
            <w:pPr>
              <w:tabs>
                <w:tab w:val="left" w:pos="4111"/>
              </w:tabs>
              <w:spacing w:before="240"/>
              <w:rPr>
                <w:rFonts w:asciiTheme="minorHAnsi" w:hAnsiTheme="minorHAnsi"/>
                <w:sz w:val="22"/>
              </w:rPr>
            </w:pPr>
            <w:r w:rsidRPr="00572B2C">
              <w:rPr>
                <w:rFonts w:asciiTheme="minorHAnsi" w:hAnsiTheme="minorHAnsi"/>
                <w:sz w:val="22"/>
              </w:rPr>
              <w:t>Objet:</w:t>
            </w:r>
          </w:p>
        </w:tc>
        <w:tc>
          <w:tcPr>
            <w:tcW w:w="9093" w:type="dxa"/>
            <w:gridSpan w:val="2"/>
          </w:tcPr>
          <w:p w:rsidR="00517A03" w:rsidRPr="00572B2C" w:rsidRDefault="00740343" w:rsidP="00572B2C">
            <w:pPr>
              <w:tabs>
                <w:tab w:val="left" w:pos="4111"/>
              </w:tabs>
              <w:spacing w:before="240"/>
              <w:rPr>
                <w:rFonts w:asciiTheme="minorHAnsi" w:hAnsiTheme="minorHAnsi"/>
              </w:rPr>
            </w:pPr>
            <w:r w:rsidRPr="00572B2C">
              <w:rPr>
                <w:rFonts w:asciiTheme="minorHAnsi" w:hAnsiTheme="minorHAnsi"/>
                <w:b/>
              </w:rPr>
              <w:t xml:space="preserve">Création d'un nouveau Groupe spécialisé sur les services financiers numériques </w:t>
            </w:r>
            <w:r w:rsidR="00572B2C">
              <w:rPr>
                <w:rFonts w:asciiTheme="minorHAnsi" w:hAnsiTheme="minorHAnsi"/>
                <w:b/>
              </w:rPr>
              <w:t>(Groupe </w:t>
            </w:r>
            <w:r w:rsidRPr="00572B2C">
              <w:rPr>
                <w:rFonts w:asciiTheme="minorHAnsi" w:hAnsiTheme="minorHAnsi"/>
                <w:b/>
              </w:rPr>
              <w:t>FG-DFS) et première réunion du Groupe FG</w:t>
            </w:r>
            <w:r w:rsidRPr="00572B2C">
              <w:rPr>
                <w:rFonts w:asciiTheme="minorHAnsi" w:hAnsiTheme="minorHAnsi"/>
                <w:b/>
              </w:rPr>
              <w:noBreakHyphen/>
              <w:t>D</w:t>
            </w:r>
            <w:r w:rsidR="00572B2C">
              <w:rPr>
                <w:rFonts w:asciiTheme="minorHAnsi" w:hAnsiTheme="minorHAnsi"/>
                <w:b/>
              </w:rPr>
              <w:t>FS, Genève (Suisse), 5 décembre </w:t>
            </w:r>
            <w:r w:rsidRPr="00572B2C">
              <w:rPr>
                <w:rFonts w:asciiTheme="minorHAnsi" w:hAnsiTheme="minorHAnsi"/>
                <w:b/>
              </w:rPr>
              <w:t>2014</w:t>
            </w:r>
          </w:p>
        </w:tc>
      </w:tr>
    </w:tbl>
    <w:p w:rsidR="00517A03" w:rsidRPr="00572B2C" w:rsidRDefault="00517A03" w:rsidP="00572B2C">
      <w:pPr>
        <w:spacing w:before="360"/>
        <w:rPr>
          <w:rFonts w:asciiTheme="minorHAnsi" w:hAnsiTheme="minorHAnsi"/>
        </w:rPr>
      </w:pPr>
      <w:bookmarkStart w:id="2" w:name="StartTyping_F"/>
      <w:bookmarkEnd w:id="2"/>
      <w:r w:rsidRPr="00572B2C">
        <w:rPr>
          <w:rFonts w:asciiTheme="minorHAnsi" w:hAnsiTheme="minorHAnsi"/>
        </w:rPr>
        <w:t>Madame, Monsieur,</w:t>
      </w:r>
    </w:p>
    <w:p w:rsidR="00740343" w:rsidRPr="00572B2C" w:rsidRDefault="00740343" w:rsidP="00740343">
      <w:pPr>
        <w:ind w:right="-510"/>
        <w:rPr>
          <w:rFonts w:asciiTheme="minorHAnsi" w:hAnsiTheme="minorHAnsi"/>
        </w:rPr>
      </w:pPr>
      <w:r w:rsidRPr="00572B2C">
        <w:rPr>
          <w:rFonts w:asciiTheme="minorHAnsi" w:hAnsiTheme="minorHAnsi"/>
          <w:bCs/>
        </w:rPr>
        <w:t>1</w:t>
      </w:r>
      <w:r w:rsidRPr="00572B2C">
        <w:rPr>
          <w:rFonts w:asciiTheme="minorHAnsi" w:hAnsiTheme="minorHAnsi"/>
        </w:rPr>
        <w:tab/>
        <w:t xml:space="preserve">J'ai l'honneur de vous annoncer la création du </w:t>
      </w:r>
      <w:hyperlink r:id="rId10" w:history="1">
        <w:r w:rsidRPr="00CB39DC">
          <w:rPr>
            <w:rStyle w:val="Hyperlink"/>
            <w:rFonts w:asciiTheme="minorHAnsi" w:hAnsiTheme="minorHAnsi"/>
          </w:rPr>
          <w:t>Groupe spé</w:t>
        </w:r>
        <w:r w:rsidRPr="00CB39DC">
          <w:rPr>
            <w:rStyle w:val="Hyperlink"/>
            <w:rFonts w:asciiTheme="minorHAnsi" w:hAnsiTheme="minorHAnsi"/>
          </w:rPr>
          <w:t>c</w:t>
        </w:r>
        <w:r w:rsidRPr="00CB39DC">
          <w:rPr>
            <w:rStyle w:val="Hyperlink"/>
            <w:rFonts w:asciiTheme="minorHAnsi" w:hAnsiTheme="minorHAnsi"/>
          </w:rPr>
          <w:t>ialisé de l'UIT</w:t>
        </w:r>
        <w:r w:rsidRPr="00CB39DC">
          <w:rPr>
            <w:rStyle w:val="Hyperlink"/>
            <w:rFonts w:asciiTheme="minorHAnsi" w:hAnsiTheme="minorHAnsi"/>
          </w:rPr>
          <w:noBreakHyphen/>
          <w:t>T sur les services financiers numériques</w:t>
        </w:r>
      </w:hyperlink>
      <w:r w:rsidRPr="00572B2C">
        <w:rPr>
          <w:rFonts w:asciiTheme="minorHAnsi" w:hAnsiTheme="minorHAnsi"/>
        </w:rPr>
        <w:t xml:space="preserve"> </w:t>
      </w:r>
      <w:r w:rsidRPr="00572B2C">
        <w:rPr>
          <w:rFonts w:asciiTheme="minorHAnsi" w:hAnsiTheme="minorHAnsi"/>
          <w:bCs/>
        </w:rPr>
        <w:t>(Groupe FG-DFS)</w:t>
      </w:r>
      <w:r w:rsidRPr="00572B2C">
        <w:rPr>
          <w:rFonts w:asciiTheme="minorHAnsi" w:hAnsiTheme="minorHAnsi"/>
        </w:rPr>
        <w:t>, suite à l'accord donné par le GCNT de l'UIT</w:t>
      </w:r>
      <w:r w:rsidRPr="00572B2C">
        <w:rPr>
          <w:rFonts w:asciiTheme="minorHAnsi" w:hAnsiTheme="minorHAnsi"/>
        </w:rPr>
        <w:noBreakHyphen/>
        <w:t>T à la réunion qu'il a tenue à Genève du 17 au 20 juin 2014.</w:t>
      </w:r>
    </w:p>
    <w:p w:rsidR="00740343" w:rsidRPr="00572B2C" w:rsidRDefault="00740343" w:rsidP="00740343">
      <w:pPr>
        <w:rPr>
          <w:rFonts w:asciiTheme="minorHAnsi" w:hAnsiTheme="minorHAnsi"/>
        </w:rPr>
      </w:pPr>
      <w:r w:rsidRPr="00572B2C">
        <w:rPr>
          <w:rFonts w:asciiTheme="minorHAnsi" w:hAnsiTheme="minorHAnsi"/>
        </w:rPr>
        <w:t>2</w:t>
      </w:r>
      <w:r w:rsidRPr="00572B2C">
        <w:rPr>
          <w:rFonts w:asciiTheme="minorHAnsi" w:hAnsiTheme="minorHAnsi"/>
        </w:rPr>
        <w:tab/>
        <w:t>La première réunion du Groupe FG</w:t>
      </w:r>
      <w:r w:rsidRPr="00572B2C">
        <w:rPr>
          <w:rFonts w:asciiTheme="minorHAnsi" w:hAnsiTheme="minorHAnsi"/>
        </w:rPr>
        <w:noBreakHyphen/>
        <w:t>DFS (voir l'</w:t>
      </w:r>
      <w:r w:rsidRPr="00572B2C">
        <w:rPr>
          <w:rFonts w:asciiTheme="minorHAnsi" w:hAnsiTheme="minorHAnsi"/>
          <w:b/>
        </w:rPr>
        <w:t>Annexe 2</w:t>
      </w:r>
      <w:r w:rsidRPr="00572B2C">
        <w:rPr>
          <w:rFonts w:asciiTheme="minorHAnsi" w:hAnsiTheme="minorHAnsi"/>
        </w:rPr>
        <w:t xml:space="preserve"> pour l'ordre du jour) est programmée au siège de l'UIT à Genève (Suisse) le </w:t>
      </w:r>
      <w:r w:rsidRPr="00572B2C">
        <w:rPr>
          <w:rFonts w:asciiTheme="minorHAnsi" w:hAnsiTheme="minorHAnsi"/>
          <w:b/>
          <w:u w:val="single"/>
        </w:rPr>
        <w:t>5 décembre 2014</w:t>
      </w:r>
      <w:r w:rsidRPr="00572B2C">
        <w:rPr>
          <w:rFonts w:asciiTheme="minorHAnsi" w:hAnsiTheme="minorHAnsi"/>
        </w:rPr>
        <w:t xml:space="preserve">. La réunion sera précédée d'un atelier sur les services financiers numériques et l'inclusion financière le </w:t>
      </w:r>
      <w:r w:rsidRPr="00572B2C">
        <w:rPr>
          <w:rFonts w:asciiTheme="minorHAnsi" w:hAnsiTheme="minorHAnsi"/>
          <w:b/>
          <w:u w:val="single"/>
        </w:rPr>
        <w:t>4 décembre 2014</w:t>
      </w:r>
      <w:r w:rsidRPr="00572B2C">
        <w:rPr>
          <w:rFonts w:asciiTheme="minorHAnsi" w:hAnsiTheme="minorHAnsi"/>
        </w:rPr>
        <w:t xml:space="preserve"> au même endroit. Des renseignements détaillés sont disponibles sur le site web de l'atelier: </w:t>
      </w:r>
      <w:hyperlink r:id="rId11" w:history="1">
        <w:r w:rsidRPr="00572B2C">
          <w:rPr>
            <w:rStyle w:val="Hyperlink"/>
            <w:rFonts w:asciiTheme="minorHAnsi" w:hAnsiTheme="minorHAnsi"/>
          </w:rPr>
          <w:t>http://www.itu.int/en/ITU-T/Workshops-and-Seminars/ifds/Pages/default.aspx</w:t>
        </w:r>
      </w:hyperlink>
      <w:r w:rsidRPr="00572B2C">
        <w:rPr>
          <w:rFonts w:asciiTheme="minorHAnsi" w:hAnsiTheme="minorHAnsi"/>
        </w:rPr>
        <w:t>.</w:t>
      </w:r>
    </w:p>
    <w:p w:rsidR="00740343" w:rsidRPr="00572B2C" w:rsidRDefault="00740343" w:rsidP="00740343">
      <w:pPr>
        <w:rPr>
          <w:rFonts w:asciiTheme="minorHAnsi" w:hAnsiTheme="minorHAnsi"/>
        </w:rPr>
      </w:pPr>
      <w:r w:rsidRPr="00572B2C">
        <w:rPr>
          <w:rFonts w:asciiTheme="minorHAnsi" w:hAnsiTheme="minorHAnsi"/>
        </w:rPr>
        <w:t>3</w:t>
      </w:r>
      <w:r w:rsidRPr="00572B2C">
        <w:rPr>
          <w:rFonts w:asciiTheme="minorHAnsi" w:hAnsiTheme="minorHAnsi"/>
        </w:rPr>
        <w:tab/>
        <w:t>Dans le monde, plus de 2,5 milliards d'adultes, vivant pour la plupart dans des pays en développement, ne possèdent pas de compte bancaire classique. Le faible niveau d'inclusion financière des pays en développement constitue un obstacle au développement socio-économique de ces pays. Les services financiers numériques peuvent changer la donne pour les personnes à revenu limité et faire de l'inclusion financière une réalité dans les pays en développement. Les services financiers numériques offrent la possibilité d'étendre la fourniture de services financiers de base aux pauvres au moyen de nouvelles technologies, comme les téléphones mobiles et l'argent électronique, et de nouvelles filières, comme les agents de détail. Ces filières peuvent conduire à une réduction importante des coûts pour les clients et les fournisseurs de services, et ainsi rendre les services financiers accessibles aux communautés isolées et non desservies.</w:t>
      </w:r>
    </w:p>
    <w:p w:rsidR="00740343" w:rsidRPr="00572B2C" w:rsidRDefault="00740343" w:rsidP="00740343">
      <w:pPr>
        <w:keepNext/>
        <w:keepLines/>
        <w:rPr>
          <w:rFonts w:asciiTheme="minorHAnsi" w:hAnsiTheme="minorHAnsi"/>
        </w:rPr>
      </w:pPr>
      <w:r w:rsidRPr="00572B2C">
        <w:rPr>
          <w:rFonts w:asciiTheme="minorHAnsi" w:hAnsiTheme="minorHAnsi"/>
        </w:rPr>
        <w:lastRenderedPageBreak/>
        <w:t>4</w:t>
      </w:r>
      <w:r w:rsidRPr="00572B2C">
        <w:rPr>
          <w:rFonts w:asciiTheme="minorHAnsi" w:hAnsiTheme="minorHAnsi"/>
        </w:rPr>
        <w:tab/>
        <w:t>Le Groupe FG</w:t>
      </w:r>
      <w:r w:rsidRPr="00572B2C">
        <w:rPr>
          <w:rFonts w:asciiTheme="minorHAnsi" w:hAnsiTheme="minorHAnsi"/>
        </w:rPr>
        <w:noBreakHyphen/>
        <w:t>DFS de l'UIT</w:t>
      </w:r>
      <w:r w:rsidRPr="00572B2C">
        <w:rPr>
          <w:rFonts w:asciiTheme="minorHAnsi" w:hAnsiTheme="minorHAnsi"/>
        </w:rPr>
        <w:noBreakHyphen/>
        <w:t xml:space="preserve">T analysera les solutions, les modèles économiques et les plates-formes des technologies de l'information et de la communication (TIC) qui favorisent l'inclusion financière, et recensera les bonnes pratiques et les normes propres à faciliter, entre autres, l'accès aux technologies, la mise au point de plates-formes permettant de mener efficacement des transactions de faible montant, ainsi que la mise en </w:t>
      </w:r>
      <w:r w:rsidR="00572B2C">
        <w:rPr>
          <w:rFonts w:asciiTheme="minorHAnsi" w:hAnsiTheme="minorHAnsi"/>
        </w:rPr>
        <w:t>oe</w:t>
      </w:r>
      <w:r w:rsidRPr="00572B2C">
        <w:rPr>
          <w:rFonts w:asciiTheme="minorHAnsi" w:hAnsiTheme="minorHAnsi"/>
        </w:rPr>
        <w:t>uvre de solutions interopérables à l'échelle mondiale pour les services financiers numériques.</w:t>
      </w:r>
    </w:p>
    <w:p w:rsidR="00740343" w:rsidRPr="00572B2C" w:rsidRDefault="00740343" w:rsidP="00740343">
      <w:pPr>
        <w:rPr>
          <w:rFonts w:asciiTheme="minorHAnsi" w:hAnsiTheme="minorHAnsi"/>
        </w:rPr>
      </w:pPr>
      <w:r w:rsidRPr="00572B2C">
        <w:rPr>
          <w:rFonts w:asciiTheme="minorHAnsi" w:hAnsiTheme="minorHAnsi"/>
        </w:rPr>
        <w:t>5</w:t>
      </w:r>
      <w:r w:rsidRPr="00572B2C">
        <w:rPr>
          <w:rFonts w:asciiTheme="minorHAnsi" w:hAnsiTheme="minorHAnsi"/>
        </w:rPr>
        <w:tab/>
        <w:t>Les activités du Groupe spécialisé se dérouleront conformément aux procédures exposées dans la Recommandation UIT</w:t>
      </w:r>
      <w:r w:rsidRPr="00572B2C">
        <w:rPr>
          <w:rFonts w:asciiTheme="minorHAnsi" w:hAnsiTheme="minorHAnsi"/>
        </w:rPr>
        <w:noBreakHyphen/>
        <w:t>T A7. Le Groupe est rattaché au GCNT, et son mandat est reproduit dans l'</w:t>
      </w:r>
      <w:r w:rsidRPr="00572B2C">
        <w:rPr>
          <w:rFonts w:asciiTheme="minorHAnsi" w:hAnsiTheme="minorHAnsi"/>
          <w:b/>
        </w:rPr>
        <w:t>Annexe 1</w:t>
      </w:r>
      <w:r w:rsidRPr="00572B2C">
        <w:rPr>
          <w:rFonts w:asciiTheme="minorHAnsi" w:hAnsiTheme="minorHAnsi"/>
        </w:rPr>
        <w:t>. M. Sacha Polverini, membre de la Fondation Bill et Melinda Gates, a accepté la fonction de Président du Groupe. Je suis convaincu qu'en créant ce Groupe spécialisé, l'UIT</w:t>
      </w:r>
      <w:r w:rsidRPr="00572B2C">
        <w:rPr>
          <w:rFonts w:asciiTheme="minorHAnsi" w:hAnsiTheme="minorHAnsi"/>
        </w:rPr>
        <w:noBreakHyphen/>
        <w:t>T répondra aux attentes de ses membres et démontrera sa capacité de prendre en main des questions cruciales réclamant de manière urgente l'attention des décideurs et des acteurs du marché.</w:t>
      </w:r>
    </w:p>
    <w:p w:rsidR="00740343" w:rsidRPr="00572B2C" w:rsidRDefault="00740343" w:rsidP="00740343">
      <w:pPr>
        <w:rPr>
          <w:rFonts w:asciiTheme="minorHAnsi" w:hAnsiTheme="minorHAnsi"/>
        </w:rPr>
      </w:pPr>
      <w:r w:rsidRPr="00572B2C">
        <w:rPr>
          <w:rFonts w:asciiTheme="minorHAnsi" w:hAnsiTheme="minorHAnsi"/>
        </w:rPr>
        <w:t>6</w:t>
      </w:r>
      <w:r w:rsidRPr="00572B2C">
        <w:rPr>
          <w:rFonts w:asciiTheme="minorHAnsi" w:hAnsiTheme="minorHAnsi"/>
        </w:rPr>
        <w:tab/>
        <w:t>Le Groupe FG</w:t>
      </w:r>
      <w:r w:rsidRPr="00572B2C">
        <w:rPr>
          <w:rFonts w:asciiTheme="minorHAnsi" w:hAnsiTheme="minorHAnsi"/>
        </w:rPr>
        <w:noBreakHyphen/>
        <w:t>DFS est ouvert aux Etats Membres, aux Membres de Secteur et aux Associés de l'UIT, ainsi qu'aux établissements universitaires participant aux travaux de l'UIT. Il est également ouvert à tout particulier ressortissant d'un pays membre de l'UIT et souhaitant contribuer à ses travaux, par exemple à des particuliers qui sont aussi membres ou représentants d'organismes de normalisation intéressés.</w:t>
      </w:r>
    </w:p>
    <w:p w:rsidR="00740343" w:rsidRPr="00572B2C" w:rsidRDefault="00740343" w:rsidP="00740343">
      <w:pPr>
        <w:rPr>
          <w:rFonts w:asciiTheme="minorHAnsi" w:hAnsiTheme="minorHAnsi"/>
        </w:rPr>
      </w:pPr>
      <w:r w:rsidRPr="00572B2C">
        <w:rPr>
          <w:rFonts w:asciiTheme="minorHAnsi" w:hAnsiTheme="minorHAnsi"/>
        </w:rPr>
        <w:t>7</w:t>
      </w:r>
      <w:r w:rsidRPr="00572B2C">
        <w:rPr>
          <w:rFonts w:asciiTheme="minorHAnsi" w:hAnsiTheme="minorHAnsi"/>
        </w:rPr>
        <w:tab/>
        <w:t>Le Groupe FG</w:t>
      </w:r>
      <w:r w:rsidRPr="00572B2C">
        <w:rPr>
          <w:rFonts w:asciiTheme="minorHAnsi" w:hAnsiTheme="minorHAnsi"/>
        </w:rPr>
        <w:noBreakHyphen/>
        <w:t xml:space="preserve">DFS attend des contributions sur des projets liés aux services financiers numériques et à l'inclusion financière dans les différentes régions, exposant la situation régionale en matière de services financiers numériques, les principales difficultés rencontrées (et les solutions envisageables) et les bonnes pratiques du secteur ayant été mises en </w:t>
      </w:r>
      <w:r w:rsidR="00572B2C">
        <w:rPr>
          <w:rFonts w:asciiTheme="minorHAnsi" w:hAnsiTheme="minorHAnsi"/>
        </w:rPr>
        <w:t>oe</w:t>
      </w:r>
      <w:r w:rsidRPr="00572B2C">
        <w:rPr>
          <w:rFonts w:asciiTheme="minorHAnsi" w:hAnsiTheme="minorHAnsi"/>
        </w:rPr>
        <w:t>uvre.</w:t>
      </w:r>
    </w:p>
    <w:p w:rsidR="00740343" w:rsidRPr="00572B2C" w:rsidRDefault="00740343" w:rsidP="00740343">
      <w:pPr>
        <w:rPr>
          <w:rFonts w:asciiTheme="minorHAnsi" w:hAnsiTheme="minorHAnsi"/>
          <w:b/>
        </w:rPr>
      </w:pPr>
      <w:r w:rsidRPr="00572B2C">
        <w:rPr>
          <w:rFonts w:asciiTheme="minorHAnsi" w:hAnsiTheme="minorHAnsi"/>
        </w:rPr>
        <w:t>8</w:t>
      </w:r>
      <w:r w:rsidRPr="00572B2C">
        <w:rPr>
          <w:rFonts w:asciiTheme="minorHAnsi" w:hAnsiTheme="minorHAnsi"/>
        </w:rPr>
        <w:tab/>
        <w:t xml:space="preserve">Il sera possible de participer à distance à la réunion. Pour plus d'informations sur la participation à distance, vous pourrez vous reporter à la page web du Groupe spécialisé: </w:t>
      </w:r>
      <w:hyperlink r:id="rId12" w:history="1">
        <w:r w:rsidRPr="00572B2C">
          <w:rPr>
            <w:rStyle w:val="Hyperlink"/>
            <w:rFonts w:asciiTheme="minorHAnsi" w:hAnsiTheme="minorHAnsi" w:cstheme="majorBidi"/>
            <w:szCs w:val="24"/>
          </w:rPr>
          <w:t>http://www.itu.int</w:t>
        </w:r>
        <w:r w:rsidRPr="00572B2C">
          <w:rPr>
            <w:rStyle w:val="Hyperlink"/>
            <w:rFonts w:asciiTheme="minorHAnsi" w:hAnsiTheme="minorHAnsi" w:cstheme="majorBidi"/>
            <w:szCs w:val="24"/>
          </w:rPr>
          <w:t>/</w:t>
        </w:r>
        <w:r w:rsidRPr="00572B2C">
          <w:rPr>
            <w:rStyle w:val="Hyperlink"/>
            <w:rFonts w:asciiTheme="minorHAnsi" w:hAnsiTheme="minorHAnsi" w:cstheme="majorBidi"/>
            <w:szCs w:val="24"/>
          </w:rPr>
          <w:t>en/ITU-T/focusgroups/dfs/Pages/default.aspx</w:t>
        </w:r>
      </w:hyperlink>
      <w:r w:rsidRPr="00572B2C">
        <w:rPr>
          <w:rFonts w:asciiTheme="minorHAnsi" w:hAnsiTheme="minorHAnsi"/>
        </w:rPr>
        <w:t>.</w:t>
      </w:r>
    </w:p>
    <w:p w:rsidR="00740343" w:rsidRPr="00572B2C" w:rsidRDefault="00740343" w:rsidP="00740343">
      <w:pPr>
        <w:keepLines/>
        <w:rPr>
          <w:rFonts w:asciiTheme="minorHAnsi" w:hAnsiTheme="minorHAnsi"/>
        </w:rPr>
      </w:pPr>
      <w:r w:rsidRPr="00572B2C">
        <w:rPr>
          <w:rFonts w:asciiTheme="minorHAnsi" w:hAnsiTheme="minorHAnsi"/>
        </w:rPr>
        <w:t>9</w:t>
      </w:r>
      <w:r w:rsidRPr="00572B2C">
        <w:rPr>
          <w:rFonts w:asciiTheme="minorHAnsi" w:hAnsiTheme="minorHAnsi"/>
        </w:rPr>
        <w:tab/>
        <w:t xml:space="preserve">La liste des points à examiner au cours de la réunion sera affichée sur la page web du Groupe spécialisé: </w:t>
      </w:r>
      <w:hyperlink r:id="rId13" w:history="1">
        <w:r w:rsidRPr="00572B2C">
          <w:rPr>
            <w:rStyle w:val="Hyperlink"/>
            <w:rFonts w:asciiTheme="minorHAnsi" w:hAnsiTheme="minorHAnsi" w:cstheme="majorBidi"/>
            <w:szCs w:val="24"/>
          </w:rPr>
          <w:t>http://www.itu.int/en/ITU-T/focusg</w:t>
        </w:r>
        <w:r w:rsidRPr="00572B2C">
          <w:rPr>
            <w:rStyle w:val="Hyperlink"/>
            <w:rFonts w:asciiTheme="minorHAnsi" w:hAnsiTheme="minorHAnsi" w:cstheme="majorBidi"/>
            <w:szCs w:val="24"/>
          </w:rPr>
          <w:t>r</w:t>
        </w:r>
        <w:r w:rsidRPr="00572B2C">
          <w:rPr>
            <w:rStyle w:val="Hyperlink"/>
            <w:rFonts w:asciiTheme="minorHAnsi" w:hAnsiTheme="minorHAnsi" w:cstheme="majorBidi"/>
            <w:szCs w:val="24"/>
          </w:rPr>
          <w:t>oups/dfs/Pages/default.aspx</w:t>
        </w:r>
      </w:hyperlink>
      <w:r w:rsidRPr="00572B2C">
        <w:rPr>
          <w:rFonts w:asciiTheme="minorHAnsi" w:hAnsiTheme="minorHAnsi"/>
        </w:rPr>
        <w:t>. Des informations concernant la réunion, ainsi que les contributions reçues, seront disponibles sur le site web du Groupe. La réunion s'ouvrira à 9 h 30 le 5 décembre 2014. L'enregistrement des participants débutera à 8 h 30 à l'entrée du bâtiment Montbrillant. Les précisions relatives à la salle de réunion seront affichées sur les écrans placés aux entrées du siège de l'UIT. Aucun droit d'inscription n'est demandé pour la participation à cette réunion.</w:t>
      </w:r>
    </w:p>
    <w:p w:rsidR="00740343" w:rsidRPr="00572B2C" w:rsidRDefault="00740343" w:rsidP="00740343">
      <w:pPr>
        <w:rPr>
          <w:rFonts w:asciiTheme="minorHAnsi" w:hAnsiTheme="minorHAnsi"/>
        </w:rPr>
      </w:pPr>
      <w:r w:rsidRPr="00572B2C">
        <w:rPr>
          <w:rFonts w:asciiTheme="minorHAnsi" w:hAnsiTheme="minorHAnsi"/>
        </w:rPr>
        <w:t>10</w:t>
      </w:r>
      <w:r w:rsidRPr="00572B2C">
        <w:rPr>
          <w:rFonts w:asciiTheme="minorHAnsi" w:hAnsiTheme="minorHAnsi"/>
        </w:rPr>
        <w:tab/>
        <w:t>Les débats se dérouleront en anglais uniquement.</w:t>
      </w:r>
    </w:p>
    <w:p w:rsidR="00740343" w:rsidRPr="00572B2C" w:rsidRDefault="00740343" w:rsidP="00740343">
      <w:pPr>
        <w:rPr>
          <w:rFonts w:asciiTheme="minorHAnsi" w:hAnsiTheme="minorHAnsi"/>
        </w:rPr>
      </w:pPr>
      <w:r w:rsidRPr="00572B2C">
        <w:rPr>
          <w:rFonts w:asciiTheme="minorHAnsi" w:hAnsiTheme="minorHAnsi"/>
        </w:rPr>
        <w:t>11</w:t>
      </w:r>
      <w:r w:rsidRPr="00572B2C">
        <w:rPr>
          <w:rFonts w:asciiTheme="minorHAnsi" w:hAnsiTheme="minorHAnsi"/>
        </w:rPr>
        <w:tab/>
        <w:t>Les documents de cette réunion seront accessibles au public. Pour la préparation des documents, nous vous prions de bien vouloir utiliser le gabarit de base pour les documents des groupes spécialisés, disponible sur la page web du Groupe FG</w:t>
      </w:r>
      <w:r w:rsidRPr="00572B2C">
        <w:rPr>
          <w:rFonts w:asciiTheme="minorHAnsi" w:hAnsiTheme="minorHAnsi"/>
        </w:rPr>
        <w:noBreakHyphen/>
        <w:t>DFS. Les participants à la réunion du Groupe doivent soumettre leurs contributions en version électronique au TSB en procédant de la manière suivante:</w:t>
      </w:r>
    </w:p>
    <w:p w:rsidR="00740343" w:rsidRPr="00572B2C" w:rsidRDefault="00740343" w:rsidP="00740343">
      <w:pPr>
        <w:pStyle w:val="enumlev1"/>
        <w:rPr>
          <w:rFonts w:asciiTheme="minorHAnsi" w:hAnsiTheme="minorHAnsi"/>
        </w:rPr>
      </w:pPr>
      <w:r w:rsidRPr="00572B2C">
        <w:rPr>
          <w:rFonts w:asciiTheme="minorHAnsi" w:hAnsiTheme="minorHAnsi"/>
        </w:rPr>
        <w:t>–</w:t>
      </w:r>
      <w:r w:rsidRPr="00572B2C">
        <w:rPr>
          <w:rFonts w:asciiTheme="minorHAnsi" w:hAnsiTheme="minorHAnsi"/>
        </w:rPr>
        <w:tab/>
        <w:t xml:space="preserve">Prendre contact avec le TSB, à l'adresse </w:t>
      </w:r>
      <w:hyperlink r:id="rId14" w:history="1">
        <w:r w:rsidR="00CB39DC" w:rsidRPr="00127DEE">
          <w:rPr>
            <w:rStyle w:val="Hyperlink"/>
            <w:rFonts w:asciiTheme="minorHAnsi" w:hAnsiTheme="minorHAnsi"/>
          </w:rPr>
          <w:t>tsbfg</w:t>
        </w:r>
        <w:r w:rsidR="00CB39DC" w:rsidRPr="00127DEE">
          <w:rPr>
            <w:rStyle w:val="Hyperlink"/>
            <w:rFonts w:asciiTheme="minorHAnsi" w:hAnsiTheme="minorHAnsi"/>
          </w:rPr>
          <w:t>d</w:t>
        </w:r>
        <w:r w:rsidR="00CB39DC" w:rsidRPr="00127DEE">
          <w:rPr>
            <w:rStyle w:val="Hyperlink"/>
            <w:rFonts w:asciiTheme="minorHAnsi" w:hAnsiTheme="minorHAnsi"/>
          </w:rPr>
          <w:t>fs</w:t>
        </w:r>
        <w:r w:rsidR="00CB39DC" w:rsidRPr="00127DEE">
          <w:rPr>
            <w:rStyle w:val="Hyperlink"/>
            <w:rFonts w:asciiTheme="minorHAnsi" w:hAnsiTheme="minorHAnsi"/>
          </w:rPr>
          <w:t>@</w:t>
        </w:r>
        <w:r w:rsidR="00CB39DC" w:rsidRPr="00127DEE">
          <w:rPr>
            <w:rStyle w:val="Hyperlink"/>
            <w:rFonts w:asciiTheme="minorHAnsi" w:hAnsiTheme="minorHAnsi"/>
          </w:rPr>
          <w:t>itu.int</w:t>
        </w:r>
      </w:hyperlink>
      <w:r w:rsidRPr="00572B2C">
        <w:rPr>
          <w:rFonts w:asciiTheme="minorHAnsi" w:hAnsiTheme="minorHAnsi"/>
        </w:rPr>
        <w:t>, afin de recevoir un numéro (nnnn) pour chaque document.</w:t>
      </w:r>
    </w:p>
    <w:p w:rsidR="00740343" w:rsidRPr="00572B2C" w:rsidRDefault="00740343" w:rsidP="00740343">
      <w:pPr>
        <w:pStyle w:val="enumlev1"/>
        <w:spacing w:before="0"/>
        <w:rPr>
          <w:rFonts w:asciiTheme="minorHAnsi" w:hAnsiTheme="minorHAnsi"/>
        </w:rPr>
      </w:pPr>
      <w:r w:rsidRPr="00572B2C">
        <w:rPr>
          <w:rFonts w:asciiTheme="minorHAnsi" w:hAnsiTheme="minorHAnsi"/>
        </w:rPr>
        <w:t>–</w:t>
      </w:r>
      <w:r w:rsidRPr="00572B2C">
        <w:rPr>
          <w:rFonts w:asciiTheme="minorHAnsi" w:hAnsiTheme="minorHAnsi"/>
        </w:rPr>
        <w:tab/>
        <w:t>Préparer les documents et les nommer comme suit: dfs-i-nnnn (suivi de l'extension de fichier appropriée).</w:t>
      </w:r>
    </w:p>
    <w:p w:rsidR="00892315" w:rsidRDefault="00892315">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Pr>
          <w:rFonts w:asciiTheme="minorHAnsi" w:hAnsiTheme="minorHAnsi"/>
        </w:rPr>
        <w:br w:type="page"/>
      </w:r>
    </w:p>
    <w:p w:rsidR="00740343" w:rsidRPr="00572B2C" w:rsidRDefault="00740343" w:rsidP="00740343">
      <w:pPr>
        <w:pStyle w:val="enumlev1"/>
        <w:spacing w:before="0"/>
        <w:rPr>
          <w:rFonts w:asciiTheme="minorHAnsi" w:hAnsiTheme="minorHAnsi"/>
        </w:rPr>
      </w:pPr>
      <w:r w:rsidRPr="00572B2C">
        <w:rPr>
          <w:rFonts w:asciiTheme="minorHAnsi" w:hAnsiTheme="minorHAnsi"/>
        </w:rPr>
        <w:t>–</w:t>
      </w:r>
      <w:r w:rsidRPr="00572B2C">
        <w:rPr>
          <w:rFonts w:asciiTheme="minorHAnsi" w:hAnsiTheme="minorHAnsi"/>
        </w:rPr>
        <w:tab/>
        <w:t>En utilisant un client FTP, télécharger le document vers le répertoire prévu à cet effet dans la zone FTP du Groupe FG</w:t>
      </w:r>
      <w:r w:rsidRPr="00572B2C">
        <w:rPr>
          <w:rFonts w:asciiTheme="minorHAnsi" w:hAnsiTheme="minorHAnsi"/>
        </w:rPr>
        <w:noBreakHyphen/>
        <w:t>DFS, à savoir:</w:t>
      </w:r>
    </w:p>
    <w:p w:rsidR="00740343" w:rsidRPr="00572B2C" w:rsidRDefault="00740343" w:rsidP="00740343">
      <w:pPr>
        <w:pStyle w:val="enumlev1"/>
        <w:spacing w:before="0"/>
        <w:rPr>
          <w:rFonts w:asciiTheme="minorHAnsi" w:hAnsiTheme="minorHAnsi"/>
        </w:rPr>
      </w:pPr>
      <w:r w:rsidRPr="00572B2C">
        <w:rPr>
          <w:rFonts w:asciiTheme="minorHAnsi" w:hAnsiTheme="minorHAnsi"/>
        </w:rPr>
        <w:tab/>
      </w:r>
      <w:r w:rsidRPr="00572B2C">
        <w:rPr>
          <w:rFonts w:asciiTheme="minorHAnsi" w:hAnsiTheme="minorHAnsi"/>
          <w:b/>
          <w:bCs/>
        </w:rPr>
        <w:t>Nom d'hôte</w:t>
      </w:r>
      <w:r w:rsidRPr="00572B2C">
        <w:rPr>
          <w:rFonts w:asciiTheme="minorHAnsi" w:hAnsiTheme="minorHAnsi"/>
        </w:rPr>
        <w:t xml:space="preserve">: </w:t>
      </w:r>
      <w:r w:rsidRPr="00892315">
        <w:rPr>
          <w:rStyle w:val="Hyperlink"/>
          <w:rFonts w:asciiTheme="minorHAnsi" w:hAnsiTheme="minorHAnsi"/>
          <w:color w:val="auto"/>
          <w:u w:val="none"/>
        </w:rPr>
        <w:t>ifa</w:t>
      </w:r>
      <w:r w:rsidRPr="00892315">
        <w:rPr>
          <w:rStyle w:val="Hyperlink"/>
          <w:rFonts w:asciiTheme="minorHAnsi" w:hAnsiTheme="minorHAnsi"/>
          <w:color w:val="auto"/>
          <w:u w:val="none"/>
        </w:rPr>
        <w:t>.</w:t>
      </w:r>
      <w:r w:rsidRPr="00892315">
        <w:rPr>
          <w:rStyle w:val="Hyperlink"/>
          <w:rFonts w:asciiTheme="minorHAnsi" w:hAnsiTheme="minorHAnsi"/>
          <w:color w:val="auto"/>
          <w:u w:val="none"/>
        </w:rPr>
        <w:t>itu.</w:t>
      </w:r>
      <w:r w:rsidRPr="00892315">
        <w:rPr>
          <w:rStyle w:val="Hyperlink"/>
          <w:rFonts w:asciiTheme="minorHAnsi" w:hAnsiTheme="minorHAnsi"/>
          <w:color w:val="auto"/>
          <w:u w:val="none"/>
        </w:rPr>
        <w:t>i</w:t>
      </w:r>
      <w:r w:rsidRPr="00892315">
        <w:rPr>
          <w:rStyle w:val="Hyperlink"/>
          <w:rFonts w:asciiTheme="minorHAnsi" w:hAnsiTheme="minorHAnsi"/>
          <w:color w:val="auto"/>
          <w:u w:val="none"/>
        </w:rPr>
        <w:t>nt</w:t>
      </w:r>
      <w:r w:rsidR="00CB39DC" w:rsidRPr="00892315">
        <w:rPr>
          <w:rStyle w:val="Hyperlink"/>
          <w:rFonts w:asciiTheme="minorHAnsi" w:hAnsiTheme="minorHAnsi"/>
          <w:color w:val="auto"/>
        </w:rPr>
        <w:t xml:space="preserve"> </w:t>
      </w:r>
    </w:p>
    <w:p w:rsidR="00740343" w:rsidRPr="00572B2C" w:rsidRDefault="00740343" w:rsidP="00740343">
      <w:pPr>
        <w:pStyle w:val="enumlev1"/>
        <w:spacing w:before="0"/>
        <w:rPr>
          <w:rFonts w:asciiTheme="minorHAnsi" w:hAnsiTheme="minorHAnsi"/>
        </w:rPr>
      </w:pPr>
      <w:r w:rsidRPr="00572B2C">
        <w:rPr>
          <w:rFonts w:asciiTheme="minorHAnsi" w:hAnsiTheme="minorHAnsi"/>
        </w:rPr>
        <w:tab/>
      </w:r>
      <w:r w:rsidRPr="00572B2C">
        <w:rPr>
          <w:rFonts w:asciiTheme="minorHAnsi" w:hAnsiTheme="minorHAnsi"/>
          <w:b/>
          <w:bCs/>
        </w:rPr>
        <w:t>Chemin</w:t>
      </w:r>
      <w:r w:rsidRPr="00572B2C">
        <w:rPr>
          <w:rFonts w:asciiTheme="minorHAnsi" w:hAnsiTheme="minorHAnsi"/>
        </w:rPr>
        <w:t xml:space="preserve">: </w:t>
      </w:r>
      <w:r w:rsidRPr="00892315">
        <w:rPr>
          <w:rStyle w:val="Hyperlink"/>
          <w:rFonts w:asciiTheme="minorHAnsi" w:hAnsiTheme="minorHAnsi"/>
          <w:color w:val="auto"/>
          <w:u w:val="none"/>
        </w:rPr>
        <w:t>/t/fg/dfs/docs/incoming</w:t>
      </w:r>
    </w:p>
    <w:p w:rsidR="00740343" w:rsidRPr="00572B2C" w:rsidRDefault="00740343" w:rsidP="00740343">
      <w:pPr>
        <w:rPr>
          <w:rFonts w:asciiTheme="minorHAnsi" w:hAnsiTheme="minorHAnsi"/>
          <w:lang w:val="fr-CH"/>
        </w:rPr>
      </w:pPr>
      <w:r w:rsidRPr="004B4FD9">
        <w:rPr>
          <w:rFonts w:asciiTheme="minorHAnsi" w:hAnsiTheme="minorHAnsi"/>
        </w:rPr>
        <w:lastRenderedPageBreak/>
        <w:t>Note:</w:t>
      </w:r>
      <w:r w:rsidRPr="00572B2C">
        <w:rPr>
          <w:rFonts w:asciiTheme="minorHAnsi" w:hAnsiTheme="minorHAnsi"/>
        </w:rPr>
        <w:t xml:space="preserve"> Le contenu de la boîte de dépôt des documents est consultable avec un navigateur Internet, à l'adresse: </w:t>
      </w:r>
      <w:hyperlink r:id="rId15" w:history="1">
        <w:r w:rsidRPr="00572B2C">
          <w:rPr>
            <w:rStyle w:val="Hyperlink"/>
            <w:rFonts w:asciiTheme="minorHAnsi" w:eastAsia="Malgun Gothic" w:hAnsiTheme="minorHAnsi" w:cstheme="majorBidi"/>
            <w:szCs w:val="24"/>
            <w:lang w:val="fr-CH"/>
          </w:rPr>
          <w:t>http://ifa.itu.int/t/f</w:t>
        </w:r>
        <w:r w:rsidRPr="00572B2C">
          <w:rPr>
            <w:rStyle w:val="Hyperlink"/>
            <w:rFonts w:asciiTheme="minorHAnsi" w:eastAsia="Malgun Gothic" w:hAnsiTheme="minorHAnsi" w:cstheme="majorBidi"/>
            <w:szCs w:val="24"/>
            <w:lang w:val="fr-CH"/>
          </w:rPr>
          <w:t>g</w:t>
        </w:r>
        <w:r w:rsidRPr="00572B2C">
          <w:rPr>
            <w:rStyle w:val="Hyperlink"/>
            <w:rFonts w:asciiTheme="minorHAnsi" w:eastAsia="Malgun Gothic" w:hAnsiTheme="minorHAnsi" w:cstheme="majorBidi"/>
            <w:szCs w:val="24"/>
            <w:lang w:val="fr-CH"/>
          </w:rPr>
          <w:t>/dfs/docs/1412-gva/in/</w:t>
        </w:r>
      </w:hyperlink>
      <w:r w:rsidRPr="00572B2C">
        <w:rPr>
          <w:rFonts w:asciiTheme="minorHAnsi" w:eastAsia="Malgun Gothic" w:hAnsiTheme="minorHAnsi" w:cstheme="majorBidi"/>
          <w:szCs w:val="24"/>
          <w:lang w:val="fr-CH"/>
        </w:rPr>
        <w:t>.</w:t>
      </w:r>
    </w:p>
    <w:p w:rsidR="00740343" w:rsidRPr="00572B2C" w:rsidRDefault="00740343" w:rsidP="00740343">
      <w:pPr>
        <w:rPr>
          <w:rFonts w:asciiTheme="minorHAnsi" w:hAnsiTheme="minorHAnsi"/>
        </w:rPr>
      </w:pPr>
      <w:r w:rsidRPr="00572B2C">
        <w:rPr>
          <w:rFonts w:asciiTheme="minorHAnsi" w:hAnsiTheme="minorHAnsi"/>
        </w:rPr>
        <w:t>Les documents seront traités par le TSB puis déplacés vers le répertoire en lecture seule approprié.</w:t>
      </w:r>
    </w:p>
    <w:p w:rsidR="00740343" w:rsidRPr="00572B2C" w:rsidRDefault="00740343" w:rsidP="00740343">
      <w:pPr>
        <w:rPr>
          <w:rFonts w:asciiTheme="minorHAnsi" w:hAnsiTheme="minorHAnsi"/>
        </w:rPr>
      </w:pPr>
      <w:r w:rsidRPr="00572B2C">
        <w:rPr>
          <w:rFonts w:asciiTheme="minorHAnsi" w:hAnsiTheme="minorHAnsi"/>
        </w:rPr>
        <w:t>12</w:t>
      </w:r>
      <w:r w:rsidRPr="00572B2C">
        <w:rPr>
          <w:rFonts w:asciiTheme="minorHAnsi" w:hAnsiTheme="minorHAnsi"/>
        </w:rPr>
        <w:tab/>
        <w:t xml:space="preserve">La date limite de soumission des contributions à la réunion est le </w:t>
      </w:r>
      <w:r w:rsidRPr="00572B2C">
        <w:rPr>
          <w:rFonts w:asciiTheme="minorHAnsi" w:hAnsiTheme="minorHAnsi"/>
          <w:b/>
        </w:rPr>
        <w:t>22 novembre 2014</w:t>
      </w:r>
      <w:r w:rsidRPr="00572B2C">
        <w:rPr>
          <w:rFonts w:asciiTheme="minorHAnsi" w:hAnsiTheme="minorHAnsi"/>
        </w:rPr>
        <w:t>. Veuillez noter qu'il s'agira d'une réunion sans documents papier.</w:t>
      </w:r>
    </w:p>
    <w:p w:rsidR="00740343" w:rsidRPr="00572B2C" w:rsidRDefault="00740343" w:rsidP="00740343">
      <w:pPr>
        <w:rPr>
          <w:rFonts w:asciiTheme="minorHAnsi" w:hAnsiTheme="minorHAnsi"/>
        </w:rPr>
      </w:pPr>
      <w:r w:rsidRPr="00572B2C">
        <w:rPr>
          <w:rFonts w:asciiTheme="minorHAnsi" w:hAnsiTheme="minorHAnsi"/>
        </w:rPr>
        <w:t>13</w:t>
      </w:r>
      <w:r w:rsidRPr="00572B2C">
        <w:rPr>
          <w:rFonts w:asciiTheme="minorHAnsi" w:hAnsiTheme="minorHAnsi"/>
        </w:rPr>
        <w:tab/>
        <w:t>Des équipements de réseau local sans fil (WLAN) sont à la disposition des délégués dans les principaux espaces de conférence de l'UIT. L'accès au réseau câblé continue d'être disponible dans le bâtiment Montbrillant de l'UIT. Vous trouverez de plus amples informations à ce sujet sur le site web de l'UIT-T (</w:t>
      </w:r>
      <w:hyperlink r:id="rId16" w:history="1">
        <w:r w:rsidRPr="00572B2C">
          <w:rPr>
            <w:rStyle w:val="Hyperlink"/>
            <w:rFonts w:asciiTheme="minorHAnsi" w:hAnsiTheme="minorHAnsi"/>
          </w:rPr>
          <w:t>http://www.itu.int/I</w:t>
        </w:r>
        <w:r w:rsidRPr="00572B2C">
          <w:rPr>
            <w:rStyle w:val="Hyperlink"/>
            <w:rFonts w:asciiTheme="minorHAnsi" w:hAnsiTheme="minorHAnsi"/>
          </w:rPr>
          <w:t>T</w:t>
        </w:r>
        <w:r w:rsidRPr="00572B2C">
          <w:rPr>
            <w:rStyle w:val="Hyperlink"/>
            <w:rFonts w:asciiTheme="minorHAnsi" w:hAnsiTheme="minorHAnsi"/>
          </w:rPr>
          <w:t>U-T/edh/faqs-support.html</w:t>
        </w:r>
      </w:hyperlink>
      <w:r w:rsidRPr="00572B2C">
        <w:rPr>
          <w:rFonts w:asciiTheme="minorHAnsi" w:hAnsiTheme="minorHAnsi"/>
        </w:rPr>
        <w:t>).</w:t>
      </w:r>
    </w:p>
    <w:p w:rsidR="00740343" w:rsidRPr="00572B2C" w:rsidRDefault="00740343" w:rsidP="00740343">
      <w:pPr>
        <w:rPr>
          <w:rFonts w:asciiTheme="minorHAnsi" w:hAnsiTheme="minorHAnsi"/>
        </w:rPr>
      </w:pPr>
      <w:r w:rsidRPr="00572B2C">
        <w:rPr>
          <w:rFonts w:asciiTheme="minorHAnsi" w:hAnsiTheme="minorHAnsi"/>
        </w:rPr>
        <w:t>14</w:t>
      </w:r>
      <w:r w:rsidRPr="00572B2C">
        <w:rPr>
          <w:rFonts w:asciiTheme="minorHAnsi" w:hAnsiTheme="minorHAnsi"/>
        </w:rPr>
        <w:tab/>
        <w:t>Pour faciliter vos démarches, vous trouverez un formulaire de confirmation d'hôtel à l'</w:t>
      </w:r>
      <w:r w:rsidRPr="00572B2C">
        <w:rPr>
          <w:rFonts w:asciiTheme="minorHAnsi" w:hAnsiTheme="minorHAnsi"/>
          <w:b/>
        </w:rPr>
        <w:t>Annexe 3</w:t>
      </w:r>
      <w:r w:rsidRPr="00572B2C">
        <w:rPr>
          <w:rFonts w:asciiTheme="minorHAnsi" w:hAnsiTheme="minorHAnsi"/>
          <w:bCs/>
        </w:rPr>
        <w:t xml:space="preserve"> (</w:t>
      </w:r>
      <w:r w:rsidRPr="00572B2C">
        <w:rPr>
          <w:rFonts w:asciiTheme="minorHAnsi" w:hAnsiTheme="minorHAnsi"/>
        </w:rPr>
        <w:t>voir: </w:t>
      </w:r>
      <w:hyperlink r:id="rId17" w:history="1">
        <w:r w:rsidRPr="00572B2C">
          <w:rPr>
            <w:rStyle w:val="Hyperlink"/>
            <w:rFonts w:asciiTheme="minorHAnsi" w:hAnsiTheme="minorHAnsi"/>
          </w:rPr>
          <w:t>http://ww</w:t>
        </w:r>
        <w:r w:rsidRPr="00572B2C">
          <w:rPr>
            <w:rStyle w:val="Hyperlink"/>
            <w:rFonts w:asciiTheme="minorHAnsi" w:hAnsiTheme="minorHAnsi"/>
          </w:rPr>
          <w:t>w</w:t>
        </w:r>
        <w:r w:rsidRPr="00572B2C">
          <w:rPr>
            <w:rStyle w:val="Hyperlink"/>
            <w:rFonts w:asciiTheme="minorHAnsi" w:hAnsiTheme="minorHAnsi"/>
          </w:rPr>
          <w:t>.itu.int/travel/</w:t>
        </w:r>
      </w:hyperlink>
      <w:r w:rsidRPr="00572B2C">
        <w:rPr>
          <w:rFonts w:asciiTheme="minorHAnsi" w:hAnsiTheme="minorHAnsi"/>
        </w:rPr>
        <w:t xml:space="preserve"> pour la liste des hôtels).</w:t>
      </w:r>
    </w:p>
    <w:p w:rsidR="00740343" w:rsidRPr="00572B2C" w:rsidRDefault="00740343" w:rsidP="00740343">
      <w:pPr>
        <w:rPr>
          <w:rFonts w:asciiTheme="minorHAnsi" w:hAnsiTheme="minorHAnsi"/>
        </w:rPr>
      </w:pPr>
      <w:r w:rsidRPr="00572B2C">
        <w:rPr>
          <w:rFonts w:asciiTheme="minorHAnsi" w:hAnsiTheme="minorHAnsi"/>
        </w:rPr>
        <w:t>15</w:t>
      </w:r>
      <w:r w:rsidRPr="00572B2C">
        <w:rPr>
          <w:rFonts w:asciiTheme="minorHAnsi" w:hAnsiTheme="minorHAnsi"/>
        </w:rPr>
        <w:tab/>
        <w:t>Afin de permettre au TSB de prendre les dispositions nécessaires concernant l'organisation de la réunion du Groupe spécialisé et de l'atelier, je v</w:t>
      </w:r>
      <w:r w:rsidR="009340E9">
        <w:rPr>
          <w:rFonts w:asciiTheme="minorHAnsi" w:hAnsiTheme="minorHAnsi"/>
        </w:rPr>
        <w:t>ous saurais gré de bien vouloir </w:t>
      </w:r>
      <w:r w:rsidRPr="00572B2C">
        <w:rPr>
          <w:rFonts w:asciiTheme="minorHAnsi" w:hAnsiTheme="minorHAnsi"/>
        </w:rPr>
        <w:t xml:space="preserve">vous inscrire au moyen du formulaire en ligne dès que possible, et </w:t>
      </w:r>
      <w:r w:rsidR="009340E9">
        <w:rPr>
          <w:rFonts w:asciiTheme="minorHAnsi" w:hAnsiTheme="minorHAnsi"/>
          <w:b/>
        </w:rPr>
        <w:t>au plus tard le </w:t>
      </w:r>
      <w:r w:rsidRPr="00572B2C">
        <w:rPr>
          <w:rFonts w:asciiTheme="minorHAnsi" w:hAnsiTheme="minorHAnsi"/>
          <w:b/>
        </w:rPr>
        <w:t>24 novembre 2014</w:t>
      </w:r>
      <w:r w:rsidRPr="00572B2C">
        <w:rPr>
          <w:rFonts w:asciiTheme="minorHAnsi" w:hAnsiTheme="minorHAnsi"/>
          <w:bCs/>
        </w:rPr>
        <w:t>.</w:t>
      </w:r>
      <w:r w:rsidRPr="00572B2C">
        <w:rPr>
          <w:rFonts w:asciiTheme="minorHAnsi" w:hAnsiTheme="minorHAnsi"/>
          <w:b/>
        </w:rPr>
        <w:t xml:space="preserve"> Veuillez noter que la préinscription des participants à la réunion se fait exclusivement </w:t>
      </w:r>
      <w:r w:rsidRPr="00572B2C">
        <w:rPr>
          <w:rFonts w:asciiTheme="minorHAnsi" w:hAnsiTheme="minorHAnsi"/>
          <w:b/>
          <w:i/>
          <w:iCs/>
        </w:rPr>
        <w:t>en ligne</w:t>
      </w:r>
      <w:r w:rsidRPr="00572B2C">
        <w:rPr>
          <w:rFonts w:asciiTheme="minorHAnsi" w:hAnsiTheme="minorHAnsi"/>
          <w:bCs/>
        </w:rPr>
        <w:t xml:space="preserve">, à l'adresse: </w:t>
      </w:r>
      <w:hyperlink r:id="rId18" w:history="1">
        <w:r w:rsidR="009340E9" w:rsidRPr="007F5005">
          <w:rPr>
            <w:rStyle w:val="Hyperlink"/>
            <w:rFonts w:asciiTheme="minorHAnsi" w:eastAsia="Malgun Gothic" w:hAnsiTheme="minorHAnsi" w:cstheme="majorBidi"/>
            <w:szCs w:val="24"/>
          </w:rPr>
          <w:t>http://www</w:t>
        </w:r>
        <w:r w:rsidR="009340E9" w:rsidRPr="007F5005">
          <w:rPr>
            <w:rStyle w:val="Hyperlink"/>
            <w:rFonts w:asciiTheme="minorHAnsi" w:eastAsia="Malgun Gothic" w:hAnsiTheme="minorHAnsi" w:cstheme="majorBidi"/>
            <w:szCs w:val="24"/>
          </w:rPr>
          <w:t>.</w:t>
        </w:r>
        <w:r w:rsidR="009340E9" w:rsidRPr="007F5005">
          <w:rPr>
            <w:rStyle w:val="Hyperlink"/>
            <w:rFonts w:asciiTheme="minorHAnsi" w:eastAsia="Malgun Gothic" w:hAnsiTheme="minorHAnsi" w:cstheme="majorBidi"/>
            <w:szCs w:val="24"/>
          </w:rPr>
          <w:t>itu.int/en</w:t>
        </w:r>
        <w:r w:rsidR="009340E9" w:rsidRPr="007F5005">
          <w:rPr>
            <w:rStyle w:val="Hyperlink"/>
            <w:rFonts w:asciiTheme="minorHAnsi" w:eastAsia="Malgun Gothic" w:hAnsiTheme="minorHAnsi" w:cstheme="majorBidi"/>
            <w:szCs w:val="24"/>
          </w:rPr>
          <w:t>/</w:t>
        </w:r>
        <w:r w:rsidR="009340E9" w:rsidRPr="007F5005">
          <w:rPr>
            <w:rStyle w:val="Hyperlink"/>
            <w:rFonts w:asciiTheme="minorHAnsi" w:eastAsia="Malgun Gothic" w:hAnsiTheme="minorHAnsi" w:cstheme="majorBidi"/>
            <w:szCs w:val="24"/>
          </w:rPr>
          <w:t>ITU-T/focusgroups/dfs/Pages/</w:t>
        </w:r>
        <w:r w:rsidR="009340E9" w:rsidRPr="007F5005">
          <w:rPr>
            <w:rStyle w:val="Hyperlink"/>
            <w:rFonts w:asciiTheme="minorHAnsi" w:eastAsia="Malgun Gothic" w:hAnsiTheme="minorHAnsi" w:cstheme="majorBidi"/>
            <w:szCs w:val="24"/>
          </w:rPr>
          <w:br/>
          <w:t>default.aspx</w:t>
        </w:r>
      </w:hyperlink>
      <w:r w:rsidRPr="00572B2C">
        <w:rPr>
          <w:rFonts w:asciiTheme="minorHAnsi" w:eastAsia="Malgun Gothic" w:hAnsiTheme="minorHAnsi" w:cstheme="majorBidi"/>
          <w:bCs/>
          <w:iCs/>
          <w:szCs w:val="24"/>
        </w:rPr>
        <w:t xml:space="preserve">. </w:t>
      </w:r>
      <w:r w:rsidRPr="00572B2C">
        <w:rPr>
          <w:rFonts w:asciiTheme="minorHAnsi" w:hAnsiTheme="minorHAnsi"/>
        </w:rPr>
        <w:t>Afin que nous puissions vous communiquer d'éventuelles mises à jour concernant le programme de la réunion, nous vous prions d'indiquer une adresse de courrier électronique valable sur le formulaire d'inscription.</w:t>
      </w:r>
    </w:p>
    <w:p w:rsidR="00740343" w:rsidRPr="00572B2C" w:rsidRDefault="00740343" w:rsidP="00740343">
      <w:pPr>
        <w:rPr>
          <w:rFonts w:asciiTheme="minorHAnsi" w:hAnsiTheme="minorHAnsi"/>
        </w:rPr>
      </w:pPr>
      <w:r w:rsidRPr="00572B2C">
        <w:rPr>
          <w:rFonts w:asciiTheme="minorHAnsi" w:hAnsiTheme="minorHAnsi"/>
        </w:rPr>
        <w:t>16</w:t>
      </w:r>
      <w:r w:rsidRPr="00572B2C">
        <w:rPr>
          <w:rFonts w:asciiTheme="minorHAnsi" w:hAnsiTheme="minorHAnsi"/>
        </w:rPr>
        <w:tab/>
        <w:t xml:space="preserve">Nous vous rappelons que, pour les ressortissants de certains pays, l'entrée et le séjour sur le territoire de la Suisse sont soumis à l'obtention d'un visa. </w:t>
      </w:r>
      <w:r w:rsidRPr="00572B2C">
        <w:rPr>
          <w:rFonts w:asciiTheme="minorHAnsi" w:hAnsiTheme="minorHAnsi"/>
          <w:b/>
          <w:bCs/>
        </w:rPr>
        <w:t xml:space="preserve">Ce visa doit être demandé au moins quatre (4) semaines avant la date du début de la réunion </w:t>
      </w:r>
      <w:r w:rsidRPr="00572B2C">
        <w:rPr>
          <w:rFonts w:asciiTheme="minorHAnsi" w:hAnsiTheme="minorHAnsi"/>
        </w:rPr>
        <w:t xml:space="preserve">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572B2C">
        <w:rPr>
          <w:rFonts w:asciiTheme="minorHAnsi" w:hAnsiTheme="minorHAnsi"/>
          <w:b/>
        </w:rPr>
        <w:t>quatre</w:t>
      </w:r>
      <w:r w:rsidRPr="00572B2C">
        <w:rPr>
          <w:rFonts w:asciiTheme="minorHAnsi" w:hAnsiTheme="minorHAnsi"/>
        </w:rPr>
        <w:t xml:space="preserve"> semaines susmentionnée. Cette demande doit préciser le nom et les fonctions, la date de naissance, le numéro ainsi que les dates de délivrance et d'expiration du passeport de la (des) personne(s) pour laquelle (lesquelles) le (les) visa(s) est (sont) demandé(s)</w:t>
      </w:r>
      <w:r w:rsidRPr="00572B2C">
        <w:rPr>
          <w:rStyle w:val="FootnoteReference"/>
          <w:rFonts w:asciiTheme="minorHAnsi" w:hAnsiTheme="minorHAnsi"/>
        </w:rPr>
        <w:footnoteReference w:id="1"/>
      </w:r>
      <w:r w:rsidRPr="00572B2C">
        <w:rPr>
          <w:rFonts w:asciiTheme="minorHAnsi" w:hAnsiTheme="minorHAnsi"/>
        </w:rPr>
        <w:t>, et être accompagnée d'une copie de la notification de confirmation d'inscription approuvée pour la réunion en question de l'UIT-T. Elle doit être envoyée au TSB, avec la mention "</w:t>
      </w:r>
      <w:r w:rsidRPr="00572B2C">
        <w:rPr>
          <w:rFonts w:asciiTheme="minorHAnsi" w:hAnsiTheme="minorHAnsi"/>
          <w:b/>
          <w:bCs/>
        </w:rPr>
        <w:t>demande de visa</w:t>
      </w:r>
      <w:r w:rsidRPr="00572B2C">
        <w:rPr>
          <w:rFonts w:asciiTheme="minorHAnsi" w:hAnsiTheme="minorHAnsi"/>
        </w:rPr>
        <w:t>", par télécopie (+41 22 730 5853) ou par courrier électronique (</w:t>
      </w:r>
      <w:hyperlink r:id="rId19" w:history="1">
        <w:r w:rsidRPr="00572B2C">
          <w:rPr>
            <w:rStyle w:val="Hyperlink"/>
            <w:rFonts w:asciiTheme="minorHAnsi" w:hAnsiTheme="minorHAnsi"/>
            <w:szCs w:val="24"/>
          </w:rPr>
          <w:t>tsbreg@i</w:t>
        </w:r>
        <w:r w:rsidRPr="00572B2C">
          <w:rPr>
            <w:rStyle w:val="Hyperlink"/>
            <w:rFonts w:asciiTheme="minorHAnsi" w:hAnsiTheme="minorHAnsi"/>
            <w:szCs w:val="24"/>
          </w:rPr>
          <w:t>t</w:t>
        </w:r>
        <w:r w:rsidRPr="00572B2C">
          <w:rPr>
            <w:rStyle w:val="Hyperlink"/>
            <w:rFonts w:asciiTheme="minorHAnsi" w:hAnsiTheme="minorHAnsi"/>
            <w:szCs w:val="24"/>
          </w:rPr>
          <w:t>u.int</w:t>
        </w:r>
      </w:hyperlink>
      <w:r w:rsidRPr="00572B2C">
        <w:rPr>
          <w:rFonts w:asciiTheme="minorHAnsi" w:hAnsiTheme="minorHAnsi"/>
        </w:rPr>
        <w:t>).</w:t>
      </w:r>
    </w:p>
    <w:p w:rsidR="00892315" w:rsidRPr="00892315" w:rsidRDefault="00892315">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pPr>
      <w:r w:rsidRPr="00892315">
        <w:rPr>
          <w:rFonts w:asciiTheme="minorHAnsi" w:hAnsiTheme="minorHAnsi"/>
          <w:b/>
          <w:bCs/>
        </w:rPr>
        <w:br w:type="page"/>
      </w:r>
    </w:p>
    <w:p w:rsidR="00740343" w:rsidRPr="00572B2C" w:rsidRDefault="00740343" w:rsidP="00740343">
      <w:pPr>
        <w:rPr>
          <w:rFonts w:asciiTheme="minorHAnsi" w:hAnsiTheme="minorHAnsi"/>
        </w:rPr>
      </w:pPr>
      <w:r w:rsidRPr="00572B2C">
        <w:rPr>
          <w:rFonts w:asciiTheme="minorHAnsi" w:hAnsiTheme="minorHAnsi"/>
          <w:b/>
          <w:bCs/>
          <w:u w:val="single"/>
        </w:rPr>
        <w:t>Veuillez également noter que l'UIT peut prêter assistance uniquement aux représentants des Etats Membres de l'UIT, des Membres de Secteur de l'UIT, des Associés de l'UIT ou des établissements universitaires participant aux travaux de l'UIT</w:t>
      </w:r>
      <w:r w:rsidRPr="00572B2C">
        <w:rPr>
          <w:rFonts w:asciiTheme="minorHAnsi" w:hAnsiTheme="minorHAnsi"/>
          <w:b/>
          <w:bCs/>
        </w:rPr>
        <w:t>.</w:t>
      </w:r>
    </w:p>
    <w:p w:rsidR="00517A03" w:rsidRPr="00572B2C" w:rsidRDefault="00517A03" w:rsidP="00A5280F">
      <w:pPr>
        <w:rPr>
          <w:rFonts w:asciiTheme="minorHAnsi" w:hAnsiTheme="minorHAnsi"/>
        </w:rPr>
      </w:pPr>
      <w:r w:rsidRPr="00572B2C">
        <w:rPr>
          <w:rFonts w:asciiTheme="minorHAnsi" w:hAnsiTheme="minorHAnsi"/>
        </w:rPr>
        <w:t>Veuillez agréer, Madame, Monsieur, l</w:t>
      </w:r>
      <w:r w:rsidR="00167472" w:rsidRPr="00572B2C">
        <w:rPr>
          <w:rFonts w:asciiTheme="minorHAnsi" w:hAnsiTheme="minorHAnsi"/>
        </w:rPr>
        <w:t>'</w:t>
      </w:r>
      <w:r w:rsidRPr="00572B2C">
        <w:rPr>
          <w:rFonts w:asciiTheme="minorHAnsi" w:hAnsiTheme="minorHAnsi"/>
        </w:rPr>
        <w:t>assurance de ma haute considération.</w:t>
      </w:r>
    </w:p>
    <w:p w:rsidR="00892315" w:rsidRDefault="00892315" w:rsidP="009340E9">
      <w:pPr>
        <w:spacing w:before="480"/>
        <w:ind w:right="-284"/>
        <w:rPr>
          <w:rFonts w:asciiTheme="minorHAnsi" w:hAnsiTheme="minorHAnsi"/>
        </w:rPr>
      </w:pPr>
    </w:p>
    <w:p w:rsidR="00892315" w:rsidRDefault="00892315" w:rsidP="009340E9">
      <w:pPr>
        <w:spacing w:before="480"/>
        <w:ind w:right="-284"/>
        <w:rPr>
          <w:rFonts w:asciiTheme="minorHAnsi" w:hAnsiTheme="minorHAnsi"/>
        </w:rPr>
      </w:pPr>
    </w:p>
    <w:p w:rsidR="00892315" w:rsidRDefault="00892315" w:rsidP="009340E9">
      <w:pPr>
        <w:spacing w:before="480"/>
        <w:ind w:right="-284"/>
        <w:rPr>
          <w:rFonts w:asciiTheme="minorHAnsi" w:hAnsiTheme="minorHAnsi"/>
        </w:rPr>
      </w:pPr>
    </w:p>
    <w:p w:rsidR="00517A03" w:rsidRPr="00572B2C" w:rsidRDefault="00517A03" w:rsidP="009340E9">
      <w:pPr>
        <w:spacing w:before="480"/>
        <w:ind w:right="-284"/>
        <w:rPr>
          <w:rFonts w:asciiTheme="minorHAnsi" w:hAnsiTheme="minorHAnsi"/>
        </w:rPr>
      </w:pPr>
      <w:r w:rsidRPr="00572B2C">
        <w:rPr>
          <w:rFonts w:asciiTheme="minorHAnsi" w:hAnsiTheme="minorHAnsi"/>
        </w:rPr>
        <w:t>Malcolm Johnson</w:t>
      </w:r>
      <w:r w:rsidRPr="00572B2C">
        <w:rPr>
          <w:rFonts w:asciiTheme="minorHAnsi" w:hAnsiTheme="minorHAnsi"/>
        </w:rPr>
        <w:br/>
        <w:t>Directeur du Bureau de la</w:t>
      </w:r>
      <w:r w:rsidRPr="00572B2C">
        <w:rPr>
          <w:rFonts w:asciiTheme="minorHAnsi" w:hAnsiTheme="minorHAnsi"/>
        </w:rPr>
        <w:br/>
        <w:t>normalisation des télécommunications</w:t>
      </w:r>
    </w:p>
    <w:p w:rsidR="00740343" w:rsidRPr="00572B2C" w:rsidRDefault="00517A03" w:rsidP="009340E9">
      <w:pPr>
        <w:spacing w:before="360"/>
        <w:ind w:right="-284"/>
        <w:rPr>
          <w:rFonts w:asciiTheme="minorHAnsi" w:hAnsiTheme="minorHAnsi"/>
          <w:bCs/>
        </w:rPr>
      </w:pPr>
      <w:r w:rsidRPr="00572B2C">
        <w:rPr>
          <w:rFonts w:asciiTheme="minorHAnsi" w:hAnsiTheme="minorHAnsi"/>
          <w:b/>
        </w:rPr>
        <w:t>Annexe</w:t>
      </w:r>
      <w:r w:rsidR="00740343" w:rsidRPr="00572B2C">
        <w:rPr>
          <w:rFonts w:asciiTheme="minorHAnsi" w:hAnsiTheme="minorHAnsi"/>
          <w:b/>
        </w:rPr>
        <w:t>s</w:t>
      </w:r>
      <w:r w:rsidRPr="00572B2C">
        <w:rPr>
          <w:rFonts w:asciiTheme="minorHAnsi" w:hAnsiTheme="minorHAnsi"/>
          <w:bCs/>
        </w:rPr>
        <w:t xml:space="preserve">: </w:t>
      </w:r>
      <w:r w:rsidR="00892315">
        <w:rPr>
          <w:rFonts w:asciiTheme="minorHAnsi" w:hAnsiTheme="minorHAnsi"/>
          <w:bCs/>
        </w:rPr>
        <w:t>3</w:t>
      </w:r>
      <w:r w:rsidR="00740343" w:rsidRPr="00572B2C">
        <w:rPr>
          <w:rFonts w:asciiTheme="minorHAnsi" w:hAnsiTheme="minorHAnsi"/>
          <w:bCs/>
        </w:rPr>
        <w:br w:type="page"/>
      </w:r>
    </w:p>
    <w:p w:rsidR="00740343" w:rsidRPr="00572B2C" w:rsidRDefault="00740343" w:rsidP="00740343">
      <w:pPr>
        <w:pStyle w:val="Annex"/>
        <w:rPr>
          <w:rFonts w:asciiTheme="minorHAnsi" w:hAnsiTheme="minorHAnsi"/>
          <w:lang w:val="fr-CH"/>
        </w:rPr>
      </w:pPr>
      <w:r w:rsidRPr="00572B2C">
        <w:rPr>
          <w:rFonts w:asciiTheme="minorHAnsi" w:hAnsiTheme="minorHAnsi"/>
          <w:lang w:val="fr-CH"/>
        </w:rPr>
        <w:lastRenderedPageBreak/>
        <w:t>ANNEXE 1</w:t>
      </w:r>
    </w:p>
    <w:p w:rsidR="00740343" w:rsidRPr="00572B2C" w:rsidRDefault="00740343" w:rsidP="00740343">
      <w:pPr>
        <w:pStyle w:val="AnnexRef"/>
        <w:rPr>
          <w:rFonts w:asciiTheme="minorHAnsi" w:hAnsiTheme="minorHAnsi"/>
          <w:lang w:val="fr-CH"/>
        </w:rPr>
      </w:pPr>
      <w:r w:rsidRPr="00572B2C">
        <w:rPr>
          <w:rFonts w:asciiTheme="minorHAnsi" w:hAnsiTheme="minorHAnsi"/>
          <w:lang w:val="fr-CH"/>
        </w:rPr>
        <w:t>(de la Circulaire TSB 114)</w:t>
      </w:r>
    </w:p>
    <w:p w:rsidR="00740343" w:rsidRPr="00572B2C" w:rsidRDefault="00740343" w:rsidP="00740343">
      <w:pPr>
        <w:pStyle w:val="AnnexNotitle"/>
        <w:rPr>
          <w:rFonts w:asciiTheme="minorHAnsi" w:hAnsiTheme="minorHAnsi"/>
          <w:lang w:val="fr-CH"/>
        </w:rPr>
      </w:pPr>
      <w:r w:rsidRPr="00572B2C">
        <w:rPr>
          <w:rFonts w:asciiTheme="minorHAnsi" w:hAnsiTheme="minorHAnsi"/>
          <w:lang w:val="fr-CH"/>
        </w:rPr>
        <w:t>Mandat du Groupe spécialisé sur les services financiers numériques</w:t>
      </w:r>
    </w:p>
    <w:p w:rsidR="00740343" w:rsidRPr="00572B2C" w:rsidRDefault="00740343" w:rsidP="00740343">
      <w:pPr>
        <w:pStyle w:val="Heading1"/>
        <w:rPr>
          <w:rFonts w:asciiTheme="minorHAnsi" w:hAnsiTheme="minorHAnsi"/>
        </w:rPr>
      </w:pPr>
      <w:r w:rsidRPr="00572B2C">
        <w:rPr>
          <w:rFonts w:asciiTheme="minorHAnsi" w:hAnsiTheme="minorHAnsi"/>
        </w:rPr>
        <w:t>1</w:t>
      </w:r>
      <w:r w:rsidRPr="00572B2C">
        <w:rPr>
          <w:rFonts w:asciiTheme="minorHAnsi" w:hAnsiTheme="minorHAnsi"/>
        </w:rPr>
        <w:tab/>
        <w:t>Justification et domaine de compétence</w:t>
      </w:r>
    </w:p>
    <w:p w:rsidR="00740343" w:rsidRPr="00572B2C" w:rsidRDefault="00740343" w:rsidP="00740343">
      <w:pPr>
        <w:tabs>
          <w:tab w:val="clear" w:pos="794"/>
          <w:tab w:val="clear" w:pos="1191"/>
          <w:tab w:val="clear" w:pos="1588"/>
          <w:tab w:val="clear" w:pos="1985"/>
        </w:tabs>
        <w:overflowPunct/>
        <w:autoSpaceDE/>
        <w:autoSpaceDN/>
        <w:adjustRightInd/>
        <w:textAlignment w:val="auto"/>
        <w:rPr>
          <w:rFonts w:asciiTheme="minorHAnsi" w:hAnsiTheme="minorHAnsi" w:cs="Arial"/>
          <w:szCs w:val="24"/>
        </w:rPr>
      </w:pPr>
      <w:r w:rsidRPr="00572B2C">
        <w:rPr>
          <w:rFonts w:asciiTheme="minorHAnsi" w:hAnsiTheme="minorHAnsi"/>
        </w:rPr>
        <w:t xml:space="preserve">Dans le monde, plus de 2,5 milliards d'adultes, vivant pour la plupart dans des pays en développement, ne possèdent pas de compte bancaire classique. Le faible niveau d'inclusion financière des pays en développement constitue un obstacle au développement socio-économique de ces pays. Les transactions financières sur mobile peuvent changer la donne pour les personnes à revenu limité et faire de l'inclusion financière une réalité dans les pays en développement. Comme le montrent des signes concrets de plus en plus nombreux, améliorer l'accès des pauvres à des services financiers de haute qualité moyennant un coût abordable se traduira par une amélioration plus rapide de la qualité de vie des ménages et des communautés des pays en développement, ainsi que par une accélération de la croissance économique de ces pays. L'une des solutions les plus prometteuses pour fournir ces services financiers aux pauvres, à l'échelle voulue et en créant des profits, est l'utilisation de plates-formes de paiement numériques. </w:t>
      </w:r>
      <w:r w:rsidRPr="00572B2C">
        <w:rPr>
          <w:rFonts w:asciiTheme="minorHAnsi" w:hAnsiTheme="minorHAnsi" w:cs="Arial"/>
          <w:szCs w:val="24"/>
        </w:rPr>
        <w:t>La récente croissance des services financiers numériques a permis à des millions de personnes exclues du système financier classique de réaliser des transactions financières de façon sécurisée et fiable et à un coût relativement faible.</w:t>
      </w:r>
    </w:p>
    <w:p w:rsidR="00740343" w:rsidRPr="00572B2C" w:rsidRDefault="00740343" w:rsidP="00740343">
      <w:pPr>
        <w:tabs>
          <w:tab w:val="clear" w:pos="794"/>
          <w:tab w:val="clear" w:pos="1191"/>
          <w:tab w:val="clear" w:pos="1588"/>
          <w:tab w:val="clear" w:pos="1985"/>
        </w:tabs>
        <w:overflowPunct/>
        <w:autoSpaceDE/>
        <w:autoSpaceDN/>
        <w:adjustRightInd/>
        <w:textAlignment w:val="auto"/>
        <w:rPr>
          <w:rFonts w:asciiTheme="minorHAnsi" w:hAnsiTheme="minorHAnsi"/>
        </w:rPr>
      </w:pPr>
      <w:r w:rsidRPr="00572B2C">
        <w:rPr>
          <w:rFonts w:asciiTheme="minorHAnsi" w:hAnsiTheme="minorHAnsi"/>
        </w:rPr>
        <w:t>Les services financiers numériques offrent la possibilité d'étendre la fourniture de services financiers de base aux pauvres au moyen de nouvelles technologies, comme les téléphones mobiles et l'argent électronique, et de nouvelles filières, comme les agents de détail. Ces filières peuvent conduire à une réduction importante des coûts pour les clients et les fournisseurs de services, et ainsi rendre les services financiers accessibles aux communautés isolées et non desservies. L'utilisation des smartphones associée à des innovations technologiques telles que les communications en champ proche (NFC) et l'informatique en nuage modifient également le visage du secteur des services financiers.</w:t>
      </w:r>
    </w:p>
    <w:p w:rsidR="00740343" w:rsidRPr="00572B2C" w:rsidRDefault="00740343" w:rsidP="00740343">
      <w:pPr>
        <w:tabs>
          <w:tab w:val="clear" w:pos="794"/>
          <w:tab w:val="clear" w:pos="1191"/>
          <w:tab w:val="clear" w:pos="1588"/>
          <w:tab w:val="clear" w:pos="1985"/>
        </w:tabs>
        <w:overflowPunct/>
        <w:autoSpaceDE/>
        <w:autoSpaceDN/>
        <w:adjustRightInd/>
        <w:textAlignment w:val="auto"/>
        <w:rPr>
          <w:rFonts w:asciiTheme="minorHAnsi" w:hAnsiTheme="minorHAnsi"/>
        </w:rPr>
      </w:pPr>
      <w:r w:rsidRPr="00572B2C">
        <w:rPr>
          <w:rFonts w:asciiTheme="minorHAnsi" w:hAnsiTheme="minorHAnsi"/>
        </w:rPr>
        <w:t>Les activités du Groupe spécialisé seront axées sur les innovations en matière de paiement et de fourniture de services financiers au moyen de technologies mobiles qui ont lieu aussi bien dans les pays développés que dans les pays en développement, le cas des pays en développement faisant l'objet d'une attention particulière. L'innovation en matière de services financiers numériques dans les pays développés peut fournir des exemples de produits, de services et de bonnes pratiques qui pourraient trouver une application pertinente et efficace pour faciliter l'inclusion financière dans les économies émergentes, en particulier lorsque l'utilisation de ces produits et de ces services est éprouvée et normalisée.</w:t>
      </w:r>
    </w:p>
    <w:p w:rsidR="00740343" w:rsidRPr="00572B2C" w:rsidRDefault="00740343" w:rsidP="00740343">
      <w:pPr>
        <w:pStyle w:val="Heading1"/>
        <w:rPr>
          <w:rFonts w:asciiTheme="minorHAnsi" w:hAnsiTheme="minorHAnsi"/>
        </w:rPr>
      </w:pPr>
      <w:r w:rsidRPr="00572B2C">
        <w:rPr>
          <w:rFonts w:asciiTheme="minorHAnsi" w:hAnsiTheme="minorHAnsi"/>
        </w:rPr>
        <w:t>2</w:t>
      </w:r>
      <w:r w:rsidRPr="00572B2C">
        <w:rPr>
          <w:rFonts w:asciiTheme="minorHAnsi" w:hAnsiTheme="minorHAnsi"/>
        </w:rPr>
        <w:tab/>
        <w:t>Groupe spécialisé de l'UIT</w:t>
      </w:r>
      <w:r w:rsidRPr="00572B2C">
        <w:rPr>
          <w:rFonts w:asciiTheme="minorHAnsi" w:hAnsiTheme="minorHAnsi"/>
        </w:rPr>
        <w:noBreakHyphen/>
        <w:t>T sur les services financiers numériques (Groupe FG</w:t>
      </w:r>
      <w:r w:rsidRPr="00572B2C">
        <w:rPr>
          <w:rFonts w:asciiTheme="minorHAnsi" w:hAnsiTheme="minorHAnsi"/>
        </w:rPr>
        <w:noBreakHyphen/>
        <w:t>DFS)</w:t>
      </w:r>
    </w:p>
    <w:p w:rsidR="00740343" w:rsidRPr="00572B2C" w:rsidRDefault="00740343" w:rsidP="00740343">
      <w:pPr>
        <w:rPr>
          <w:rFonts w:asciiTheme="minorHAnsi" w:hAnsiTheme="minorHAnsi"/>
          <w:color w:val="000000"/>
        </w:rPr>
      </w:pPr>
      <w:r w:rsidRPr="00572B2C">
        <w:rPr>
          <w:rFonts w:asciiTheme="minorHAnsi" w:hAnsiTheme="minorHAnsi"/>
        </w:rPr>
        <w:t>Le Groupe spécialisé FG</w:t>
      </w:r>
      <w:r w:rsidRPr="00572B2C">
        <w:rPr>
          <w:rFonts w:asciiTheme="minorHAnsi" w:hAnsiTheme="minorHAnsi"/>
        </w:rPr>
        <w:noBreakHyphen/>
        <w:t>DFS de l'UIT</w:t>
      </w:r>
      <w:r w:rsidRPr="00572B2C">
        <w:rPr>
          <w:rFonts w:asciiTheme="minorHAnsi" w:hAnsiTheme="minorHAnsi"/>
        </w:rPr>
        <w:noBreakHyphen/>
        <w:t>T analysera les solutions et les projets TIC en faveur de l'inclusion numérique, les services financiers sécurisés sur mobile, et les nouvelles technologies dans ce domaine susceptibles d'être normalisées par les commissions d'études de l'UIT</w:t>
      </w:r>
      <w:r w:rsidRPr="00572B2C">
        <w:rPr>
          <w:rFonts w:asciiTheme="minorHAnsi" w:hAnsiTheme="minorHAnsi"/>
        </w:rPr>
        <w:noBreakHyphen/>
        <w:t>T. En outre, il recensera les bonnes pratiques qui pourraient faciliter la mise en oeuvre de ces solutions à l'échelle mondiale.</w:t>
      </w:r>
    </w:p>
    <w:p w:rsidR="00574CD6" w:rsidRDefault="00574CD6" w:rsidP="00740343">
      <w:pPr>
        <w:tabs>
          <w:tab w:val="clear" w:pos="794"/>
          <w:tab w:val="clear" w:pos="1191"/>
          <w:tab w:val="clear" w:pos="1588"/>
          <w:tab w:val="clear" w:pos="1985"/>
        </w:tabs>
        <w:overflowPunct/>
        <w:autoSpaceDE/>
        <w:autoSpaceDN/>
        <w:adjustRightInd/>
        <w:textAlignment w:val="auto"/>
        <w:rPr>
          <w:rFonts w:asciiTheme="minorHAnsi" w:hAnsiTheme="minorHAnsi"/>
        </w:rPr>
      </w:pPr>
      <w:r>
        <w:rPr>
          <w:rFonts w:asciiTheme="minorHAnsi" w:hAnsiTheme="minorHAnsi"/>
        </w:rPr>
        <w:br w:type="page"/>
      </w:r>
    </w:p>
    <w:p w:rsidR="00740343" w:rsidRPr="00572B2C" w:rsidRDefault="00740343" w:rsidP="00740343">
      <w:pPr>
        <w:tabs>
          <w:tab w:val="clear" w:pos="794"/>
          <w:tab w:val="clear" w:pos="1191"/>
          <w:tab w:val="clear" w:pos="1588"/>
          <w:tab w:val="clear" w:pos="1985"/>
        </w:tabs>
        <w:overflowPunct/>
        <w:autoSpaceDE/>
        <w:autoSpaceDN/>
        <w:adjustRightInd/>
        <w:textAlignment w:val="auto"/>
        <w:rPr>
          <w:rFonts w:asciiTheme="minorHAnsi" w:hAnsiTheme="minorHAnsi"/>
        </w:rPr>
      </w:pPr>
      <w:r w:rsidRPr="00572B2C">
        <w:rPr>
          <w:rFonts w:asciiTheme="minorHAnsi" w:hAnsiTheme="minorHAnsi"/>
        </w:rPr>
        <w:lastRenderedPageBreak/>
        <w:t>Le Groupe élaborera une feuille de route relative à la normalisation des services financiers numériques visant à en garantir l'interopérabilité, compte tenu des activités que mènent actuellement les divers organismes et instances de normalisation. Il mettra également au point un kit pratique réglementaire à l'intention des décideurs nationaux et des autorités nationales de régulation des Etats Membres de l'UIT, en vue de faire progresser l'adoption des services financiers numériques.</w:t>
      </w:r>
    </w:p>
    <w:p w:rsidR="00740343" w:rsidRPr="00572B2C" w:rsidRDefault="00740343" w:rsidP="00740343">
      <w:pPr>
        <w:tabs>
          <w:tab w:val="clear" w:pos="794"/>
          <w:tab w:val="clear" w:pos="1191"/>
          <w:tab w:val="clear" w:pos="1588"/>
          <w:tab w:val="clear" w:pos="1985"/>
        </w:tabs>
        <w:overflowPunct/>
        <w:autoSpaceDE/>
        <w:autoSpaceDN/>
        <w:adjustRightInd/>
        <w:textAlignment w:val="auto"/>
        <w:rPr>
          <w:rFonts w:asciiTheme="minorHAnsi" w:hAnsiTheme="minorHAnsi"/>
        </w:rPr>
      </w:pPr>
      <w:r w:rsidRPr="00572B2C">
        <w:rPr>
          <w:rFonts w:asciiTheme="minorHAnsi" w:hAnsiTheme="minorHAnsi"/>
        </w:rPr>
        <w:t>Le Groupe spécialisé entretiendra une collaboration étroite avec les commissions d'études de l'UIT</w:t>
      </w:r>
      <w:r w:rsidRPr="00572B2C">
        <w:rPr>
          <w:rFonts w:asciiTheme="minorHAnsi" w:hAnsiTheme="minorHAnsi"/>
        </w:rPr>
        <w:noBreakHyphen/>
        <w:t>D et invitera des entités non membres de l'UIT</w:t>
      </w:r>
      <w:r w:rsidRPr="00572B2C">
        <w:rPr>
          <w:rFonts w:asciiTheme="minorHAnsi" w:hAnsiTheme="minorHAnsi"/>
        </w:rPr>
        <w:noBreakHyphen/>
        <w:t>T à prendre part à ses travaux. Le Groupe spécialisé n'entend pas empiéter sur les travaux d'autres groupes, et tirera parti des compétences spécialisées et des travaux existants.</w:t>
      </w:r>
    </w:p>
    <w:p w:rsidR="00740343" w:rsidRPr="00572B2C" w:rsidRDefault="00740343" w:rsidP="00740343">
      <w:pPr>
        <w:pStyle w:val="Heading2"/>
        <w:rPr>
          <w:rFonts w:asciiTheme="minorHAnsi" w:hAnsiTheme="minorHAnsi"/>
        </w:rPr>
      </w:pPr>
      <w:r w:rsidRPr="00572B2C">
        <w:rPr>
          <w:rFonts w:asciiTheme="minorHAnsi" w:hAnsiTheme="minorHAnsi"/>
        </w:rPr>
        <w:t>2.1</w:t>
      </w:r>
      <w:r w:rsidRPr="00572B2C">
        <w:rPr>
          <w:rFonts w:asciiTheme="minorHAnsi" w:hAnsiTheme="minorHAnsi"/>
        </w:rPr>
        <w:tab/>
        <w:t>Objectifs</w:t>
      </w:r>
    </w:p>
    <w:p w:rsidR="00740343" w:rsidRPr="00572B2C" w:rsidRDefault="00740343" w:rsidP="00740343">
      <w:pPr>
        <w:pStyle w:val="enumlev1"/>
        <w:tabs>
          <w:tab w:val="clear" w:pos="794"/>
          <w:tab w:val="clear" w:pos="1191"/>
          <w:tab w:val="left" w:pos="851"/>
          <w:tab w:val="left" w:pos="1134"/>
        </w:tabs>
        <w:spacing w:before="120"/>
        <w:ind w:left="0" w:firstLine="0"/>
        <w:rPr>
          <w:rFonts w:asciiTheme="minorHAnsi" w:hAnsiTheme="minorHAnsi" w:cstheme="majorBidi"/>
          <w:szCs w:val="24"/>
          <w:lang w:val="fr-CH"/>
        </w:rPr>
      </w:pPr>
      <w:r w:rsidRPr="00572B2C">
        <w:rPr>
          <w:rFonts w:asciiTheme="minorHAnsi" w:hAnsiTheme="minorHAnsi" w:cstheme="majorBidi"/>
          <w:szCs w:val="24"/>
          <w:lang w:val="fr-CH"/>
        </w:rPr>
        <w:t>Pour faciliter l'élaboration de ressources destinées à servir de base à la mise au point de normes mondiales sur les services financiers numériques, le Groupe spécialisé poursuivra les objectifs suivants:</w:t>
      </w:r>
    </w:p>
    <w:p w:rsidR="00740343" w:rsidRPr="00572B2C" w:rsidRDefault="00740343" w:rsidP="00740343">
      <w:pPr>
        <w:pStyle w:val="enumlev1"/>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Déterminer quelles seront les orientations technologiques en matière de services financiers numériques au cours des prochaines années et comment évolueront les rôles respectifs des diverses parties prenantes de cet écosystème. Cet objectif consistera notamment à déterminer les cadres sous-jacents, les nouveaux modèles économiques et les accords de partenariat public</w:t>
      </w:r>
      <w:r w:rsidRPr="00572B2C">
        <w:rPr>
          <w:rFonts w:asciiTheme="minorHAnsi" w:hAnsiTheme="minorHAnsi"/>
          <w:lang w:val="fr-CH"/>
        </w:rPr>
        <w:noBreakHyphen/>
        <w:t>privé nécessaires au développement des services financiers numériques.</w:t>
      </w:r>
    </w:p>
    <w:p w:rsidR="00740343" w:rsidRPr="00572B2C" w:rsidRDefault="00740343" w:rsidP="00740343">
      <w:pPr>
        <w:pStyle w:val="enumlev1"/>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Etablir des liaisons et des relations avec d'autres organisations susceptibles de contribuer aux activités de normalisation des services financiers numériques.</w:t>
      </w:r>
    </w:p>
    <w:p w:rsidR="00740343" w:rsidRPr="00572B2C" w:rsidRDefault="00740343" w:rsidP="00740343">
      <w:pPr>
        <w:pStyle w:val="enumlev1"/>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Fournir une description de l'écosystème des services financiers numériques dans les pays développés et les pays en développement, ainsi que des rôles et responsabilités respectifs des parties prenantes de cet écosystème.</w:t>
      </w:r>
    </w:p>
    <w:p w:rsidR="00740343" w:rsidRPr="00572B2C" w:rsidRDefault="00740343" w:rsidP="00740343">
      <w:pPr>
        <w:pStyle w:val="enumlev1"/>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 xml:space="preserve">Recenser les cas d'utilisation dans lesquels ont été mis en </w:t>
      </w:r>
      <w:r w:rsidR="00572B2C">
        <w:rPr>
          <w:rFonts w:asciiTheme="minorHAnsi" w:hAnsiTheme="minorHAnsi"/>
          <w:lang w:val="fr-CH"/>
        </w:rPr>
        <w:t>oe</w:t>
      </w:r>
      <w:r w:rsidRPr="00572B2C">
        <w:rPr>
          <w:rFonts w:asciiTheme="minorHAnsi" w:hAnsiTheme="minorHAnsi"/>
          <w:lang w:val="fr-CH"/>
        </w:rPr>
        <w:t>uvre avec succès des services financiers numériques sécurisés, y compris dans les pays en développement, en accordant une attention particulière aux avantages de ces services pour les femmes.</w:t>
      </w:r>
    </w:p>
    <w:p w:rsidR="00740343" w:rsidRPr="00572B2C" w:rsidRDefault="00740343" w:rsidP="00740343">
      <w:pPr>
        <w:pStyle w:val="enumlev1"/>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Proposer de futurs sujets d'étude pour l'UIT-T, en indiquant les activités correspondantes pour les diverses commissions d'études de l'UIT</w:t>
      </w:r>
      <w:r w:rsidRPr="00572B2C">
        <w:rPr>
          <w:rFonts w:asciiTheme="minorHAnsi" w:hAnsiTheme="minorHAnsi"/>
          <w:lang w:val="fr-CH"/>
        </w:rPr>
        <w:noBreakHyphen/>
        <w:t>T, en ce qui concerne, par exemple:</w:t>
      </w:r>
    </w:p>
    <w:p w:rsidR="00740343" w:rsidRPr="00572B2C" w:rsidRDefault="00740343" w:rsidP="00740343">
      <w:pPr>
        <w:pStyle w:val="enumlev2"/>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les principes, le champ d'application, le cadre conceptuel et les cas d'utilisation liés aux services financiers numériques;</w:t>
      </w:r>
    </w:p>
    <w:p w:rsidR="00740343" w:rsidRPr="00572B2C" w:rsidRDefault="00740343" w:rsidP="00740343">
      <w:pPr>
        <w:pStyle w:val="enumlev2"/>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les caractéristiques des services financiers numériques et les exigences relatives à ces services;</w:t>
      </w:r>
    </w:p>
    <w:p w:rsidR="00740343" w:rsidRPr="00572B2C" w:rsidRDefault="00740343" w:rsidP="00740343">
      <w:pPr>
        <w:pStyle w:val="enumlev2"/>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le cadre architectural pour les services financiers numériques, notamment en ce qui concerne la sécurité des transactions sur mobile.</w:t>
      </w:r>
    </w:p>
    <w:p w:rsidR="00740343" w:rsidRPr="00572B2C" w:rsidRDefault="00740343" w:rsidP="00740343">
      <w:pPr>
        <w:pStyle w:val="enumlev1"/>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Etudier, en collaboration avec l'UIT</w:t>
      </w:r>
      <w:r w:rsidRPr="00572B2C">
        <w:rPr>
          <w:rFonts w:asciiTheme="minorHAnsi" w:hAnsiTheme="minorHAnsi"/>
          <w:lang w:val="fr-CH"/>
        </w:rPr>
        <w:noBreakHyphen/>
        <w:t>D, les bonnes pratiques concernant les politiques, les cadres réglementaires, la protection des consommateurs, la lutte contre la fraude, les modèles économiques et les écosystèmes pour les services financiers numériques dans les pays développés et les pays en développement.</w:t>
      </w:r>
    </w:p>
    <w:p w:rsidR="00740343" w:rsidRPr="00572B2C" w:rsidRDefault="00740343" w:rsidP="00740343">
      <w:pPr>
        <w:pStyle w:val="enumlev1"/>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Travailler à la création d'un cadre propice au développement des services financiers numériques, qui pourrait être soumis, par l'intermédiaire du GCNT, au Colloque mondial des régulateurs de l'UIT pour approbation.</w:t>
      </w:r>
    </w:p>
    <w:p w:rsidR="00740343" w:rsidRPr="00572B2C" w:rsidRDefault="00740343" w:rsidP="00740343">
      <w:pPr>
        <w:pStyle w:val="Heading2"/>
        <w:rPr>
          <w:rFonts w:asciiTheme="minorHAnsi" w:hAnsiTheme="minorHAnsi"/>
          <w:lang w:val="fr-CH"/>
        </w:rPr>
      </w:pPr>
      <w:r w:rsidRPr="00572B2C">
        <w:rPr>
          <w:rFonts w:asciiTheme="minorHAnsi" w:hAnsiTheme="minorHAnsi"/>
          <w:lang w:val="fr-CH"/>
        </w:rPr>
        <w:lastRenderedPageBreak/>
        <w:t>2.2</w:t>
      </w:r>
      <w:r w:rsidRPr="00572B2C">
        <w:rPr>
          <w:rFonts w:asciiTheme="minorHAnsi" w:hAnsiTheme="minorHAnsi"/>
          <w:lang w:val="fr-CH"/>
        </w:rPr>
        <w:tab/>
        <w:t>Relations</w:t>
      </w:r>
    </w:p>
    <w:p w:rsidR="00740343" w:rsidRPr="00572B2C" w:rsidRDefault="00740343" w:rsidP="00740343">
      <w:pPr>
        <w:pStyle w:val="enumlev1"/>
        <w:tabs>
          <w:tab w:val="clear" w:pos="794"/>
          <w:tab w:val="clear" w:pos="1191"/>
          <w:tab w:val="left" w:pos="851"/>
          <w:tab w:val="left" w:pos="1134"/>
        </w:tabs>
        <w:spacing w:before="120"/>
        <w:ind w:left="0" w:firstLine="0"/>
        <w:rPr>
          <w:rFonts w:asciiTheme="minorHAnsi" w:hAnsiTheme="minorHAnsi" w:cstheme="majorBidi"/>
          <w:szCs w:val="24"/>
          <w:lang w:val="fr-CH"/>
        </w:rPr>
      </w:pPr>
      <w:r w:rsidRPr="00572B2C">
        <w:rPr>
          <w:rFonts w:asciiTheme="minorHAnsi" w:hAnsiTheme="minorHAnsi" w:cstheme="majorBidi"/>
          <w:szCs w:val="24"/>
          <w:lang w:val="fr-CH"/>
        </w:rPr>
        <w:t>Le Groupe spécialisé travaillera en étroite collaboration avec toutes les commissions d'études de l'UIT</w:t>
      </w:r>
      <w:r w:rsidRPr="00572B2C">
        <w:rPr>
          <w:rFonts w:asciiTheme="minorHAnsi" w:hAnsiTheme="minorHAnsi" w:cstheme="majorBidi"/>
          <w:szCs w:val="24"/>
          <w:lang w:val="fr-CH"/>
        </w:rPr>
        <w:noBreakHyphen/>
        <w:t>T, en particulier les CE 2, CE 3, CE 13, CE 16 et CE 17.</w:t>
      </w:r>
    </w:p>
    <w:p w:rsidR="00740343" w:rsidRPr="00572B2C" w:rsidRDefault="00740343" w:rsidP="00740343">
      <w:pPr>
        <w:pStyle w:val="enumlev1"/>
        <w:tabs>
          <w:tab w:val="clear" w:pos="794"/>
          <w:tab w:val="clear" w:pos="1191"/>
          <w:tab w:val="left" w:pos="851"/>
          <w:tab w:val="left" w:pos="1134"/>
        </w:tabs>
        <w:spacing w:before="120"/>
        <w:ind w:left="0" w:firstLine="0"/>
        <w:rPr>
          <w:rFonts w:asciiTheme="minorHAnsi" w:hAnsiTheme="minorHAnsi" w:cstheme="majorBidi"/>
          <w:szCs w:val="24"/>
          <w:lang w:val="fr-CH"/>
        </w:rPr>
      </w:pPr>
      <w:r w:rsidRPr="00572B2C">
        <w:rPr>
          <w:rFonts w:asciiTheme="minorHAnsi" w:hAnsiTheme="minorHAnsi" w:cstheme="majorBidi"/>
          <w:szCs w:val="24"/>
          <w:lang w:val="fr-CH"/>
        </w:rPr>
        <w:t>Le Groupe FG</w:t>
      </w:r>
      <w:r w:rsidRPr="00572B2C">
        <w:rPr>
          <w:rFonts w:asciiTheme="minorHAnsi" w:hAnsiTheme="minorHAnsi" w:cstheme="majorBidi"/>
          <w:szCs w:val="24"/>
          <w:lang w:val="fr-CH"/>
        </w:rPr>
        <w:noBreakHyphen/>
        <w:t>DFS collaborera avec les entités pertinentes, conformément aux dispositions de la Recommandation UIT</w:t>
      </w:r>
      <w:r w:rsidRPr="00572B2C">
        <w:rPr>
          <w:rFonts w:asciiTheme="minorHAnsi" w:hAnsiTheme="minorHAnsi" w:cstheme="majorBidi"/>
          <w:szCs w:val="24"/>
          <w:lang w:val="fr-CH"/>
        </w:rPr>
        <w:noBreakHyphen/>
        <w:t>T A.7.</w:t>
      </w:r>
    </w:p>
    <w:p w:rsidR="00740343" w:rsidRPr="00572B2C" w:rsidRDefault="00740343" w:rsidP="004B4FD9">
      <w:pPr>
        <w:pStyle w:val="enumlev1"/>
        <w:tabs>
          <w:tab w:val="clear" w:pos="794"/>
          <w:tab w:val="clear" w:pos="1191"/>
          <w:tab w:val="left" w:pos="851"/>
          <w:tab w:val="left" w:pos="1134"/>
        </w:tabs>
        <w:spacing w:before="120"/>
        <w:ind w:left="0" w:firstLine="0"/>
        <w:rPr>
          <w:rFonts w:asciiTheme="minorHAnsi" w:hAnsiTheme="minorHAnsi" w:cstheme="majorBidi"/>
          <w:szCs w:val="24"/>
          <w:lang w:val="fr-CH"/>
        </w:rPr>
      </w:pPr>
      <w:r w:rsidRPr="00572B2C">
        <w:rPr>
          <w:rFonts w:asciiTheme="minorHAnsi" w:hAnsiTheme="minorHAnsi" w:cstheme="majorBidi"/>
          <w:szCs w:val="24"/>
          <w:lang w:val="fr-CH"/>
        </w:rPr>
        <w:t>Ces entités incluent: les institutions financières, les régulateurs des télécommunications, les régulateurs financiers, les organisations non gouvernementales (ONG), les décideurs, les organismes de normalisation, les forums et consortiums du secteur (tels que: ISO/TC 68, ISO/</w:t>
      </w:r>
      <w:r w:rsidR="004B4FD9">
        <w:rPr>
          <w:rFonts w:asciiTheme="minorHAnsi" w:hAnsiTheme="minorHAnsi" w:cstheme="majorBidi"/>
          <w:szCs w:val="24"/>
          <w:lang w:val="fr-CH"/>
        </w:rPr>
        <w:t>CEI</w:t>
      </w:r>
      <w:r w:rsidRPr="00572B2C">
        <w:rPr>
          <w:rFonts w:asciiTheme="minorHAnsi" w:hAnsiTheme="minorHAnsi" w:cstheme="majorBidi"/>
          <w:szCs w:val="24"/>
          <w:lang w:val="fr-CH"/>
        </w:rPr>
        <w:t> JTC 1, Association GSM, SWIFT, etc.), les réseaux de systèmes de paiement, les sociétés de transfert d'argent, les entreprises du secteur des TIC, les établissements universitaires, les instituts de recherche et autres organisations pertinentes.</w:t>
      </w:r>
    </w:p>
    <w:p w:rsidR="00740343" w:rsidRPr="00572B2C" w:rsidRDefault="00740343" w:rsidP="00740343">
      <w:pPr>
        <w:pStyle w:val="Heading2"/>
        <w:rPr>
          <w:rFonts w:asciiTheme="minorHAnsi" w:hAnsiTheme="minorHAnsi"/>
        </w:rPr>
      </w:pPr>
      <w:r w:rsidRPr="00572B2C">
        <w:rPr>
          <w:rFonts w:asciiTheme="minorHAnsi" w:hAnsiTheme="minorHAnsi"/>
        </w:rPr>
        <w:t>2.3</w:t>
      </w:r>
      <w:r w:rsidRPr="00572B2C">
        <w:rPr>
          <w:rFonts w:asciiTheme="minorHAnsi" w:hAnsiTheme="minorHAnsi"/>
        </w:rPr>
        <w:tab/>
        <w:t>Tâches spécifiques et produits finals</w:t>
      </w:r>
    </w:p>
    <w:p w:rsidR="00740343" w:rsidRPr="00572B2C" w:rsidRDefault="00740343" w:rsidP="00740343">
      <w:pPr>
        <w:pStyle w:val="enumlev1"/>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r>
      <w:r w:rsidRPr="00572B2C">
        <w:rPr>
          <w:rFonts w:asciiTheme="minorHAnsi" w:hAnsiTheme="minorHAnsi"/>
        </w:rPr>
        <w:t>Etudier les informations fournies par la CE 2 reproduites dans le Document TSAG</w:t>
      </w:r>
      <w:r w:rsidRPr="00572B2C">
        <w:rPr>
          <w:rFonts w:asciiTheme="minorHAnsi" w:hAnsiTheme="minorHAnsi"/>
        </w:rPr>
        <w:noBreakHyphen/>
        <w:t>TD 158.</w:t>
      </w:r>
    </w:p>
    <w:p w:rsidR="00740343" w:rsidRPr="00572B2C" w:rsidRDefault="00740343" w:rsidP="00740343">
      <w:pPr>
        <w:pStyle w:val="enumlev1"/>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Collecter et enregistrer des informations relatives aux initiatives que mènent actuellement les parties prenantes du secteur des services financiers numériques. Cette tâche consistera notamment établir des rapports sur des cas d'utilisation et à recenser les normes relatives au déploiement des services financiers numériques dans le monde.</w:t>
      </w:r>
    </w:p>
    <w:p w:rsidR="00740343" w:rsidRPr="00572B2C" w:rsidRDefault="00740343" w:rsidP="00740343">
      <w:pPr>
        <w:pStyle w:val="enumlev1"/>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Elaborer un document qui rende compte de la manière dont les technologies favorisent l'inclusion financière dans les pays en développement ainsi que de la nature de l'écosystème sous</w:t>
      </w:r>
      <w:r w:rsidRPr="00572B2C">
        <w:rPr>
          <w:rFonts w:asciiTheme="minorHAnsi" w:hAnsiTheme="minorHAnsi"/>
          <w:lang w:val="fr-CH"/>
        </w:rPr>
        <w:noBreakHyphen/>
        <w:t>jacent, incluant les bonnes pratiques relatives aux cadres politiques et réglementaires, les méthodes d'évaluation des risques et les modèles économiques utilisés.</w:t>
      </w:r>
    </w:p>
    <w:p w:rsidR="00740343" w:rsidRPr="00572B2C" w:rsidRDefault="00740343" w:rsidP="00740343">
      <w:pPr>
        <w:pStyle w:val="enumlev1"/>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Elaborer un rapport sur la terminologie (y compris la définition des termes) et la taxinomie des services financiers numériques et de leur écosystème. Le Groupe établira également une carte des parties prenantes recensant toutes les parties prenantes du secteur des services financiers numériques et indiquant leurs rôles et responsabilités respectifs dans l'écosystème correspondant. Elaborer un rapport sur les obstacles potentiels au déploiement des services financiers numériques.</w:t>
      </w:r>
    </w:p>
    <w:p w:rsidR="00740343" w:rsidRPr="00572B2C" w:rsidRDefault="00740343" w:rsidP="00740343">
      <w:pPr>
        <w:pStyle w:val="enumlev1"/>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Etudier et analyser les incidences de l'exigence d'interopérabilité et d'interconnexion des services financiers numériques. Il s'agira notamment d'élaborer une feuille de route sur l'interopérabilité des services financiers numériques, compte tenu des difficultés et des bonnes pratiques en matière d'interopérabilité.</w:t>
      </w:r>
    </w:p>
    <w:p w:rsidR="00740343" w:rsidRPr="00572B2C" w:rsidRDefault="00740343" w:rsidP="00740343">
      <w:pPr>
        <w:pStyle w:val="enumlev1"/>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Etudier et analyser les incidences de normes pour les transferts d'argent transfrontaliers.</w:t>
      </w:r>
    </w:p>
    <w:p w:rsidR="00740343" w:rsidRPr="00572B2C" w:rsidRDefault="00740343" w:rsidP="00740343">
      <w:pPr>
        <w:pStyle w:val="enumlev1"/>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Etudier et analyser les problèmes de compétitivité technique qui pourraient freiner le déploiement des services financiers numériques (canal USSD</w:t>
      </w:r>
      <w:r w:rsidRPr="00572B2C">
        <w:rPr>
          <w:rStyle w:val="FootnoteReference"/>
          <w:rFonts w:asciiTheme="minorHAnsi" w:hAnsiTheme="minorHAnsi" w:cstheme="majorBidi"/>
          <w:szCs w:val="24"/>
        </w:rPr>
        <w:footnoteReference w:id="2"/>
      </w:r>
      <w:r w:rsidRPr="00572B2C">
        <w:rPr>
          <w:rFonts w:asciiTheme="minorHAnsi" w:hAnsiTheme="minorHAnsi"/>
          <w:lang w:val="fr-CH"/>
        </w:rPr>
        <w:t>).</w:t>
      </w:r>
    </w:p>
    <w:p w:rsidR="00740343" w:rsidRPr="00572B2C" w:rsidRDefault="00740343" w:rsidP="00740343">
      <w:pPr>
        <w:pStyle w:val="enumlev1"/>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Elaborer un kit pratique réglementaire à l'intention des décideurs et des autorités de régulation pour faire progresser l'adoption des services financiers numériques.</w:t>
      </w:r>
    </w:p>
    <w:p w:rsidR="00574CD6" w:rsidRDefault="00574CD6" w:rsidP="00740343">
      <w:pPr>
        <w:pStyle w:val="enumlev1"/>
        <w:rPr>
          <w:rFonts w:asciiTheme="minorHAnsi" w:hAnsiTheme="minorHAnsi"/>
          <w:lang w:val="fr-CH"/>
        </w:rPr>
      </w:pPr>
      <w:r>
        <w:rPr>
          <w:rFonts w:asciiTheme="minorHAnsi" w:hAnsiTheme="minorHAnsi"/>
          <w:lang w:val="fr-CH"/>
        </w:rPr>
        <w:br w:type="page"/>
      </w:r>
    </w:p>
    <w:p w:rsidR="00740343" w:rsidRPr="00572B2C" w:rsidRDefault="00740343" w:rsidP="00740343">
      <w:pPr>
        <w:pStyle w:val="enumlev1"/>
        <w:rPr>
          <w:rFonts w:asciiTheme="minorHAnsi" w:hAnsiTheme="minorHAnsi"/>
          <w:lang w:val="fr-CH"/>
        </w:rPr>
      </w:pPr>
      <w:r w:rsidRPr="00572B2C">
        <w:rPr>
          <w:rFonts w:asciiTheme="minorHAnsi" w:hAnsiTheme="minorHAnsi"/>
          <w:lang w:val="fr-CH"/>
        </w:rPr>
        <w:lastRenderedPageBreak/>
        <w:t>•</w:t>
      </w:r>
      <w:r w:rsidRPr="00572B2C">
        <w:rPr>
          <w:rFonts w:asciiTheme="minorHAnsi" w:hAnsiTheme="minorHAnsi"/>
          <w:lang w:val="fr-CH"/>
        </w:rPr>
        <w:tab/>
        <w:t>Organiser des ateliers régionaux thématiques, conformément aux dispositions de la Recommandation UIT</w:t>
      </w:r>
      <w:r w:rsidRPr="00572B2C">
        <w:rPr>
          <w:rFonts w:asciiTheme="minorHAnsi" w:hAnsiTheme="minorHAnsi"/>
          <w:lang w:val="fr-CH"/>
        </w:rPr>
        <w:noBreakHyphen/>
        <w:t>T A.31, afin de recevoir des contributions de la part de diverses parties prenantes. Ces ateliers offriront un cadre pour étudier les bonnes pratiques relatives à l'harmonisation des cadres juridiques et réglementaires pour les transactions financières sur mobile au niveau mondial, ainsi que pour soutenir l'émission de nouveaux moyens de paiement numériques tels que l'argent mobile, l'argent électronique et autres devises numériques. Les ateliers rassembleront des régulateurs des télécommunications, des régulateurs financiers, des décideurs et autres parties prenantes concernées, afin de cerner les enjeux et de définir les priorités, d'échanger des informations et des bonnes pratiques dans le cadre de l'apprentissage entre pairs et à l'aide de processus de diffusion des connaissances, et de dégager des possibilités d'intervention en matière de politiques pour promouvoir l'inclusion financière. Les ateliers aborderont également des questions telles que la lutte contre le blanchiment d'argent, la taxation des transferts d'argent sur mobile et des dispositifs mobiles, et les obligations de vigilance à l'égard de la clientèle pour ce qui est des services financiers numériques et des transferts d'argent transfrontaliers sur mobile.</w:t>
      </w:r>
    </w:p>
    <w:p w:rsidR="00740343" w:rsidRPr="00572B2C" w:rsidRDefault="00740343" w:rsidP="00740343">
      <w:pPr>
        <w:pStyle w:val="enumlev1"/>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Rédiger des rapports techniques qui rendent compte des lacunes en matière de normalisation et présentent des solutions pour y remédier, et qui définissent les futurs travaux de normalisation des commissions d'études de l'UIT</w:t>
      </w:r>
      <w:r w:rsidRPr="00572B2C">
        <w:rPr>
          <w:rFonts w:asciiTheme="minorHAnsi" w:hAnsiTheme="minorHAnsi"/>
          <w:lang w:val="fr-CH"/>
        </w:rPr>
        <w:noBreakHyphen/>
        <w:t>T dans le domaine des services financiers numériques.</w:t>
      </w:r>
    </w:p>
    <w:p w:rsidR="00740343" w:rsidRPr="00572B2C" w:rsidRDefault="00740343" w:rsidP="00740343">
      <w:pPr>
        <w:pStyle w:val="enumlev1"/>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Transmettre les produits finals à l'entité de rattachement, au moins quatre semaines calendaires avant que celle-ci se réunisse.</w:t>
      </w:r>
    </w:p>
    <w:p w:rsidR="00740343" w:rsidRPr="00572B2C" w:rsidRDefault="00740343" w:rsidP="00740343">
      <w:pPr>
        <w:pStyle w:val="Heading2"/>
        <w:rPr>
          <w:rFonts w:asciiTheme="minorHAnsi" w:hAnsiTheme="minorHAnsi"/>
        </w:rPr>
      </w:pPr>
      <w:r w:rsidRPr="00572B2C">
        <w:rPr>
          <w:rFonts w:asciiTheme="minorHAnsi" w:hAnsiTheme="minorHAnsi"/>
        </w:rPr>
        <w:t>2.4</w:t>
      </w:r>
      <w:r w:rsidRPr="00572B2C">
        <w:rPr>
          <w:rFonts w:asciiTheme="minorHAnsi" w:hAnsiTheme="minorHAnsi"/>
        </w:rPr>
        <w:tab/>
        <w:t>Rattachement</w:t>
      </w:r>
    </w:p>
    <w:p w:rsidR="00740343" w:rsidRPr="00572B2C" w:rsidRDefault="00740343" w:rsidP="00740343">
      <w:pPr>
        <w:pStyle w:val="enumlev1"/>
        <w:tabs>
          <w:tab w:val="clear" w:pos="794"/>
          <w:tab w:val="clear" w:pos="1191"/>
          <w:tab w:val="left" w:pos="851"/>
          <w:tab w:val="left" w:pos="1134"/>
        </w:tabs>
        <w:spacing w:before="120"/>
        <w:ind w:left="0" w:firstLine="0"/>
        <w:rPr>
          <w:rFonts w:asciiTheme="minorHAnsi" w:hAnsiTheme="minorHAnsi" w:cstheme="majorBidi"/>
          <w:szCs w:val="24"/>
          <w:lang w:val="fr-CH"/>
        </w:rPr>
      </w:pPr>
      <w:r w:rsidRPr="00572B2C">
        <w:rPr>
          <w:rFonts w:asciiTheme="minorHAnsi" w:hAnsiTheme="minorHAnsi" w:cstheme="majorBidi"/>
          <w:szCs w:val="24"/>
          <w:lang w:val="fr-CH"/>
        </w:rPr>
        <w:t>Le Groupe spécialisé est rattaché au GCNT.</w:t>
      </w:r>
    </w:p>
    <w:p w:rsidR="00740343" w:rsidRPr="00572B2C" w:rsidRDefault="00740343" w:rsidP="00740343">
      <w:pPr>
        <w:pStyle w:val="Heading2"/>
        <w:rPr>
          <w:rFonts w:asciiTheme="minorHAnsi" w:hAnsiTheme="minorHAnsi"/>
        </w:rPr>
      </w:pPr>
      <w:r w:rsidRPr="00572B2C">
        <w:rPr>
          <w:rFonts w:asciiTheme="minorHAnsi" w:hAnsiTheme="minorHAnsi"/>
        </w:rPr>
        <w:t>2.5</w:t>
      </w:r>
      <w:r w:rsidRPr="00572B2C">
        <w:rPr>
          <w:rFonts w:asciiTheme="minorHAnsi" w:hAnsiTheme="minorHAnsi"/>
        </w:rPr>
        <w:tab/>
        <w:t>Equipe de direction</w:t>
      </w:r>
    </w:p>
    <w:p w:rsidR="00740343" w:rsidRPr="00572B2C" w:rsidRDefault="00740343" w:rsidP="00740343">
      <w:pPr>
        <w:spacing w:before="100" w:after="100"/>
        <w:rPr>
          <w:rFonts w:asciiTheme="minorHAnsi" w:hAnsiTheme="minorHAnsi"/>
          <w:color w:val="000000"/>
          <w:szCs w:val="24"/>
        </w:rPr>
      </w:pPr>
      <w:r w:rsidRPr="00572B2C">
        <w:rPr>
          <w:rFonts w:asciiTheme="minorHAnsi" w:hAnsiTheme="minorHAnsi"/>
          <w:color w:val="000000"/>
          <w:szCs w:val="24"/>
        </w:rPr>
        <w:t>Voir le § 2.3 de la Recommandation UIT-T A.7.</w:t>
      </w:r>
    </w:p>
    <w:p w:rsidR="00740343" w:rsidRPr="00572B2C" w:rsidRDefault="00740343" w:rsidP="00740343">
      <w:pPr>
        <w:pStyle w:val="Heading2"/>
        <w:rPr>
          <w:rFonts w:asciiTheme="minorHAnsi" w:hAnsiTheme="minorHAnsi"/>
        </w:rPr>
      </w:pPr>
      <w:r w:rsidRPr="00572B2C">
        <w:rPr>
          <w:rFonts w:asciiTheme="minorHAnsi" w:hAnsiTheme="minorHAnsi"/>
        </w:rPr>
        <w:t>2.6</w:t>
      </w:r>
      <w:r w:rsidRPr="00572B2C">
        <w:rPr>
          <w:rFonts w:asciiTheme="minorHAnsi" w:hAnsiTheme="minorHAnsi"/>
        </w:rPr>
        <w:tab/>
        <w:t>Participation</w:t>
      </w:r>
    </w:p>
    <w:p w:rsidR="00740343" w:rsidRPr="00572B2C" w:rsidRDefault="00740343" w:rsidP="00740343">
      <w:pPr>
        <w:spacing w:before="100" w:after="100"/>
        <w:rPr>
          <w:rFonts w:asciiTheme="minorHAnsi" w:hAnsiTheme="minorHAnsi"/>
          <w:color w:val="000000"/>
          <w:szCs w:val="24"/>
        </w:rPr>
      </w:pPr>
      <w:r w:rsidRPr="00572B2C">
        <w:rPr>
          <w:rFonts w:asciiTheme="minorHAnsi" w:hAnsiTheme="minorHAnsi"/>
          <w:color w:val="000000"/>
          <w:szCs w:val="24"/>
        </w:rPr>
        <w:t xml:space="preserve">Voir le § 3 de la Recommandation UIT-T A.7. Une liste des participants sera tenue à jour pour référence et transmise à l'entité de rattachement. </w:t>
      </w:r>
    </w:p>
    <w:p w:rsidR="00740343" w:rsidRPr="00572B2C" w:rsidRDefault="00740343" w:rsidP="00740343">
      <w:pPr>
        <w:pStyle w:val="enumlev1"/>
        <w:tabs>
          <w:tab w:val="clear" w:pos="794"/>
          <w:tab w:val="clear" w:pos="1191"/>
          <w:tab w:val="left" w:pos="851"/>
          <w:tab w:val="left" w:pos="1134"/>
        </w:tabs>
        <w:spacing w:before="120"/>
        <w:ind w:left="0" w:firstLine="0"/>
        <w:rPr>
          <w:rFonts w:asciiTheme="minorHAnsi" w:hAnsiTheme="minorHAnsi"/>
        </w:rPr>
      </w:pPr>
      <w:r w:rsidRPr="00572B2C">
        <w:rPr>
          <w:rFonts w:asciiTheme="minorHAnsi" w:hAnsiTheme="minorHAnsi"/>
        </w:rPr>
        <w:t>Il est important de mentionner que les participants aux travaux du Groupe spécialisé doivent soumettre des contributions et participer activement.</w:t>
      </w:r>
    </w:p>
    <w:p w:rsidR="00740343" w:rsidRPr="00572B2C" w:rsidRDefault="00740343" w:rsidP="00740343">
      <w:pPr>
        <w:pStyle w:val="Heading2"/>
        <w:rPr>
          <w:rFonts w:asciiTheme="minorHAnsi" w:hAnsiTheme="minorHAnsi"/>
        </w:rPr>
      </w:pPr>
      <w:r w:rsidRPr="00572B2C">
        <w:rPr>
          <w:rFonts w:asciiTheme="minorHAnsi" w:hAnsiTheme="minorHAnsi"/>
        </w:rPr>
        <w:t>2.7</w:t>
      </w:r>
      <w:r w:rsidRPr="00572B2C">
        <w:rPr>
          <w:rFonts w:asciiTheme="minorHAnsi" w:hAnsiTheme="minorHAnsi"/>
        </w:rPr>
        <w:tab/>
        <w:t>Appui administratif</w:t>
      </w:r>
    </w:p>
    <w:p w:rsidR="00740343" w:rsidRPr="00572B2C" w:rsidRDefault="00740343" w:rsidP="00740343">
      <w:pPr>
        <w:pStyle w:val="enumlev1"/>
        <w:tabs>
          <w:tab w:val="clear" w:pos="794"/>
          <w:tab w:val="clear" w:pos="1191"/>
          <w:tab w:val="left" w:pos="851"/>
          <w:tab w:val="left" w:pos="1134"/>
        </w:tabs>
        <w:spacing w:before="120"/>
        <w:ind w:left="0" w:firstLine="0"/>
        <w:rPr>
          <w:rFonts w:asciiTheme="minorHAnsi" w:hAnsiTheme="minorHAnsi"/>
        </w:rPr>
      </w:pPr>
      <w:r w:rsidRPr="00572B2C">
        <w:rPr>
          <w:rFonts w:asciiTheme="minorHAnsi" w:hAnsiTheme="minorHAnsi"/>
          <w:color w:val="000000"/>
          <w:szCs w:val="24"/>
        </w:rPr>
        <w:t>Voir le § 5 de la Recommandation UIT-T A.7.</w:t>
      </w:r>
    </w:p>
    <w:p w:rsidR="00740343" w:rsidRPr="00572B2C" w:rsidRDefault="00740343" w:rsidP="00740343">
      <w:pPr>
        <w:pStyle w:val="Heading2"/>
        <w:rPr>
          <w:rFonts w:asciiTheme="minorHAnsi" w:hAnsiTheme="minorHAnsi"/>
        </w:rPr>
      </w:pPr>
      <w:r w:rsidRPr="00572B2C">
        <w:rPr>
          <w:rFonts w:asciiTheme="minorHAnsi" w:hAnsiTheme="minorHAnsi"/>
        </w:rPr>
        <w:t>2.8</w:t>
      </w:r>
      <w:r w:rsidRPr="00572B2C">
        <w:rPr>
          <w:rFonts w:asciiTheme="minorHAnsi" w:hAnsiTheme="minorHAnsi"/>
        </w:rPr>
        <w:tab/>
        <w:t>Aspects financiers généraux</w:t>
      </w:r>
    </w:p>
    <w:p w:rsidR="00740343" w:rsidRPr="00572B2C" w:rsidRDefault="00740343" w:rsidP="00740343">
      <w:pPr>
        <w:pStyle w:val="enumlev1"/>
        <w:tabs>
          <w:tab w:val="clear" w:pos="794"/>
          <w:tab w:val="clear" w:pos="1191"/>
          <w:tab w:val="left" w:pos="851"/>
          <w:tab w:val="left" w:pos="1134"/>
        </w:tabs>
        <w:spacing w:before="120"/>
        <w:ind w:left="0" w:firstLine="0"/>
        <w:rPr>
          <w:rFonts w:asciiTheme="minorHAnsi" w:hAnsiTheme="minorHAnsi"/>
          <w:color w:val="000000"/>
          <w:szCs w:val="24"/>
        </w:rPr>
      </w:pPr>
      <w:r w:rsidRPr="00572B2C">
        <w:rPr>
          <w:rFonts w:asciiTheme="minorHAnsi" w:hAnsiTheme="minorHAnsi"/>
          <w:color w:val="000000"/>
          <w:szCs w:val="24"/>
        </w:rPr>
        <w:t>Voir les § 4 et 10.2 de la Recommandation UIT-T A.7.</w:t>
      </w:r>
    </w:p>
    <w:p w:rsidR="00574CD6" w:rsidRDefault="00574CD6" w:rsidP="00740343">
      <w:pPr>
        <w:pStyle w:val="Heading2"/>
        <w:rPr>
          <w:rFonts w:asciiTheme="minorHAnsi" w:hAnsiTheme="minorHAnsi"/>
        </w:rPr>
      </w:pPr>
      <w:r>
        <w:rPr>
          <w:rFonts w:asciiTheme="minorHAnsi" w:hAnsiTheme="minorHAnsi"/>
        </w:rPr>
        <w:br w:type="page"/>
      </w:r>
    </w:p>
    <w:p w:rsidR="00740343" w:rsidRPr="00572B2C" w:rsidRDefault="00740343" w:rsidP="00740343">
      <w:pPr>
        <w:pStyle w:val="Heading2"/>
        <w:rPr>
          <w:rFonts w:asciiTheme="minorHAnsi" w:hAnsiTheme="minorHAnsi"/>
        </w:rPr>
      </w:pPr>
      <w:r w:rsidRPr="00572B2C">
        <w:rPr>
          <w:rFonts w:asciiTheme="minorHAnsi" w:hAnsiTheme="minorHAnsi"/>
        </w:rPr>
        <w:lastRenderedPageBreak/>
        <w:t>2.9</w:t>
      </w:r>
      <w:r w:rsidRPr="00572B2C">
        <w:rPr>
          <w:rFonts w:asciiTheme="minorHAnsi" w:hAnsiTheme="minorHAnsi"/>
        </w:rPr>
        <w:tab/>
        <w:t>Réunions</w:t>
      </w:r>
    </w:p>
    <w:p w:rsidR="00740343" w:rsidRPr="00572B2C" w:rsidRDefault="00740343" w:rsidP="00740343">
      <w:pPr>
        <w:pStyle w:val="enumlev1"/>
        <w:tabs>
          <w:tab w:val="clear" w:pos="794"/>
          <w:tab w:val="clear" w:pos="1191"/>
          <w:tab w:val="left" w:pos="851"/>
          <w:tab w:val="left" w:pos="1134"/>
        </w:tabs>
        <w:spacing w:before="120"/>
        <w:ind w:left="0" w:firstLine="0"/>
        <w:rPr>
          <w:rFonts w:asciiTheme="minorHAnsi" w:hAnsiTheme="minorHAnsi"/>
          <w:color w:val="000000"/>
          <w:szCs w:val="24"/>
        </w:rPr>
      </w:pPr>
      <w:r w:rsidRPr="00572B2C">
        <w:rPr>
          <w:rFonts w:asciiTheme="minorHAnsi" w:hAnsiTheme="minorHAnsi"/>
          <w:color w:val="000000"/>
          <w:szCs w:val="24"/>
        </w:rPr>
        <w:t>La fréquence et le lieu des réunions seront fixés par le Groupe spécialisé et le calendrier général des réunions sera annoncé dès que possible. Dans toute la mesure possible, le Groupe utilisera les outils de collaboration à distance et tiendra ses réunions en parallèle avec les réunions existantes. Les réunions seront annoncées par voie électronique (courrier électronique, site web, etc.) au moins quatre semaines à l'avance.</w:t>
      </w:r>
    </w:p>
    <w:p w:rsidR="00740343" w:rsidRPr="00572B2C" w:rsidRDefault="00740343" w:rsidP="00740343">
      <w:pPr>
        <w:pStyle w:val="Heading2"/>
        <w:rPr>
          <w:rFonts w:asciiTheme="minorHAnsi" w:hAnsiTheme="minorHAnsi"/>
        </w:rPr>
      </w:pPr>
      <w:r w:rsidRPr="00572B2C">
        <w:rPr>
          <w:rFonts w:asciiTheme="minorHAnsi" w:hAnsiTheme="minorHAnsi"/>
        </w:rPr>
        <w:t>2.10</w:t>
      </w:r>
      <w:r w:rsidRPr="00572B2C">
        <w:rPr>
          <w:rFonts w:asciiTheme="minorHAnsi" w:hAnsiTheme="minorHAnsi"/>
        </w:rPr>
        <w:tab/>
        <w:t>Contributions techniques</w:t>
      </w:r>
    </w:p>
    <w:p w:rsidR="00740343" w:rsidRPr="00572B2C" w:rsidRDefault="00740343" w:rsidP="00740343">
      <w:pPr>
        <w:pStyle w:val="enumlev1"/>
        <w:tabs>
          <w:tab w:val="clear" w:pos="794"/>
          <w:tab w:val="clear" w:pos="1191"/>
          <w:tab w:val="left" w:pos="851"/>
          <w:tab w:val="left" w:pos="1134"/>
        </w:tabs>
        <w:spacing w:before="120"/>
        <w:ind w:left="0" w:firstLine="0"/>
        <w:rPr>
          <w:rFonts w:asciiTheme="minorHAnsi" w:hAnsiTheme="minorHAnsi"/>
          <w:color w:val="000000"/>
          <w:szCs w:val="24"/>
        </w:rPr>
      </w:pPr>
      <w:r w:rsidRPr="00572B2C">
        <w:rPr>
          <w:rFonts w:asciiTheme="minorHAnsi" w:hAnsiTheme="minorHAnsi"/>
          <w:color w:val="000000"/>
          <w:szCs w:val="24"/>
        </w:rPr>
        <w:t>Les contributions doivent être soumises au moins douze jours calendaires avant l'ouverture de la réunion.</w:t>
      </w:r>
    </w:p>
    <w:p w:rsidR="00740343" w:rsidRPr="00572B2C" w:rsidRDefault="00740343" w:rsidP="00740343">
      <w:pPr>
        <w:pStyle w:val="Heading2"/>
        <w:rPr>
          <w:rFonts w:asciiTheme="minorHAnsi" w:hAnsiTheme="minorHAnsi"/>
        </w:rPr>
      </w:pPr>
      <w:r w:rsidRPr="00572B2C">
        <w:rPr>
          <w:rFonts w:asciiTheme="minorHAnsi" w:hAnsiTheme="minorHAnsi"/>
        </w:rPr>
        <w:t>2.11</w:t>
      </w:r>
      <w:r w:rsidRPr="00572B2C">
        <w:rPr>
          <w:rFonts w:asciiTheme="minorHAnsi" w:hAnsiTheme="minorHAnsi"/>
        </w:rPr>
        <w:tab/>
        <w:t>Langue de travail</w:t>
      </w:r>
    </w:p>
    <w:p w:rsidR="00740343" w:rsidRPr="00572B2C" w:rsidRDefault="00740343" w:rsidP="00740343">
      <w:pPr>
        <w:pStyle w:val="enumlev1"/>
        <w:tabs>
          <w:tab w:val="clear" w:pos="794"/>
          <w:tab w:val="clear" w:pos="1191"/>
          <w:tab w:val="left" w:pos="851"/>
          <w:tab w:val="left" w:pos="1134"/>
        </w:tabs>
        <w:spacing w:before="120"/>
        <w:ind w:left="0" w:firstLine="0"/>
        <w:rPr>
          <w:rFonts w:asciiTheme="minorHAnsi" w:hAnsiTheme="minorHAnsi"/>
          <w:color w:val="000000"/>
          <w:szCs w:val="24"/>
        </w:rPr>
      </w:pPr>
      <w:r w:rsidRPr="00572B2C">
        <w:rPr>
          <w:rFonts w:asciiTheme="minorHAnsi" w:hAnsiTheme="minorHAnsi"/>
          <w:color w:val="000000"/>
          <w:szCs w:val="24"/>
        </w:rPr>
        <w:t>La langue de travail est l'anglais.</w:t>
      </w:r>
    </w:p>
    <w:p w:rsidR="00740343" w:rsidRPr="00572B2C" w:rsidRDefault="00740343" w:rsidP="00740343">
      <w:pPr>
        <w:pStyle w:val="Heading2"/>
        <w:rPr>
          <w:rFonts w:asciiTheme="minorHAnsi" w:hAnsiTheme="minorHAnsi"/>
        </w:rPr>
      </w:pPr>
      <w:r w:rsidRPr="00572B2C">
        <w:rPr>
          <w:rFonts w:asciiTheme="minorHAnsi" w:hAnsiTheme="minorHAnsi"/>
        </w:rPr>
        <w:t>2.12</w:t>
      </w:r>
      <w:r w:rsidRPr="00572B2C">
        <w:rPr>
          <w:rFonts w:asciiTheme="minorHAnsi" w:hAnsiTheme="minorHAnsi"/>
        </w:rPr>
        <w:tab/>
        <w:t>Approbation des produits finals</w:t>
      </w:r>
    </w:p>
    <w:p w:rsidR="00740343" w:rsidRPr="00572B2C" w:rsidRDefault="00740343" w:rsidP="00740343">
      <w:pPr>
        <w:pStyle w:val="enumlev1"/>
        <w:tabs>
          <w:tab w:val="clear" w:pos="794"/>
          <w:tab w:val="clear" w:pos="1191"/>
          <w:tab w:val="left" w:pos="851"/>
          <w:tab w:val="left" w:pos="1134"/>
        </w:tabs>
        <w:spacing w:before="120"/>
        <w:ind w:left="0" w:firstLine="0"/>
        <w:rPr>
          <w:rFonts w:asciiTheme="minorHAnsi" w:hAnsiTheme="minorHAnsi"/>
          <w:color w:val="000000"/>
          <w:szCs w:val="24"/>
        </w:rPr>
      </w:pPr>
      <w:r w:rsidRPr="00572B2C">
        <w:rPr>
          <w:rFonts w:asciiTheme="minorHAnsi" w:hAnsiTheme="minorHAnsi"/>
          <w:color w:val="000000"/>
          <w:szCs w:val="24"/>
        </w:rPr>
        <w:t>Les produits finals doivent être approuvés par consensus.</w:t>
      </w:r>
    </w:p>
    <w:p w:rsidR="00740343" w:rsidRPr="00572B2C" w:rsidRDefault="00740343" w:rsidP="00740343">
      <w:pPr>
        <w:pStyle w:val="Heading2"/>
        <w:rPr>
          <w:rFonts w:asciiTheme="minorHAnsi" w:hAnsiTheme="minorHAnsi"/>
        </w:rPr>
      </w:pPr>
      <w:r w:rsidRPr="00572B2C">
        <w:rPr>
          <w:rFonts w:asciiTheme="minorHAnsi" w:hAnsiTheme="minorHAnsi"/>
        </w:rPr>
        <w:t>2.13</w:t>
      </w:r>
      <w:r w:rsidRPr="00572B2C">
        <w:rPr>
          <w:rFonts w:asciiTheme="minorHAnsi" w:hAnsiTheme="minorHAnsi"/>
        </w:rPr>
        <w:tab/>
        <w:t>Lignes directrices de travail</w:t>
      </w:r>
    </w:p>
    <w:p w:rsidR="00740343" w:rsidRPr="00572B2C" w:rsidRDefault="00740343" w:rsidP="00740343">
      <w:pPr>
        <w:pStyle w:val="enumlev1"/>
        <w:tabs>
          <w:tab w:val="clear" w:pos="794"/>
          <w:tab w:val="clear" w:pos="1191"/>
          <w:tab w:val="left" w:pos="851"/>
          <w:tab w:val="left" w:pos="1134"/>
        </w:tabs>
        <w:spacing w:before="120"/>
        <w:ind w:left="0" w:firstLine="0"/>
        <w:rPr>
          <w:rFonts w:asciiTheme="minorHAnsi" w:hAnsiTheme="minorHAnsi"/>
          <w:color w:val="000000"/>
          <w:szCs w:val="24"/>
        </w:rPr>
      </w:pPr>
      <w:r w:rsidRPr="00572B2C">
        <w:rPr>
          <w:rFonts w:asciiTheme="minorHAnsi" w:hAnsiTheme="minorHAnsi"/>
          <w:color w:val="000000"/>
          <w:szCs w:val="24"/>
        </w:rPr>
        <w:t>Voir le § 13 de la Recommandation UIT</w:t>
      </w:r>
      <w:r w:rsidRPr="00572B2C">
        <w:rPr>
          <w:rFonts w:asciiTheme="minorHAnsi" w:hAnsiTheme="minorHAnsi"/>
          <w:color w:val="000000"/>
          <w:szCs w:val="24"/>
        </w:rPr>
        <w:noBreakHyphen/>
        <w:t>T A.7.</w:t>
      </w:r>
    </w:p>
    <w:p w:rsidR="00740343" w:rsidRPr="00572B2C" w:rsidRDefault="00740343" w:rsidP="00740343">
      <w:pPr>
        <w:pStyle w:val="Heading2"/>
        <w:rPr>
          <w:rFonts w:asciiTheme="minorHAnsi" w:hAnsiTheme="minorHAnsi"/>
        </w:rPr>
      </w:pPr>
      <w:r w:rsidRPr="00572B2C">
        <w:rPr>
          <w:rFonts w:asciiTheme="minorHAnsi" w:hAnsiTheme="minorHAnsi"/>
        </w:rPr>
        <w:t>2.14</w:t>
      </w:r>
      <w:r w:rsidRPr="00572B2C">
        <w:rPr>
          <w:rFonts w:asciiTheme="minorHAnsi" w:hAnsiTheme="minorHAnsi"/>
        </w:rPr>
        <w:tab/>
        <w:t>Rapports d'activité</w:t>
      </w:r>
    </w:p>
    <w:p w:rsidR="00740343" w:rsidRPr="00572B2C" w:rsidRDefault="00740343" w:rsidP="00740343">
      <w:pPr>
        <w:pStyle w:val="enumlev1"/>
        <w:tabs>
          <w:tab w:val="clear" w:pos="794"/>
          <w:tab w:val="clear" w:pos="1191"/>
          <w:tab w:val="left" w:pos="851"/>
          <w:tab w:val="left" w:pos="1134"/>
        </w:tabs>
        <w:spacing w:before="120"/>
        <w:ind w:left="0" w:firstLine="0"/>
        <w:rPr>
          <w:rFonts w:asciiTheme="minorHAnsi" w:hAnsiTheme="minorHAnsi"/>
          <w:color w:val="000000"/>
          <w:szCs w:val="24"/>
        </w:rPr>
      </w:pPr>
      <w:r w:rsidRPr="00572B2C">
        <w:rPr>
          <w:rFonts w:asciiTheme="minorHAnsi" w:hAnsiTheme="minorHAnsi"/>
          <w:color w:val="000000"/>
          <w:szCs w:val="24"/>
        </w:rPr>
        <w:t>Voir le § 11 de la Recommandation UIT-T A.7.</w:t>
      </w:r>
    </w:p>
    <w:p w:rsidR="00740343" w:rsidRPr="00572B2C" w:rsidRDefault="00740343" w:rsidP="00740343">
      <w:pPr>
        <w:pStyle w:val="Heading2"/>
        <w:rPr>
          <w:rFonts w:asciiTheme="minorHAnsi" w:hAnsiTheme="minorHAnsi"/>
        </w:rPr>
      </w:pPr>
      <w:r w:rsidRPr="00572B2C">
        <w:rPr>
          <w:rFonts w:asciiTheme="minorHAnsi" w:hAnsiTheme="minorHAnsi"/>
        </w:rPr>
        <w:t>2.15</w:t>
      </w:r>
      <w:r w:rsidRPr="00572B2C">
        <w:rPr>
          <w:rFonts w:asciiTheme="minorHAnsi" w:hAnsiTheme="minorHAnsi"/>
        </w:rPr>
        <w:tab/>
        <w:t>Annonce de la création du Groupe spécialisé</w:t>
      </w:r>
    </w:p>
    <w:p w:rsidR="00740343" w:rsidRPr="00572B2C" w:rsidRDefault="00740343" w:rsidP="00740343">
      <w:pPr>
        <w:pStyle w:val="enumlev1"/>
        <w:tabs>
          <w:tab w:val="clear" w:pos="794"/>
          <w:tab w:val="clear" w:pos="1191"/>
          <w:tab w:val="left" w:pos="851"/>
          <w:tab w:val="left" w:pos="1134"/>
        </w:tabs>
        <w:spacing w:before="120"/>
        <w:ind w:left="0" w:firstLine="0"/>
        <w:rPr>
          <w:rFonts w:asciiTheme="minorHAnsi" w:hAnsiTheme="minorHAnsi"/>
        </w:rPr>
      </w:pPr>
      <w:r w:rsidRPr="00572B2C">
        <w:rPr>
          <w:rFonts w:asciiTheme="minorHAnsi" w:hAnsiTheme="minorHAnsi"/>
          <w:color w:val="000000"/>
          <w:szCs w:val="24"/>
        </w:rPr>
        <w:t>La création du Groupe spécialisé sera annoncée par l'intermédiaire d'une Circulaire du TSB adressée à l'ensemble des membres de l'UIT, dans le bulletin d'actualités de l'UIT-T, et par d'autres moyens, y compris la communication avec les autres organisations concernées.</w:t>
      </w:r>
    </w:p>
    <w:p w:rsidR="00740343" w:rsidRPr="00572B2C" w:rsidRDefault="00740343" w:rsidP="00740343">
      <w:pPr>
        <w:pStyle w:val="Heading2"/>
        <w:rPr>
          <w:rFonts w:asciiTheme="minorHAnsi" w:hAnsiTheme="minorHAnsi"/>
        </w:rPr>
      </w:pPr>
      <w:r w:rsidRPr="00572B2C">
        <w:rPr>
          <w:rFonts w:asciiTheme="minorHAnsi" w:hAnsiTheme="minorHAnsi"/>
        </w:rPr>
        <w:t>2.16</w:t>
      </w:r>
      <w:r w:rsidRPr="00572B2C">
        <w:rPr>
          <w:rFonts w:asciiTheme="minorHAnsi" w:hAnsiTheme="minorHAnsi"/>
        </w:rPr>
        <w:tab/>
        <w:t>Echéances et durée des activités du Groupe spécialisé</w:t>
      </w:r>
    </w:p>
    <w:p w:rsidR="00740343" w:rsidRPr="00572B2C" w:rsidRDefault="00740343" w:rsidP="00740343">
      <w:pPr>
        <w:pStyle w:val="enumlev1"/>
        <w:tabs>
          <w:tab w:val="clear" w:pos="794"/>
          <w:tab w:val="clear" w:pos="1191"/>
          <w:tab w:val="left" w:pos="851"/>
          <w:tab w:val="left" w:pos="1134"/>
        </w:tabs>
        <w:spacing w:before="120"/>
        <w:ind w:left="0" w:firstLine="0"/>
        <w:rPr>
          <w:rFonts w:asciiTheme="minorHAnsi" w:hAnsiTheme="minorHAnsi"/>
        </w:rPr>
      </w:pPr>
      <w:r w:rsidRPr="00572B2C">
        <w:rPr>
          <w:rFonts w:asciiTheme="minorHAnsi" w:hAnsiTheme="minorHAnsi"/>
        </w:rPr>
        <w:t>La durée des activités du Groupe spécialisé est de deux ans, mais elle peut être prolongée au besoin par décision de l'entité de rattachement.</w:t>
      </w:r>
    </w:p>
    <w:p w:rsidR="00740343" w:rsidRPr="00572B2C" w:rsidRDefault="00740343" w:rsidP="00740343">
      <w:pPr>
        <w:pStyle w:val="enumlev1"/>
        <w:tabs>
          <w:tab w:val="clear" w:pos="794"/>
          <w:tab w:val="clear" w:pos="1191"/>
          <w:tab w:val="left" w:pos="851"/>
          <w:tab w:val="left" w:pos="1134"/>
        </w:tabs>
        <w:spacing w:before="120"/>
        <w:ind w:left="0" w:firstLine="0"/>
        <w:rPr>
          <w:rFonts w:asciiTheme="minorHAnsi" w:hAnsiTheme="minorHAnsi"/>
        </w:rPr>
      </w:pPr>
      <w:r w:rsidRPr="00572B2C">
        <w:rPr>
          <w:rFonts w:asciiTheme="minorHAnsi" w:hAnsiTheme="minorHAnsi"/>
        </w:rPr>
        <w:t>La première échéance prévue est la suivante:</w:t>
      </w:r>
    </w:p>
    <w:p w:rsidR="00740343" w:rsidRPr="00572B2C" w:rsidRDefault="00740343" w:rsidP="00740343">
      <w:pPr>
        <w:pStyle w:val="enumlev1"/>
        <w:rPr>
          <w:rFonts w:asciiTheme="minorHAnsi" w:hAnsiTheme="minorHAnsi"/>
          <w:lang w:val="fr-CH"/>
        </w:rPr>
      </w:pPr>
      <w:r w:rsidRPr="00572B2C">
        <w:rPr>
          <w:rFonts w:asciiTheme="minorHAnsi" w:hAnsiTheme="minorHAnsi"/>
          <w:lang w:val="fr-CH"/>
        </w:rPr>
        <w:t>•</w:t>
      </w:r>
      <w:r w:rsidRPr="00572B2C">
        <w:rPr>
          <w:rFonts w:asciiTheme="minorHAnsi" w:hAnsiTheme="minorHAnsi"/>
          <w:lang w:val="fr-CH"/>
        </w:rPr>
        <w:tab/>
        <w:t>Première réunion du Groupe spécialisé FG</w:t>
      </w:r>
      <w:r w:rsidRPr="00572B2C">
        <w:rPr>
          <w:rFonts w:asciiTheme="minorHAnsi" w:hAnsiTheme="minorHAnsi"/>
          <w:lang w:val="fr-CH"/>
        </w:rPr>
        <w:noBreakHyphen/>
        <w:t>DFS: 4ème trimestre de 2014.</w:t>
      </w:r>
    </w:p>
    <w:p w:rsidR="00740343" w:rsidRPr="00572B2C" w:rsidRDefault="00740343" w:rsidP="00740343">
      <w:pPr>
        <w:pStyle w:val="Heading2"/>
        <w:rPr>
          <w:rFonts w:asciiTheme="minorHAnsi" w:hAnsiTheme="minorHAnsi"/>
        </w:rPr>
      </w:pPr>
      <w:r w:rsidRPr="00572B2C">
        <w:rPr>
          <w:rFonts w:asciiTheme="minorHAnsi" w:hAnsiTheme="minorHAnsi"/>
        </w:rPr>
        <w:t>2.17</w:t>
      </w:r>
      <w:r w:rsidRPr="00572B2C">
        <w:rPr>
          <w:rFonts w:asciiTheme="minorHAnsi" w:hAnsiTheme="minorHAnsi"/>
        </w:rPr>
        <w:tab/>
        <w:t>Politique en matière de droits d'auteur</w:t>
      </w:r>
    </w:p>
    <w:p w:rsidR="00740343" w:rsidRPr="00572B2C" w:rsidRDefault="00740343" w:rsidP="00740343">
      <w:pPr>
        <w:spacing w:before="100" w:after="100"/>
        <w:rPr>
          <w:rFonts w:asciiTheme="minorHAnsi" w:hAnsiTheme="minorHAnsi"/>
          <w:color w:val="000000"/>
          <w:szCs w:val="24"/>
        </w:rPr>
      </w:pPr>
      <w:r w:rsidRPr="00572B2C">
        <w:rPr>
          <w:rFonts w:asciiTheme="minorHAnsi" w:hAnsiTheme="minorHAnsi"/>
          <w:color w:val="000000"/>
          <w:szCs w:val="24"/>
        </w:rPr>
        <w:t>Voir le § 9 de la Recommandation UIT-T A.7.</w:t>
      </w:r>
    </w:p>
    <w:p w:rsidR="00740343" w:rsidRPr="00572B2C" w:rsidRDefault="00740343" w:rsidP="00740343">
      <w:pPr>
        <w:tabs>
          <w:tab w:val="clear" w:pos="794"/>
        </w:tabs>
        <w:rPr>
          <w:rFonts w:asciiTheme="minorHAnsi" w:hAnsiTheme="minorHAnsi"/>
          <w:color w:val="000000"/>
          <w:szCs w:val="24"/>
          <w:lang w:val="fr-CH"/>
        </w:rPr>
        <w:sectPr w:rsidR="00740343" w:rsidRPr="00572B2C" w:rsidSect="00572B2C">
          <w:headerReference w:type="default" r:id="rId20"/>
          <w:footerReference w:type="default" r:id="rId21"/>
          <w:footerReference w:type="first" r:id="rId22"/>
          <w:pgSz w:w="11907" w:h="16840" w:code="9"/>
          <w:pgMar w:top="1134" w:right="1134" w:bottom="1134" w:left="1134" w:header="567" w:footer="567" w:gutter="0"/>
          <w:paperSrc w:first="7" w:other="7"/>
          <w:cols w:space="720"/>
          <w:titlePg/>
          <w:docGrid w:linePitch="326"/>
        </w:sectPr>
      </w:pPr>
    </w:p>
    <w:p w:rsidR="00740343" w:rsidRPr="00572B2C" w:rsidRDefault="00740343" w:rsidP="00740343">
      <w:pPr>
        <w:tabs>
          <w:tab w:val="clear" w:pos="794"/>
        </w:tabs>
        <w:jc w:val="center"/>
        <w:rPr>
          <w:rFonts w:asciiTheme="minorHAnsi" w:hAnsiTheme="minorHAnsi"/>
          <w:lang w:val="en-US"/>
        </w:rPr>
      </w:pPr>
      <w:r w:rsidRPr="00572B2C">
        <w:rPr>
          <w:rFonts w:asciiTheme="minorHAnsi" w:hAnsiTheme="minorHAnsi"/>
          <w:lang w:val="en-US"/>
        </w:rPr>
        <w:lastRenderedPageBreak/>
        <w:t>ANNEX 2</w:t>
      </w:r>
    </w:p>
    <w:p w:rsidR="00740343" w:rsidRPr="00572B2C" w:rsidRDefault="00740343" w:rsidP="00740343">
      <w:pPr>
        <w:tabs>
          <w:tab w:val="clear" w:pos="794"/>
        </w:tabs>
        <w:jc w:val="center"/>
        <w:rPr>
          <w:rFonts w:asciiTheme="minorHAnsi" w:hAnsiTheme="minorHAnsi"/>
          <w:lang w:val="en-US"/>
        </w:rPr>
      </w:pPr>
      <w:r w:rsidRPr="00572B2C">
        <w:rPr>
          <w:rFonts w:asciiTheme="minorHAnsi" w:hAnsiTheme="minorHAnsi"/>
          <w:lang w:val="en-US"/>
        </w:rPr>
        <w:t>(to TSB Circular 114)</w:t>
      </w:r>
    </w:p>
    <w:p w:rsidR="00740343" w:rsidRPr="00572B2C" w:rsidRDefault="00740343" w:rsidP="00740343">
      <w:pPr>
        <w:tabs>
          <w:tab w:val="clear" w:pos="794"/>
        </w:tabs>
        <w:jc w:val="center"/>
        <w:rPr>
          <w:rFonts w:asciiTheme="minorHAnsi" w:hAnsiTheme="minorHAnsi"/>
          <w:b/>
          <w:bCs/>
          <w:lang w:val="en-US"/>
        </w:rPr>
      </w:pPr>
      <w:r w:rsidRPr="00572B2C">
        <w:rPr>
          <w:rFonts w:asciiTheme="minorHAnsi" w:hAnsiTheme="minorHAnsi"/>
          <w:b/>
          <w:bCs/>
          <w:lang w:val="en-US"/>
        </w:rPr>
        <w:t>Draft agenda for First Meeting of FG on Digital Financial Services</w:t>
      </w:r>
    </w:p>
    <w:p w:rsidR="00740343" w:rsidRPr="00572B2C" w:rsidRDefault="00740343" w:rsidP="00740343">
      <w:pPr>
        <w:tabs>
          <w:tab w:val="clear" w:pos="794"/>
        </w:tabs>
        <w:jc w:val="center"/>
        <w:rPr>
          <w:rFonts w:asciiTheme="minorHAnsi" w:hAnsiTheme="minorHAnsi"/>
          <w:b/>
          <w:bCs/>
          <w:lang w:val="en-US"/>
        </w:rPr>
      </w:pPr>
      <w:r w:rsidRPr="00572B2C">
        <w:rPr>
          <w:rFonts w:asciiTheme="minorHAnsi" w:hAnsiTheme="minorHAnsi"/>
          <w:b/>
          <w:bCs/>
          <w:lang w:val="en-US"/>
        </w:rPr>
        <w:t>Geneva, 5 December 2014</w:t>
      </w:r>
    </w:p>
    <w:p w:rsidR="00740343" w:rsidRPr="00572B2C" w:rsidRDefault="00740343" w:rsidP="00740343">
      <w:pPr>
        <w:tabs>
          <w:tab w:val="clear" w:pos="794"/>
        </w:tabs>
        <w:rPr>
          <w:rFonts w:asciiTheme="minorHAnsi" w:hAnsiTheme="minorHAnsi"/>
          <w:b/>
          <w:bCs/>
          <w:lang w:val="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740343" w:rsidRPr="00572B2C" w:rsidTr="00FC3481">
        <w:trPr>
          <w:trHeight w:val="472"/>
        </w:trPr>
        <w:tc>
          <w:tcPr>
            <w:tcW w:w="1560" w:type="dxa"/>
            <w:tcBorders>
              <w:top w:val="single" w:sz="4" w:space="0" w:color="auto"/>
              <w:left w:val="single" w:sz="4" w:space="0" w:color="auto"/>
              <w:bottom w:val="single" w:sz="4" w:space="0" w:color="auto"/>
              <w:right w:val="single" w:sz="4" w:space="0" w:color="auto"/>
            </w:tcBorders>
            <w:hideMark/>
          </w:tcPr>
          <w:p w:rsidR="00740343" w:rsidRPr="00572B2C" w:rsidRDefault="00740343" w:rsidP="00FC3481">
            <w:pPr>
              <w:rPr>
                <w:rFonts w:asciiTheme="minorHAnsi" w:hAnsiTheme="minorHAnsi" w:cstheme="majorBidi"/>
                <w:lang w:val="en-US"/>
              </w:rPr>
            </w:pPr>
            <w:r w:rsidRPr="00572B2C">
              <w:rPr>
                <w:rFonts w:asciiTheme="minorHAnsi" w:hAnsiTheme="minorHAnsi" w:cstheme="majorBidi"/>
                <w:lang w:val="en-US"/>
              </w:rPr>
              <w:t>08:30-09:30</w:t>
            </w:r>
          </w:p>
        </w:tc>
        <w:tc>
          <w:tcPr>
            <w:tcW w:w="7938" w:type="dxa"/>
            <w:tcBorders>
              <w:top w:val="single" w:sz="4" w:space="0" w:color="auto"/>
              <w:left w:val="single" w:sz="4" w:space="0" w:color="auto"/>
              <w:bottom w:val="single" w:sz="4" w:space="0" w:color="auto"/>
              <w:right w:val="single" w:sz="4" w:space="0" w:color="auto"/>
            </w:tcBorders>
            <w:hideMark/>
          </w:tcPr>
          <w:p w:rsidR="00740343" w:rsidRPr="00572B2C" w:rsidRDefault="00740343" w:rsidP="00FC3481">
            <w:pPr>
              <w:rPr>
                <w:rFonts w:asciiTheme="minorHAnsi" w:hAnsiTheme="minorHAnsi" w:cstheme="majorBidi"/>
                <w:b/>
                <w:bCs/>
                <w:lang w:val="en-US"/>
              </w:rPr>
            </w:pPr>
            <w:r w:rsidRPr="00572B2C">
              <w:rPr>
                <w:rFonts w:asciiTheme="minorHAnsi" w:hAnsiTheme="minorHAnsi" w:cstheme="majorBidi"/>
                <w:b/>
                <w:bCs/>
                <w:lang w:val="en-US"/>
              </w:rPr>
              <w:t xml:space="preserve">Registration </w:t>
            </w:r>
          </w:p>
        </w:tc>
      </w:tr>
      <w:tr w:rsidR="00740343" w:rsidRPr="00FB04CF" w:rsidTr="00FC3481">
        <w:trPr>
          <w:trHeight w:val="2110"/>
        </w:trPr>
        <w:tc>
          <w:tcPr>
            <w:tcW w:w="1560" w:type="dxa"/>
            <w:tcBorders>
              <w:top w:val="single" w:sz="4" w:space="0" w:color="auto"/>
              <w:left w:val="single" w:sz="4" w:space="0" w:color="auto"/>
              <w:bottom w:val="single" w:sz="4" w:space="0" w:color="auto"/>
              <w:right w:val="single" w:sz="4" w:space="0" w:color="auto"/>
            </w:tcBorders>
            <w:hideMark/>
          </w:tcPr>
          <w:p w:rsidR="00740343" w:rsidRPr="00572B2C" w:rsidRDefault="00740343" w:rsidP="00FC3481">
            <w:pPr>
              <w:rPr>
                <w:rFonts w:asciiTheme="minorHAnsi" w:hAnsiTheme="minorHAnsi" w:cstheme="majorBidi"/>
                <w:lang w:val="en-US"/>
              </w:rPr>
            </w:pPr>
            <w:r w:rsidRPr="00572B2C">
              <w:rPr>
                <w:rFonts w:asciiTheme="minorHAnsi" w:hAnsiTheme="minorHAnsi" w:cstheme="majorBidi"/>
                <w:lang w:val="en-US"/>
              </w:rPr>
              <w:t>09:30-10:10</w:t>
            </w:r>
          </w:p>
        </w:tc>
        <w:tc>
          <w:tcPr>
            <w:tcW w:w="7938" w:type="dxa"/>
            <w:tcBorders>
              <w:top w:val="single" w:sz="4" w:space="0" w:color="auto"/>
              <w:left w:val="single" w:sz="4" w:space="0" w:color="auto"/>
              <w:bottom w:val="single" w:sz="4" w:space="0" w:color="auto"/>
              <w:right w:val="single" w:sz="4" w:space="0" w:color="auto"/>
            </w:tcBorders>
            <w:hideMark/>
          </w:tcPr>
          <w:p w:rsidR="00740343" w:rsidRPr="00572B2C" w:rsidRDefault="00740343" w:rsidP="00FC3481">
            <w:pPr>
              <w:rPr>
                <w:rFonts w:asciiTheme="minorHAnsi" w:hAnsiTheme="minorHAnsi" w:cstheme="majorBidi"/>
                <w:b/>
                <w:bCs/>
                <w:lang w:val="en-US"/>
              </w:rPr>
            </w:pPr>
            <w:r w:rsidRPr="00572B2C">
              <w:rPr>
                <w:rFonts w:asciiTheme="minorHAnsi" w:hAnsiTheme="minorHAnsi" w:cstheme="majorBidi"/>
                <w:b/>
                <w:bCs/>
                <w:lang w:val="en-US"/>
              </w:rPr>
              <w:t>Opening plenary session</w:t>
            </w:r>
          </w:p>
          <w:p w:rsidR="00740343" w:rsidRPr="00572B2C" w:rsidRDefault="00740343" w:rsidP="00740343">
            <w:pPr>
              <w:numPr>
                <w:ilvl w:val="0"/>
                <w:numId w:val="5"/>
              </w:numPr>
              <w:tabs>
                <w:tab w:val="clear" w:pos="794"/>
                <w:tab w:val="clear" w:pos="1191"/>
                <w:tab w:val="clear" w:pos="1588"/>
                <w:tab w:val="clear" w:pos="1985"/>
              </w:tabs>
              <w:overflowPunct/>
              <w:autoSpaceDE/>
              <w:autoSpaceDN/>
              <w:adjustRightInd/>
              <w:textAlignment w:val="auto"/>
              <w:rPr>
                <w:rFonts w:asciiTheme="minorHAnsi" w:hAnsiTheme="minorHAnsi" w:cstheme="majorBidi"/>
                <w:lang w:val="en-US"/>
              </w:rPr>
            </w:pPr>
            <w:r w:rsidRPr="00572B2C">
              <w:rPr>
                <w:rFonts w:asciiTheme="minorHAnsi" w:hAnsiTheme="minorHAnsi" w:cstheme="majorBidi"/>
                <w:lang w:val="en-US"/>
              </w:rPr>
              <w:t>Welcome remarks</w:t>
            </w:r>
          </w:p>
          <w:p w:rsidR="00740343" w:rsidRPr="00572B2C" w:rsidRDefault="00740343" w:rsidP="00740343">
            <w:pPr>
              <w:pStyle w:val="ListParagraph"/>
              <w:numPr>
                <w:ilvl w:val="0"/>
                <w:numId w:val="6"/>
              </w:numPr>
              <w:tabs>
                <w:tab w:val="clear" w:pos="794"/>
                <w:tab w:val="clear" w:pos="1191"/>
                <w:tab w:val="clear" w:pos="1588"/>
                <w:tab w:val="clear" w:pos="1985"/>
              </w:tabs>
              <w:overflowPunct/>
              <w:autoSpaceDE/>
              <w:autoSpaceDN/>
              <w:adjustRightInd/>
              <w:spacing w:after="200"/>
              <w:jc w:val="left"/>
              <w:rPr>
                <w:rFonts w:asciiTheme="minorHAnsi" w:hAnsiTheme="minorHAnsi" w:cstheme="majorBidi"/>
                <w:lang w:val="en-US"/>
              </w:rPr>
            </w:pPr>
            <w:r w:rsidRPr="00572B2C">
              <w:rPr>
                <w:rFonts w:asciiTheme="minorHAnsi" w:hAnsiTheme="minorHAnsi" w:cstheme="majorBidi"/>
                <w:lang w:val="en-US"/>
              </w:rPr>
              <w:t>ITU/TSB Director</w:t>
            </w:r>
          </w:p>
          <w:p w:rsidR="00740343" w:rsidRPr="00572B2C" w:rsidRDefault="00740343" w:rsidP="00740343">
            <w:pPr>
              <w:pStyle w:val="ListParagraph"/>
              <w:numPr>
                <w:ilvl w:val="0"/>
                <w:numId w:val="6"/>
              </w:numPr>
              <w:tabs>
                <w:tab w:val="clear" w:pos="794"/>
                <w:tab w:val="clear" w:pos="1191"/>
                <w:tab w:val="clear" w:pos="1588"/>
                <w:tab w:val="clear" w:pos="1985"/>
              </w:tabs>
              <w:overflowPunct/>
              <w:autoSpaceDE/>
              <w:autoSpaceDN/>
              <w:adjustRightInd/>
              <w:spacing w:after="200"/>
              <w:jc w:val="left"/>
              <w:rPr>
                <w:rFonts w:asciiTheme="minorHAnsi" w:hAnsiTheme="minorHAnsi" w:cstheme="majorBidi"/>
                <w:lang w:val="en-US"/>
              </w:rPr>
            </w:pPr>
            <w:r w:rsidRPr="00572B2C">
              <w:rPr>
                <w:rFonts w:asciiTheme="minorHAnsi" w:hAnsiTheme="minorHAnsi" w:cstheme="majorBidi"/>
                <w:lang w:val="en-US"/>
              </w:rPr>
              <w:t xml:space="preserve">Focus Group Chairman </w:t>
            </w:r>
          </w:p>
          <w:p w:rsidR="00740343" w:rsidRPr="00572B2C" w:rsidRDefault="00740343" w:rsidP="00740343">
            <w:pPr>
              <w:numPr>
                <w:ilvl w:val="0"/>
                <w:numId w:val="5"/>
              </w:numPr>
              <w:tabs>
                <w:tab w:val="clear" w:pos="794"/>
                <w:tab w:val="clear" w:pos="1191"/>
                <w:tab w:val="clear" w:pos="1588"/>
                <w:tab w:val="clear" w:pos="1985"/>
              </w:tabs>
              <w:overflowPunct/>
              <w:autoSpaceDE/>
              <w:autoSpaceDN/>
              <w:adjustRightInd/>
              <w:textAlignment w:val="auto"/>
              <w:rPr>
                <w:rFonts w:asciiTheme="minorHAnsi" w:hAnsiTheme="minorHAnsi" w:cstheme="majorBidi"/>
                <w:lang w:val="en-US"/>
              </w:rPr>
            </w:pPr>
            <w:r w:rsidRPr="00572B2C">
              <w:rPr>
                <w:rFonts w:asciiTheme="minorHAnsi" w:hAnsiTheme="minorHAnsi" w:cstheme="majorBidi"/>
                <w:lang w:val="en-US"/>
              </w:rPr>
              <w:t xml:space="preserve">Logistics, Focus Group rules and ITU IPR policy </w:t>
            </w:r>
          </w:p>
        </w:tc>
      </w:tr>
      <w:tr w:rsidR="00740343" w:rsidRPr="00572B2C" w:rsidTr="00FC3481">
        <w:trPr>
          <w:trHeight w:val="2112"/>
        </w:trPr>
        <w:tc>
          <w:tcPr>
            <w:tcW w:w="1560" w:type="dxa"/>
            <w:tcBorders>
              <w:top w:val="single" w:sz="4" w:space="0" w:color="auto"/>
              <w:left w:val="single" w:sz="4" w:space="0" w:color="auto"/>
              <w:bottom w:val="single" w:sz="4" w:space="0" w:color="auto"/>
              <w:right w:val="single" w:sz="4" w:space="0" w:color="auto"/>
            </w:tcBorders>
            <w:hideMark/>
          </w:tcPr>
          <w:p w:rsidR="00740343" w:rsidRPr="00572B2C" w:rsidRDefault="00740343" w:rsidP="00FC3481">
            <w:pPr>
              <w:rPr>
                <w:rFonts w:asciiTheme="minorHAnsi" w:hAnsiTheme="minorHAnsi" w:cstheme="majorBidi"/>
                <w:lang w:val="en-US"/>
              </w:rPr>
            </w:pPr>
            <w:r w:rsidRPr="00572B2C">
              <w:rPr>
                <w:rFonts w:asciiTheme="minorHAnsi" w:hAnsiTheme="minorHAnsi" w:cstheme="majorBidi"/>
                <w:lang w:val="en-US"/>
              </w:rPr>
              <w:t>10:10-10:45</w:t>
            </w:r>
          </w:p>
        </w:tc>
        <w:tc>
          <w:tcPr>
            <w:tcW w:w="7938" w:type="dxa"/>
            <w:tcBorders>
              <w:top w:val="single" w:sz="4" w:space="0" w:color="auto"/>
              <w:left w:val="single" w:sz="4" w:space="0" w:color="auto"/>
              <w:bottom w:val="single" w:sz="4" w:space="0" w:color="auto"/>
              <w:right w:val="single" w:sz="4" w:space="0" w:color="auto"/>
            </w:tcBorders>
            <w:hideMark/>
          </w:tcPr>
          <w:p w:rsidR="00740343" w:rsidRPr="00572B2C" w:rsidRDefault="00740343" w:rsidP="00FC3481">
            <w:pPr>
              <w:rPr>
                <w:rFonts w:asciiTheme="minorHAnsi" w:hAnsiTheme="minorHAnsi" w:cstheme="majorBidi"/>
                <w:b/>
                <w:bCs/>
                <w:lang w:val="en-US"/>
              </w:rPr>
            </w:pPr>
            <w:r w:rsidRPr="00572B2C">
              <w:rPr>
                <w:rFonts w:asciiTheme="minorHAnsi" w:hAnsiTheme="minorHAnsi" w:cstheme="majorBidi"/>
                <w:b/>
                <w:bCs/>
                <w:lang w:val="en-US"/>
              </w:rPr>
              <w:t>Session 1: Focus Group Terms of Reference (ToR) and management</w:t>
            </w:r>
          </w:p>
          <w:p w:rsidR="00740343" w:rsidRPr="00572B2C" w:rsidRDefault="00740343" w:rsidP="00740343">
            <w:pPr>
              <w:numPr>
                <w:ilvl w:val="0"/>
                <w:numId w:val="5"/>
              </w:numPr>
              <w:tabs>
                <w:tab w:val="clear" w:pos="794"/>
                <w:tab w:val="clear" w:pos="1191"/>
                <w:tab w:val="clear" w:pos="1588"/>
                <w:tab w:val="clear" w:pos="1985"/>
              </w:tabs>
              <w:overflowPunct/>
              <w:autoSpaceDE/>
              <w:autoSpaceDN/>
              <w:adjustRightInd/>
              <w:textAlignment w:val="auto"/>
              <w:rPr>
                <w:rFonts w:asciiTheme="minorHAnsi" w:hAnsiTheme="minorHAnsi" w:cstheme="majorBidi"/>
                <w:lang w:val="en-US"/>
              </w:rPr>
            </w:pPr>
            <w:r w:rsidRPr="00572B2C">
              <w:rPr>
                <w:rFonts w:asciiTheme="minorHAnsi" w:hAnsiTheme="minorHAnsi" w:cstheme="majorBidi"/>
                <w:lang w:val="en-US"/>
              </w:rPr>
              <w:t>Presentation of the management team</w:t>
            </w:r>
          </w:p>
          <w:p w:rsidR="00740343" w:rsidRPr="00572B2C" w:rsidRDefault="00740343" w:rsidP="00740343">
            <w:pPr>
              <w:numPr>
                <w:ilvl w:val="0"/>
                <w:numId w:val="5"/>
              </w:numPr>
              <w:tabs>
                <w:tab w:val="clear" w:pos="794"/>
                <w:tab w:val="clear" w:pos="1191"/>
                <w:tab w:val="clear" w:pos="1588"/>
                <w:tab w:val="clear" w:pos="1985"/>
              </w:tabs>
              <w:overflowPunct/>
              <w:autoSpaceDE/>
              <w:autoSpaceDN/>
              <w:adjustRightInd/>
              <w:textAlignment w:val="auto"/>
              <w:rPr>
                <w:rFonts w:asciiTheme="minorHAnsi" w:hAnsiTheme="minorHAnsi" w:cstheme="majorBidi"/>
                <w:lang w:val="en-US"/>
              </w:rPr>
            </w:pPr>
            <w:r w:rsidRPr="00572B2C">
              <w:rPr>
                <w:rFonts w:asciiTheme="minorHAnsi" w:hAnsiTheme="minorHAnsi" w:cstheme="majorBidi"/>
                <w:lang w:val="en-US"/>
              </w:rPr>
              <w:t xml:space="preserve">Presentation of the Terms of Reference (ToR) </w:t>
            </w:r>
          </w:p>
          <w:p w:rsidR="00740343" w:rsidRPr="00572B2C" w:rsidRDefault="00740343" w:rsidP="00740343">
            <w:pPr>
              <w:numPr>
                <w:ilvl w:val="0"/>
                <w:numId w:val="5"/>
              </w:numPr>
              <w:tabs>
                <w:tab w:val="clear" w:pos="794"/>
                <w:tab w:val="clear" w:pos="1191"/>
                <w:tab w:val="clear" w:pos="1588"/>
                <w:tab w:val="clear" w:pos="1985"/>
              </w:tabs>
              <w:overflowPunct/>
              <w:autoSpaceDE/>
              <w:autoSpaceDN/>
              <w:adjustRightInd/>
              <w:textAlignment w:val="auto"/>
              <w:rPr>
                <w:rFonts w:asciiTheme="minorHAnsi" w:hAnsiTheme="minorHAnsi" w:cstheme="majorBidi"/>
                <w:lang w:val="en-US"/>
              </w:rPr>
            </w:pPr>
            <w:r w:rsidRPr="00572B2C">
              <w:rPr>
                <w:rFonts w:asciiTheme="minorHAnsi" w:hAnsiTheme="minorHAnsi" w:cstheme="majorBidi"/>
                <w:lang w:val="en-US"/>
              </w:rPr>
              <w:t xml:space="preserve">Document allocation </w:t>
            </w:r>
          </w:p>
          <w:p w:rsidR="00740343" w:rsidRPr="00572B2C" w:rsidRDefault="00740343" w:rsidP="00740343">
            <w:pPr>
              <w:numPr>
                <w:ilvl w:val="0"/>
                <w:numId w:val="5"/>
              </w:numPr>
              <w:tabs>
                <w:tab w:val="clear" w:pos="794"/>
                <w:tab w:val="clear" w:pos="1191"/>
                <w:tab w:val="clear" w:pos="1588"/>
                <w:tab w:val="clear" w:pos="1985"/>
              </w:tabs>
              <w:overflowPunct/>
              <w:autoSpaceDE/>
              <w:autoSpaceDN/>
              <w:adjustRightInd/>
              <w:textAlignment w:val="auto"/>
              <w:rPr>
                <w:rFonts w:asciiTheme="minorHAnsi" w:hAnsiTheme="minorHAnsi" w:cstheme="majorBidi"/>
                <w:lang w:val="en-US"/>
              </w:rPr>
            </w:pPr>
            <w:r w:rsidRPr="00572B2C">
              <w:rPr>
                <w:rFonts w:asciiTheme="minorHAnsi" w:hAnsiTheme="minorHAnsi" w:cstheme="majorBidi"/>
                <w:lang w:val="en-US"/>
              </w:rPr>
              <w:t xml:space="preserve">Agenda approval </w:t>
            </w:r>
          </w:p>
        </w:tc>
      </w:tr>
      <w:tr w:rsidR="00740343" w:rsidRPr="00572B2C" w:rsidTr="00FC3481">
        <w:tc>
          <w:tcPr>
            <w:tcW w:w="1560" w:type="dxa"/>
            <w:tcBorders>
              <w:top w:val="single" w:sz="4" w:space="0" w:color="auto"/>
              <w:left w:val="single" w:sz="4" w:space="0" w:color="auto"/>
              <w:bottom w:val="single" w:sz="4" w:space="0" w:color="auto"/>
              <w:right w:val="single" w:sz="4" w:space="0" w:color="auto"/>
            </w:tcBorders>
          </w:tcPr>
          <w:p w:rsidR="00740343" w:rsidRPr="00572B2C" w:rsidRDefault="00740343" w:rsidP="00FC3481">
            <w:pPr>
              <w:rPr>
                <w:rFonts w:asciiTheme="minorHAnsi" w:hAnsiTheme="minorHAnsi" w:cstheme="majorBidi"/>
                <w:lang w:val="en-US"/>
              </w:rPr>
            </w:pPr>
            <w:r w:rsidRPr="00572B2C">
              <w:rPr>
                <w:rFonts w:asciiTheme="minorHAnsi" w:hAnsiTheme="minorHAnsi" w:cstheme="majorBidi"/>
                <w:lang w:val="en-US"/>
              </w:rPr>
              <w:t>10:45-11:00</w:t>
            </w:r>
          </w:p>
        </w:tc>
        <w:tc>
          <w:tcPr>
            <w:tcW w:w="7938" w:type="dxa"/>
            <w:tcBorders>
              <w:top w:val="single" w:sz="4" w:space="0" w:color="auto"/>
              <w:left w:val="single" w:sz="4" w:space="0" w:color="auto"/>
              <w:bottom w:val="single" w:sz="4" w:space="0" w:color="auto"/>
              <w:right w:val="single" w:sz="4" w:space="0" w:color="auto"/>
            </w:tcBorders>
          </w:tcPr>
          <w:p w:rsidR="00740343" w:rsidRPr="00572B2C" w:rsidRDefault="00740343" w:rsidP="00FC3481">
            <w:pPr>
              <w:rPr>
                <w:rFonts w:asciiTheme="minorHAnsi" w:hAnsiTheme="minorHAnsi" w:cstheme="majorBidi"/>
                <w:lang w:val="en-US"/>
              </w:rPr>
            </w:pPr>
            <w:r w:rsidRPr="00572B2C">
              <w:rPr>
                <w:rFonts w:asciiTheme="minorHAnsi" w:hAnsiTheme="minorHAnsi" w:cstheme="majorBidi"/>
                <w:lang w:val="en-US"/>
              </w:rPr>
              <w:t xml:space="preserve">Coffee Break </w:t>
            </w:r>
          </w:p>
        </w:tc>
      </w:tr>
      <w:tr w:rsidR="00740343" w:rsidRPr="00572B2C" w:rsidTr="00FC3481">
        <w:trPr>
          <w:trHeight w:val="1283"/>
        </w:trPr>
        <w:tc>
          <w:tcPr>
            <w:tcW w:w="1560" w:type="dxa"/>
            <w:tcBorders>
              <w:top w:val="single" w:sz="4" w:space="0" w:color="auto"/>
              <w:left w:val="single" w:sz="4" w:space="0" w:color="auto"/>
              <w:bottom w:val="single" w:sz="4" w:space="0" w:color="auto"/>
              <w:right w:val="single" w:sz="4" w:space="0" w:color="auto"/>
            </w:tcBorders>
            <w:hideMark/>
          </w:tcPr>
          <w:p w:rsidR="00740343" w:rsidRPr="00572B2C" w:rsidRDefault="00740343" w:rsidP="00FC3481">
            <w:pPr>
              <w:rPr>
                <w:rFonts w:asciiTheme="minorHAnsi" w:hAnsiTheme="minorHAnsi" w:cstheme="majorBidi"/>
                <w:lang w:val="en-US"/>
              </w:rPr>
            </w:pPr>
            <w:r w:rsidRPr="00572B2C">
              <w:rPr>
                <w:rFonts w:asciiTheme="minorHAnsi" w:hAnsiTheme="minorHAnsi" w:cstheme="majorBidi"/>
                <w:lang w:val="en-US"/>
              </w:rPr>
              <w:t>11:00-12:30</w:t>
            </w:r>
          </w:p>
        </w:tc>
        <w:tc>
          <w:tcPr>
            <w:tcW w:w="7938" w:type="dxa"/>
            <w:tcBorders>
              <w:top w:val="single" w:sz="4" w:space="0" w:color="auto"/>
              <w:left w:val="single" w:sz="4" w:space="0" w:color="auto"/>
              <w:bottom w:val="single" w:sz="4" w:space="0" w:color="auto"/>
              <w:right w:val="single" w:sz="4" w:space="0" w:color="auto"/>
            </w:tcBorders>
            <w:hideMark/>
          </w:tcPr>
          <w:p w:rsidR="00740343" w:rsidRPr="00572B2C" w:rsidRDefault="00740343" w:rsidP="00FC3481">
            <w:pPr>
              <w:rPr>
                <w:rFonts w:asciiTheme="minorHAnsi" w:hAnsiTheme="minorHAnsi" w:cstheme="majorBidi"/>
                <w:lang w:val="en-US"/>
              </w:rPr>
            </w:pPr>
            <w:r w:rsidRPr="00572B2C">
              <w:rPr>
                <w:rFonts w:asciiTheme="minorHAnsi" w:hAnsiTheme="minorHAnsi" w:cstheme="majorBidi"/>
                <w:b/>
                <w:bCs/>
                <w:lang w:val="en-US"/>
              </w:rPr>
              <w:t>Session 2 part 1: Focus Group structure, deliverables and work plan</w:t>
            </w:r>
          </w:p>
          <w:p w:rsidR="00740343" w:rsidRPr="00572B2C" w:rsidRDefault="00740343" w:rsidP="00740343">
            <w:pPr>
              <w:numPr>
                <w:ilvl w:val="0"/>
                <w:numId w:val="5"/>
              </w:numPr>
              <w:tabs>
                <w:tab w:val="clear" w:pos="794"/>
                <w:tab w:val="clear" w:pos="1191"/>
                <w:tab w:val="clear" w:pos="1588"/>
                <w:tab w:val="clear" w:pos="1985"/>
              </w:tabs>
              <w:overflowPunct/>
              <w:autoSpaceDE/>
              <w:autoSpaceDN/>
              <w:adjustRightInd/>
              <w:textAlignment w:val="auto"/>
              <w:rPr>
                <w:rFonts w:asciiTheme="minorHAnsi" w:hAnsiTheme="minorHAnsi" w:cstheme="majorBidi"/>
                <w:lang w:val="en-US"/>
              </w:rPr>
            </w:pPr>
            <w:r w:rsidRPr="00572B2C">
              <w:rPr>
                <w:rFonts w:asciiTheme="minorHAnsi" w:hAnsiTheme="minorHAnsi" w:cstheme="majorBidi"/>
                <w:lang w:val="en-US"/>
              </w:rPr>
              <w:t xml:space="preserve">Establishment of working groups and deliverables </w:t>
            </w:r>
          </w:p>
          <w:p w:rsidR="00740343" w:rsidRPr="00572B2C" w:rsidRDefault="00740343" w:rsidP="00740343">
            <w:pPr>
              <w:numPr>
                <w:ilvl w:val="0"/>
                <w:numId w:val="5"/>
              </w:numPr>
              <w:tabs>
                <w:tab w:val="clear" w:pos="794"/>
                <w:tab w:val="clear" w:pos="1191"/>
                <w:tab w:val="clear" w:pos="1588"/>
                <w:tab w:val="clear" w:pos="1985"/>
              </w:tabs>
              <w:overflowPunct/>
              <w:autoSpaceDE/>
              <w:autoSpaceDN/>
              <w:adjustRightInd/>
              <w:textAlignment w:val="auto"/>
              <w:rPr>
                <w:rFonts w:asciiTheme="minorHAnsi" w:hAnsiTheme="minorHAnsi" w:cstheme="majorBidi"/>
                <w:lang w:val="en-US"/>
              </w:rPr>
            </w:pPr>
            <w:r w:rsidRPr="00572B2C">
              <w:rPr>
                <w:rFonts w:asciiTheme="minorHAnsi" w:hAnsiTheme="minorHAnsi" w:cstheme="majorBidi"/>
                <w:lang w:val="en-US"/>
              </w:rPr>
              <w:t xml:space="preserve">Focus Group work plan </w:t>
            </w:r>
          </w:p>
        </w:tc>
      </w:tr>
      <w:tr w:rsidR="00740343" w:rsidRPr="00572B2C" w:rsidTr="00FC3481">
        <w:tc>
          <w:tcPr>
            <w:tcW w:w="1560" w:type="dxa"/>
            <w:tcBorders>
              <w:top w:val="single" w:sz="4" w:space="0" w:color="auto"/>
              <w:left w:val="single" w:sz="4" w:space="0" w:color="auto"/>
              <w:bottom w:val="single" w:sz="4" w:space="0" w:color="auto"/>
              <w:right w:val="single" w:sz="4" w:space="0" w:color="auto"/>
            </w:tcBorders>
            <w:hideMark/>
          </w:tcPr>
          <w:p w:rsidR="00740343" w:rsidRPr="00572B2C" w:rsidRDefault="00740343" w:rsidP="00FC3481">
            <w:pPr>
              <w:rPr>
                <w:rFonts w:asciiTheme="minorHAnsi" w:hAnsiTheme="minorHAnsi" w:cstheme="majorBidi"/>
                <w:lang w:val="en-US"/>
              </w:rPr>
            </w:pPr>
            <w:r w:rsidRPr="00572B2C">
              <w:rPr>
                <w:rFonts w:asciiTheme="minorHAnsi" w:hAnsiTheme="minorHAnsi" w:cstheme="majorBidi"/>
                <w:lang w:val="en-US"/>
              </w:rPr>
              <w:t>12:30-14:30</w:t>
            </w:r>
          </w:p>
        </w:tc>
        <w:tc>
          <w:tcPr>
            <w:tcW w:w="7938" w:type="dxa"/>
            <w:tcBorders>
              <w:top w:val="single" w:sz="4" w:space="0" w:color="auto"/>
              <w:left w:val="single" w:sz="4" w:space="0" w:color="auto"/>
              <w:bottom w:val="single" w:sz="4" w:space="0" w:color="auto"/>
              <w:right w:val="single" w:sz="4" w:space="0" w:color="auto"/>
            </w:tcBorders>
            <w:hideMark/>
          </w:tcPr>
          <w:p w:rsidR="00740343" w:rsidRPr="00572B2C" w:rsidRDefault="00740343" w:rsidP="00FC3481">
            <w:pPr>
              <w:rPr>
                <w:rFonts w:asciiTheme="minorHAnsi" w:hAnsiTheme="minorHAnsi" w:cstheme="majorBidi"/>
                <w:lang w:val="en-US"/>
              </w:rPr>
            </w:pPr>
            <w:r w:rsidRPr="00572B2C">
              <w:rPr>
                <w:rFonts w:asciiTheme="minorHAnsi" w:hAnsiTheme="minorHAnsi" w:cstheme="majorBidi"/>
                <w:lang w:val="en-US"/>
              </w:rPr>
              <w:t>Lunch</w:t>
            </w:r>
          </w:p>
        </w:tc>
      </w:tr>
      <w:tr w:rsidR="00740343" w:rsidRPr="00572B2C" w:rsidTr="00FC3481">
        <w:tc>
          <w:tcPr>
            <w:tcW w:w="1560" w:type="dxa"/>
            <w:tcBorders>
              <w:top w:val="single" w:sz="4" w:space="0" w:color="auto"/>
              <w:left w:val="single" w:sz="4" w:space="0" w:color="auto"/>
              <w:bottom w:val="single" w:sz="4" w:space="0" w:color="auto"/>
              <w:right w:val="single" w:sz="4" w:space="0" w:color="auto"/>
            </w:tcBorders>
          </w:tcPr>
          <w:p w:rsidR="00740343" w:rsidRPr="00572B2C" w:rsidRDefault="00740343" w:rsidP="00FC3481">
            <w:pPr>
              <w:rPr>
                <w:rFonts w:asciiTheme="minorHAnsi" w:hAnsiTheme="minorHAnsi" w:cstheme="majorBidi"/>
                <w:lang w:val="en-US"/>
              </w:rPr>
            </w:pPr>
            <w:r w:rsidRPr="00572B2C">
              <w:rPr>
                <w:rFonts w:asciiTheme="minorHAnsi" w:hAnsiTheme="minorHAnsi" w:cstheme="majorBidi"/>
                <w:lang w:val="en-US"/>
              </w:rPr>
              <w:t>14:30-16:30</w:t>
            </w:r>
          </w:p>
        </w:tc>
        <w:tc>
          <w:tcPr>
            <w:tcW w:w="7938" w:type="dxa"/>
            <w:tcBorders>
              <w:top w:val="single" w:sz="4" w:space="0" w:color="auto"/>
              <w:left w:val="single" w:sz="4" w:space="0" w:color="auto"/>
              <w:bottom w:val="single" w:sz="4" w:space="0" w:color="auto"/>
              <w:right w:val="single" w:sz="4" w:space="0" w:color="auto"/>
            </w:tcBorders>
          </w:tcPr>
          <w:p w:rsidR="00740343" w:rsidRPr="00572B2C" w:rsidRDefault="00740343" w:rsidP="00FC3481">
            <w:pPr>
              <w:rPr>
                <w:rFonts w:asciiTheme="minorHAnsi" w:hAnsiTheme="minorHAnsi" w:cstheme="majorBidi"/>
                <w:b/>
                <w:bCs/>
                <w:lang w:val="en-US"/>
              </w:rPr>
            </w:pPr>
            <w:r w:rsidRPr="00572B2C">
              <w:rPr>
                <w:rFonts w:asciiTheme="minorHAnsi" w:hAnsiTheme="minorHAnsi" w:cstheme="majorBidi"/>
                <w:b/>
                <w:bCs/>
                <w:lang w:val="en-US"/>
              </w:rPr>
              <w:t xml:space="preserve">Session 2 part 2:  Contributions and Work on Deliverables </w:t>
            </w:r>
          </w:p>
          <w:p w:rsidR="00740343" w:rsidRPr="00572B2C" w:rsidRDefault="00740343" w:rsidP="00FC3481">
            <w:pPr>
              <w:rPr>
                <w:rFonts w:asciiTheme="minorHAnsi" w:hAnsiTheme="minorHAnsi" w:cstheme="majorBidi"/>
                <w:lang w:val="en-US"/>
              </w:rPr>
            </w:pPr>
            <w:r w:rsidRPr="00572B2C">
              <w:rPr>
                <w:rFonts w:asciiTheme="minorHAnsi" w:hAnsiTheme="minorHAnsi" w:cstheme="majorBidi"/>
                <w:lang w:val="en-US"/>
              </w:rPr>
              <w:t xml:space="preserve">Contributions </w:t>
            </w:r>
          </w:p>
        </w:tc>
      </w:tr>
      <w:tr w:rsidR="00740343" w:rsidRPr="00572B2C" w:rsidTr="00FC3481">
        <w:tc>
          <w:tcPr>
            <w:tcW w:w="1560" w:type="dxa"/>
            <w:tcBorders>
              <w:top w:val="single" w:sz="4" w:space="0" w:color="auto"/>
              <w:left w:val="single" w:sz="4" w:space="0" w:color="auto"/>
              <w:bottom w:val="single" w:sz="4" w:space="0" w:color="auto"/>
              <w:right w:val="single" w:sz="4" w:space="0" w:color="auto"/>
            </w:tcBorders>
          </w:tcPr>
          <w:p w:rsidR="00740343" w:rsidRPr="00572B2C" w:rsidRDefault="00740343" w:rsidP="00FC3481">
            <w:pPr>
              <w:rPr>
                <w:rFonts w:asciiTheme="minorHAnsi" w:hAnsiTheme="minorHAnsi" w:cstheme="majorBidi"/>
                <w:lang w:val="en-US"/>
              </w:rPr>
            </w:pPr>
            <w:r w:rsidRPr="00572B2C">
              <w:rPr>
                <w:rFonts w:asciiTheme="minorHAnsi" w:hAnsiTheme="minorHAnsi" w:cstheme="majorBidi"/>
                <w:lang w:val="en-US"/>
              </w:rPr>
              <w:t>16:30-16: 45</w:t>
            </w:r>
          </w:p>
        </w:tc>
        <w:tc>
          <w:tcPr>
            <w:tcW w:w="7938" w:type="dxa"/>
            <w:tcBorders>
              <w:top w:val="single" w:sz="4" w:space="0" w:color="auto"/>
              <w:left w:val="single" w:sz="4" w:space="0" w:color="auto"/>
              <w:bottom w:val="single" w:sz="4" w:space="0" w:color="auto"/>
              <w:right w:val="single" w:sz="4" w:space="0" w:color="auto"/>
            </w:tcBorders>
          </w:tcPr>
          <w:p w:rsidR="00740343" w:rsidRPr="00572B2C" w:rsidRDefault="00740343" w:rsidP="00FC3481">
            <w:pPr>
              <w:rPr>
                <w:rFonts w:asciiTheme="minorHAnsi" w:hAnsiTheme="minorHAnsi" w:cstheme="majorBidi"/>
                <w:lang w:val="en-US"/>
              </w:rPr>
            </w:pPr>
            <w:r w:rsidRPr="00572B2C">
              <w:rPr>
                <w:rFonts w:asciiTheme="minorHAnsi" w:hAnsiTheme="minorHAnsi" w:cstheme="majorBidi"/>
                <w:lang w:val="en-US"/>
              </w:rPr>
              <w:t>Coffee Break</w:t>
            </w:r>
          </w:p>
        </w:tc>
      </w:tr>
      <w:tr w:rsidR="00740343" w:rsidRPr="00FB04CF" w:rsidTr="00FC3481">
        <w:tc>
          <w:tcPr>
            <w:tcW w:w="1560" w:type="dxa"/>
            <w:tcBorders>
              <w:top w:val="single" w:sz="4" w:space="0" w:color="auto"/>
              <w:left w:val="single" w:sz="4" w:space="0" w:color="auto"/>
              <w:bottom w:val="single" w:sz="4" w:space="0" w:color="auto"/>
              <w:right w:val="single" w:sz="4" w:space="0" w:color="auto"/>
            </w:tcBorders>
          </w:tcPr>
          <w:p w:rsidR="00740343" w:rsidRPr="00572B2C" w:rsidRDefault="00740343" w:rsidP="00FC3481">
            <w:pPr>
              <w:rPr>
                <w:rFonts w:asciiTheme="minorHAnsi" w:hAnsiTheme="minorHAnsi" w:cstheme="majorBidi"/>
                <w:lang w:val="en-US"/>
              </w:rPr>
            </w:pPr>
            <w:r w:rsidRPr="00572B2C">
              <w:rPr>
                <w:rFonts w:asciiTheme="minorHAnsi" w:hAnsiTheme="minorHAnsi" w:cstheme="majorBidi"/>
                <w:lang w:val="en-US"/>
              </w:rPr>
              <w:t>16:45-17:30</w:t>
            </w:r>
          </w:p>
        </w:tc>
        <w:tc>
          <w:tcPr>
            <w:tcW w:w="7938" w:type="dxa"/>
            <w:tcBorders>
              <w:top w:val="single" w:sz="4" w:space="0" w:color="auto"/>
              <w:left w:val="single" w:sz="4" w:space="0" w:color="auto"/>
              <w:bottom w:val="single" w:sz="4" w:space="0" w:color="auto"/>
              <w:right w:val="single" w:sz="4" w:space="0" w:color="auto"/>
            </w:tcBorders>
          </w:tcPr>
          <w:p w:rsidR="00740343" w:rsidRPr="00572B2C" w:rsidRDefault="00740343" w:rsidP="00FC3481">
            <w:pPr>
              <w:rPr>
                <w:rFonts w:asciiTheme="minorHAnsi" w:hAnsiTheme="minorHAnsi" w:cstheme="majorBidi"/>
                <w:lang w:val="en-US"/>
              </w:rPr>
            </w:pPr>
            <w:r w:rsidRPr="00572B2C">
              <w:rPr>
                <w:rFonts w:asciiTheme="minorHAnsi" w:hAnsiTheme="minorHAnsi" w:cstheme="majorBidi"/>
                <w:b/>
                <w:bCs/>
                <w:lang w:val="en-US"/>
              </w:rPr>
              <w:t>Session 3: Work Plan for next meeting</w:t>
            </w:r>
          </w:p>
        </w:tc>
      </w:tr>
      <w:tr w:rsidR="00740343" w:rsidRPr="00572B2C" w:rsidTr="00FC3481">
        <w:tc>
          <w:tcPr>
            <w:tcW w:w="1560" w:type="dxa"/>
            <w:tcBorders>
              <w:top w:val="single" w:sz="4" w:space="0" w:color="auto"/>
              <w:left w:val="single" w:sz="4" w:space="0" w:color="auto"/>
              <w:bottom w:val="single" w:sz="4" w:space="0" w:color="auto"/>
              <w:right w:val="single" w:sz="4" w:space="0" w:color="auto"/>
            </w:tcBorders>
          </w:tcPr>
          <w:p w:rsidR="00740343" w:rsidRPr="00572B2C" w:rsidRDefault="00740343" w:rsidP="00FC3481">
            <w:pPr>
              <w:rPr>
                <w:rFonts w:asciiTheme="minorHAnsi" w:hAnsiTheme="minorHAnsi" w:cstheme="majorBidi"/>
                <w:lang w:val="en-US"/>
              </w:rPr>
            </w:pPr>
            <w:r w:rsidRPr="00572B2C">
              <w:rPr>
                <w:rFonts w:asciiTheme="minorHAnsi" w:hAnsiTheme="minorHAnsi" w:cstheme="majorBidi"/>
                <w:lang w:val="en-US"/>
              </w:rPr>
              <w:t>17:30-18:00</w:t>
            </w:r>
          </w:p>
          <w:p w:rsidR="00740343" w:rsidRPr="00572B2C" w:rsidRDefault="00740343" w:rsidP="00FC3481">
            <w:pPr>
              <w:rPr>
                <w:rFonts w:asciiTheme="minorHAnsi" w:hAnsiTheme="minorHAnsi" w:cstheme="majorBidi"/>
                <w:lang w:val="en-US"/>
              </w:rPr>
            </w:pPr>
          </w:p>
        </w:tc>
        <w:tc>
          <w:tcPr>
            <w:tcW w:w="7938" w:type="dxa"/>
            <w:tcBorders>
              <w:top w:val="single" w:sz="4" w:space="0" w:color="auto"/>
              <w:left w:val="single" w:sz="4" w:space="0" w:color="auto"/>
              <w:bottom w:val="single" w:sz="4" w:space="0" w:color="auto"/>
              <w:right w:val="single" w:sz="4" w:space="0" w:color="auto"/>
            </w:tcBorders>
          </w:tcPr>
          <w:p w:rsidR="00740343" w:rsidRPr="00572B2C" w:rsidRDefault="00740343" w:rsidP="00FC3481">
            <w:pPr>
              <w:rPr>
                <w:rFonts w:asciiTheme="minorHAnsi" w:hAnsiTheme="minorHAnsi" w:cstheme="majorBidi"/>
                <w:b/>
                <w:bCs/>
                <w:lang w:val="en-US"/>
              </w:rPr>
            </w:pPr>
            <w:r w:rsidRPr="00572B2C">
              <w:rPr>
                <w:rFonts w:asciiTheme="minorHAnsi" w:hAnsiTheme="minorHAnsi" w:cstheme="majorBidi"/>
                <w:b/>
                <w:bCs/>
                <w:lang w:val="en-US"/>
              </w:rPr>
              <w:t xml:space="preserve">Wrap up and Closing </w:t>
            </w:r>
          </w:p>
          <w:p w:rsidR="00740343" w:rsidRPr="00572B2C" w:rsidRDefault="00740343" w:rsidP="00740343">
            <w:pPr>
              <w:numPr>
                <w:ilvl w:val="0"/>
                <w:numId w:val="5"/>
              </w:numPr>
              <w:tabs>
                <w:tab w:val="clear" w:pos="794"/>
                <w:tab w:val="clear" w:pos="1191"/>
                <w:tab w:val="clear" w:pos="1588"/>
                <w:tab w:val="clear" w:pos="1985"/>
              </w:tabs>
              <w:overflowPunct/>
              <w:autoSpaceDE/>
              <w:autoSpaceDN/>
              <w:adjustRightInd/>
              <w:textAlignment w:val="auto"/>
              <w:rPr>
                <w:rFonts w:asciiTheme="minorHAnsi" w:hAnsiTheme="minorHAnsi" w:cstheme="majorBidi"/>
                <w:lang w:val="en-US"/>
              </w:rPr>
            </w:pPr>
            <w:r w:rsidRPr="00572B2C">
              <w:rPr>
                <w:rFonts w:asciiTheme="minorHAnsi" w:hAnsiTheme="minorHAnsi" w:cstheme="majorBidi"/>
                <w:lang w:val="en-US"/>
              </w:rPr>
              <w:t>Contribution plan for next meeting</w:t>
            </w:r>
          </w:p>
          <w:p w:rsidR="00740343" w:rsidRPr="00572B2C" w:rsidRDefault="00740343" w:rsidP="00740343">
            <w:pPr>
              <w:numPr>
                <w:ilvl w:val="0"/>
                <w:numId w:val="5"/>
              </w:numPr>
              <w:tabs>
                <w:tab w:val="clear" w:pos="794"/>
                <w:tab w:val="clear" w:pos="1191"/>
                <w:tab w:val="clear" w:pos="1588"/>
                <w:tab w:val="clear" w:pos="1985"/>
              </w:tabs>
              <w:overflowPunct/>
              <w:autoSpaceDE/>
              <w:autoSpaceDN/>
              <w:adjustRightInd/>
              <w:textAlignment w:val="auto"/>
              <w:rPr>
                <w:rFonts w:asciiTheme="minorHAnsi" w:hAnsiTheme="minorHAnsi" w:cstheme="majorBidi"/>
                <w:lang w:val="en-US"/>
              </w:rPr>
            </w:pPr>
            <w:r w:rsidRPr="00572B2C">
              <w:rPr>
                <w:rFonts w:asciiTheme="minorHAnsi" w:hAnsiTheme="minorHAnsi" w:cstheme="majorBidi"/>
                <w:lang w:val="en-US"/>
              </w:rPr>
              <w:t>Outgoing liaisons</w:t>
            </w:r>
          </w:p>
          <w:p w:rsidR="00740343" w:rsidRPr="00572B2C" w:rsidRDefault="00740343" w:rsidP="00740343">
            <w:pPr>
              <w:numPr>
                <w:ilvl w:val="0"/>
                <w:numId w:val="5"/>
              </w:numPr>
              <w:tabs>
                <w:tab w:val="clear" w:pos="794"/>
                <w:tab w:val="clear" w:pos="1191"/>
                <w:tab w:val="clear" w:pos="1588"/>
                <w:tab w:val="clear" w:pos="1985"/>
              </w:tabs>
              <w:overflowPunct/>
              <w:autoSpaceDE/>
              <w:autoSpaceDN/>
              <w:adjustRightInd/>
              <w:textAlignment w:val="auto"/>
              <w:rPr>
                <w:rFonts w:asciiTheme="minorHAnsi" w:hAnsiTheme="minorHAnsi" w:cstheme="majorBidi"/>
                <w:lang w:val="en-US"/>
              </w:rPr>
            </w:pPr>
            <w:r w:rsidRPr="00572B2C">
              <w:rPr>
                <w:rFonts w:asciiTheme="minorHAnsi" w:hAnsiTheme="minorHAnsi" w:cstheme="majorBidi"/>
                <w:lang w:val="en-US"/>
              </w:rPr>
              <w:t xml:space="preserve">Meeting plan </w:t>
            </w:r>
          </w:p>
          <w:p w:rsidR="00740343" w:rsidRPr="00572B2C" w:rsidRDefault="00740343" w:rsidP="00740343">
            <w:pPr>
              <w:numPr>
                <w:ilvl w:val="0"/>
                <w:numId w:val="5"/>
              </w:numPr>
              <w:tabs>
                <w:tab w:val="clear" w:pos="794"/>
                <w:tab w:val="clear" w:pos="1191"/>
                <w:tab w:val="clear" w:pos="1588"/>
                <w:tab w:val="clear" w:pos="1985"/>
              </w:tabs>
              <w:overflowPunct/>
              <w:autoSpaceDE/>
              <w:autoSpaceDN/>
              <w:adjustRightInd/>
              <w:textAlignment w:val="auto"/>
              <w:rPr>
                <w:rFonts w:asciiTheme="minorHAnsi" w:hAnsiTheme="minorHAnsi" w:cstheme="majorBidi"/>
                <w:lang w:val="en-US"/>
              </w:rPr>
            </w:pPr>
            <w:r w:rsidRPr="00572B2C">
              <w:rPr>
                <w:rFonts w:asciiTheme="minorHAnsi" w:hAnsiTheme="minorHAnsi" w:cstheme="majorBidi"/>
                <w:lang w:val="en-US"/>
              </w:rPr>
              <w:t>Any other business</w:t>
            </w:r>
          </w:p>
          <w:p w:rsidR="00740343" w:rsidRPr="00572B2C" w:rsidRDefault="00740343" w:rsidP="00740343">
            <w:pPr>
              <w:numPr>
                <w:ilvl w:val="0"/>
                <w:numId w:val="5"/>
              </w:numPr>
              <w:tabs>
                <w:tab w:val="clear" w:pos="794"/>
                <w:tab w:val="clear" w:pos="1191"/>
                <w:tab w:val="clear" w:pos="1588"/>
                <w:tab w:val="clear" w:pos="1985"/>
              </w:tabs>
              <w:overflowPunct/>
              <w:autoSpaceDE/>
              <w:autoSpaceDN/>
              <w:adjustRightInd/>
              <w:textAlignment w:val="auto"/>
              <w:rPr>
                <w:rFonts w:asciiTheme="minorHAnsi" w:hAnsiTheme="minorHAnsi" w:cstheme="majorBidi"/>
                <w:lang w:val="en-US"/>
              </w:rPr>
            </w:pPr>
            <w:r w:rsidRPr="00572B2C">
              <w:rPr>
                <w:rFonts w:asciiTheme="minorHAnsi" w:hAnsiTheme="minorHAnsi" w:cstheme="majorBidi"/>
                <w:lang w:val="en-US"/>
              </w:rPr>
              <w:t>Closing</w:t>
            </w:r>
          </w:p>
        </w:tc>
      </w:tr>
    </w:tbl>
    <w:p w:rsidR="00740343" w:rsidRPr="00572B2C" w:rsidRDefault="00740343" w:rsidP="00740343">
      <w:pPr>
        <w:rPr>
          <w:rFonts w:asciiTheme="minorHAnsi" w:hAnsiTheme="minorHAnsi"/>
          <w:lang w:val="en-US"/>
        </w:rPr>
      </w:pPr>
    </w:p>
    <w:p w:rsidR="00574CD6" w:rsidRDefault="00574CD6" w:rsidP="00740343">
      <w:pPr>
        <w:tabs>
          <w:tab w:val="clear" w:pos="794"/>
          <w:tab w:val="clear" w:pos="1191"/>
          <w:tab w:val="clear" w:pos="1588"/>
          <w:tab w:val="clear" w:pos="1985"/>
        </w:tabs>
        <w:overflowPunct/>
        <w:autoSpaceDE/>
        <w:autoSpaceDN/>
        <w:adjustRightInd/>
        <w:textAlignment w:val="auto"/>
        <w:rPr>
          <w:rFonts w:asciiTheme="minorHAnsi" w:hAnsiTheme="minorHAnsi"/>
          <w:lang w:val="en-US"/>
        </w:rPr>
        <w:sectPr w:rsidR="00574CD6" w:rsidSect="00267919">
          <w:footerReference w:type="default" r:id="rId23"/>
          <w:headerReference w:type="first" r:id="rId24"/>
          <w:footerReference w:type="first" r:id="rId25"/>
          <w:pgSz w:w="11907" w:h="16840" w:code="9"/>
          <w:pgMar w:top="1134" w:right="1134" w:bottom="1134" w:left="1134" w:header="567" w:footer="567" w:gutter="0"/>
          <w:paperSrc w:first="15" w:other="15"/>
          <w:cols w:space="720"/>
          <w:titlePg/>
          <w:docGrid w:linePitch="326"/>
        </w:sectPr>
      </w:pPr>
    </w:p>
    <w:p w:rsidR="00740343" w:rsidRPr="00572B2C" w:rsidRDefault="00740343" w:rsidP="00740343">
      <w:pPr>
        <w:tabs>
          <w:tab w:val="clear" w:pos="794"/>
          <w:tab w:val="clear" w:pos="1191"/>
          <w:tab w:val="clear" w:pos="1588"/>
          <w:tab w:val="clear" w:pos="1985"/>
        </w:tabs>
        <w:overflowPunct/>
        <w:autoSpaceDE/>
        <w:autoSpaceDN/>
        <w:adjustRightInd/>
        <w:textAlignment w:val="auto"/>
        <w:rPr>
          <w:rFonts w:asciiTheme="minorHAnsi" w:hAnsiTheme="minorHAnsi"/>
          <w:lang w:val="en-US"/>
        </w:rPr>
        <w:sectPr w:rsidR="00740343" w:rsidRPr="00572B2C" w:rsidSect="00267919">
          <w:headerReference w:type="first" r:id="rId26"/>
          <w:footerReference w:type="first" r:id="rId27"/>
          <w:pgSz w:w="11907" w:h="16840" w:code="9"/>
          <w:pgMar w:top="1134" w:right="1134" w:bottom="1134" w:left="1134" w:header="567" w:footer="567" w:gutter="0"/>
          <w:paperSrc w:first="15" w:other="15"/>
          <w:cols w:space="720"/>
          <w:titlePg/>
          <w:docGrid w:linePitch="326"/>
        </w:sectPr>
      </w:pPr>
    </w:p>
    <w:p w:rsidR="00740343" w:rsidRPr="00572B2C" w:rsidRDefault="00740343" w:rsidP="00740343">
      <w:pPr>
        <w:jc w:val="center"/>
        <w:rPr>
          <w:rFonts w:asciiTheme="minorHAnsi" w:hAnsiTheme="minorHAnsi"/>
          <w:lang w:val="en-US"/>
        </w:rPr>
      </w:pPr>
      <w:r w:rsidRPr="00572B2C">
        <w:rPr>
          <w:rFonts w:asciiTheme="minorHAnsi" w:hAnsiTheme="minorHAnsi"/>
          <w:lang w:val="en-US"/>
        </w:rPr>
        <w:lastRenderedPageBreak/>
        <w:t>ANNEX 3</w:t>
      </w:r>
    </w:p>
    <w:p w:rsidR="00740343" w:rsidRPr="00572B2C" w:rsidRDefault="00740343" w:rsidP="00740343">
      <w:pPr>
        <w:jc w:val="center"/>
        <w:rPr>
          <w:rFonts w:asciiTheme="minorHAnsi" w:hAnsiTheme="minorHAnsi"/>
          <w:lang w:val="en-US"/>
        </w:rPr>
      </w:pPr>
      <w:r w:rsidRPr="00572B2C">
        <w:rPr>
          <w:rFonts w:asciiTheme="minorHAnsi" w:hAnsiTheme="minorHAnsi"/>
          <w:lang w:val="en-US"/>
        </w:rPr>
        <w:t>(to TSB Circular 114)</w:t>
      </w:r>
    </w:p>
    <w:p w:rsidR="00740343" w:rsidRPr="00572B2C" w:rsidRDefault="00740343" w:rsidP="00740343">
      <w:pPr>
        <w:rPr>
          <w:rFonts w:asciiTheme="minorHAnsi" w:eastAsia="Malgun Gothic" w:hAnsiTheme="minorHAnsi"/>
          <w:sz w:val="16"/>
          <w:lang w:val="en-US"/>
        </w:rPr>
      </w:pPr>
    </w:p>
    <w:tbl>
      <w:tblPr>
        <w:tblW w:w="9955" w:type="dxa"/>
        <w:jc w:val="center"/>
        <w:tblLayout w:type="fixed"/>
        <w:tblLook w:val="0000" w:firstRow="0" w:lastRow="0" w:firstColumn="0" w:lastColumn="0" w:noHBand="0" w:noVBand="0"/>
      </w:tblPr>
      <w:tblGrid>
        <w:gridCol w:w="1291"/>
        <w:gridCol w:w="7264"/>
        <w:gridCol w:w="1384"/>
        <w:gridCol w:w="16"/>
      </w:tblGrid>
      <w:tr w:rsidR="00740343" w:rsidRPr="00FB04CF" w:rsidTr="00FC3481">
        <w:trPr>
          <w:gridAfter w:val="1"/>
          <w:wAfter w:w="16" w:type="dxa"/>
          <w:cantSplit/>
          <w:jc w:val="center"/>
        </w:trPr>
        <w:tc>
          <w:tcPr>
            <w:tcW w:w="9939" w:type="dxa"/>
            <w:gridSpan w:val="3"/>
            <w:tcBorders>
              <w:top w:val="single" w:sz="6" w:space="0" w:color="auto"/>
              <w:left w:val="single" w:sz="6" w:space="0" w:color="auto"/>
              <w:bottom w:val="single" w:sz="6" w:space="0" w:color="auto"/>
              <w:right w:val="single" w:sz="6" w:space="0" w:color="auto"/>
            </w:tcBorders>
          </w:tcPr>
          <w:p w:rsidR="00740343" w:rsidRPr="00572B2C" w:rsidRDefault="00740343" w:rsidP="00FC3481">
            <w:pPr>
              <w:tabs>
                <w:tab w:val="left" w:pos="1440"/>
                <w:tab w:val="left" w:pos="8647"/>
              </w:tabs>
              <w:ind w:right="133"/>
              <w:rPr>
                <w:rFonts w:asciiTheme="minorHAnsi" w:eastAsia="Malgun Gothic" w:hAnsiTheme="minorHAnsi"/>
                <w:i/>
                <w:sz w:val="20"/>
                <w:lang w:val="en-US"/>
              </w:rPr>
            </w:pPr>
          </w:p>
          <w:p w:rsidR="00740343" w:rsidRPr="00572B2C" w:rsidRDefault="00740343" w:rsidP="00FC3481">
            <w:pPr>
              <w:tabs>
                <w:tab w:val="left" w:pos="1440"/>
                <w:tab w:val="left" w:pos="8647"/>
              </w:tabs>
              <w:ind w:right="133"/>
              <w:rPr>
                <w:rFonts w:asciiTheme="minorHAnsi" w:eastAsia="Malgun Gothic" w:hAnsiTheme="minorHAnsi"/>
                <w:i/>
                <w:szCs w:val="24"/>
                <w:lang w:val="en-US"/>
              </w:rPr>
            </w:pPr>
            <w:r w:rsidRPr="00572B2C">
              <w:rPr>
                <w:rFonts w:asciiTheme="minorHAnsi" w:eastAsia="Malgun Gothic" w:hAnsiTheme="minorHAnsi"/>
                <w:i/>
                <w:szCs w:val="24"/>
                <w:lang w:val="en-US"/>
              </w:rPr>
              <w:t xml:space="preserve">This confirmation form </w:t>
            </w:r>
            <w:r w:rsidRPr="00572B2C">
              <w:rPr>
                <w:rFonts w:asciiTheme="minorHAnsi" w:eastAsia="Malgun Gothic" w:hAnsiTheme="minorHAnsi"/>
                <w:bCs/>
                <w:i/>
                <w:szCs w:val="24"/>
                <w:lang w:val="en-US"/>
              </w:rPr>
              <w:t xml:space="preserve">should </w:t>
            </w:r>
            <w:r w:rsidRPr="00572B2C">
              <w:rPr>
                <w:rFonts w:asciiTheme="minorHAnsi" w:eastAsia="Malgun Gothic" w:hAnsiTheme="minorHAnsi"/>
                <w:b/>
                <w:i/>
                <w:szCs w:val="24"/>
                <w:lang w:val="en-US"/>
              </w:rPr>
              <w:t xml:space="preserve">be sent direct to the hotel </w:t>
            </w:r>
            <w:r w:rsidRPr="00572B2C">
              <w:rPr>
                <w:rFonts w:asciiTheme="minorHAnsi" w:eastAsia="Malgun Gothic" w:hAnsiTheme="minorHAnsi"/>
                <w:i/>
                <w:szCs w:val="24"/>
                <w:lang w:val="en-US"/>
              </w:rPr>
              <w:t>of your choice</w:t>
            </w:r>
          </w:p>
          <w:p w:rsidR="00740343" w:rsidRPr="00572B2C" w:rsidRDefault="00740343" w:rsidP="00FC3481">
            <w:pPr>
              <w:spacing w:after="100"/>
              <w:ind w:right="130"/>
              <w:rPr>
                <w:rFonts w:asciiTheme="minorHAnsi" w:eastAsia="Malgun Gothic" w:hAnsiTheme="minorHAnsi"/>
                <w:sz w:val="20"/>
                <w:lang w:val="en-US"/>
              </w:rPr>
            </w:pPr>
          </w:p>
        </w:tc>
      </w:tr>
      <w:tr w:rsidR="00740343" w:rsidRPr="00572B2C" w:rsidTr="00FC3481">
        <w:trPr>
          <w:cantSplit/>
          <w:jc w:val="center"/>
        </w:trPr>
        <w:tc>
          <w:tcPr>
            <w:tcW w:w="1291" w:type="dxa"/>
          </w:tcPr>
          <w:p w:rsidR="00740343" w:rsidRPr="00572B2C" w:rsidRDefault="00740343" w:rsidP="00FC3481">
            <w:pPr>
              <w:tabs>
                <w:tab w:val="center" w:pos="9639"/>
              </w:tabs>
              <w:ind w:right="-176"/>
              <w:rPr>
                <w:rFonts w:asciiTheme="minorHAnsi" w:eastAsia="Malgun Gothic" w:hAnsiTheme="minorHAnsi"/>
                <w:sz w:val="28"/>
                <w:lang w:val="en-US"/>
              </w:rPr>
            </w:pPr>
            <w:r w:rsidRPr="00572B2C">
              <w:rPr>
                <w:rFonts w:asciiTheme="minorHAnsi" w:eastAsia="Malgun Gothic" w:hAnsiTheme="minorHAnsi"/>
                <w:noProof/>
                <w:lang w:val="en-GB" w:eastAsia="en-GB"/>
              </w:rPr>
              <w:drawing>
                <wp:inline distT="0" distB="0" distL="0" distR="0" wp14:anchorId="5B4FD0FA" wp14:editId="2010F9C3">
                  <wp:extent cx="62992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9920" cy="665480"/>
                          </a:xfrm>
                          <a:prstGeom prst="rect">
                            <a:avLst/>
                          </a:prstGeom>
                          <a:noFill/>
                          <a:ln>
                            <a:noFill/>
                          </a:ln>
                        </pic:spPr>
                      </pic:pic>
                    </a:graphicData>
                  </a:graphic>
                </wp:inline>
              </w:drawing>
            </w:r>
          </w:p>
        </w:tc>
        <w:tc>
          <w:tcPr>
            <w:tcW w:w="7264" w:type="dxa"/>
          </w:tcPr>
          <w:p w:rsidR="00740343" w:rsidRPr="00572B2C" w:rsidRDefault="00740343" w:rsidP="00FC3481">
            <w:pPr>
              <w:tabs>
                <w:tab w:val="center" w:pos="9639"/>
              </w:tabs>
              <w:ind w:right="-40"/>
              <w:jc w:val="center"/>
              <w:rPr>
                <w:rFonts w:asciiTheme="minorHAnsi" w:eastAsia="Malgun Gothic" w:hAnsiTheme="minorHAnsi"/>
                <w:b/>
                <w:bCs/>
                <w:sz w:val="28"/>
                <w:szCs w:val="28"/>
                <w:lang w:val="en-US"/>
              </w:rPr>
            </w:pPr>
            <w:r w:rsidRPr="00572B2C">
              <w:rPr>
                <w:rFonts w:asciiTheme="minorHAnsi" w:eastAsia="Malgun Gothic" w:hAnsiTheme="minorHAnsi"/>
                <w:sz w:val="26"/>
                <w:lang w:val="en-US"/>
              </w:rPr>
              <w:br/>
            </w:r>
            <w:r w:rsidRPr="00572B2C">
              <w:rPr>
                <w:rFonts w:asciiTheme="minorHAnsi" w:eastAsia="Malgun Gothic" w:hAnsiTheme="minorHAnsi"/>
                <w:b/>
                <w:bCs/>
                <w:sz w:val="28"/>
                <w:szCs w:val="28"/>
                <w:lang w:val="en-US"/>
              </w:rPr>
              <w:t>INTERNATIONAL TELECOMMUNICATION UNION</w:t>
            </w:r>
            <w:r w:rsidRPr="00572B2C">
              <w:rPr>
                <w:rFonts w:asciiTheme="minorHAnsi" w:eastAsia="Malgun Gothic" w:hAnsiTheme="minorHAnsi"/>
                <w:b/>
                <w:bCs/>
                <w:sz w:val="28"/>
                <w:szCs w:val="28"/>
                <w:lang w:val="en-US"/>
              </w:rPr>
              <w:br/>
            </w:r>
          </w:p>
        </w:tc>
        <w:tc>
          <w:tcPr>
            <w:tcW w:w="1400" w:type="dxa"/>
            <w:gridSpan w:val="2"/>
          </w:tcPr>
          <w:p w:rsidR="00740343" w:rsidRPr="00572B2C" w:rsidRDefault="00740343" w:rsidP="00FC3481">
            <w:pPr>
              <w:tabs>
                <w:tab w:val="center" w:pos="9639"/>
              </w:tabs>
              <w:ind w:left="-142" w:right="-74"/>
              <w:rPr>
                <w:rFonts w:asciiTheme="minorHAnsi" w:eastAsia="Malgun Gothic" w:hAnsiTheme="minorHAnsi"/>
                <w:sz w:val="28"/>
                <w:lang w:val="en-US"/>
              </w:rPr>
            </w:pPr>
            <w:r w:rsidRPr="00572B2C">
              <w:rPr>
                <w:rFonts w:asciiTheme="minorHAnsi" w:eastAsia="Malgun Gothic" w:hAnsiTheme="minorHAnsi"/>
                <w:noProof/>
                <w:lang w:val="en-GB" w:eastAsia="en-GB"/>
              </w:rPr>
              <w:drawing>
                <wp:inline distT="0" distB="0" distL="0" distR="0" wp14:anchorId="464A79BE" wp14:editId="322D47F0">
                  <wp:extent cx="62992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9920" cy="665480"/>
                          </a:xfrm>
                          <a:prstGeom prst="rect">
                            <a:avLst/>
                          </a:prstGeom>
                          <a:noFill/>
                          <a:ln>
                            <a:noFill/>
                          </a:ln>
                        </pic:spPr>
                      </pic:pic>
                    </a:graphicData>
                  </a:graphic>
                </wp:inline>
              </w:drawing>
            </w:r>
          </w:p>
        </w:tc>
      </w:tr>
    </w:tbl>
    <w:p w:rsidR="00740343" w:rsidRPr="00572B2C" w:rsidRDefault="00740343" w:rsidP="00740343">
      <w:pPr>
        <w:tabs>
          <w:tab w:val="left" w:pos="1440"/>
        </w:tabs>
        <w:spacing w:before="100"/>
        <w:ind w:left="284" w:right="-143"/>
        <w:rPr>
          <w:rFonts w:asciiTheme="minorHAnsi" w:eastAsia="Malgun Gothic" w:hAnsiTheme="minorHAnsi"/>
          <w:b/>
          <w:lang w:val="en-US"/>
        </w:rPr>
      </w:pPr>
    </w:p>
    <w:p w:rsidR="00740343" w:rsidRPr="00572B2C" w:rsidRDefault="00740343" w:rsidP="00740343">
      <w:pPr>
        <w:tabs>
          <w:tab w:val="center" w:pos="4678"/>
        </w:tabs>
        <w:spacing w:before="100"/>
        <w:ind w:left="284" w:right="-143"/>
        <w:jc w:val="center"/>
        <w:rPr>
          <w:rFonts w:asciiTheme="minorHAnsi" w:eastAsia="Malgun Gothic" w:hAnsiTheme="minorHAnsi"/>
          <w:b/>
          <w:bCs/>
          <w:szCs w:val="24"/>
          <w:lang w:val="en-US"/>
        </w:rPr>
      </w:pPr>
      <w:r w:rsidRPr="00572B2C">
        <w:rPr>
          <w:rFonts w:asciiTheme="minorHAnsi" w:eastAsia="Malgun Gothic" w:hAnsiTheme="minorHAnsi"/>
          <w:b/>
          <w:bCs/>
          <w:szCs w:val="24"/>
          <w:lang w:val="en-US"/>
        </w:rPr>
        <w:t>TELECOMMUNICATION STANDARDIZATION SECTOR</w:t>
      </w:r>
      <w:r w:rsidRPr="00572B2C">
        <w:rPr>
          <w:rFonts w:asciiTheme="minorHAnsi" w:eastAsia="Malgun Gothic" w:hAnsiTheme="minorHAnsi"/>
          <w:b/>
          <w:bCs/>
          <w:szCs w:val="24"/>
          <w:lang w:val="en-US"/>
        </w:rPr>
        <w:br/>
      </w:r>
    </w:p>
    <w:p w:rsidR="00740343" w:rsidRPr="00572B2C" w:rsidRDefault="00740343" w:rsidP="00740343">
      <w:pPr>
        <w:tabs>
          <w:tab w:val="left" w:pos="1440"/>
        </w:tabs>
        <w:spacing w:after="240"/>
        <w:ind w:left="284" w:right="516"/>
        <w:rPr>
          <w:rFonts w:asciiTheme="minorHAnsi" w:eastAsia="Malgun Gothic" w:hAnsiTheme="minorHAnsi"/>
          <w:szCs w:val="24"/>
          <w:lang w:val="en-US"/>
        </w:rPr>
      </w:pPr>
      <w:r w:rsidRPr="00572B2C">
        <w:rPr>
          <w:rFonts w:asciiTheme="minorHAnsi" w:eastAsia="Malgun Gothic" w:hAnsiTheme="minorHAnsi"/>
          <w:b/>
          <w:szCs w:val="24"/>
          <w:lang w:val="en-US"/>
        </w:rPr>
        <w:t>ITU Focus Group on Digital Financial Services</w:t>
      </w:r>
      <w:r w:rsidRPr="00572B2C">
        <w:rPr>
          <w:rFonts w:asciiTheme="minorHAnsi" w:eastAsia="Malgun Gothic" w:hAnsiTheme="minorHAnsi"/>
          <w:szCs w:val="24"/>
          <w:lang w:val="en-US"/>
        </w:rPr>
        <w:t xml:space="preserve"> on 5 December 2014 in Geneva</w:t>
      </w:r>
    </w:p>
    <w:p w:rsidR="00740343" w:rsidRPr="00572B2C" w:rsidRDefault="00740343" w:rsidP="00740343">
      <w:pPr>
        <w:tabs>
          <w:tab w:val="left" w:pos="1440"/>
        </w:tabs>
        <w:spacing w:after="240"/>
        <w:ind w:left="284" w:right="516"/>
        <w:rPr>
          <w:rFonts w:asciiTheme="minorHAnsi" w:eastAsia="Malgun Gothic" w:hAnsiTheme="minorHAnsi"/>
          <w:szCs w:val="24"/>
          <w:lang w:val="en-US"/>
        </w:rPr>
      </w:pPr>
      <w:r w:rsidRPr="00572B2C">
        <w:rPr>
          <w:rFonts w:asciiTheme="minorHAnsi" w:eastAsia="Malgun Gothic" w:hAnsiTheme="minorHAnsi"/>
          <w:szCs w:val="24"/>
          <w:lang w:val="en-US"/>
        </w:rPr>
        <w:t>Confirmation of the reservation made on (date) -------------------  with (hotel)   -------------------</w:t>
      </w:r>
    </w:p>
    <w:p w:rsidR="00740343" w:rsidRPr="00572B2C" w:rsidRDefault="00740343" w:rsidP="00740343">
      <w:pPr>
        <w:tabs>
          <w:tab w:val="left" w:pos="1440"/>
        </w:tabs>
        <w:spacing w:after="240"/>
        <w:ind w:left="284" w:right="516"/>
        <w:rPr>
          <w:rFonts w:asciiTheme="minorHAnsi" w:eastAsia="Malgun Gothic" w:hAnsiTheme="minorHAnsi"/>
          <w:szCs w:val="24"/>
          <w:u w:val="single"/>
          <w:lang w:val="en-US"/>
        </w:rPr>
      </w:pPr>
      <w:r w:rsidRPr="00572B2C">
        <w:rPr>
          <w:rFonts w:asciiTheme="minorHAnsi" w:eastAsia="Malgun Gothic" w:hAnsiTheme="minorHAnsi"/>
          <w:b/>
          <w:szCs w:val="24"/>
          <w:u w:val="single"/>
          <w:lang w:val="en-US"/>
        </w:rPr>
        <w:t xml:space="preserve">at the ITU preferential tariff </w:t>
      </w:r>
    </w:p>
    <w:p w:rsidR="00740343" w:rsidRPr="00572B2C" w:rsidRDefault="00740343" w:rsidP="00740343">
      <w:pPr>
        <w:tabs>
          <w:tab w:val="left" w:pos="1440"/>
        </w:tabs>
        <w:spacing w:after="240"/>
        <w:ind w:left="284" w:right="516"/>
        <w:rPr>
          <w:rFonts w:asciiTheme="minorHAnsi" w:eastAsia="Malgun Gothic" w:hAnsiTheme="minorHAnsi"/>
          <w:szCs w:val="24"/>
          <w:lang w:val="en-US"/>
        </w:rPr>
      </w:pPr>
      <w:r w:rsidRPr="00572B2C">
        <w:rPr>
          <w:rFonts w:asciiTheme="minorHAnsi" w:eastAsia="Malgun Gothic" w:hAnsiTheme="minorHAnsi"/>
          <w:szCs w:val="24"/>
          <w:lang w:val="en-US"/>
        </w:rPr>
        <w:t>------------ single/double room(s)</w:t>
      </w:r>
    </w:p>
    <w:p w:rsidR="00740343" w:rsidRPr="00572B2C" w:rsidRDefault="00740343" w:rsidP="00740343">
      <w:pPr>
        <w:tabs>
          <w:tab w:val="left" w:pos="1440"/>
        </w:tabs>
        <w:spacing w:after="240"/>
        <w:ind w:left="284" w:right="516"/>
        <w:rPr>
          <w:rFonts w:asciiTheme="minorHAnsi" w:eastAsia="Malgun Gothic" w:hAnsiTheme="minorHAnsi"/>
          <w:szCs w:val="24"/>
          <w:lang w:val="en-US"/>
        </w:rPr>
      </w:pPr>
      <w:r w:rsidRPr="00572B2C">
        <w:rPr>
          <w:rFonts w:asciiTheme="minorHAnsi" w:eastAsia="Malgun Gothic" w:hAnsiTheme="minorHAnsi"/>
          <w:szCs w:val="24"/>
          <w:lang w:val="en-US"/>
        </w:rPr>
        <w:t>arriving on (date)---------------------------- at (time)  ------------- departing on (date)----------------</w:t>
      </w:r>
    </w:p>
    <w:p w:rsidR="00740343" w:rsidRPr="00572B2C" w:rsidRDefault="00740343" w:rsidP="00740343">
      <w:pPr>
        <w:tabs>
          <w:tab w:val="left" w:pos="1440"/>
        </w:tabs>
        <w:spacing w:after="120"/>
        <w:ind w:left="284" w:right="516"/>
        <w:rPr>
          <w:rFonts w:asciiTheme="minorHAnsi" w:eastAsia="Malgun Gothic" w:hAnsiTheme="minorHAnsi"/>
          <w:szCs w:val="24"/>
          <w:lang w:val="en-US"/>
        </w:rPr>
      </w:pPr>
    </w:p>
    <w:p w:rsidR="00740343" w:rsidRPr="00572B2C" w:rsidRDefault="00740343" w:rsidP="00740343">
      <w:pPr>
        <w:tabs>
          <w:tab w:val="clear" w:pos="794"/>
          <w:tab w:val="clear" w:pos="1191"/>
          <w:tab w:val="clear" w:pos="1588"/>
          <w:tab w:val="clear" w:pos="1985"/>
        </w:tabs>
        <w:spacing w:before="100" w:after="100" w:afterAutospacing="1"/>
        <w:ind w:left="284"/>
        <w:outlineLvl w:val="3"/>
        <w:rPr>
          <w:rFonts w:asciiTheme="minorHAnsi" w:eastAsia="SimSun" w:hAnsiTheme="minorHAnsi"/>
          <w:iCs/>
          <w:szCs w:val="24"/>
          <w:lang w:val="en-US" w:eastAsia="zh-CN"/>
        </w:rPr>
      </w:pPr>
      <w:r w:rsidRPr="00572B2C">
        <w:rPr>
          <w:rFonts w:asciiTheme="minorHAnsi" w:eastAsia="SimSun" w:hAnsiTheme="minorHAnsi"/>
          <w:b/>
          <w:bCs/>
          <w:iCs/>
          <w:szCs w:val="24"/>
          <w:lang w:val="en-US" w:eastAsia="zh-CN"/>
        </w:rPr>
        <w:t xml:space="preserve">GENEVA TRANSPORT CARD: </w:t>
      </w:r>
      <w:r w:rsidRPr="00572B2C">
        <w:rPr>
          <w:rFonts w:asciiTheme="minorHAnsi" w:eastAsia="SimSun" w:hAnsiTheme="minorHAnsi"/>
          <w:iCs/>
          <w:szCs w:val="24"/>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740343" w:rsidRPr="00572B2C" w:rsidRDefault="00740343" w:rsidP="00740343">
      <w:pPr>
        <w:tabs>
          <w:tab w:val="left" w:pos="1440"/>
        </w:tabs>
        <w:spacing w:after="240"/>
        <w:ind w:left="284" w:right="516"/>
        <w:rPr>
          <w:rFonts w:asciiTheme="minorHAnsi" w:eastAsia="Malgun Gothic" w:hAnsiTheme="minorHAnsi"/>
          <w:szCs w:val="24"/>
          <w:lang w:val="en-US"/>
        </w:rPr>
      </w:pPr>
      <w:r w:rsidRPr="00572B2C">
        <w:rPr>
          <w:rFonts w:asciiTheme="minorHAnsi" w:eastAsia="Malgun Gothic" w:hAnsiTheme="minorHAnsi"/>
          <w:szCs w:val="24"/>
          <w:lang w:val="en-US"/>
        </w:rPr>
        <w:t>Family name  -----------------------------------------------------------------------------------------------------</w:t>
      </w:r>
    </w:p>
    <w:p w:rsidR="00740343" w:rsidRPr="00572B2C" w:rsidRDefault="00740343" w:rsidP="00740343">
      <w:pPr>
        <w:tabs>
          <w:tab w:val="left" w:pos="1440"/>
        </w:tabs>
        <w:spacing w:after="240"/>
        <w:ind w:left="284" w:right="516"/>
        <w:rPr>
          <w:rFonts w:asciiTheme="minorHAnsi" w:eastAsia="Malgun Gothic" w:hAnsiTheme="minorHAnsi"/>
          <w:szCs w:val="24"/>
          <w:lang w:val="en-US"/>
        </w:rPr>
      </w:pPr>
      <w:r w:rsidRPr="00572B2C">
        <w:rPr>
          <w:rFonts w:asciiTheme="minorHAnsi" w:eastAsia="Malgun Gothic" w:hAnsiTheme="minorHAnsi"/>
          <w:szCs w:val="24"/>
          <w:lang w:val="en-US"/>
        </w:rPr>
        <w:t>First name  --------------------------------------------------------------------------------------------------------</w:t>
      </w:r>
    </w:p>
    <w:p w:rsidR="00740343" w:rsidRPr="00572B2C" w:rsidRDefault="00740343" w:rsidP="00740343">
      <w:pPr>
        <w:tabs>
          <w:tab w:val="left" w:pos="1440"/>
        </w:tabs>
        <w:spacing w:after="240"/>
        <w:ind w:left="284" w:right="516"/>
        <w:rPr>
          <w:rFonts w:asciiTheme="minorHAnsi" w:eastAsia="Malgun Gothic" w:hAnsiTheme="minorHAnsi"/>
          <w:iCs/>
          <w:szCs w:val="24"/>
          <w:lang w:val="en-US"/>
        </w:rPr>
      </w:pPr>
      <w:r w:rsidRPr="00572B2C">
        <w:rPr>
          <w:rFonts w:asciiTheme="minorHAnsi" w:eastAsia="Malgun Gothic" w:hAnsiTheme="minorHAnsi"/>
          <w:szCs w:val="24"/>
          <w:lang w:val="en-US"/>
        </w:rPr>
        <w:t xml:space="preserve">Address  -------------------------------------------------------------------        </w:t>
      </w:r>
      <w:r w:rsidRPr="00572B2C">
        <w:rPr>
          <w:rFonts w:asciiTheme="minorHAnsi" w:eastAsia="Malgun Gothic" w:hAnsiTheme="minorHAnsi"/>
          <w:iCs/>
          <w:szCs w:val="24"/>
          <w:lang w:val="en-US"/>
        </w:rPr>
        <w:t>Tel: -----------------------------</w:t>
      </w:r>
    </w:p>
    <w:p w:rsidR="00740343" w:rsidRPr="00572B2C" w:rsidRDefault="00740343" w:rsidP="00740343">
      <w:pPr>
        <w:tabs>
          <w:tab w:val="left" w:pos="1440"/>
        </w:tabs>
        <w:spacing w:after="240"/>
        <w:ind w:left="284" w:right="516"/>
        <w:rPr>
          <w:rFonts w:asciiTheme="minorHAnsi" w:eastAsia="Malgun Gothic" w:hAnsiTheme="minorHAnsi"/>
          <w:iCs/>
          <w:szCs w:val="24"/>
          <w:lang w:val="en-US"/>
        </w:rPr>
      </w:pPr>
      <w:r w:rsidRPr="00572B2C">
        <w:rPr>
          <w:rFonts w:asciiTheme="minorHAnsi" w:eastAsia="Malgun Gothic" w:hAnsiTheme="minorHAnsi"/>
          <w:iCs/>
          <w:szCs w:val="24"/>
          <w:lang w:val="en-US"/>
        </w:rPr>
        <w:t>----------------------------------------------------------------------------------     Fax: ----------------------------</w:t>
      </w:r>
    </w:p>
    <w:p w:rsidR="00740343" w:rsidRPr="00572B2C" w:rsidRDefault="00740343" w:rsidP="00740343">
      <w:pPr>
        <w:tabs>
          <w:tab w:val="left" w:pos="1440"/>
        </w:tabs>
        <w:spacing w:after="240"/>
        <w:ind w:left="284" w:right="516"/>
        <w:rPr>
          <w:rFonts w:asciiTheme="minorHAnsi" w:eastAsia="Malgun Gothic" w:hAnsiTheme="minorHAnsi"/>
          <w:szCs w:val="24"/>
          <w:lang w:val="en-US"/>
        </w:rPr>
      </w:pPr>
      <w:r w:rsidRPr="00572B2C">
        <w:rPr>
          <w:rFonts w:asciiTheme="minorHAnsi" w:eastAsia="Malgun Gothic" w:hAnsiTheme="minorHAnsi"/>
          <w:iCs/>
          <w:szCs w:val="24"/>
          <w:lang w:val="en-US"/>
        </w:rPr>
        <w:t>-----------------------------------------------------------------------------------   E-mail:</w:t>
      </w:r>
      <w:r w:rsidRPr="00572B2C">
        <w:rPr>
          <w:rFonts w:asciiTheme="minorHAnsi" w:eastAsia="Malgun Gothic" w:hAnsiTheme="minorHAnsi"/>
          <w:szCs w:val="24"/>
          <w:lang w:val="en-US"/>
        </w:rPr>
        <w:t xml:space="preserve"> -------------------------</w:t>
      </w:r>
    </w:p>
    <w:p w:rsidR="00740343" w:rsidRPr="00572B2C" w:rsidRDefault="00740343" w:rsidP="00740343">
      <w:pPr>
        <w:tabs>
          <w:tab w:val="left" w:pos="1440"/>
        </w:tabs>
        <w:spacing w:after="120"/>
        <w:ind w:left="284" w:right="516"/>
        <w:rPr>
          <w:rFonts w:asciiTheme="minorHAnsi" w:eastAsia="Malgun Gothic" w:hAnsiTheme="minorHAnsi"/>
          <w:szCs w:val="24"/>
          <w:lang w:val="en-US"/>
        </w:rPr>
      </w:pPr>
      <w:r w:rsidRPr="00572B2C">
        <w:rPr>
          <w:rFonts w:asciiTheme="minorHAnsi" w:eastAsia="Malgun Gothic" w:hAnsiTheme="minorHAnsi"/>
          <w:szCs w:val="24"/>
          <w:lang w:val="en-US"/>
        </w:rPr>
        <w:t>Credit card to guarantee this reservation:   AX/VISA/DINERS/EC  (</w:t>
      </w:r>
      <w:r w:rsidRPr="00572B2C">
        <w:rPr>
          <w:rFonts w:asciiTheme="minorHAnsi" w:eastAsia="Malgun Gothic" w:hAnsiTheme="minorHAnsi"/>
          <w:iCs/>
          <w:szCs w:val="24"/>
          <w:lang w:val="en-US"/>
        </w:rPr>
        <w:t>or</w:t>
      </w:r>
      <w:r w:rsidRPr="00572B2C">
        <w:rPr>
          <w:rFonts w:asciiTheme="minorHAnsi" w:eastAsia="Malgun Gothic" w:hAnsiTheme="minorHAnsi"/>
          <w:szCs w:val="24"/>
          <w:lang w:val="en-US"/>
        </w:rPr>
        <w:t xml:space="preserve"> other) ---------------------</w:t>
      </w:r>
    </w:p>
    <w:p w:rsidR="00740343" w:rsidRPr="00572B2C" w:rsidRDefault="00740343" w:rsidP="00740343">
      <w:pPr>
        <w:tabs>
          <w:tab w:val="left" w:pos="1440"/>
        </w:tabs>
        <w:spacing w:before="100"/>
        <w:ind w:left="284" w:right="515"/>
        <w:rPr>
          <w:rFonts w:asciiTheme="minorHAnsi" w:eastAsia="Malgun Gothic" w:hAnsiTheme="minorHAnsi"/>
          <w:szCs w:val="24"/>
          <w:lang w:val="en-US"/>
        </w:rPr>
      </w:pPr>
    </w:p>
    <w:p w:rsidR="00740343" w:rsidRPr="00572B2C" w:rsidRDefault="00740343" w:rsidP="00740343">
      <w:pPr>
        <w:tabs>
          <w:tab w:val="left" w:pos="1440"/>
        </w:tabs>
        <w:spacing w:before="100"/>
        <w:ind w:left="284" w:right="515"/>
        <w:rPr>
          <w:rFonts w:asciiTheme="minorHAnsi" w:eastAsia="Malgun Gothic" w:hAnsiTheme="minorHAnsi"/>
          <w:szCs w:val="24"/>
          <w:lang w:val="en-US"/>
        </w:rPr>
      </w:pPr>
      <w:r w:rsidRPr="00572B2C">
        <w:rPr>
          <w:rFonts w:asciiTheme="minorHAnsi" w:eastAsia="Malgun Gothic" w:hAnsiTheme="minorHAnsi"/>
          <w:iCs/>
          <w:szCs w:val="24"/>
          <w:lang w:val="en-US"/>
        </w:rPr>
        <w:t xml:space="preserve">No. </w:t>
      </w:r>
      <w:r w:rsidRPr="00572B2C">
        <w:rPr>
          <w:rFonts w:asciiTheme="minorHAnsi" w:eastAsia="Malgun Gothic" w:hAnsiTheme="minorHAnsi"/>
          <w:szCs w:val="24"/>
          <w:lang w:val="en-US"/>
        </w:rPr>
        <w:t>--------------------------------------------------------  valid until  ------------------------------------------</w:t>
      </w:r>
    </w:p>
    <w:p w:rsidR="00740343" w:rsidRPr="00572B2C" w:rsidRDefault="00740343" w:rsidP="00740343">
      <w:pPr>
        <w:tabs>
          <w:tab w:val="left" w:pos="1440"/>
        </w:tabs>
        <w:spacing w:before="100"/>
        <w:ind w:left="284" w:right="515"/>
        <w:rPr>
          <w:rFonts w:asciiTheme="minorHAnsi" w:eastAsia="Malgun Gothic" w:hAnsiTheme="minorHAnsi"/>
          <w:szCs w:val="24"/>
          <w:lang w:val="en-US"/>
        </w:rPr>
      </w:pPr>
    </w:p>
    <w:p w:rsidR="00740343" w:rsidRPr="00572B2C" w:rsidRDefault="00740343" w:rsidP="00740343">
      <w:pPr>
        <w:tabs>
          <w:tab w:val="left" w:pos="1440"/>
        </w:tabs>
        <w:spacing w:before="100"/>
        <w:ind w:left="284" w:right="515"/>
        <w:rPr>
          <w:rFonts w:asciiTheme="minorHAnsi" w:eastAsia="Malgun Gothic" w:hAnsiTheme="minorHAnsi"/>
          <w:sz w:val="20"/>
          <w:lang w:val="en-US"/>
        </w:rPr>
      </w:pPr>
      <w:r w:rsidRPr="00572B2C">
        <w:rPr>
          <w:rFonts w:asciiTheme="minorHAnsi" w:eastAsia="Malgun Gothic" w:hAnsiTheme="minorHAnsi"/>
          <w:szCs w:val="24"/>
          <w:lang w:val="en-US"/>
        </w:rPr>
        <w:t>Date ------------------------------------------------------  Signature  -------------------------------------------</w:t>
      </w:r>
    </w:p>
    <w:p w:rsidR="00572B2C" w:rsidRPr="00FB04CF" w:rsidRDefault="00572B2C" w:rsidP="00572B2C">
      <w:pPr>
        <w:rPr>
          <w:sz w:val="10"/>
          <w:szCs w:val="10"/>
          <w:lang w:val="en-US"/>
        </w:rPr>
      </w:pPr>
    </w:p>
    <w:p w:rsidR="00740343" w:rsidRPr="00572B2C" w:rsidRDefault="00572B2C" w:rsidP="00572B2C">
      <w:pPr>
        <w:jc w:val="center"/>
        <w:rPr>
          <w:rFonts w:asciiTheme="minorHAnsi" w:hAnsiTheme="minorHAnsi"/>
          <w:bCs/>
          <w:lang w:val="en-US"/>
        </w:rPr>
      </w:pPr>
      <w:r>
        <w:t>______________</w:t>
      </w:r>
    </w:p>
    <w:sectPr w:rsidR="00740343" w:rsidRPr="00572B2C" w:rsidSect="00A15179">
      <w:headerReference w:type="default" r:id="rId29"/>
      <w:footerReference w:type="default" r:id="rId30"/>
      <w:headerReference w:type="first" r:id="rId31"/>
      <w:footerReference w:type="first" r:id="rId32"/>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343" w:rsidRDefault="00740343">
      <w:r>
        <w:separator/>
      </w:r>
    </w:p>
  </w:endnote>
  <w:endnote w:type="continuationSeparator" w:id="0">
    <w:p w:rsidR="00740343" w:rsidRDefault="0074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343" w:rsidRPr="00572B2C" w:rsidRDefault="00892315" w:rsidP="00267919">
    <w:pPr>
      <w:pStyle w:val="Footer"/>
      <w:rPr>
        <w:rFonts w:asciiTheme="minorHAnsi" w:hAnsiTheme="minorHAnsi"/>
        <w:sz w:val="16"/>
        <w:szCs w:val="16"/>
      </w:rPr>
    </w:pPr>
    <w:r>
      <w:rPr>
        <w:rFonts w:asciiTheme="minorHAnsi" w:hAnsiTheme="minorHAnsi"/>
        <w:sz w:val="16"/>
        <w:szCs w:val="16"/>
      </w:rPr>
      <w:t>itu-t\bureau\circ\100\114f.docx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343" w:rsidRPr="00572B2C" w:rsidRDefault="00740343" w:rsidP="00432171">
    <w:pPr>
      <w:pStyle w:val="FirstFooter"/>
      <w:ind w:left="-397" w:right="-397"/>
      <w:jc w:val="center"/>
      <w:rPr>
        <w:rFonts w:asciiTheme="minorHAnsi" w:hAnsiTheme="minorHAnsi"/>
      </w:rPr>
    </w:pPr>
    <w:r w:rsidRPr="00572B2C">
      <w:rPr>
        <w:rFonts w:asciiTheme="minorHAnsi" w:hAnsiTheme="minorHAnsi"/>
        <w:szCs w:val="18"/>
        <w:lang w:val="fr-CH"/>
      </w:rPr>
      <w:t>Union internationale des télécommunications • Place des Nations • CH</w:t>
    </w:r>
    <w:r w:rsidRPr="00572B2C">
      <w:rPr>
        <w:rFonts w:asciiTheme="minorHAnsi" w:hAnsiTheme="minorHAnsi"/>
        <w:szCs w:val="18"/>
        <w:lang w:val="fr-CH"/>
      </w:rPr>
      <w:noBreakHyphen/>
      <w:t xml:space="preserve">1211 Genève 20 • Suisse </w:t>
    </w:r>
    <w:r w:rsidRPr="00572B2C">
      <w:rPr>
        <w:rFonts w:asciiTheme="minorHAnsi" w:hAnsiTheme="minorHAnsi"/>
        <w:szCs w:val="18"/>
        <w:lang w:val="fr-CH"/>
      </w:rPr>
      <w:br/>
      <w:t xml:space="preserve">Tél.: +41 22 730 5111 • Fax: +41 22 733 7256 • E-mail: </w:t>
    </w:r>
    <w:hyperlink r:id="rId1" w:history="1">
      <w:r w:rsidRPr="00572B2C">
        <w:rPr>
          <w:rStyle w:val="Hyperlink"/>
          <w:rFonts w:asciiTheme="minorHAnsi" w:hAnsiTheme="minorHAnsi"/>
          <w:szCs w:val="18"/>
          <w:lang w:val="fr-CH"/>
        </w:rPr>
        <w:t>itumail@itu.int</w:t>
      </w:r>
    </w:hyperlink>
    <w:r w:rsidRPr="00572B2C">
      <w:rPr>
        <w:rFonts w:asciiTheme="minorHAnsi" w:hAnsiTheme="minorHAnsi"/>
        <w:szCs w:val="18"/>
        <w:lang w:val="fr-CH"/>
      </w:rPr>
      <w:t xml:space="preserve"> • </w:t>
    </w:r>
    <w:hyperlink r:id="rId2" w:history="1">
      <w:r w:rsidRPr="00572B2C">
        <w:rPr>
          <w:rStyle w:val="Hyperlink"/>
          <w:rFonts w:asciiTheme="minorHAnsi" w:hAnsiTheme="minorHAnsi"/>
          <w:szCs w:val="18"/>
          <w:lang w:val="fr-CH"/>
        </w:rPr>
        <w:t>www.itu.int</w:t>
      </w:r>
    </w:hyperlink>
    <w:r w:rsidRPr="00572B2C">
      <w:rPr>
        <w:rFonts w:asciiTheme="minorHAnsi" w:hAnsiTheme="minorHAnsi"/>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343" w:rsidRPr="00267919" w:rsidRDefault="00740343" w:rsidP="002679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343" w:rsidRPr="00574CD6" w:rsidRDefault="00892315" w:rsidP="00574CD6">
    <w:pPr>
      <w:pStyle w:val="Footer"/>
      <w:rPr>
        <w:rFonts w:asciiTheme="minorHAnsi" w:hAnsiTheme="minorHAnsi"/>
        <w:sz w:val="16"/>
        <w:szCs w:val="16"/>
      </w:rPr>
    </w:pPr>
    <w:r>
      <w:rPr>
        <w:rFonts w:asciiTheme="minorHAnsi" w:hAnsiTheme="minorHAnsi"/>
        <w:sz w:val="16"/>
        <w:szCs w:val="16"/>
      </w:rPr>
      <w:t>itu-t\bureau\circ\100\114F.DOCX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D9" w:rsidRPr="004B4FD9" w:rsidRDefault="004B4FD9" w:rsidP="004B4FD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795679" w:rsidRDefault="00697BC1" w:rsidP="00697BC1">
    <w:pPr>
      <w:pStyle w:val="Footer"/>
      <w:rPr>
        <w:rFonts w:asciiTheme="minorHAnsi" w:hAnsiTheme="minorHAnsi"/>
        <w:sz w:val="16"/>
        <w:szCs w:val="18"/>
        <w:lang w:val="fr-CH"/>
      </w:rPr>
    </w:pPr>
    <w:r w:rsidRPr="00795679">
      <w:rPr>
        <w:rFonts w:asciiTheme="minorHAnsi" w:hAnsiTheme="minorHAnsi"/>
        <w:sz w:val="16"/>
        <w:szCs w:val="18"/>
        <w:lang w:val="fr-CH"/>
      </w:rPr>
      <w:t>ITU-T\BUREAU\CIRC\...E.DOC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572B2C" w:rsidRDefault="00892315" w:rsidP="00572B2C">
    <w:pPr>
      <w:pStyle w:val="Footer"/>
    </w:pPr>
    <w:r>
      <w:t>ITU-T|BUREAU\CIRC\100\114F.DOCX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343" w:rsidRDefault="00740343">
      <w:r>
        <w:t>____________________</w:t>
      </w:r>
    </w:p>
  </w:footnote>
  <w:footnote w:type="continuationSeparator" w:id="0">
    <w:p w:rsidR="00740343" w:rsidRDefault="00740343">
      <w:r>
        <w:continuationSeparator/>
      </w:r>
    </w:p>
  </w:footnote>
  <w:footnote w:id="1">
    <w:p w:rsidR="00740343" w:rsidRPr="00740343" w:rsidRDefault="00740343" w:rsidP="009340E9">
      <w:pPr>
        <w:pStyle w:val="FootnoteText"/>
        <w:spacing w:before="60"/>
        <w:ind w:left="255" w:hanging="255"/>
        <w:rPr>
          <w:rFonts w:asciiTheme="minorHAnsi" w:hAnsiTheme="minorHAnsi"/>
          <w:szCs w:val="24"/>
        </w:rPr>
      </w:pPr>
      <w:r>
        <w:rPr>
          <w:rStyle w:val="FootnoteReference"/>
        </w:rPr>
        <w:footnoteRef/>
      </w:r>
      <w:r>
        <w:tab/>
      </w:r>
      <w:r w:rsidRPr="00740343">
        <w:rPr>
          <w:rFonts w:asciiTheme="minorHAnsi" w:hAnsiTheme="minorHAnsi"/>
          <w:szCs w:val="24"/>
          <w:lang w:val="fr-CH"/>
        </w:rPr>
        <w:t>Un modèle de ce type de demande est disponible à l</w:t>
      </w:r>
      <w:r>
        <w:rPr>
          <w:rFonts w:asciiTheme="minorHAnsi" w:hAnsiTheme="minorHAnsi"/>
          <w:szCs w:val="24"/>
          <w:lang w:val="fr-CH"/>
        </w:rPr>
        <w:t>'</w:t>
      </w:r>
      <w:r w:rsidRPr="00740343">
        <w:rPr>
          <w:rFonts w:asciiTheme="minorHAnsi" w:hAnsiTheme="minorHAnsi"/>
          <w:szCs w:val="24"/>
          <w:lang w:val="fr-CH"/>
        </w:rPr>
        <w:t xml:space="preserve">adresse: </w:t>
      </w:r>
      <w:hyperlink r:id="rId1" w:history="1">
        <w:r w:rsidR="00892315" w:rsidRPr="00892315">
          <w:rPr>
            <w:rStyle w:val="Hyperlink"/>
            <w:rFonts w:asciiTheme="minorHAnsi" w:hAnsiTheme="minorHAnsi"/>
            <w:szCs w:val="24"/>
            <w:lang w:val="fr-CH"/>
          </w:rPr>
          <w:t>http://</w:t>
        </w:r>
        <w:r w:rsidR="00892315" w:rsidRPr="00892315">
          <w:rPr>
            <w:rStyle w:val="Hyperlink"/>
            <w:rFonts w:asciiTheme="minorHAnsi" w:hAnsiTheme="minorHAnsi"/>
            <w:szCs w:val="24"/>
            <w:lang w:val="fr-CH"/>
          </w:rPr>
          <w:t>i</w:t>
        </w:r>
        <w:r w:rsidR="00892315" w:rsidRPr="00892315">
          <w:rPr>
            <w:rStyle w:val="Hyperlink"/>
            <w:rFonts w:asciiTheme="minorHAnsi" w:hAnsiTheme="minorHAnsi"/>
            <w:szCs w:val="24"/>
            <w:lang w:val="fr-CH"/>
          </w:rPr>
          <w:t>tu.int/en/ITU-T/info/Documents/Visa-support-letter_MODEL.pdf</w:t>
        </w:r>
      </w:hyperlink>
      <w:r w:rsidR="00892315">
        <w:rPr>
          <w:rFonts w:asciiTheme="minorHAnsi" w:hAnsiTheme="minorHAnsi"/>
          <w:szCs w:val="24"/>
        </w:rPr>
        <w:t xml:space="preserve"> </w:t>
      </w:r>
      <w:r w:rsidRPr="00740343">
        <w:rPr>
          <w:rFonts w:asciiTheme="minorHAnsi" w:hAnsiTheme="minorHAnsi"/>
          <w:szCs w:val="24"/>
        </w:rPr>
        <w:t>.</w:t>
      </w:r>
    </w:p>
  </w:footnote>
  <w:footnote w:id="2">
    <w:p w:rsidR="00740343" w:rsidRPr="00574CD6" w:rsidRDefault="00740343" w:rsidP="00740343">
      <w:pPr>
        <w:pStyle w:val="FootnoteText"/>
        <w:rPr>
          <w:rFonts w:asciiTheme="minorHAnsi" w:hAnsiTheme="minorHAnsi"/>
          <w:szCs w:val="24"/>
          <w:lang w:val="fr-CH"/>
        </w:rPr>
      </w:pPr>
      <w:r w:rsidRPr="00574CD6">
        <w:rPr>
          <w:rStyle w:val="FootnoteReference"/>
          <w:rFonts w:asciiTheme="minorHAnsi" w:hAnsiTheme="minorHAnsi"/>
        </w:rPr>
        <w:footnoteRef/>
      </w:r>
      <w:r w:rsidRPr="00574CD6">
        <w:rPr>
          <w:rFonts w:asciiTheme="minorHAnsi" w:hAnsiTheme="minorHAnsi"/>
        </w:rPr>
        <w:t xml:space="preserve"> </w:t>
      </w:r>
      <w:r w:rsidRPr="00574CD6">
        <w:rPr>
          <w:rFonts w:asciiTheme="minorHAnsi" w:hAnsiTheme="minorHAnsi"/>
        </w:rPr>
        <w:tab/>
      </w:r>
      <w:r w:rsidRPr="00574CD6">
        <w:rPr>
          <w:rFonts w:asciiTheme="minorHAnsi" w:hAnsiTheme="minorHAnsi"/>
          <w:szCs w:val="24"/>
          <w:lang w:val="fr-CH"/>
        </w:rPr>
        <w:t>Unstructured Supplementary Service Data (</w:t>
      </w:r>
      <w:r w:rsidR="00574CD6" w:rsidRPr="00574CD6">
        <w:rPr>
          <w:rFonts w:asciiTheme="minorHAnsi" w:hAnsiTheme="minorHAnsi"/>
          <w:szCs w:val="24"/>
          <w:lang w:val="fr-CH"/>
        </w:rPr>
        <w:t>"</w:t>
      </w:r>
      <w:r w:rsidR="004B4FD9">
        <w:rPr>
          <w:rFonts w:asciiTheme="minorHAnsi" w:hAnsiTheme="minorHAnsi"/>
          <w:szCs w:val="24"/>
          <w:lang w:val="fr-CH"/>
        </w:rPr>
        <w:t>D</w:t>
      </w:r>
      <w:r w:rsidRPr="00574CD6">
        <w:rPr>
          <w:rFonts w:asciiTheme="minorHAnsi" w:hAnsiTheme="minorHAnsi"/>
          <w:szCs w:val="24"/>
          <w:lang w:val="fr-CH"/>
        </w:rPr>
        <w:t>onnées de services supplémentaires non structurées</w:t>
      </w:r>
      <w:r w:rsidR="00574CD6" w:rsidRPr="00574CD6">
        <w:rPr>
          <w:rFonts w:asciiTheme="minorHAnsi" w:hAnsiTheme="minorHAnsi"/>
          <w:szCs w:val="24"/>
          <w:lang w:val="fr-CH"/>
        </w:rPr>
        <w:t>"</w:t>
      </w:r>
      <w:r w:rsidRPr="00574CD6">
        <w:rPr>
          <w:rFonts w:asciiTheme="minorHAnsi" w:hAnsiTheme="minorHAnsi"/>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911158910"/>
      <w:docPartObj>
        <w:docPartGallery w:val="Page Numbers (Top of Page)"/>
        <w:docPartUnique/>
      </w:docPartObj>
    </w:sdtPr>
    <w:sdtEndPr>
      <w:rPr>
        <w:noProof/>
      </w:rPr>
    </w:sdtEndPr>
    <w:sdtContent>
      <w:p w:rsidR="00740343" w:rsidRPr="00572B2C" w:rsidRDefault="00740343" w:rsidP="00CD7ED2">
        <w:pPr>
          <w:pStyle w:val="Header"/>
          <w:rPr>
            <w:rFonts w:asciiTheme="minorHAnsi" w:hAnsiTheme="minorHAnsi"/>
            <w:sz w:val="18"/>
            <w:szCs w:val="18"/>
          </w:rPr>
        </w:pPr>
        <w:r w:rsidRPr="00572B2C">
          <w:rPr>
            <w:rFonts w:asciiTheme="minorHAnsi" w:hAnsiTheme="minorHAnsi"/>
            <w:sz w:val="18"/>
            <w:szCs w:val="18"/>
          </w:rPr>
          <w:fldChar w:fldCharType="begin"/>
        </w:r>
        <w:r w:rsidRPr="00572B2C">
          <w:rPr>
            <w:rFonts w:asciiTheme="minorHAnsi" w:hAnsiTheme="minorHAnsi"/>
            <w:sz w:val="18"/>
            <w:szCs w:val="18"/>
          </w:rPr>
          <w:instrText xml:space="preserve"> PAGE   \* MERGEFORMAT </w:instrText>
        </w:r>
        <w:r w:rsidRPr="00572B2C">
          <w:rPr>
            <w:rFonts w:asciiTheme="minorHAnsi" w:hAnsiTheme="minorHAnsi"/>
            <w:sz w:val="18"/>
            <w:szCs w:val="18"/>
          </w:rPr>
          <w:fldChar w:fldCharType="separate"/>
        </w:r>
        <w:r w:rsidR="00892315">
          <w:rPr>
            <w:rFonts w:asciiTheme="minorHAnsi" w:hAnsiTheme="minorHAnsi"/>
            <w:noProof/>
            <w:sz w:val="18"/>
            <w:szCs w:val="18"/>
          </w:rPr>
          <w:t>2</w:t>
        </w:r>
        <w:r w:rsidRPr="00572B2C">
          <w:rPr>
            <w:rFonts w:asciiTheme="minorHAnsi" w:hAnsiTheme="minorHAnsi"/>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417225356"/>
      <w:docPartObj>
        <w:docPartGallery w:val="Page Numbers (Top of Page)"/>
        <w:docPartUnique/>
      </w:docPartObj>
    </w:sdtPr>
    <w:sdtEndPr>
      <w:rPr>
        <w:noProof/>
      </w:rPr>
    </w:sdtEndPr>
    <w:sdtContent>
      <w:p w:rsidR="00574CD6" w:rsidRPr="00572B2C" w:rsidRDefault="00574CD6" w:rsidP="00574CD6">
        <w:pPr>
          <w:pStyle w:val="Header"/>
          <w:rPr>
            <w:rFonts w:asciiTheme="minorHAnsi" w:hAnsiTheme="minorHAnsi"/>
            <w:sz w:val="18"/>
            <w:szCs w:val="18"/>
          </w:rPr>
        </w:pPr>
        <w:r w:rsidRPr="00572B2C">
          <w:rPr>
            <w:rFonts w:asciiTheme="minorHAnsi" w:hAnsiTheme="minorHAnsi"/>
            <w:sz w:val="18"/>
            <w:szCs w:val="18"/>
          </w:rPr>
          <w:fldChar w:fldCharType="begin"/>
        </w:r>
        <w:r w:rsidRPr="00572B2C">
          <w:rPr>
            <w:rFonts w:asciiTheme="minorHAnsi" w:hAnsiTheme="minorHAnsi"/>
            <w:sz w:val="18"/>
            <w:szCs w:val="18"/>
          </w:rPr>
          <w:instrText xml:space="preserve"> PAGE   \* MERGEFORMAT </w:instrText>
        </w:r>
        <w:r w:rsidRPr="00572B2C">
          <w:rPr>
            <w:rFonts w:asciiTheme="minorHAnsi" w:hAnsiTheme="minorHAnsi"/>
            <w:sz w:val="18"/>
            <w:szCs w:val="18"/>
          </w:rPr>
          <w:fldChar w:fldCharType="separate"/>
        </w:r>
        <w:r w:rsidR="00892315">
          <w:rPr>
            <w:rFonts w:asciiTheme="minorHAnsi" w:hAnsiTheme="minorHAnsi"/>
            <w:noProof/>
            <w:sz w:val="18"/>
            <w:szCs w:val="18"/>
          </w:rPr>
          <w:t>10</w:t>
        </w:r>
        <w:r w:rsidRPr="00572B2C">
          <w:rPr>
            <w:rFonts w:asciiTheme="minorHAnsi" w:hAnsiTheme="minorHAnsi"/>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D6" w:rsidRPr="00574CD6" w:rsidRDefault="00574CD6" w:rsidP="00574C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892315"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sidR="00572B2C">
          <w:rPr>
            <w:rFonts w:asciiTheme="minorHAnsi" w:hAnsiTheme="minorHAnsi"/>
            <w:noProof/>
            <w:sz w:val="18"/>
            <w:szCs w:val="16"/>
          </w:rPr>
          <w:t>12</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1196120312"/>
      <w:docPartObj>
        <w:docPartGallery w:val="Page Numbers (Top of Page)"/>
        <w:docPartUnique/>
      </w:docPartObj>
    </w:sdtPr>
    <w:sdtEndPr>
      <w:rPr>
        <w:noProof/>
      </w:rPr>
    </w:sdtEndPr>
    <w:sdtContent>
      <w:p w:rsidR="00574CD6" w:rsidRPr="00572B2C" w:rsidRDefault="00574CD6" w:rsidP="00574CD6">
        <w:pPr>
          <w:pStyle w:val="Header"/>
          <w:rPr>
            <w:rFonts w:asciiTheme="minorHAnsi" w:hAnsiTheme="minorHAnsi"/>
            <w:sz w:val="18"/>
            <w:szCs w:val="18"/>
          </w:rPr>
        </w:pPr>
        <w:r w:rsidRPr="00572B2C">
          <w:rPr>
            <w:rFonts w:asciiTheme="minorHAnsi" w:hAnsiTheme="minorHAnsi"/>
            <w:sz w:val="18"/>
            <w:szCs w:val="18"/>
          </w:rPr>
          <w:fldChar w:fldCharType="begin"/>
        </w:r>
        <w:r w:rsidRPr="00572B2C">
          <w:rPr>
            <w:rFonts w:asciiTheme="minorHAnsi" w:hAnsiTheme="minorHAnsi"/>
            <w:sz w:val="18"/>
            <w:szCs w:val="18"/>
          </w:rPr>
          <w:instrText xml:space="preserve"> PAGE   \* MERGEFORMAT </w:instrText>
        </w:r>
        <w:r w:rsidRPr="00572B2C">
          <w:rPr>
            <w:rFonts w:asciiTheme="minorHAnsi" w:hAnsiTheme="minorHAnsi"/>
            <w:sz w:val="18"/>
            <w:szCs w:val="18"/>
          </w:rPr>
          <w:fldChar w:fldCharType="separate"/>
        </w:r>
        <w:r w:rsidR="00892315">
          <w:rPr>
            <w:rFonts w:asciiTheme="minorHAnsi" w:hAnsiTheme="minorHAnsi"/>
            <w:noProof/>
            <w:sz w:val="18"/>
            <w:szCs w:val="18"/>
          </w:rPr>
          <w:t>12</w:t>
        </w:r>
        <w:r w:rsidRPr="00572B2C">
          <w:rPr>
            <w:rFonts w:asciiTheme="minorHAnsi" w:hAnsiTheme="minorHAnsi"/>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0F387880"/>
    <w:multiLevelType w:val="hybridMultilevel"/>
    <w:tmpl w:val="7E785540"/>
    <w:lvl w:ilvl="0" w:tplc="68587316">
      <w:start w:val="17"/>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304693"/>
    <w:multiLevelType w:val="hybridMultilevel"/>
    <w:tmpl w:val="6512C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43"/>
    <w:rsid w:val="000039EE"/>
    <w:rsid w:val="00005622"/>
    <w:rsid w:val="0002519E"/>
    <w:rsid w:val="00035B43"/>
    <w:rsid w:val="000758B3"/>
    <w:rsid w:val="000B0D96"/>
    <w:rsid w:val="000B59D8"/>
    <w:rsid w:val="000C56BE"/>
    <w:rsid w:val="001026FD"/>
    <w:rsid w:val="001077FD"/>
    <w:rsid w:val="00115DD7"/>
    <w:rsid w:val="00167472"/>
    <w:rsid w:val="00167F92"/>
    <w:rsid w:val="00173738"/>
    <w:rsid w:val="001B79A3"/>
    <w:rsid w:val="002152A3"/>
    <w:rsid w:val="003131F0"/>
    <w:rsid w:val="00333A80"/>
    <w:rsid w:val="00364E95"/>
    <w:rsid w:val="00372875"/>
    <w:rsid w:val="003B1E80"/>
    <w:rsid w:val="003B66E8"/>
    <w:rsid w:val="004033F1"/>
    <w:rsid w:val="00414B0C"/>
    <w:rsid w:val="004257AC"/>
    <w:rsid w:val="0043711B"/>
    <w:rsid w:val="004B4FD9"/>
    <w:rsid w:val="004B732E"/>
    <w:rsid w:val="004D51F4"/>
    <w:rsid w:val="004D64E0"/>
    <w:rsid w:val="0051210D"/>
    <w:rsid w:val="005136D2"/>
    <w:rsid w:val="00517A03"/>
    <w:rsid w:val="00572B2C"/>
    <w:rsid w:val="00574CD6"/>
    <w:rsid w:val="005A3DD9"/>
    <w:rsid w:val="005B1DFC"/>
    <w:rsid w:val="00601682"/>
    <w:rsid w:val="00625E79"/>
    <w:rsid w:val="006333F7"/>
    <w:rsid w:val="006427A1"/>
    <w:rsid w:val="00644741"/>
    <w:rsid w:val="00697BC1"/>
    <w:rsid w:val="006A6FFE"/>
    <w:rsid w:val="006C5A91"/>
    <w:rsid w:val="00716BBC"/>
    <w:rsid w:val="007321BC"/>
    <w:rsid w:val="00740343"/>
    <w:rsid w:val="00760063"/>
    <w:rsid w:val="00775E4B"/>
    <w:rsid w:val="0079553B"/>
    <w:rsid w:val="00795679"/>
    <w:rsid w:val="007A40FE"/>
    <w:rsid w:val="00810105"/>
    <w:rsid w:val="008157E0"/>
    <w:rsid w:val="00824AEB"/>
    <w:rsid w:val="00854E1D"/>
    <w:rsid w:val="00887FA6"/>
    <w:rsid w:val="00892315"/>
    <w:rsid w:val="008C4397"/>
    <w:rsid w:val="008C465A"/>
    <w:rsid w:val="008F2C9B"/>
    <w:rsid w:val="00923CD6"/>
    <w:rsid w:val="009340E9"/>
    <w:rsid w:val="00935AA8"/>
    <w:rsid w:val="00960D8B"/>
    <w:rsid w:val="00971C9A"/>
    <w:rsid w:val="009D51FA"/>
    <w:rsid w:val="009F1E23"/>
    <w:rsid w:val="00A15179"/>
    <w:rsid w:val="00A51537"/>
    <w:rsid w:val="00A5280F"/>
    <w:rsid w:val="00A60FC1"/>
    <w:rsid w:val="00A97C37"/>
    <w:rsid w:val="00AC37B5"/>
    <w:rsid w:val="00AD752F"/>
    <w:rsid w:val="00B27B41"/>
    <w:rsid w:val="00B8573E"/>
    <w:rsid w:val="00BB24C0"/>
    <w:rsid w:val="00C0052D"/>
    <w:rsid w:val="00C26F2E"/>
    <w:rsid w:val="00C45376"/>
    <w:rsid w:val="00C9028F"/>
    <w:rsid w:val="00CA0416"/>
    <w:rsid w:val="00CB1125"/>
    <w:rsid w:val="00CB39DC"/>
    <w:rsid w:val="00CD042E"/>
    <w:rsid w:val="00CF2560"/>
    <w:rsid w:val="00CF5B46"/>
    <w:rsid w:val="00D46B68"/>
    <w:rsid w:val="00D542A5"/>
    <w:rsid w:val="00DC3D47"/>
    <w:rsid w:val="00DD77DA"/>
    <w:rsid w:val="00E06C61"/>
    <w:rsid w:val="00E13DB3"/>
    <w:rsid w:val="00E2408B"/>
    <w:rsid w:val="00E62CEA"/>
    <w:rsid w:val="00E67744"/>
    <w:rsid w:val="00E72AE1"/>
    <w:rsid w:val="00ED6A7A"/>
    <w:rsid w:val="00EE4C36"/>
    <w:rsid w:val="00F346CE"/>
    <w:rsid w:val="00F34F98"/>
    <w:rsid w:val="00F40540"/>
    <w:rsid w:val="00F9451D"/>
    <w:rsid w:val="00FB04CF"/>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FF1EFE3-B00A-4B0B-A225-3B8466FF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enumlev1Char">
    <w:name w:val="enumlev1 Char"/>
    <w:link w:val="enumlev1"/>
    <w:rsid w:val="00740343"/>
    <w:rPr>
      <w:rFonts w:ascii="Times New Roman" w:hAnsi="Times New Roman"/>
      <w:sz w:val="24"/>
      <w:lang w:val="fr-FR" w:eastAsia="en-US"/>
    </w:rPr>
  </w:style>
  <w:style w:type="character" w:customStyle="1" w:styleId="FootnoteTextChar">
    <w:name w:val="Footnote Text Char"/>
    <w:basedOn w:val="DefaultParagraphFont"/>
    <w:link w:val="FootnoteText"/>
    <w:rsid w:val="00740343"/>
    <w:rPr>
      <w:rFonts w:ascii="Times New Roman" w:hAnsi="Times New Roman"/>
      <w:sz w:val="24"/>
      <w:lang w:val="fr-FR" w:eastAsia="en-US"/>
    </w:rPr>
  </w:style>
  <w:style w:type="paragraph" w:styleId="ListParagraph">
    <w:name w:val="List Paragraph"/>
    <w:basedOn w:val="Normal"/>
    <w:uiPriority w:val="34"/>
    <w:qFormat/>
    <w:rsid w:val="00740343"/>
    <w:pPr>
      <w:ind w:left="720"/>
      <w:contextualSpacing/>
      <w:jc w:val="both"/>
      <w:textAlignment w:val="auto"/>
    </w:pPr>
  </w:style>
  <w:style w:type="paragraph" w:customStyle="1" w:styleId="AnnexNotitle">
    <w:name w:val="Annex_No &amp; title"/>
    <w:basedOn w:val="Normal"/>
    <w:next w:val="Normal"/>
    <w:rsid w:val="00740343"/>
    <w:pPr>
      <w:keepNext/>
      <w:keepLines/>
      <w:spacing w:before="480"/>
      <w:jc w:val="center"/>
    </w:pPr>
    <w:rPr>
      <w:b/>
      <w:sz w:val="28"/>
      <w:lang w:val="en-GB"/>
    </w:rPr>
  </w:style>
  <w:style w:type="paragraph" w:customStyle="1" w:styleId="Reasons">
    <w:name w:val="Reasons"/>
    <w:basedOn w:val="Normal"/>
    <w:qFormat/>
    <w:rsid w:val="00572B2C"/>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E67744"/>
    <w:rPr>
      <w:color w:val="800080" w:themeColor="followedHyperlink"/>
      <w:u w:val="single"/>
    </w:rPr>
  </w:style>
  <w:style w:type="paragraph" w:styleId="BalloonText">
    <w:name w:val="Balloon Text"/>
    <w:basedOn w:val="Normal"/>
    <w:link w:val="BalloonTextChar"/>
    <w:semiHidden/>
    <w:unhideWhenUsed/>
    <w:rsid w:val="0089231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92315"/>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focusgroups/dfs/Pages/default.aspx" TargetMode="External"/><Relationship Id="rId18" Type="http://schemas.openxmlformats.org/officeDocument/2006/relationships/hyperlink" Target="http://www.itu.int/en/ITU-T/focusgroups/dfs/Pages/default.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T/focusgroups/dfs/Pages/default.aspx" TargetMode="External"/><Relationship Id="rId17" Type="http://schemas.openxmlformats.org/officeDocument/2006/relationships/hyperlink" Target="http://www.itu.int/travel/"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ifds/Pages/default.aspx" TargetMode="External"/><Relationship Id="rId24" Type="http://schemas.openxmlformats.org/officeDocument/2006/relationships/header" Target="head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ifa.itu.int/t/fg/dfs/docs/1412-gva/in/" TargetMode="External"/><Relationship Id="rId23" Type="http://schemas.openxmlformats.org/officeDocument/2006/relationships/footer" Target="footer3.xml"/><Relationship Id="rId28" Type="http://schemas.openxmlformats.org/officeDocument/2006/relationships/image" Target="media/image2.wmf"/><Relationship Id="rId10" Type="http://schemas.openxmlformats.org/officeDocument/2006/relationships/hyperlink" Target="http://www.itu.int/en/ITU-T/focusgroups/dfs/Pages/default.aspx" TargetMode="External"/><Relationship Id="rId19" Type="http://schemas.openxmlformats.org/officeDocument/2006/relationships/hyperlink" Target="mailto:tsbreg@itu.int"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tsbfgdfs@itu.int" TargetMode="External"/><Relationship Id="rId14" Type="http://schemas.openxmlformats.org/officeDocument/2006/relationships/hyperlink" Target="mailto:tsbfgdfs@itu.int"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EC9EE-5AF4-4A58-8A25-61385BD0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0</TotalTime>
  <Pages>12</Pages>
  <Words>3581</Words>
  <Characters>22478</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26007</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Royer, Veronique</dc:creator>
  <cp:lastModifiedBy>Bettini, Nadine</cp:lastModifiedBy>
  <cp:revision>2</cp:revision>
  <cp:lastPrinted>2014-09-04T13:10:00Z</cp:lastPrinted>
  <dcterms:created xsi:type="dcterms:W3CDTF">2014-09-04T13:11:00Z</dcterms:created>
  <dcterms:modified xsi:type="dcterms:W3CDTF">2014-09-04T13:11:00Z</dcterms:modified>
</cp:coreProperties>
</file>