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D672EF" w:rsidTr="00303D62">
        <w:trPr>
          <w:cantSplit/>
        </w:trPr>
        <w:tc>
          <w:tcPr>
            <w:tcW w:w="6426" w:type="dxa"/>
            <w:vAlign w:val="center"/>
          </w:tcPr>
          <w:p w:rsidR="00C34772" w:rsidRPr="00D672EF" w:rsidRDefault="00C34772" w:rsidP="00303D62">
            <w:pPr>
              <w:tabs>
                <w:tab w:val="right" w:pos="8732"/>
              </w:tabs>
              <w:spacing w:before="0"/>
              <w:rPr>
                <w:rFonts w:ascii="Verdana" w:hAnsi="Verdana"/>
                <w:b/>
                <w:bCs/>
                <w:color w:val="FFFFFF"/>
                <w:sz w:val="26"/>
                <w:szCs w:val="26"/>
              </w:rPr>
            </w:pPr>
            <w:r w:rsidRPr="00D672EF">
              <w:rPr>
                <w:rFonts w:ascii="Verdana" w:hAnsi="Verdana"/>
                <w:b/>
                <w:bCs/>
                <w:sz w:val="26"/>
                <w:szCs w:val="26"/>
              </w:rPr>
              <w:t>Oficina de Normalización</w:t>
            </w:r>
            <w:r w:rsidRPr="00D672EF">
              <w:rPr>
                <w:rFonts w:ascii="Verdana" w:hAnsi="Verdana"/>
                <w:b/>
                <w:bCs/>
                <w:sz w:val="26"/>
                <w:szCs w:val="26"/>
              </w:rPr>
              <w:br/>
              <w:t>de las Telecomunicaciones</w:t>
            </w:r>
          </w:p>
        </w:tc>
        <w:tc>
          <w:tcPr>
            <w:tcW w:w="3355" w:type="dxa"/>
            <w:vAlign w:val="center"/>
          </w:tcPr>
          <w:p w:rsidR="00C34772" w:rsidRPr="00D672EF" w:rsidRDefault="00C34772" w:rsidP="00303D62">
            <w:pPr>
              <w:spacing w:before="0"/>
              <w:jc w:val="right"/>
              <w:rPr>
                <w:rFonts w:ascii="Verdana" w:hAnsi="Verdana"/>
                <w:color w:val="FFFFFF"/>
                <w:sz w:val="26"/>
                <w:szCs w:val="26"/>
              </w:rPr>
            </w:pPr>
            <w:r w:rsidRPr="00D672EF">
              <w:rPr>
                <w:rFonts w:ascii="Verdana" w:hAnsi="Verdana"/>
                <w:b/>
                <w:bCs/>
                <w:noProof/>
                <w:color w:val="FFFFFF"/>
                <w:sz w:val="26"/>
                <w:szCs w:val="24"/>
                <w:lang w:val="en-US" w:eastAsia="zh-CN"/>
              </w:rPr>
              <w:drawing>
                <wp:inline distT="0" distB="0" distL="0" distR="0" wp14:anchorId="12872F6E" wp14:editId="673352FE">
                  <wp:extent cx="1770380" cy="702310"/>
                  <wp:effectExtent l="0" t="0" r="1270" b="2540"/>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D672EF" w:rsidTr="00303D62">
        <w:trPr>
          <w:cantSplit/>
        </w:trPr>
        <w:tc>
          <w:tcPr>
            <w:tcW w:w="6426" w:type="dxa"/>
            <w:vAlign w:val="center"/>
          </w:tcPr>
          <w:p w:rsidR="00C34772" w:rsidRPr="00D672EF" w:rsidRDefault="00C34772" w:rsidP="00303D62">
            <w:pPr>
              <w:tabs>
                <w:tab w:val="right" w:pos="8732"/>
              </w:tabs>
              <w:spacing w:before="0"/>
              <w:rPr>
                <w:rFonts w:ascii="Verdana" w:hAnsi="Verdana"/>
                <w:b/>
                <w:bCs/>
                <w:iCs/>
                <w:sz w:val="18"/>
                <w:szCs w:val="18"/>
              </w:rPr>
            </w:pPr>
          </w:p>
        </w:tc>
        <w:tc>
          <w:tcPr>
            <w:tcW w:w="3355" w:type="dxa"/>
            <w:vAlign w:val="center"/>
          </w:tcPr>
          <w:p w:rsidR="00C34772" w:rsidRPr="00D672EF" w:rsidRDefault="00C34772" w:rsidP="00303D62">
            <w:pPr>
              <w:spacing w:before="0"/>
              <w:ind w:left="993" w:hanging="993"/>
              <w:jc w:val="right"/>
              <w:rPr>
                <w:rFonts w:ascii="Verdana" w:hAnsi="Verdana"/>
                <w:sz w:val="18"/>
                <w:szCs w:val="18"/>
              </w:rPr>
            </w:pPr>
          </w:p>
        </w:tc>
      </w:tr>
    </w:tbl>
    <w:p w:rsidR="00C34772" w:rsidRPr="00D672EF" w:rsidRDefault="00C34772" w:rsidP="00B5346E">
      <w:pPr>
        <w:tabs>
          <w:tab w:val="clear" w:pos="794"/>
          <w:tab w:val="clear" w:pos="1191"/>
          <w:tab w:val="clear" w:pos="1588"/>
          <w:tab w:val="clear" w:pos="1985"/>
          <w:tab w:val="left" w:pos="4962"/>
        </w:tabs>
        <w:spacing w:before="80"/>
      </w:pPr>
    </w:p>
    <w:p w:rsidR="00C34772" w:rsidRPr="00D672EF" w:rsidRDefault="00C34772" w:rsidP="004770DB">
      <w:pPr>
        <w:ind w:firstLine="4395"/>
      </w:pPr>
      <w:r w:rsidRPr="00D672EF">
        <w:tab/>
        <w:t xml:space="preserve">Ginebra, </w:t>
      </w:r>
      <w:r w:rsidR="004770DB">
        <w:t>15</w:t>
      </w:r>
      <w:r w:rsidR="0090741C" w:rsidRPr="00D672EF">
        <w:t xml:space="preserve"> de </w:t>
      </w:r>
      <w:r w:rsidR="004770DB">
        <w:t>octubre</w:t>
      </w:r>
      <w:r w:rsidR="0090741C" w:rsidRPr="00D672EF">
        <w:t xml:space="preserve"> de 201</w:t>
      </w:r>
      <w:r w:rsidR="004770DB">
        <w:t>3</w:t>
      </w:r>
    </w:p>
    <w:p w:rsidR="00C34772" w:rsidRPr="00D672EF" w:rsidRDefault="00C34772" w:rsidP="00303D6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993"/>
        <w:gridCol w:w="3884"/>
        <w:gridCol w:w="5329"/>
      </w:tblGrid>
      <w:tr w:rsidR="00C34772" w:rsidRPr="00D672EF" w:rsidTr="00303D62">
        <w:trPr>
          <w:cantSplit/>
          <w:trHeight w:val="340"/>
        </w:trPr>
        <w:tc>
          <w:tcPr>
            <w:tcW w:w="993" w:type="dxa"/>
          </w:tcPr>
          <w:p w:rsidR="00C34772" w:rsidRPr="005617AD" w:rsidRDefault="00C34772" w:rsidP="005617AD">
            <w:pPr>
              <w:tabs>
                <w:tab w:val="left" w:pos="4111"/>
              </w:tabs>
              <w:spacing w:before="0"/>
              <w:ind w:left="57"/>
            </w:pPr>
            <w:r w:rsidRPr="005617AD">
              <w:t>Ref.:</w:t>
            </w:r>
          </w:p>
          <w:p w:rsidR="00C34772" w:rsidRPr="005617AD" w:rsidRDefault="00C34772" w:rsidP="005617AD">
            <w:pPr>
              <w:tabs>
                <w:tab w:val="left" w:pos="4111"/>
              </w:tabs>
              <w:spacing w:before="0"/>
              <w:ind w:left="57"/>
            </w:pPr>
          </w:p>
          <w:p w:rsidR="00C34772" w:rsidRPr="005617AD" w:rsidRDefault="00C34772" w:rsidP="005617AD">
            <w:pPr>
              <w:tabs>
                <w:tab w:val="left" w:pos="4111"/>
              </w:tabs>
              <w:spacing w:before="0"/>
              <w:ind w:left="57"/>
            </w:pPr>
          </w:p>
          <w:p w:rsidR="00B03FB6" w:rsidRPr="005617AD" w:rsidRDefault="00B03FB6" w:rsidP="00303D62">
            <w:pPr>
              <w:tabs>
                <w:tab w:val="left" w:pos="4111"/>
              </w:tabs>
              <w:spacing w:before="10"/>
              <w:ind w:left="57"/>
            </w:pPr>
            <w:r w:rsidRPr="005617AD">
              <w:t>Tel.:</w:t>
            </w:r>
            <w:r w:rsidRPr="005617AD">
              <w:br/>
              <w:t>Fax:</w:t>
            </w:r>
          </w:p>
          <w:p w:rsidR="00C34772" w:rsidRPr="005617AD" w:rsidRDefault="00C34772" w:rsidP="002F0711">
            <w:pPr>
              <w:tabs>
                <w:tab w:val="left" w:pos="4111"/>
              </w:tabs>
              <w:spacing w:before="80"/>
              <w:ind w:left="57"/>
            </w:pPr>
          </w:p>
        </w:tc>
        <w:tc>
          <w:tcPr>
            <w:tcW w:w="3884" w:type="dxa"/>
          </w:tcPr>
          <w:p w:rsidR="00C34772" w:rsidRPr="00D672EF" w:rsidRDefault="00C34772" w:rsidP="003413F9">
            <w:pPr>
              <w:tabs>
                <w:tab w:val="left" w:pos="4111"/>
              </w:tabs>
              <w:spacing w:before="0"/>
              <w:ind w:left="57"/>
              <w:rPr>
                <w:b/>
              </w:rPr>
            </w:pPr>
            <w:r w:rsidRPr="00D672EF">
              <w:rPr>
                <w:b/>
              </w:rPr>
              <w:t xml:space="preserve">Circular TSB </w:t>
            </w:r>
            <w:r w:rsidR="003413F9">
              <w:rPr>
                <w:b/>
              </w:rPr>
              <w:t>60</w:t>
            </w:r>
          </w:p>
          <w:p w:rsidR="00C34772" w:rsidRPr="00D672EF" w:rsidRDefault="00C34772" w:rsidP="00303D62">
            <w:pPr>
              <w:tabs>
                <w:tab w:val="left" w:pos="4111"/>
              </w:tabs>
              <w:spacing w:before="0"/>
              <w:ind w:left="57"/>
            </w:pPr>
          </w:p>
          <w:p w:rsidR="00B03FB6" w:rsidRPr="00D672EF" w:rsidRDefault="00B03FB6" w:rsidP="00303D62">
            <w:pPr>
              <w:tabs>
                <w:tab w:val="left" w:pos="4111"/>
              </w:tabs>
              <w:spacing w:before="0"/>
              <w:ind w:left="57"/>
            </w:pPr>
          </w:p>
          <w:p w:rsidR="00B03FB6" w:rsidRPr="00D672EF" w:rsidRDefault="00B03FB6" w:rsidP="003413F9">
            <w:pPr>
              <w:tabs>
                <w:tab w:val="left" w:pos="4111"/>
              </w:tabs>
              <w:spacing w:before="0"/>
              <w:ind w:left="57"/>
            </w:pPr>
            <w:r w:rsidRPr="00D672EF">
              <w:t xml:space="preserve">+41 22 730 </w:t>
            </w:r>
            <w:r w:rsidR="003413F9">
              <w:t>5858</w:t>
            </w:r>
            <w:r w:rsidRPr="00D672EF">
              <w:br/>
              <w:t>+41 22 730 5853</w:t>
            </w:r>
          </w:p>
          <w:p w:rsidR="00C34772" w:rsidRPr="00D672EF" w:rsidRDefault="00C34772" w:rsidP="0090741C">
            <w:pPr>
              <w:tabs>
                <w:tab w:val="left" w:pos="4111"/>
              </w:tabs>
              <w:spacing w:before="0"/>
              <w:ind w:left="57"/>
            </w:pPr>
          </w:p>
        </w:tc>
        <w:tc>
          <w:tcPr>
            <w:tcW w:w="5329" w:type="dxa"/>
          </w:tcPr>
          <w:p w:rsidR="00DC10CC" w:rsidRPr="00D672EF" w:rsidRDefault="00C34772" w:rsidP="001E5E88">
            <w:pPr>
              <w:pStyle w:val="NormalBefore0pt"/>
              <w:rPr>
                <w:lang w:val="es-ES_tradnl"/>
              </w:rPr>
            </w:pPr>
            <w:bookmarkStart w:id="0" w:name="Addressee_S"/>
            <w:bookmarkEnd w:id="0"/>
            <w:r w:rsidRPr="00D672EF">
              <w:rPr>
                <w:lang w:val="es-ES_tradnl"/>
              </w:rPr>
              <w:t>-</w:t>
            </w:r>
            <w:r w:rsidRPr="00D672EF">
              <w:rPr>
                <w:lang w:val="es-ES_tradnl"/>
              </w:rPr>
              <w:tab/>
            </w:r>
            <w:r w:rsidR="0090741C" w:rsidRPr="00D672EF">
              <w:rPr>
                <w:lang w:val="es-ES_tradnl"/>
              </w:rPr>
              <w:t xml:space="preserve">A las Administraciones de los Estados Miembros </w:t>
            </w:r>
            <w:r w:rsidR="00C04CE4">
              <w:rPr>
                <w:lang w:val="es-ES_tradnl"/>
              </w:rPr>
              <w:br/>
            </w:r>
            <w:r w:rsidR="0090741C" w:rsidRPr="00D672EF">
              <w:rPr>
                <w:lang w:val="es-ES_tradnl"/>
              </w:rPr>
              <w:t>de la Unión</w:t>
            </w:r>
            <w:r w:rsidR="00B03FB6" w:rsidRPr="00D672EF">
              <w:rPr>
                <w:lang w:val="es-ES_tradnl"/>
              </w:rPr>
              <w:t>;</w:t>
            </w:r>
          </w:p>
          <w:p w:rsidR="0081715C" w:rsidRPr="00D672EF" w:rsidRDefault="005617AD" w:rsidP="0081715C">
            <w:pPr>
              <w:tabs>
                <w:tab w:val="clear" w:pos="794"/>
                <w:tab w:val="clear" w:pos="1191"/>
                <w:tab w:val="clear" w:pos="1588"/>
                <w:tab w:val="clear" w:pos="1985"/>
                <w:tab w:val="left" w:pos="284"/>
              </w:tabs>
              <w:spacing w:before="0"/>
              <w:ind w:left="284" w:hanging="284"/>
            </w:pPr>
            <w:r w:rsidRPr="00D672EF">
              <w:t>-</w:t>
            </w:r>
            <w:r w:rsidR="0081715C" w:rsidRPr="00D672EF">
              <w:tab/>
              <w:t>A los Miembros del Sector UIT-T;</w:t>
            </w:r>
          </w:p>
          <w:p w:rsidR="0081715C" w:rsidRPr="00D672EF" w:rsidRDefault="001E5E88" w:rsidP="005617AD">
            <w:pPr>
              <w:tabs>
                <w:tab w:val="clear" w:pos="794"/>
                <w:tab w:val="clear" w:pos="1191"/>
                <w:tab w:val="clear" w:pos="1588"/>
                <w:tab w:val="clear" w:pos="1985"/>
                <w:tab w:val="left" w:pos="284"/>
              </w:tabs>
              <w:spacing w:before="0"/>
            </w:pPr>
            <w:r w:rsidRPr="00D672EF">
              <w:t>-</w:t>
            </w:r>
            <w:r w:rsidR="005617AD" w:rsidRPr="00D672EF">
              <w:tab/>
            </w:r>
            <w:r w:rsidR="0081715C" w:rsidRPr="00D672EF">
              <w:t>A los Asociados del UIT-T;</w:t>
            </w:r>
          </w:p>
          <w:p w:rsidR="005950BA" w:rsidRDefault="005950BA" w:rsidP="0081715C">
            <w:pPr>
              <w:tabs>
                <w:tab w:val="clear" w:pos="794"/>
                <w:tab w:val="clear" w:pos="1191"/>
                <w:tab w:val="clear" w:pos="1588"/>
                <w:tab w:val="clear" w:pos="1985"/>
                <w:tab w:val="left" w:pos="284"/>
              </w:tabs>
              <w:spacing w:before="0"/>
              <w:ind w:left="284" w:hanging="284"/>
            </w:pPr>
            <w:r w:rsidRPr="00D672EF">
              <w:t>-</w:t>
            </w:r>
            <w:r w:rsidRPr="00D672EF">
              <w:tab/>
            </w:r>
            <w:r w:rsidR="0081715C" w:rsidRPr="00D672EF">
              <w:t>A las Ins</w:t>
            </w:r>
            <w:r w:rsidR="008066A3">
              <w:t>tituciones Académicas del UIT</w:t>
            </w:r>
            <w:r w:rsidR="008066A3">
              <w:noBreakHyphen/>
              <w:t>T</w:t>
            </w:r>
            <w:r>
              <w:t>;</w:t>
            </w:r>
          </w:p>
          <w:p w:rsidR="0081715C" w:rsidRPr="00D672EF" w:rsidRDefault="0081715C" w:rsidP="003413F9">
            <w:pPr>
              <w:tabs>
                <w:tab w:val="clear" w:pos="794"/>
                <w:tab w:val="clear" w:pos="1191"/>
                <w:tab w:val="clear" w:pos="1588"/>
                <w:tab w:val="clear" w:pos="1985"/>
                <w:tab w:val="left" w:pos="284"/>
              </w:tabs>
              <w:spacing w:before="0"/>
              <w:ind w:left="284" w:hanging="284"/>
            </w:pPr>
          </w:p>
        </w:tc>
      </w:tr>
      <w:tr w:rsidR="00C34772" w:rsidRPr="00D672EF" w:rsidTr="00303D62">
        <w:trPr>
          <w:cantSplit/>
        </w:trPr>
        <w:tc>
          <w:tcPr>
            <w:tcW w:w="993" w:type="dxa"/>
          </w:tcPr>
          <w:p w:rsidR="00C34772" w:rsidRPr="00D672EF" w:rsidRDefault="0090741C" w:rsidP="005617AD">
            <w:pPr>
              <w:tabs>
                <w:tab w:val="left" w:pos="4111"/>
              </w:tabs>
              <w:spacing w:before="0"/>
              <w:ind w:left="57"/>
              <w:rPr>
                <w:sz w:val="22"/>
              </w:rPr>
            </w:pPr>
            <w:r w:rsidRPr="00D672EF">
              <w:rPr>
                <w:sz w:val="22"/>
              </w:rPr>
              <w:br/>
            </w:r>
            <w:r w:rsidRPr="005617AD">
              <w:t>Correo-e:</w:t>
            </w:r>
          </w:p>
        </w:tc>
        <w:tc>
          <w:tcPr>
            <w:tcW w:w="3884" w:type="dxa"/>
          </w:tcPr>
          <w:p w:rsidR="00C34772" w:rsidRPr="00D672EF" w:rsidRDefault="0090741C" w:rsidP="005950BA">
            <w:pPr>
              <w:tabs>
                <w:tab w:val="left" w:pos="4111"/>
              </w:tabs>
              <w:spacing w:before="0"/>
              <w:ind w:left="57"/>
            </w:pPr>
            <w:r w:rsidRPr="005617AD">
              <w:rPr>
                <w:sz w:val="22"/>
              </w:rPr>
              <w:br/>
            </w:r>
            <w:hyperlink r:id="rId10" w:history="1">
              <w:r w:rsidR="009C04CE" w:rsidRPr="009D4639">
                <w:rPr>
                  <w:rStyle w:val="Hyperlink"/>
                </w:rPr>
                <w:t>tsbjcasdn@itu.int</w:t>
              </w:r>
            </w:hyperlink>
          </w:p>
        </w:tc>
        <w:tc>
          <w:tcPr>
            <w:tcW w:w="5329" w:type="dxa"/>
          </w:tcPr>
          <w:p w:rsidR="00C34772" w:rsidRPr="00D672EF" w:rsidRDefault="00C34772" w:rsidP="00B5346E">
            <w:pPr>
              <w:tabs>
                <w:tab w:val="left" w:pos="4111"/>
              </w:tabs>
              <w:rPr>
                <w:b/>
                <w:bCs/>
              </w:rPr>
            </w:pPr>
            <w:r w:rsidRPr="00D672EF">
              <w:rPr>
                <w:b/>
                <w:bCs/>
              </w:rPr>
              <w:t>Copia:</w:t>
            </w:r>
          </w:p>
          <w:p w:rsidR="0090741C" w:rsidRPr="00D672EF" w:rsidRDefault="001E5E88" w:rsidP="0081715C">
            <w:pPr>
              <w:tabs>
                <w:tab w:val="clear" w:pos="794"/>
                <w:tab w:val="clear" w:pos="1191"/>
                <w:tab w:val="clear" w:pos="1588"/>
                <w:tab w:val="clear" w:pos="1985"/>
                <w:tab w:val="left" w:pos="284"/>
              </w:tabs>
              <w:spacing w:before="0"/>
              <w:ind w:left="284" w:hanging="284"/>
            </w:pPr>
            <w:r w:rsidRPr="00D672EF">
              <w:t>-</w:t>
            </w:r>
            <w:r w:rsidR="0090741C" w:rsidRPr="00D672EF">
              <w:tab/>
              <w:t>A</w:t>
            </w:r>
            <w:r w:rsidR="0081715C" w:rsidRPr="00D672EF">
              <w:t xml:space="preserve"> </w:t>
            </w:r>
            <w:r w:rsidR="0090741C" w:rsidRPr="00D672EF">
              <w:t>l</w:t>
            </w:r>
            <w:r w:rsidR="0081715C" w:rsidRPr="00D672EF">
              <w:t>os</w:t>
            </w:r>
            <w:r w:rsidR="0090741C" w:rsidRPr="00D672EF">
              <w:t xml:space="preserve"> Presidente</w:t>
            </w:r>
            <w:r w:rsidR="0081715C" w:rsidRPr="00D672EF">
              <w:t>s</w:t>
            </w:r>
            <w:r w:rsidR="0090741C" w:rsidRPr="00D672EF">
              <w:t xml:space="preserve"> y Vicepresidentes de la</w:t>
            </w:r>
            <w:r w:rsidR="0081715C" w:rsidRPr="00D672EF">
              <w:t>s</w:t>
            </w:r>
            <w:r w:rsidR="0090741C" w:rsidRPr="00D672EF">
              <w:t xml:space="preserve"> Comisi</w:t>
            </w:r>
            <w:r w:rsidR="0081715C" w:rsidRPr="00D672EF">
              <w:t>o</w:t>
            </w:r>
            <w:r w:rsidR="0090741C" w:rsidRPr="00D672EF">
              <w:t>n</w:t>
            </w:r>
            <w:r w:rsidR="0081715C" w:rsidRPr="00D672EF">
              <w:t>es</w:t>
            </w:r>
            <w:r w:rsidR="0090741C" w:rsidRPr="00D672EF">
              <w:t xml:space="preserve"> de Estudio </w:t>
            </w:r>
            <w:r w:rsidR="0081715C" w:rsidRPr="00D672EF">
              <w:t>del UIT-T</w:t>
            </w:r>
            <w:r w:rsidR="0090741C" w:rsidRPr="00D672EF">
              <w:t>;</w:t>
            </w:r>
          </w:p>
          <w:p w:rsidR="0090741C" w:rsidRPr="00D672EF" w:rsidRDefault="001E5E88" w:rsidP="005950BA">
            <w:pPr>
              <w:tabs>
                <w:tab w:val="clear" w:pos="794"/>
                <w:tab w:val="clear" w:pos="1191"/>
                <w:tab w:val="clear" w:pos="1588"/>
                <w:tab w:val="clear" w:pos="1985"/>
                <w:tab w:val="left" w:pos="284"/>
              </w:tabs>
              <w:spacing w:before="0"/>
              <w:ind w:left="284" w:hanging="284"/>
            </w:pPr>
            <w:r w:rsidRPr="00D672EF">
              <w:t>-</w:t>
            </w:r>
            <w:r w:rsidR="0090741C" w:rsidRPr="00D672EF">
              <w:tab/>
            </w:r>
            <w:r w:rsidR="0081715C" w:rsidRPr="00D672EF">
              <w:t>Al Director de la Oficina</w:t>
            </w:r>
            <w:r w:rsidR="005950BA">
              <w:t xml:space="preserve"> de Desarrollo</w:t>
            </w:r>
            <w:r w:rsidR="0081715C" w:rsidRPr="00D672EF">
              <w:t xml:space="preserve"> de </w:t>
            </w:r>
            <w:r w:rsidR="005950BA">
              <w:t>las Tele</w:t>
            </w:r>
            <w:r w:rsidR="0081715C" w:rsidRPr="00D672EF">
              <w:t>comunicaciones</w:t>
            </w:r>
            <w:r w:rsidR="0090741C" w:rsidRPr="00D672EF">
              <w:t>;</w:t>
            </w:r>
          </w:p>
          <w:p w:rsidR="00C34772" w:rsidRPr="00D672EF" w:rsidRDefault="001E5E88" w:rsidP="005950BA">
            <w:pPr>
              <w:tabs>
                <w:tab w:val="clear" w:pos="794"/>
                <w:tab w:val="clear" w:pos="1191"/>
                <w:tab w:val="clear" w:pos="1588"/>
                <w:tab w:val="clear" w:pos="1985"/>
                <w:tab w:val="left" w:pos="284"/>
              </w:tabs>
              <w:spacing w:before="0"/>
              <w:ind w:left="284" w:hanging="284"/>
            </w:pPr>
            <w:r w:rsidRPr="00D672EF">
              <w:t>-</w:t>
            </w:r>
            <w:r w:rsidR="0090741C" w:rsidRPr="00D672EF">
              <w:tab/>
            </w:r>
            <w:r w:rsidR="008066A3">
              <w:t>A</w:t>
            </w:r>
            <w:r w:rsidR="005950BA">
              <w:t>l Director de la Oficina de Radiocomunicaciones</w:t>
            </w:r>
          </w:p>
        </w:tc>
      </w:tr>
    </w:tbl>
    <w:p w:rsidR="00C34772" w:rsidRPr="00D672EF" w:rsidRDefault="00C34772" w:rsidP="00B5346E">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930"/>
        <w:gridCol w:w="7008"/>
      </w:tblGrid>
      <w:tr w:rsidR="00C34772" w:rsidRPr="00D672EF" w:rsidTr="00FD72D8">
        <w:trPr>
          <w:cantSplit/>
        </w:trPr>
        <w:tc>
          <w:tcPr>
            <w:tcW w:w="930" w:type="dxa"/>
          </w:tcPr>
          <w:p w:rsidR="00C34772" w:rsidRPr="00D672EF" w:rsidRDefault="00C34772" w:rsidP="00303D62">
            <w:pPr>
              <w:tabs>
                <w:tab w:val="left" w:pos="4111"/>
              </w:tabs>
              <w:spacing w:before="10"/>
              <w:ind w:left="57"/>
              <w:rPr>
                <w:sz w:val="22"/>
              </w:rPr>
            </w:pPr>
            <w:r w:rsidRPr="005617AD">
              <w:t>Asunto:</w:t>
            </w:r>
          </w:p>
        </w:tc>
        <w:tc>
          <w:tcPr>
            <w:tcW w:w="7008" w:type="dxa"/>
          </w:tcPr>
          <w:p w:rsidR="00C34772" w:rsidRPr="00D672EF" w:rsidRDefault="00AC53AD" w:rsidP="003413F9">
            <w:pPr>
              <w:tabs>
                <w:tab w:val="clear" w:pos="794"/>
                <w:tab w:val="clear" w:pos="1191"/>
                <w:tab w:val="left" w:pos="304"/>
                <w:tab w:val="left" w:pos="4111"/>
              </w:tabs>
              <w:spacing w:before="0"/>
              <w:ind w:left="304" w:hanging="304"/>
              <w:rPr>
                <w:b/>
              </w:rPr>
            </w:pPr>
            <w:r w:rsidRPr="00D672EF">
              <w:rPr>
                <w:b/>
              </w:rPr>
              <w:tab/>
            </w:r>
            <w:r w:rsidR="005950BA">
              <w:rPr>
                <w:b/>
              </w:rPr>
              <w:t xml:space="preserve">Nueva Actividad Conjunta de Coordinación sobre </w:t>
            </w:r>
            <w:r w:rsidR="003413F9">
              <w:rPr>
                <w:b/>
              </w:rPr>
              <w:t>redes definidas por software</w:t>
            </w:r>
            <w:r w:rsidR="005950BA">
              <w:rPr>
                <w:b/>
              </w:rPr>
              <w:t xml:space="preserve"> (JCA</w:t>
            </w:r>
            <w:r w:rsidR="005950BA">
              <w:rPr>
                <w:b/>
              </w:rPr>
              <w:noBreakHyphen/>
            </w:r>
            <w:r w:rsidR="003413F9">
              <w:rPr>
                <w:b/>
              </w:rPr>
              <w:t>SDN</w:t>
            </w:r>
            <w:r w:rsidR="005950BA">
              <w:rPr>
                <w:b/>
              </w:rPr>
              <w:t>)</w:t>
            </w:r>
          </w:p>
        </w:tc>
      </w:tr>
    </w:tbl>
    <w:p w:rsidR="00C34772" w:rsidRPr="00D672EF" w:rsidRDefault="00C34772" w:rsidP="00533EF5">
      <w:pPr>
        <w:pStyle w:val="Normalaftertitle"/>
      </w:pPr>
      <w:r w:rsidRPr="00D672EF">
        <w:t>Muy Señora mía/Muy Señor mío:</w:t>
      </w:r>
    </w:p>
    <w:p w:rsidR="00BB5C06" w:rsidRDefault="00BB5C06" w:rsidP="003413F9">
      <w:r>
        <w:t>1</w:t>
      </w:r>
      <w:r>
        <w:tab/>
      </w:r>
      <w:r w:rsidR="00327398" w:rsidRPr="00D672EF">
        <w:t xml:space="preserve">Me complace </w:t>
      </w:r>
      <w:r w:rsidRPr="00BB5C06">
        <w:t xml:space="preserve">informarle de que, en su reunión </w:t>
      </w:r>
      <w:r w:rsidR="003413F9">
        <w:t>de junio de 2013</w:t>
      </w:r>
      <w:r w:rsidRPr="00BB5C06">
        <w:t xml:space="preserve">, el </w:t>
      </w:r>
      <w:r w:rsidR="003413F9">
        <w:t>Grupo Asesor de Normalización de las Telecomunicaciones (</w:t>
      </w:r>
      <w:r w:rsidRPr="00BB5C06">
        <w:t>GANT</w:t>
      </w:r>
      <w:r w:rsidR="003413F9">
        <w:t>)</w:t>
      </w:r>
      <w:r w:rsidRPr="00BB5C06">
        <w:t xml:space="preserve"> acordó lo siguiente:</w:t>
      </w:r>
    </w:p>
    <w:p w:rsidR="00BB5C06" w:rsidRDefault="009C04CE" w:rsidP="00844AF2">
      <w:pPr>
        <w:pStyle w:val="enumlev1"/>
      </w:pPr>
      <w:r>
        <w:tab/>
      </w:r>
      <w:r w:rsidR="00BB5C06">
        <w:t>1.1</w:t>
      </w:r>
      <w:r w:rsidR="00BB5C06">
        <w:tab/>
      </w:r>
      <w:r w:rsidR="00BB5C06" w:rsidRPr="00BB5C06">
        <w:t xml:space="preserve">La creación de la Actividad Conjunta de Coordinación </w:t>
      </w:r>
      <w:r w:rsidR="00BB5C06">
        <w:t>s</w:t>
      </w:r>
      <w:r w:rsidR="00BB5C06" w:rsidRPr="00BB5C06">
        <w:t xml:space="preserve">obre </w:t>
      </w:r>
      <w:r w:rsidR="003413F9">
        <w:t xml:space="preserve">redes definidas por software </w:t>
      </w:r>
      <w:r w:rsidR="00BB5C06" w:rsidRPr="00BB5C06">
        <w:t>(JCA</w:t>
      </w:r>
      <w:r w:rsidR="00FD72D8">
        <w:noBreakHyphen/>
      </w:r>
      <w:r w:rsidR="003413F9">
        <w:t>SDN</w:t>
      </w:r>
      <w:r w:rsidR="00BB5C06" w:rsidRPr="00BB5C06">
        <w:t xml:space="preserve">) cuyo mandato se estipula en al </w:t>
      </w:r>
      <w:r w:rsidR="003413F9" w:rsidRPr="00A16F53">
        <w:rPr>
          <w:rStyle w:val="Hyperlink"/>
          <w:rFonts w:asciiTheme="majorBidi" w:hAnsiTheme="majorBidi" w:cstheme="majorBidi"/>
        </w:rPr>
        <w:t xml:space="preserve">Anexo </w:t>
      </w:r>
      <w:r w:rsidR="00BB5C06" w:rsidRPr="00A16F53">
        <w:rPr>
          <w:rStyle w:val="Hyperlink"/>
          <w:rFonts w:asciiTheme="majorBidi" w:hAnsiTheme="majorBidi" w:cstheme="majorBidi"/>
        </w:rPr>
        <w:t>1</w:t>
      </w:r>
      <w:r w:rsidR="00BB5C06" w:rsidRPr="00BB5C06">
        <w:t xml:space="preserve"> adjunto.</w:t>
      </w:r>
    </w:p>
    <w:p w:rsidR="00BB5C06" w:rsidRDefault="009C04CE" w:rsidP="00D9715B">
      <w:pPr>
        <w:pStyle w:val="enumlev1"/>
      </w:pPr>
      <w:r>
        <w:tab/>
      </w:r>
      <w:r w:rsidR="00BB5C06">
        <w:t>1.</w:t>
      </w:r>
      <w:r w:rsidR="003413F9">
        <w:t>2</w:t>
      </w:r>
      <w:r w:rsidR="00BB5C06">
        <w:tab/>
      </w:r>
      <w:r w:rsidR="00BB5C06" w:rsidRPr="00BB5C06">
        <w:t>La JCA-</w:t>
      </w:r>
      <w:r w:rsidR="003413F9">
        <w:t xml:space="preserve">SDN </w:t>
      </w:r>
      <w:r w:rsidR="00BB5C06" w:rsidRPr="00BB5C06">
        <w:t>de</w:t>
      </w:r>
      <w:r w:rsidR="00D9715B">
        <w:t>be</w:t>
      </w:r>
      <w:r w:rsidR="00BB5C06" w:rsidRPr="00BB5C06">
        <w:t>rá</w:t>
      </w:r>
      <w:r w:rsidR="00D9715B">
        <w:t xml:space="preserve"> informar al GANT</w:t>
      </w:r>
      <w:r w:rsidR="00BB5C06" w:rsidRPr="00BB5C06">
        <w:t>.</w:t>
      </w:r>
    </w:p>
    <w:p w:rsidR="003413F9" w:rsidRDefault="003413F9" w:rsidP="00D9715B">
      <w:r>
        <w:t xml:space="preserve">El Sr. </w:t>
      </w:r>
      <w:proofErr w:type="spellStart"/>
      <w:r>
        <w:t>Takashi</w:t>
      </w:r>
      <w:proofErr w:type="spellEnd"/>
      <w:r>
        <w:t xml:space="preserve"> </w:t>
      </w:r>
      <w:proofErr w:type="spellStart"/>
      <w:r>
        <w:t>Egawa</w:t>
      </w:r>
      <w:proofErr w:type="spellEnd"/>
      <w:r>
        <w:t xml:space="preserve"> (NEC, Japón) ha sido nombra</w:t>
      </w:r>
      <w:r w:rsidR="009C04CE">
        <w:t xml:space="preserve">do Presidente de la JCA-SDN y </w:t>
      </w:r>
      <w:proofErr w:type="gramStart"/>
      <w:r w:rsidR="009C04CE">
        <w:t>la</w:t>
      </w:r>
      <w:proofErr w:type="gramEnd"/>
      <w:r>
        <w:t xml:space="preserve"> Sr</w:t>
      </w:r>
      <w:r w:rsidR="009C04CE">
        <w:t>a</w:t>
      </w:r>
      <w:r>
        <w:t>.</w:t>
      </w:r>
      <w:r w:rsidR="00D9715B">
        <w:t> </w:t>
      </w:r>
      <w:r>
        <w:t>Ying</w:t>
      </w:r>
      <w:r w:rsidR="00D9715B">
        <w:t> </w:t>
      </w:r>
      <w:proofErr w:type="spellStart"/>
      <w:r>
        <w:t>Cheng</w:t>
      </w:r>
      <w:proofErr w:type="spellEnd"/>
      <w:r>
        <w:t xml:space="preserve"> (China </w:t>
      </w:r>
      <w:proofErr w:type="spellStart"/>
      <w:r>
        <w:t>Unicom</w:t>
      </w:r>
      <w:proofErr w:type="spellEnd"/>
      <w:r>
        <w:t>, China) Vicepresidente.</w:t>
      </w:r>
    </w:p>
    <w:p w:rsidR="00BB5C06" w:rsidRDefault="00BB5C06" w:rsidP="0071652B">
      <w:r>
        <w:t>2</w:t>
      </w:r>
      <w:r>
        <w:tab/>
      </w:r>
      <w:r w:rsidRPr="00BB5C06">
        <w:t>La JCA-</w:t>
      </w:r>
      <w:r w:rsidR="006243E2">
        <w:t>SDN</w:t>
      </w:r>
      <w:r w:rsidRPr="00BB5C06">
        <w:t xml:space="preserve"> se encargará de coordinar los trabajos de normalización de </w:t>
      </w:r>
      <w:r w:rsidR="0071652B">
        <w:t>la</w:t>
      </w:r>
      <w:r w:rsidR="006243E2">
        <w:t xml:space="preserve"> SDN y temas </w:t>
      </w:r>
      <w:r w:rsidR="0071652B">
        <w:t xml:space="preserve">técnicos </w:t>
      </w:r>
      <w:r w:rsidR="006243E2">
        <w:t xml:space="preserve">conexos </w:t>
      </w:r>
      <w:r>
        <w:t xml:space="preserve">en </w:t>
      </w:r>
      <w:r w:rsidRPr="00BB5C06">
        <w:t xml:space="preserve">el UIT-T, </w:t>
      </w:r>
      <w:r w:rsidR="006243E2">
        <w:t xml:space="preserve">habida cuenta de los trabajos de otras </w:t>
      </w:r>
      <w:r w:rsidRPr="00BB5C06">
        <w:t>organizaciones</w:t>
      </w:r>
      <w:r w:rsidR="006243E2">
        <w:t xml:space="preserve"> de normalización,</w:t>
      </w:r>
      <w:r w:rsidRPr="00BB5C06">
        <w:t xml:space="preserve"> foros </w:t>
      </w:r>
      <w:r w:rsidR="006243E2">
        <w:t>y consorcios</w:t>
      </w:r>
      <w:r w:rsidRPr="00BB5C06">
        <w:t>.</w:t>
      </w:r>
    </w:p>
    <w:p w:rsidR="006243E2" w:rsidRDefault="006243E2" w:rsidP="00D9715B">
      <w:r>
        <w:t>La JCA-SDN ayudará al GANT a llevar a buen término lo solicitado en la</w:t>
      </w:r>
      <w:r w:rsidR="00D9715B">
        <w:t xml:space="preserve"> </w:t>
      </w:r>
      <w:hyperlink r:id="rId11" w:history="1">
        <w:r w:rsidR="00D9715B" w:rsidRPr="002336AB">
          <w:rPr>
            <w:rStyle w:val="Hyperlink"/>
            <w:rFonts w:asciiTheme="majorBidi" w:hAnsiTheme="majorBidi" w:cstheme="majorBidi"/>
          </w:rPr>
          <w:t>Resolu</w:t>
        </w:r>
        <w:r w:rsidR="00D9715B">
          <w:rPr>
            <w:rStyle w:val="Hyperlink"/>
            <w:rFonts w:asciiTheme="majorBidi" w:hAnsiTheme="majorBidi" w:cstheme="majorBidi"/>
          </w:rPr>
          <w:t>c</w:t>
        </w:r>
        <w:r w:rsidR="00D9715B" w:rsidRPr="002336AB">
          <w:rPr>
            <w:rStyle w:val="Hyperlink"/>
            <w:rFonts w:asciiTheme="majorBidi" w:hAnsiTheme="majorBidi" w:cstheme="majorBidi"/>
          </w:rPr>
          <w:t>i</w:t>
        </w:r>
        <w:r w:rsidR="00D9715B">
          <w:rPr>
            <w:rStyle w:val="Hyperlink"/>
            <w:rFonts w:asciiTheme="majorBidi" w:hAnsiTheme="majorBidi" w:cstheme="majorBidi"/>
          </w:rPr>
          <w:t>ó</w:t>
        </w:r>
        <w:r w:rsidR="00D9715B" w:rsidRPr="002336AB">
          <w:rPr>
            <w:rStyle w:val="Hyperlink"/>
            <w:rFonts w:asciiTheme="majorBidi" w:hAnsiTheme="majorBidi" w:cstheme="majorBidi"/>
          </w:rPr>
          <w:t>n 77</w:t>
        </w:r>
      </w:hyperlink>
      <w:r w:rsidR="00D9715B">
        <w:rPr>
          <w:rStyle w:val="Hyperlink"/>
          <w:rFonts w:asciiTheme="majorBidi" w:hAnsiTheme="majorBidi" w:cstheme="majorBidi"/>
        </w:rPr>
        <w:t xml:space="preserve"> de la AMNT</w:t>
      </w:r>
      <w:r w:rsidR="00D9715B">
        <w:rPr>
          <w:rStyle w:val="Hyperlink"/>
          <w:rFonts w:asciiTheme="majorBidi" w:hAnsiTheme="majorBidi" w:cstheme="majorBidi"/>
        </w:rPr>
        <w:noBreakHyphen/>
        <w:t>12</w:t>
      </w:r>
      <w:r>
        <w:t xml:space="preserve"> (</w:t>
      </w:r>
      <w:r w:rsidR="007B0E9A" w:rsidRPr="007B0E9A">
        <w:rPr>
          <w:i/>
          <w:iCs/>
        </w:rPr>
        <w:t>Normalización de las redes definidas por software en el Sector de Normalización de las Telecomunicaciones de la UIT</w:t>
      </w:r>
      <w:r w:rsidR="007B0E9A">
        <w:t xml:space="preserve">); para más información, véase el </w:t>
      </w:r>
      <w:r w:rsidR="00D9715B" w:rsidRPr="00D9715B">
        <w:rPr>
          <w:rStyle w:val="Hyperlink"/>
          <w:rFonts w:asciiTheme="majorBidi" w:hAnsiTheme="majorBidi" w:cstheme="majorBidi"/>
        </w:rPr>
        <w:t>Anexo 1</w:t>
      </w:r>
      <w:r w:rsidR="007B0E9A">
        <w:t>.</w:t>
      </w:r>
    </w:p>
    <w:p w:rsidR="00BB5C06" w:rsidRPr="00BB5C06" w:rsidRDefault="007B0E9A" w:rsidP="00D9715B">
      <w:pPr>
        <w:ind w:right="-57"/>
      </w:pPr>
      <w:r>
        <w:t>3</w:t>
      </w:r>
      <w:r w:rsidR="00BB5C06">
        <w:tab/>
      </w:r>
      <w:r w:rsidR="00BB5C06" w:rsidRPr="00BB5C06">
        <w:t xml:space="preserve">La </w:t>
      </w:r>
      <w:r>
        <w:t xml:space="preserve">primera </w:t>
      </w:r>
      <w:r w:rsidR="00BB5C06" w:rsidRPr="00BB5C06">
        <w:t>reunión de la JCA-</w:t>
      </w:r>
      <w:r>
        <w:t xml:space="preserve">SDN </w:t>
      </w:r>
      <w:r w:rsidR="00BB5C06" w:rsidRPr="00BB5C06">
        <w:t xml:space="preserve">tendrá lugar en </w:t>
      </w:r>
      <w:r>
        <w:t xml:space="preserve">Kampala </w:t>
      </w:r>
      <w:r w:rsidR="00BB5C06" w:rsidRPr="00BB5C06">
        <w:t>(</w:t>
      </w:r>
      <w:r>
        <w:t>Uganda</w:t>
      </w:r>
      <w:r w:rsidR="007C2B3B">
        <w:t xml:space="preserve">) el </w:t>
      </w:r>
      <w:r w:rsidRPr="00B818EC">
        <w:rPr>
          <w:b/>
          <w:bCs/>
        </w:rPr>
        <w:t xml:space="preserve">11 de noviembre </w:t>
      </w:r>
      <w:r w:rsidR="007C2B3B" w:rsidRPr="00B818EC">
        <w:rPr>
          <w:b/>
          <w:bCs/>
        </w:rPr>
        <w:t xml:space="preserve">de </w:t>
      </w:r>
      <w:r w:rsidR="00BB5C06" w:rsidRPr="00B818EC">
        <w:rPr>
          <w:b/>
          <w:bCs/>
        </w:rPr>
        <w:t>201</w:t>
      </w:r>
      <w:r w:rsidRPr="00B818EC">
        <w:rPr>
          <w:b/>
          <w:bCs/>
        </w:rPr>
        <w:t>3</w:t>
      </w:r>
      <w:r w:rsidR="00BB5C06" w:rsidRPr="00BB5C06">
        <w:t>,</w:t>
      </w:r>
      <w:r>
        <w:t xml:space="preserve"> gracias a la amable invitación de la Comisión de Comunicaciones de Uganda (UCC)</w:t>
      </w:r>
      <w:r w:rsidR="00BB5C06" w:rsidRPr="00BB5C06">
        <w:t>.</w:t>
      </w:r>
      <w:r>
        <w:t xml:space="preserve"> En el </w:t>
      </w:r>
      <w:hyperlink w:anchor="_Draft_Agenda_for" w:history="1">
        <w:r w:rsidR="00D9715B" w:rsidRPr="00F60165">
          <w:rPr>
            <w:rStyle w:val="Hyperlink"/>
          </w:rPr>
          <w:t>Anex</w:t>
        </w:r>
        <w:r w:rsidR="00D9715B">
          <w:rPr>
            <w:rStyle w:val="Hyperlink"/>
          </w:rPr>
          <w:t>o</w:t>
        </w:r>
        <w:r w:rsidR="00D9715B" w:rsidRPr="00F60165">
          <w:rPr>
            <w:rStyle w:val="Hyperlink"/>
          </w:rPr>
          <w:t xml:space="preserve"> 2</w:t>
        </w:r>
      </w:hyperlink>
      <w:r>
        <w:t xml:space="preserve"> a la presente Circular se adjunta el proyecto de orden del día de la reunión</w:t>
      </w:r>
      <w:r w:rsidR="00BB5C06" w:rsidRPr="00BB5C06">
        <w:t>.</w:t>
      </w:r>
    </w:p>
    <w:p w:rsidR="00BB5C06" w:rsidRDefault="0071652B" w:rsidP="00D9715B">
      <w:r>
        <w:t>4</w:t>
      </w:r>
      <w:r w:rsidR="00BB5C06">
        <w:tab/>
      </w:r>
      <w:r w:rsidR="00BB5C06" w:rsidRPr="00BB5C06">
        <w:t xml:space="preserve">La </w:t>
      </w:r>
      <w:r w:rsidR="007B0E9A">
        <w:t xml:space="preserve">reunión se celebra en </w:t>
      </w:r>
      <w:r>
        <w:t>el mismo lugar que</w:t>
      </w:r>
      <w:r w:rsidR="007B0E9A">
        <w:t xml:space="preserve"> la de la Comisión de Estudio 13 (</w:t>
      </w:r>
      <w:r w:rsidR="001F0D6D" w:rsidRPr="00D9715B">
        <w:rPr>
          <w:i/>
          <w:iCs/>
        </w:rPr>
        <w:t>Redes futuras, incluida la computación en la nube, las redes móviles y las redes de la próxima generación</w:t>
      </w:r>
      <w:r w:rsidR="001F0D6D">
        <w:t>), del 4 al 15 de noviembre de 2013, y que las de los Grupos de Trabajo 1, 2 y 3 de la Comisión de Estudio 11 (</w:t>
      </w:r>
      <w:r w:rsidR="001F0D6D" w:rsidRPr="009452E6">
        <w:rPr>
          <w:i/>
          <w:iCs/>
        </w:rPr>
        <w:t>Requisitos de señalización, protocolos y especificaciones de pruebas</w:t>
      </w:r>
      <w:r w:rsidR="001F0D6D">
        <w:t xml:space="preserve">), </w:t>
      </w:r>
      <w:r w:rsidR="00D9715B">
        <w:t>del </w:t>
      </w:r>
      <w:r w:rsidR="001F0D6D">
        <w:t>7</w:t>
      </w:r>
      <w:r w:rsidR="00D9715B">
        <w:t xml:space="preserve"> al </w:t>
      </w:r>
      <w:r w:rsidR="001F0D6D">
        <w:t>13 de noviembre de 2013, Kampala (Uganda)</w:t>
      </w:r>
      <w:r w:rsidR="00BB5C06" w:rsidRPr="00BB5C06">
        <w:t>.</w:t>
      </w:r>
    </w:p>
    <w:p w:rsidR="009C04CE" w:rsidRDefault="009C04CE" w:rsidP="00D9715B"/>
    <w:p w:rsidR="0071652B" w:rsidRDefault="0071652B" w:rsidP="00D9715B">
      <w:r>
        <w:lastRenderedPageBreak/>
        <w:t>5</w:t>
      </w:r>
      <w:r>
        <w:tab/>
        <w:t xml:space="preserve">Se ha creado una página web para la JCA-SDN, que incluye la inscripción en línea e información adicional. Véase: </w:t>
      </w:r>
      <w:hyperlink r:id="rId12" w:history="1">
        <w:r w:rsidR="00D9715B" w:rsidRPr="00712A9E">
          <w:rPr>
            <w:rStyle w:val="Hyperlink"/>
            <w:rFonts w:asciiTheme="majorBidi" w:hAnsiTheme="majorBidi" w:cstheme="majorBidi"/>
          </w:rPr>
          <w:t>https://itu.int/en/ITU-T/jca/sdn</w:t>
        </w:r>
      </w:hyperlink>
      <w:r w:rsidR="00D9715B">
        <w:t>.</w:t>
      </w:r>
    </w:p>
    <w:p w:rsidR="00BB5C06" w:rsidRDefault="0071652B" w:rsidP="00D9715B">
      <w:r>
        <w:t>6</w:t>
      </w:r>
      <w:r w:rsidR="00BB5C06">
        <w:tab/>
      </w:r>
      <w:r w:rsidR="00BB5C06" w:rsidRPr="00BB5C06">
        <w:t xml:space="preserve">Confío </w:t>
      </w:r>
      <w:r w:rsidR="00D9715B">
        <w:t>en que l</w:t>
      </w:r>
      <w:r>
        <w:t>a JCA-SDN trat</w:t>
      </w:r>
      <w:r w:rsidR="00D9715B">
        <w:t>e</w:t>
      </w:r>
      <w:r>
        <w:t xml:space="preserve"> siempre de ofrecer participación a distancia; para más información véase la página web</w:t>
      </w:r>
      <w:r w:rsidR="00BB5C06" w:rsidRPr="00BB5C06">
        <w:t>.</w:t>
      </w:r>
    </w:p>
    <w:p w:rsidR="009C04CE" w:rsidRDefault="00C34772" w:rsidP="009C04CE">
      <w:pPr>
        <w:ind w:right="91"/>
      </w:pPr>
      <w:r w:rsidRPr="00D672EF">
        <w:t>Le saluda muy atentamente</w:t>
      </w:r>
      <w:r w:rsidR="00C04CE4">
        <w:t>,</w:t>
      </w:r>
    </w:p>
    <w:p w:rsidR="009C04CE" w:rsidRDefault="009C04CE" w:rsidP="009C04CE">
      <w:pPr>
        <w:ind w:right="91"/>
      </w:pPr>
      <w:bookmarkStart w:id="1" w:name="_GoBack"/>
      <w:bookmarkEnd w:id="1"/>
    </w:p>
    <w:p w:rsidR="009C04CE" w:rsidRDefault="009C04CE" w:rsidP="009C04CE">
      <w:pPr>
        <w:ind w:right="91"/>
      </w:pPr>
    </w:p>
    <w:p w:rsidR="009C04CE" w:rsidRDefault="009C04CE" w:rsidP="009C04CE">
      <w:pPr>
        <w:ind w:right="91"/>
      </w:pPr>
    </w:p>
    <w:p w:rsidR="00C34772" w:rsidRPr="00D672EF" w:rsidRDefault="00C34772" w:rsidP="009C04CE">
      <w:pPr>
        <w:ind w:right="91"/>
      </w:pPr>
      <w:r w:rsidRPr="00D672EF">
        <w:t>Malcolm Johnson</w:t>
      </w:r>
      <w:r w:rsidRPr="00D672EF">
        <w:br/>
        <w:t>Director de la Oficina de</w:t>
      </w:r>
      <w:r w:rsidRPr="00D672EF">
        <w:br/>
        <w:t>Normalización de las Telecomunicaciones</w:t>
      </w:r>
    </w:p>
    <w:p w:rsidR="00921263" w:rsidRPr="0000599D" w:rsidRDefault="0090741C" w:rsidP="0071652B">
      <w:pPr>
        <w:spacing w:before="1200"/>
        <w:ind w:right="91"/>
        <w:rPr>
          <w:b/>
          <w:bCs/>
        </w:rPr>
      </w:pPr>
      <w:r w:rsidRPr="0000599D">
        <w:rPr>
          <w:b/>
          <w:bCs/>
        </w:rPr>
        <w:t>Anexo</w:t>
      </w:r>
      <w:r w:rsidR="0071652B">
        <w:rPr>
          <w:b/>
          <w:bCs/>
        </w:rPr>
        <w:t>s</w:t>
      </w:r>
      <w:r w:rsidRPr="0000599D">
        <w:rPr>
          <w:b/>
          <w:bCs/>
        </w:rPr>
        <w:t xml:space="preserve">: </w:t>
      </w:r>
      <w:r w:rsidR="0071652B">
        <w:rPr>
          <w:b/>
          <w:bCs/>
        </w:rPr>
        <w:t>2</w:t>
      </w:r>
      <w:r w:rsidR="00921263" w:rsidRPr="0000599D">
        <w:rPr>
          <w:b/>
          <w:bCs/>
        </w:rPr>
        <w:br w:type="page"/>
      </w:r>
    </w:p>
    <w:p w:rsidR="00B818EC" w:rsidRDefault="00921263" w:rsidP="00B818EC">
      <w:pPr>
        <w:pStyle w:val="Annex"/>
      </w:pPr>
      <w:r w:rsidRPr="00BB5C06">
        <w:lastRenderedPageBreak/>
        <w:t>ANEX</w:t>
      </w:r>
      <w:r w:rsidR="00BB5C06" w:rsidRPr="00BB5C06">
        <w:t>O</w:t>
      </w:r>
      <w:r w:rsidRPr="00BB5C06">
        <w:t xml:space="preserve"> 1</w:t>
      </w:r>
    </w:p>
    <w:p w:rsidR="00921263" w:rsidRPr="00BB5C06" w:rsidRDefault="00921263" w:rsidP="00D9715B">
      <w:pPr>
        <w:jc w:val="center"/>
        <w:rPr>
          <w:b/>
        </w:rPr>
      </w:pPr>
      <w:r w:rsidRPr="00BB5C06">
        <w:t>(</w:t>
      </w:r>
      <w:proofErr w:type="gramStart"/>
      <w:r w:rsidR="00BB5C06" w:rsidRPr="00BB5C06">
        <w:t>a</w:t>
      </w:r>
      <w:proofErr w:type="gramEnd"/>
      <w:r w:rsidR="00BB5C06" w:rsidRPr="00BB5C06">
        <w:t xml:space="preserve"> la </w:t>
      </w:r>
      <w:r w:rsidRPr="00BB5C06">
        <w:t>Circular</w:t>
      </w:r>
      <w:r w:rsidR="00BB5C06" w:rsidRPr="00BB5C06">
        <w:t xml:space="preserve"> TSB</w:t>
      </w:r>
      <w:r w:rsidRPr="00BB5C06">
        <w:t xml:space="preserve"> </w:t>
      </w:r>
      <w:r w:rsidR="00D9715B">
        <w:t>60</w:t>
      </w:r>
      <w:r w:rsidRPr="00BB5C06">
        <w:t>)</w:t>
      </w:r>
    </w:p>
    <w:p w:rsidR="007D1A22" w:rsidRPr="0000599D" w:rsidRDefault="007D1A22" w:rsidP="00B818EC">
      <w:pPr>
        <w:pStyle w:val="AnnexNotitle"/>
      </w:pPr>
      <w:r w:rsidRPr="007D1A22">
        <w:t xml:space="preserve">Actividad </w:t>
      </w:r>
      <w:r w:rsidR="0071652B">
        <w:t>Conjunta de Coordinación sobre redes definidas por software</w:t>
      </w:r>
      <w:r w:rsidRPr="007D1A22">
        <w:t xml:space="preserve"> (JCA</w:t>
      </w:r>
      <w:r w:rsidR="00B818EC">
        <w:noBreakHyphen/>
      </w:r>
      <w:r w:rsidR="0071652B">
        <w:t>SDN</w:t>
      </w:r>
      <w:r w:rsidRPr="007D1A22">
        <w:t xml:space="preserve">) </w:t>
      </w:r>
      <w:r w:rsidR="00B818EC">
        <w:br/>
      </w:r>
      <w:r w:rsidRPr="0000599D">
        <w:t>Mandato</w:t>
      </w:r>
    </w:p>
    <w:p w:rsidR="007D1A22" w:rsidRPr="007D1A22" w:rsidRDefault="007D1A22" w:rsidP="007D1A22">
      <w:pPr>
        <w:pStyle w:val="Heading1"/>
      </w:pPr>
      <w:r w:rsidRPr="007D1A22">
        <w:t>1</w:t>
      </w:r>
      <w:r w:rsidRPr="007D1A22">
        <w:tab/>
        <w:t>Ámbito de competencia</w:t>
      </w:r>
    </w:p>
    <w:p w:rsidR="007D1A22" w:rsidRPr="007D1A22" w:rsidRDefault="0071652B" w:rsidP="0071652B">
      <w:r w:rsidRPr="00BB5C06">
        <w:t>La JCA-</w:t>
      </w:r>
      <w:r>
        <w:t>SDN</w:t>
      </w:r>
      <w:r w:rsidRPr="00BB5C06">
        <w:t xml:space="preserve"> se encargará de coordinar los trabajos de normalización de </w:t>
      </w:r>
      <w:r>
        <w:t xml:space="preserve">la SDN y temas técnicos conexos en </w:t>
      </w:r>
      <w:r w:rsidRPr="00BB5C06">
        <w:t xml:space="preserve">el UIT-T, </w:t>
      </w:r>
      <w:r>
        <w:t xml:space="preserve">habida cuenta de los trabajos de otras </w:t>
      </w:r>
      <w:r w:rsidRPr="00BB5C06">
        <w:t>organizaciones</w:t>
      </w:r>
      <w:r>
        <w:t xml:space="preserve"> de normalización,</w:t>
      </w:r>
      <w:r w:rsidRPr="00BB5C06">
        <w:t xml:space="preserve"> foros </w:t>
      </w:r>
      <w:r>
        <w:t>y consorcios</w:t>
      </w:r>
      <w:r w:rsidR="007D1A22" w:rsidRPr="007D1A22">
        <w:t>.</w:t>
      </w:r>
    </w:p>
    <w:p w:rsidR="007D1A22" w:rsidRDefault="0071652B" w:rsidP="00DA39A2">
      <w:r w:rsidRPr="0071652B">
        <w:t>La JCA-SDN ayudará al GANT a llevar a buen término lo solicitado en la Resolución 77 de la AMNT-12 (</w:t>
      </w:r>
      <w:r w:rsidRPr="0071652B">
        <w:rPr>
          <w:i/>
          <w:iCs/>
        </w:rPr>
        <w:t>Normalización de las redes definidas por software en el Sector de Normalización de las Telecomunicaciones de la UIT</w:t>
      </w:r>
      <w:r w:rsidRPr="0071652B">
        <w:t>)</w:t>
      </w:r>
      <w:r>
        <w:t>, a saber:</w:t>
      </w:r>
    </w:p>
    <w:p w:rsidR="00DA39A2" w:rsidRPr="004F03FE" w:rsidRDefault="004F03FE" w:rsidP="004F03FE">
      <w:pPr>
        <w:rPr>
          <w:i/>
          <w:iCs/>
          <w:rtl/>
          <w:lang w:val="fr-FR"/>
        </w:rPr>
      </w:pPr>
      <w:r w:rsidRPr="004F03FE">
        <w:rPr>
          <w:i/>
          <w:iCs/>
        </w:rPr>
        <w:t>"</w:t>
      </w:r>
      <w:r w:rsidR="00DA39A2" w:rsidRPr="004F03FE">
        <w:rPr>
          <w:i/>
          <w:iCs/>
        </w:rPr>
        <w:t xml:space="preserve">que estudie la cuestión, tenga en cuenta la aportación de la Comisión de Estudio 13 y otras Comisiones de Estudio relevantes, y adopte las medidas oportunas con miras a decidir las actividades de normalización de las SDN necesarias en el UIT-T a través de las medidas siguientes: </w:t>
      </w:r>
    </w:p>
    <w:p w:rsidR="00DA39A2" w:rsidRPr="004F03FE" w:rsidRDefault="00DA39A2" w:rsidP="004F03FE">
      <w:pPr>
        <w:pStyle w:val="enumlev1"/>
        <w:rPr>
          <w:rFonts w:eastAsia="SimSun"/>
          <w:i/>
          <w:iCs/>
          <w:lang w:eastAsia="zh-CN"/>
        </w:rPr>
      </w:pPr>
      <w:r w:rsidRPr="004F03FE">
        <w:rPr>
          <w:rFonts w:eastAsia="SimSun"/>
          <w:i/>
          <w:iCs/>
          <w:lang w:eastAsia="zh-CN"/>
        </w:rPr>
        <w:t>•</w:t>
      </w:r>
      <w:r w:rsidRPr="004F03FE">
        <w:rPr>
          <w:rFonts w:eastAsia="SimSun"/>
          <w:i/>
          <w:iCs/>
          <w:lang w:eastAsia="zh-CN"/>
        </w:rPr>
        <w:tab/>
      </w:r>
      <w:proofErr w:type="gramStart"/>
      <w:r w:rsidRPr="004F03FE">
        <w:rPr>
          <w:rFonts w:eastAsia="SimSun"/>
          <w:i/>
          <w:iCs/>
          <w:lang w:eastAsia="zh-CN"/>
        </w:rPr>
        <w:t>la</w:t>
      </w:r>
      <w:proofErr w:type="gramEnd"/>
      <w:r w:rsidRPr="004F03FE">
        <w:rPr>
          <w:rFonts w:eastAsia="SimSun"/>
          <w:i/>
          <w:iCs/>
          <w:lang w:eastAsia="zh-CN"/>
        </w:rPr>
        <w:t xml:space="preserve"> identificación de la o las Comisiones de Estudio pertinentes para llevar a cabo acciones de seguimiento y tomar disposiciones de organización apropiadas en relación con las SDN; </w:t>
      </w:r>
    </w:p>
    <w:p w:rsidR="00DA39A2" w:rsidRPr="004F03FE" w:rsidRDefault="00DA39A2" w:rsidP="004F03FE">
      <w:pPr>
        <w:pStyle w:val="enumlev1"/>
        <w:rPr>
          <w:rFonts w:eastAsia="SimSun"/>
          <w:i/>
          <w:iCs/>
          <w:lang w:eastAsia="zh-CN"/>
        </w:rPr>
      </w:pPr>
      <w:r w:rsidRPr="004F03FE">
        <w:rPr>
          <w:rFonts w:eastAsia="SimSun"/>
          <w:i/>
          <w:iCs/>
          <w:lang w:eastAsia="zh-CN"/>
        </w:rPr>
        <w:t>•</w:t>
      </w:r>
      <w:r w:rsidRPr="004F03FE">
        <w:rPr>
          <w:rFonts w:eastAsia="SimSun"/>
          <w:i/>
          <w:iCs/>
          <w:lang w:eastAsia="zh-CN"/>
        </w:rPr>
        <w:tab/>
      </w:r>
      <w:proofErr w:type="gramStart"/>
      <w:r w:rsidRPr="004F03FE">
        <w:rPr>
          <w:rFonts w:eastAsia="SimSun"/>
          <w:i/>
          <w:iCs/>
          <w:lang w:eastAsia="zh-CN"/>
        </w:rPr>
        <w:t>la</w:t>
      </w:r>
      <w:proofErr w:type="gramEnd"/>
      <w:r w:rsidRPr="004F03FE">
        <w:rPr>
          <w:rFonts w:eastAsia="SimSun"/>
          <w:i/>
          <w:iCs/>
          <w:lang w:eastAsia="zh-CN"/>
        </w:rPr>
        <w:t xml:space="preserve"> coordinación de los trabajos sobre los aspectos técnicos de las SDN realizados por las Comisiones de Estudio según sus ámbitos de competencia;</w:t>
      </w:r>
    </w:p>
    <w:p w:rsidR="00DA39A2" w:rsidRPr="004F03FE" w:rsidRDefault="00DA39A2" w:rsidP="004F03FE">
      <w:pPr>
        <w:pStyle w:val="enumlev1"/>
        <w:rPr>
          <w:rFonts w:eastAsia="SimSun"/>
          <w:i/>
          <w:iCs/>
          <w:lang w:eastAsia="zh-CN"/>
        </w:rPr>
      </w:pPr>
      <w:r w:rsidRPr="004F03FE">
        <w:rPr>
          <w:rFonts w:eastAsia="SimSun"/>
          <w:i/>
          <w:iCs/>
          <w:lang w:eastAsia="zh-CN"/>
        </w:rPr>
        <w:t>•</w:t>
      </w:r>
      <w:r w:rsidRPr="004F03FE">
        <w:rPr>
          <w:rFonts w:eastAsia="SimSun"/>
          <w:i/>
          <w:iCs/>
          <w:lang w:eastAsia="zh-CN"/>
        </w:rPr>
        <w:tab/>
      </w:r>
      <w:proofErr w:type="gramStart"/>
      <w:r w:rsidRPr="004F03FE">
        <w:rPr>
          <w:rFonts w:eastAsia="SimSun"/>
          <w:i/>
          <w:iCs/>
          <w:lang w:eastAsia="zh-CN"/>
        </w:rPr>
        <w:t>el</w:t>
      </w:r>
      <w:proofErr w:type="gramEnd"/>
      <w:r w:rsidRPr="004F03FE">
        <w:rPr>
          <w:rFonts w:eastAsia="SimSun"/>
          <w:i/>
          <w:iCs/>
          <w:lang w:eastAsia="zh-CN"/>
        </w:rPr>
        <w:t xml:space="preserve"> fomento de la colaboración con otras organizaciones y foros de normalización relativos a las SDN;</w:t>
      </w:r>
    </w:p>
    <w:p w:rsidR="00DA39A2" w:rsidRPr="004F03FE" w:rsidRDefault="00DA39A2" w:rsidP="004F03FE">
      <w:pPr>
        <w:pStyle w:val="enumlev1"/>
        <w:rPr>
          <w:rFonts w:eastAsia="SimSun"/>
          <w:i/>
          <w:iCs/>
          <w:lang w:eastAsia="zh-CN"/>
        </w:rPr>
      </w:pPr>
      <w:r w:rsidRPr="004F03FE">
        <w:rPr>
          <w:rFonts w:eastAsia="SimSun"/>
          <w:i/>
          <w:iCs/>
          <w:lang w:eastAsia="zh-CN"/>
        </w:rPr>
        <w:t>•</w:t>
      </w:r>
      <w:r w:rsidRPr="004F03FE">
        <w:rPr>
          <w:rFonts w:eastAsia="SimSun"/>
          <w:i/>
          <w:iCs/>
          <w:lang w:eastAsia="zh-CN"/>
        </w:rPr>
        <w:tab/>
      </w:r>
      <w:proofErr w:type="gramStart"/>
      <w:r w:rsidRPr="004F03FE">
        <w:rPr>
          <w:rFonts w:eastAsia="SimSun"/>
          <w:i/>
          <w:iCs/>
          <w:lang w:eastAsia="zh-CN"/>
        </w:rPr>
        <w:t>la</w:t>
      </w:r>
      <w:proofErr w:type="gramEnd"/>
      <w:r w:rsidRPr="004F03FE">
        <w:rPr>
          <w:rFonts w:eastAsia="SimSun"/>
          <w:i/>
          <w:iCs/>
          <w:lang w:eastAsia="zh-CN"/>
        </w:rPr>
        <w:t xml:space="preserve"> definición de una visión estratégica clara para la normalización de las SDN y el relevante papel activo que debe asumir el UIT-T</w:t>
      </w:r>
      <w:r w:rsidR="004F03FE">
        <w:rPr>
          <w:rFonts w:eastAsia="SimSun"/>
          <w:i/>
          <w:iCs/>
          <w:lang w:eastAsia="zh-CN"/>
        </w:rPr>
        <w:t>."</w:t>
      </w:r>
    </w:p>
    <w:p w:rsidR="00255478" w:rsidRDefault="00255478" w:rsidP="00B74E81">
      <w:r>
        <w:t xml:space="preserve">La </w:t>
      </w:r>
      <w:r w:rsidRPr="0071652B">
        <w:t>JCA-SDN</w:t>
      </w:r>
      <w:r>
        <w:t xml:space="preserve"> también ayudará a la CE 13 en su función de Comisión de Estudio rectora sobre SDN, de conformidad con la cláusula 2.1.6 de la Resolución 1 de la AMNT, a saber:</w:t>
      </w:r>
    </w:p>
    <w:p w:rsidR="00255478" w:rsidRPr="004F03FE" w:rsidRDefault="004F03FE" w:rsidP="00B74E81">
      <w:pPr>
        <w:rPr>
          <w:i/>
          <w:iCs/>
        </w:rPr>
      </w:pPr>
      <w:r w:rsidRPr="004F03FE">
        <w:rPr>
          <w:i/>
          <w:iCs/>
        </w:rPr>
        <w:t>"La AMNT o el GANT podrán determinar que una Comisión de Estudio actúe como Comisión de Estudio Rectora para los estudios del UIT-T que constituyan un programa de trabajo definido y que impliquen a varias Comisiones de Estudio. Dicha Comisión de Estudio Rectora es responsable del estudio de las Cuestiones fundamentales correspondientes. Además, en consulta con las Comisiones de Estudio pertinentes y en colaboración, cuando proceda, con otros organismos de normalización, dicha Comisión se encarga de definir y mantener el marco general, de coordinar y asignar los estudios (teniendo en cuenta el mandato de las Comisiones de Estudio), y de establecer las prioridades de los mismos, así como de velar por la elaboración de Recomendaciones coherentes, completas y oportunas. La Comisión de Estudio Rectora informará al GANT sobre el avance de los trabajos, según se definen en el ámbito de actividad de dicha Comisión. Los asuntos que la Comisión de Estudio no pueda resolver se remitirán al GANT para que éste dé el correspondiente asesoramiento y formule propuestas con miras a la orientación de los trabajos."</w:t>
      </w:r>
    </w:p>
    <w:p w:rsidR="00B74E81" w:rsidRDefault="00B74E81" w:rsidP="00B74E81">
      <w:r w:rsidRPr="007D1A22">
        <w:t>La JCA está sujeta a lo estipulado en la cláusula 2.2 de la Recomendación UIT-T A.1.</w:t>
      </w:r>
    </w:p>
    <w:p w:rsidR="007D1A22" w:rsidRDefault="007D1A22" w:rsidP="007D1A22">
      <w:pPr>
        <w:pStyle w:val="Heading1"/>
      </w:pPr>
      <w:r>
        <w:lastRenderedPageBreak/>
        <w:t>2</w:t>
      </w:r>
      <w:r>
        <w:tab/>
        <w:t>Objetivos</w:t>
      </w:r>
    </w:p>
    <w:p w:rsidR="007D1A22" w:rsidRPr="004F03FE" w:rsidRDefault="004F03FE" w:rsidP="004F03FE">
      <w:pPr>
        <w:pStyle w:val="enumlev1"/>
      </w:pPr>
      <w:r>
        <w:t>•</w:t>
      </w:r>
      <w:r>
        <w:tab/>
      </w:r>
      <w:r w:rsidR="007D1A22" w:rsidRPr="004F03FE">
        <w:t>La JCA-</w:t>
      </w:r>
      <w:r w:rsidR="00B74E81" w:rsidRPr="004F03FE">
        <w:t>SDN coordina</w:t>
      </w:r>
      <w:r w:rsidR="00B818EC" w:rsidRPr="004F03FE">
        <w:t>rá</w:t>
      </w:r>
      <w:r w:rsidR="00B74E81" w:rsidRPr="004F03FE">
        <w:t xml:space="preserve"> y ayuda</w:t>
      </w:r>
      <w:r w:rsidR="00B818EC" w:rsidRPr="004F03FE">
        <w:t>rá</w:t>
      </w:r>
      <w:r w:rsidR="00B74E81" w:rsidRPr="004F03FE">
        <w:t xml:space="preserve"> a planificar los trabajos de normalización sobre </w:t>
      </w:r>
      <w:r w:rsidR="00C934C4" w:rsidRPr="004F03FE">
        <w:t xml:space="preserve">las </w:t>
      </w:r>
      <w:r w:rsidR="00B74E81" w:rsidRPr="004F03FE">
        <w:t>SDN</w:t>
      </w:r>
      <w:r>
        <w:t xml:space="preserve"> para que</w:t>
      </w:r>
      <w:r w:rsidR="00B74E81" w:rsidRPr="004F03FE">
        <w:t xml:space="preserve"> </w:t>
      </w:r>
      <w:r w:rsidR="007D1A22" w:rsidRPr="004F03FE">
        <w:t xml:space="preserve">avancen de manera coordinada entre las respectivas </w:t>
      </w:r>
      <w:r w:rsidR="001900DB" w:rsidRPr="004F03FE">
        <w:t>C</w:t>
      </w:r>
      <w:r w:rsidR="007D1A22" w:rsidRPr="004F03FE">
        <w:t xml:space="preserve">omisiones de </w:t>
      </w:r>
      <w:r w:rsidR="001900DB" w:rsidRPr="004F03FE">
        <w:t>E</w:t>
      </w:r>
      <w:r w:rsidR="007D1A22" w:rsidRPr="004F03FE">
        <w:t xml:space="preserve">studio, </w:t>
      </w:r>
      <w:r w:rsidR="00B74E81" w:rsidRPr="004F03FE">
        <w:t>en particular</w:t>
      </w:r>
      <w:r w:rsidR="007D1A22" w:rsidRPr="004F03FE">
        <w:t xml:space="preserve">, la Comisión de Estudio </w:t>
      </w:r>
      <w:r w:rsidR="00B74E81" w:rsidRPr="004F03FE">
        <w:t>13</w:t>
      </w:r>
      <w:r w:rsidR="007D1A22" w:rsidRPr="004F03FE">
        <w:t xml:space="preserve"> sobre </w:t>
      </w:r>
      <w:r w:rsidR="00B74E81" w:rsidRPr="004F03FE">
        <w:t>casos de utilización, requisitos y arquitectura, la Comisión de Estudio 3 sobre facturación y consideraciones económicas y de reglamentación,</w:t>
      </w:r>
      <w:r w:rsidR="007D1A22" w:rsidRPr="004F03FE">
        <w:t xml:space="preserve"> la Comisión de Estudio 11 sobre protocolos y compatibilidad, la Comisión de Estudio 12 sobre QoS</w:t>
      </w:r>
      <w:r w:rsidR="00B74E81" w:rsidRPr="004F03FE">
        <w:t xml:space="preserve">, la Comisión de Estudio 15 sobre aspectos relacionados con el transporte, la Comisión de Estudio 16 sobre sistemas </w:t>
      </w:r>
      <w:r w:rsidR="00985B18" w:rsidRPr="004F03FE">
        <w:t xml:space="preserve">y servicios </w:t>
      </w:r>
      <w:r w:rsidR="00B74E81" w:rsidRPr="004F03FE">
        <w:t>multimedios</w:t>
      </w:r>
      <w:r w:rsidR="007D1A22" w:rsidRPr="004F03FE">
        <w:t xml:space="preserve"> y la Comisió</w:t>
      </w:r>
      <w:r w:rsidR="00985B18" w:rsidRPr="004F03FE">
        <w:t>n de Estudio 17 sobre seguridad.</w:t>
      </w:r>
    </w:p>
    <w:p w:rsidR="007D1A22" w:rsidRPr="004F03FE" w:rsidRDefault="004F03FE" w:rsidP="004F03FE">
      <w:pPr>
        <w:pStyle w:val="enumlev1"/>
      </w:pPr>
      <w:r>
        <w:t>•</w:t>
      </w:r>
      <w:r>
        <w:tab/>
      </w:r>
      <w:r w:rsidR="007D1A22" w:rsidRPr="004F03FE">
        <w:t>La JCA-</w:t>
      </w:r>
      <w:r w:rsidR="00985B18" w:rsidRPr="004F03FE">
        <w:t>SDN estudia</w:t>
      </w:r>
      <w:r w:rsidR="00B818EC" w:rsidRPr="004F03FE">
        <w:t>rá</w:t>
      </w:r>
      <w:r w:rsidR="00985B18" w:rsidRPr="004F03FE">
        <w:t xml:space="preserve"> los programas de trabajo relacionados con</w:t>
      </w:r>
      <w:r w:rsidR="00C934C4" w:rsidRPr="004F03FE">
        <w:t xml:space="preserve"> las</w:t>
      </w:r>
      <w:r w:rsidR="00985B18" w:rsidRPr="004F03FE">
        <w:t xml:space="preserve"> SDN (incluida la virtualización de funciones de red, redes programables y red como servicio) en las Comisiones de Estudio del UIT-T y en otros organismos de normalización, foros y</w:t>
      </w:r>
      <w:r w:rsidR="007D1A22" w:rsidRPr="004F03FE">
        <w:t xml:space="preserve"> consorcios, para desempeñar su función de coordinación e informa</w:t>
      </w:r>
      <w:r>
        <w:t>rá</w:t>
      </w:r>
      <w:r w:rsidR="007D1A22" w:rsidRPr="004F03FE">
        <w:t xml:space="preserve"> al respecto a las </w:t>
      </w:r>
      <w:r w:rsidR="00075621" w:rsidRPr="004F03FE">
        <w:t>C</w:t>
      </w:r>
      <w:r w:rsidR="007D1A22" w:rsidRPr="004F03FE">
        <w:t xml:space="preserve">omisiones de </w:t>
      </w:r>
      <w:r w:rsidR="00075621" w:rsidRPr="004F03FE">
        <w:t>E</w:t>
      </w:r>
      <w:r w:rsidR="007D1A22" w:rsidRPr="004F03FE">
        <w:t>studio pertinentes para que los tengan en cuenta al planificar su trabajo.</w:t>
      </w:r>
    </w:p>
    <w:p w:rsidR="007D1A22" w:rsidRDefault="004F03FE" w:rsidP="004F03FE">
      <w:pPr>
        <w:pStyle w:val="enumlev1"/>
      </w:pPr>
      <w:r>
        <w:t>•</w:t>
      </w:r>
      <w:r>
        <w:tab/>
      </w:r>
      <w:r w:rsidR="00C934C4">
        <w:t xml:space="preserve">Mientras que las Comisiones de Estudios colaboran directamente con organismos de normalización para avanzar los trabajos que pertenecen </w:t>
      </w:r>
      <w:r w:rsidR="00C934C4" w:rsidRPr="007D1A22">
        <w:t>a su ámbito de competencia</w:t>
      </w:r>
      <w:r w:rsidR="007D1A22" w:rsidRPr="007D1A22">
        <w:t>, la JCA-</w:t>
      </w:r>
      <w:r w:rsidR="00C934C4">
        <w:t>SDN facilita</w:t>
      </w:r>
      <w:r w:rsidR="00B818EC">
        <w:t>rá</w:t>
      </w:r>
      <w:r w:rsidR="00C934C4">
        <w:t xml:space="preserve"> la coordinación </w:t>
      </w:r>
      <w:r w:rsidR="007D1A22" w:rsidRPr="007D1A22">
        <w:t>con otros organismos</w:t>
      </w:r>
      <w:r w:rsidR="00C934C4" w:rsidRPr="00C934C4">
        <w:t xml:space="preserve"> </w:t>
      </w:r>
      <w:r w:rsidR="00C934C4" w:rsidRPr="007D1A22">
        <w:t>de normalización</w:t>
      </w:r>
      <w:r w:rsidR="007D1A22" w:rsidRPr="007D1A22">
        <w:t xml:space="preserve">, </w:t>
      </w:r>
      <w:r w:rsidR="00C934C4">
        <w:t xml:space="preserve">foros y </w:t>
      </w:r>
      <w:r w:rsidR="007D1A22" w:rsidRPr="007D1A22">
        <w:t>consorcios que se dedican a la normalización de la</w:t>
      </w:r>
      <w:r w:rsidR="00C934C4">
        <w:t>s</w:t>
      </w:r>
      <w:r w:rsidR="007D1A22" w:rsidRPr="007D1A22">
        <w:t xml:space="preserve"> </w:t>
      </w:r>
      <w:r w:rsidR="00C934C4">
        <w:t>SDN</w:t>
      </w:r>
      <w:r w:rsidR="007D1A22" w:rsidRPr="007D1A22">
        <w:t>.</w:t>
      </w:r>
    </w:p>
    <w:p w:rsidR="007D1A22" w:rsidRDefault="004F03FE" w:rsidP="004F03FE">
      <w:pPr>
        <w:pStyle w:val="enumlev1"/>
      </w:pPr>
      <w:r>
        <w:t>•</w:t>
      </w:r>
      <w:r>
        <w:tab/>
      </w:r>
      <w:r w:rsidR="007D1A22" w:rsidRPr="007D1A22">
        <w:t>Al desempeñar su función de coordinación interna en la JCA-</w:t>
      </w:r>
      <w:r w:rsidR="00C934C4">
        <w:t>SDN</w:t>
      </w:r>
      <w:r w:rsidR="007D1A22" w:rsidRPr="007D1A22">
        <w:t>, los participantes en JCA-</w:t>
      </w:r>
      <w:r w:rsidR="00C934C4">
        <w:t>SDN</w:t>
      </w:r>
      <w:r w:rsidR="007D1A22" w:rsidRPr="007D1A22">
        <w:t xml:space="preserve"> </w:t>
      </w:r>
      <w:r w:rsidR="00B818EC">
        <w:t>incluirá</w:t>
      </w:r>
      <w:r w:rsidR="00C934C4">
        <w:t>n</w:t>
      </w:r>
      <w:r w:rsidR="007D1A22" w:rsidRPr="007D1A22">
        <w:t xml:space="preserve"> representantes de </w:t>
      </w:r>
      <w:r w:rsidR="00075621" w:rsidRPr="007D1A22">
        <w:t>C</w:t>
      </w:r>
      <w:r w:rsidR="007D1A22" w:rsidRPr="007D1A22">
        <w:t xml:space="preserve">omisiones de </w:t>
      </w:r>
      <w:r w:rsidR="00075621" w:rsidRPr="007D1A22">
        <w:t>E</w:t>
      </w:r>
      <w:r w:rsidR="007D1A22" w:rsidRPr="007D1A22">
        <w:t>studio del UIT-T y otros grupos de la UIT pertinentes.</w:t>
      </w:r>
    </w:p>
    <w:p w:rsidR="007D1A22" w:rsidRDefault="007D1A22" w:rsidP="007D1A22">
      <w:pPr>
        <w:pStyle w:val="Heading1"/>
      </w:pPr>
      <w:r>
        <w:t>3</w:t>
      </w:r>
      <w:r>
        <w:tab/>
        <w:t>Apoyo administrativo</w:t>
      </w:r>
    </w:p>
    <w:p w:rsidR="007D1A22" w:rsidRDefault="007D1A22" w:rsidP="00C934C4">
      <w:r w:rsidRPr="007D1A22">
        <w:t>La Oficina de Normalización de las Telecomunicaciones de la UIT (TSB) actuará de secretaría y prestará los servicios que necesite la JCA-</w:t>
      </w:r>
      <w:r w:rsidR="00C934C4">
        <w:t>SDN</w:t>
      </w:r>
      <w:r w:rsidR="00C409EE">
        <w:t>, con sujeción a los recursos disponibles</w:t>
      </w:r>
      <w:r w:rsidRPr="007D1A22">
        <w:t>.</w:t>
      </w:r>
    </w:p>
    <w:p w:rsidR="007D1A22" w:rsidRDefault="007D1A22" w:rsidP="007D1A22">
      <w:pPr>
        <w:pStyle w:val="Heading1"/>
      </w:pPr>
      <w:r>
        <w:t>4</w:t>
      </w:r>
      <w:r>
        <w:tab/>
        <w:t>Reuniones</w:t>
      </w:r>
    </w:p>
    <w:p w:rsidR="007D1A22" w:rsidRPr="007D1A22" w:rsidRDefault="007D1A22" w:rsidP="00C409EE">
      <w:r w:rsidRPr="007D1A22">
        <w:t>La JCA-</w:t>
      </w:r>
      <w:r w:rsidR="00C409EE">
        <w:t>SDN</w:t>
      </w:r>
      <w:r w:rsidRPr="007D1A22">
        <w:t xml:space="preserve"> llevará a cabo su labor por medios electrónicos, por teleconferencia, y mediante reuniones presenciales, que por lo general tendrán lugar junto con las reuniones de las </w:t>
      </w:r>
      <w:r w:rsidR="00075621" w:rsidRPr="007D1A22">
        <w:t>C</w:t>
      </w:r>
      <w:r w:rsidRPr="007D1A22">
        <w:t xml:space="preserve">omisiones de </w:t>
      </w:r>
      <w:r w:rsidR="00075621" w:rsidRPr="007D1A22">
        <w:t>E</w:t>
      </w:r>
      <w:r w:rsidRPr="007D1A22">
        <w:t>studio que participan en la JCA-</w:t>
      </w:r>
      <w:r w:rsidR="00C409EE">
        <w:t>SDN</w:t>
      </w:r>
      <w:r w:rsidRPr="007D1A22">
        <w:t>. La JCA-</w:t>
      </w:r>
      <w:r w:rsidR="00C409EE">
        <w:t xml:space="preserve">SDN </w:t>
      </w:r>
      <w:r w:rsidRPr="007D1A22">
        <w:t xml:space="preserve">decidirá acerca de las reuniones y lo anunciará a sus participantes y en el sitio web del UIT-T. </w:t>
      </w:r>
    </w:p>
    <w:p w:rsidR="007D1A22" w:rsidRPr="007D1A22" w:rsidRDefault="007D1A22" w:rsidP="007D1A22">
      <w:pPr>
        <w:pStyle w:val="Heading1"/>
      </w:pPr>
      <w:r>
        <w:rPr>
          <w:lang w:val="es-ES"/>
        </w:rPr>
        <w:t>5</w:t>
      </w:r>
      <w:r>
        <w:rPr>
          <w:lang w:val="es-ES"/>
        </w:rPr>
        <w:tab/>
      </w:r>
      <w:r w:rsidRPr="007D1A22">
        <w:t>Grupo matriz e informes sobre la marcha de los trabajos</w:t>
      </w:r>
    </w:p>
    <w:p w:rsidR="007D1A22" w:rsidRPr="007D1A22" w:rsidRDefault="007D1A22" w:rsidP="00C409EE">
      <w:r w:rsidRPr="007D1A22">
        <w:t>La JCA-</w:t>
      </w:r>
      <w:r w:rsidR="00C409EE">
        <w:t>SDN</w:t>
      </w:r>
      <w:r w:rsidRPr="007D1A22">
        <w:t xml:space="preserve"> informará sobre sus actividades en las reuniones </w:t>
      </w:r>
      <w:r w:rsidR="00C409EE">
        <w:t>del GANT y le transmitirá a éste un resumen ejecutivo después de cada reunión de la JCA-SDN</w:t>
      </w:r>
      <w:r w:rsidRPr="007D1A22">
        <w:t>.</w:t>
      </w:r>
    </w:p>
    <w:p w:rsidR="007D1A22" w:rsidRPr="007D1A22" w:rsidRDefault="00C409EE" w:rsidP="007D1A22">
      <w:r>
        <w:t>Se enviará</w:t>
      </w:r>
      <w:r w:rsidR="004F03FE">
        <w:t>n</w:t>
      </w:r>
      <w:r>
        <w:t xml:space="preserve"> informes intermedios y </w:t>
      </w:r>
      <w:proofErr w:type="gramStart"/>
      <w:r>
        <w:t>propuestas</w:t>
      </w:r>
      <w:proofErr w:type="gramEnd"/>
      <w:r>
        <w:t xml:space="preserve"> a las Comisiones de Estudio pertinentes, según las necesidades y de acuerdo con la clá</w:t>
      </w:r>
      <w:r w:rsidR="00F0004B">
        <w:t>u</w:t>
      </w:r>
      <w:r>
        <w:t>sula 2.2.7 de la Recomendación UIT-T A.1, en particular a la Comisión de Estudio 13, en su calidad de Comisión de Estudio rectora sobre SDN.</w:t>
      </w:r>
    </w:p>
    <w:p w:rsidR="00C409EE" w:rsidRPr="007D1A22" w:rsidRDefault="00B818EC" w:rsidP="00C409EE">
      <w:pPr>
        <w:pStyle w:val="Heading1"/>
      </w:pPr>
      <w:r>
        <w:rPr>
          <w:lang w:val="es-ES"/>
        </w:rPr>
        <w:t>6</w:t>
      </w:r>
      <w:r w:rsidR="00C409EE">
        <w:rPr>
          <w:lang w:val="es-ES"/>
        </w:rPr>
        <w:tab/>
      </w:r>
      <w:r w:rsidR="00C409EE">
        <w:t>Periodo de actividad</w:t>
      </w:r>
    </w:p>
    <w:p w:rsidR="00C409EE" w:rsidRDefault="00C409EE" w:rsidP="00115243">
      <w:r w:rsidRPr="007D1A22">
        <w:t>La JCA-</w:t>
      </w:r>
      <w:r>
        <w:t>SDN</w:t>
      </w:r>
      <w:r w:rsidRPr="007D1A22">
        <w:t xml:space="preserve"> </w:t>
      </w:r>
      <w:r w:rsidR="00F0004B">
        <w:t xml:space="preserve">estará activo hasta </w:t>
      </w:r>
      <w:r w:rsidR="00115243">
        <w:t xml:space="preserve">el final </w:t>
      </w:r>
      <w:r w:rsidR="003B009B">
        <w:t>del periodo de estudio 2013-2016 o hasta que se disuelva de conformidad con la cláusula 2.2.10 de la Recomendación UIT-T A.1</w:t>
      </w:r>
      <w:r w:rsidRPr="007D1A22">
        <w:t>.</w:t>
      </w:r>
    </w:p>
    <w:p w:rsidR="00115243" w:rsidRDefault="00115243">
      <w:pPr>
        <w:tabs>
          <w:tab w:val="clear" w:pos="794"/>
          <w:tab w:val="clear" w:pos="1191"/>
          <w:tab w:val="clear" w:pos="1588"/>
          <w:tab w:val="clear" w:pos="1985"/>
        </w:tabs>
        <w:overflowPunct/>
        <w:autoSpaceDE/>
        <w:autoSpaceDN/>
        <w:adjustRightInd/>
        <w:spacing w:before="0"/>
        <w:textAlignment w:val="auto"/>
      </w:pPr>
      <w:r>
        <w:br w:type="page"/>
      </w:r>
    </w:p>
    <w:p w:rsidR="00B818EC" w:rsidRDefault="00AB7E54" w:rsidP="00B818EC">
      <w:pPr>
        <w:pStyle w:val="Annex"/>
      </w:pPr>
      <w:r>
        <w:lastRenderedPageBreak/>
        <w:t>ANEXO 2</w:t>
      </w:r>
    </w:p>
    <w:p w:rsidR="00AB7E54" w:rsidRPr="00FC5A72" w:rsidRDefault="00AB7E54" w:rsidP="00B818EC">
      <w:pPr>
        <w:jc w:val="center"/>
      </w:pPr>
      <w:r w:rsidRPr="00FC5A72">
        <w:t>(</w:t>
      </w:r>
      <w:proofErr w:type="gramStart"/>
      <w:r>
        <w:t>a</w:t>
      </w:r>
      <w:proofErr w:type="gramEnd"/>
      <w:r>
        <w:t xml:space="preserve"> la Circular </w:t>
      </w:r>
      <w:r w:rsidRPr="00FC5A72">
        <w:t xml:space="preserve">TSB </w:t>
      </w:r>
      <w:r>
        <w:t>60</w:t>
      </w:r>
      <w:r w:rsidRPr="00FC5A72">
        <w:t>)</w:t>
      </w:r>
    </w:p>
    <w:p w:rsidR="00AB7E54" w:rsidRPr="004040E1" w:rsidRDefault="00772F26" w:rsidP="00B818EC">
      <w:pPr>
        <w:pStyle w:val="AnnexNotitle"/>
        <w:rPr>
          <w:lang w:eastAsia="ko-KR"/>
        </w:rPr>
      </w:pPr>
      <w:bookmarkStart w:id="2" w:name="_Draft_Agenda_for"/>
      <w:bookmarkEnd w:id="2"/>
      <w:r>
        <w:rPr>
          <w:lang w:eastAsia="ko-KR"/>
        </w:rPr>
        <w:t xml:space="preserve">Proyecto de orden del día de la primera reunión de la </w:t>
      </w:r>
      <w:r w:rsidR="00AB7E54">
        <w:rPr>
          <w:lang w:eastAsia="ko-KR"/>
        </w:rPr>
        <w:t xml:space="preserve">JCA-SDN </w:t>
      </w:r>
      <w:r w:rsidR="00AB7E54" w:rsidRPr="004040E1">
        <w:rPr>
          <w:lang w:eastAsia="ko-KR"/>
        </w:rPr>
        <w:br/>
        <w:t xml:space="preserve">(Kampala, Uganda, </w:t>
      </w:r>
      <w:r w:rsidR="00AB7E54" w:rsidRPr="004040E1">
        <w:rPr>
          <w:rFonts w:hint="eastAsia"/>
          <w:lang w:eastAsia="ko-KR"/>
        </w:rPr>
        <w:t>11</w:t>
      </w:r>
      <w:r w:rsidR="00AB7E54" w:rsidRPr="004040E1">
        <w:rPr>
          <w:lang w:eastAsia="ko-KR"/>
        </w:rPr>
        <w:t xml:space="preserve"> </w:t>
      </w:r>
      <w:r>
        <w:rPr>
          <w:lang w:eastAsia="ko-KR"/>
        </w:rPr>
        <w:t xml:space="preserve">de noviembre de </w:t>
      </w:r>
      <w:r w:rsidR="00AB7E54" w:rsidRPr="004040E1">
        <w:rPr>
          <w:lang w:eastAsia="ko-KR"/>
        </w:rPr>
        <w:t>2013</w:t>
      </w:r>
      <w:r w:rsidR="00AB7E54" w:rsidRPr="004040E1">
        <w:rPr>
          <w:rFonts w:hint="eastAsia"/>
          <w:lang w:eastAsia="ko-KR"/>
        </w:rPr>
        <w:t>)</w:t>
      </w:r>
    </w:p>
    <w:p w:rsidR="00AB7E54" w:rsidRDefault="00AB7E54" w:rsidP="00772F26">
      <w:pPr>
        <w:tabs>
          <w:tab w:val="clear" w:pos="794"/>
          <w:tab w:val="clear" w:pos="1191"/>
          <w:tab w:val="clear" w:pos="1588"/>
          <w:tab w:val="clear" w:pos="1985"/>
          <w:tab w:val="left" w:leader="dot" w:pos="8789"/>
          <w:tab w:val="right" w:pos="9639"/>
        </w:tabs>
        <w:spacing w:before="480"/>
        <w:ind w:left="567" w:hanging="567"/>
      </w:pPr>
      <w:r w:rsidRPr="00E90D03">
        <w:t>1</w:t>
      </w:r>
      <w:r w:rsidRPr="00E90D03">
        <w:tab/>
      </w:r>
      <w:r w:rsidR="00772F26">
        <w:t xml:space="preserve">Apertura, bienvenida y objetivos de la reunión </w:t>
      </w:r>
    </w:p>
    <w:p w:rsidR="00AB7E54" w:rsidRDefault="00AB7E54" w:rsidP="00772F26">
      <w:pPr>
        <w:tabs>
          <w:tab w:val="clear" w:pos="794"/>
          <w:tab w:val="clear" w:pos="1191"/>
          <w:tab w:val="clear" w:pos="1588"/>
          <w:tab w:val="clear" w:pos="1985"/>
          <w:tab w:val="left" w:leader="dot" w:pos="8789"/>
          <w:tab w:val="right" w:pos="9639"/>
        </w:tabs>
        <w:ind w:left="567" w:hanging="567"/>
        <w:rPr>
          <w:lang w:eastAsia="ja-JP"/>
        </w:rPr>
      </w:pPr>
      <w:r>
        <w:t>2</w:t>
      </w:r>
      <w:r>
        <w:tab/>
      </w:r>
      <w:r w:rsidR="00772F26">
        <w:rPr>
          <w:lang w:eastAsia="ja-JP"/>
        </w:rPr>
        <w:t>Aprobación del orden del día</w:t>
      </w:r>
    </w:p>
    <w:p w:rsidR="00AB7E54" w:rsidRDefault="00AB7E54" w:rsidP="00772F26">
      <w:pPr>
        <w:tabs>
          <w:tab w:val="clear" w:pos="794"/>
          <w:tab w:val="clear" w:pos="1191"/>
          <w:tab w:val="clear" w:pos="1588"/>
          <w:tab w:val="clear" w:pos="1985"/>
          <w:tab w:val="left" w:leader="dot" w:pos="8789"/>
          <w:tab w:val="right" w:pos="9639"/>
        </w:tabs>
        <w:ind w:left="567" w:hanging="567"/>
        <w:rPr>
          <w:lang w:eastAsia="ja-JP"/>
        </w:rPr>
      </w:pPr>
      <w:r>
        <w:rPr>
          <w:lang w:eastAsia="ja-JP"/>
        </w:rPr>
        <w:t>3</w:t>
      </w:r>
      <w:r>
        <w:rPr>
          <w:lang w:eastAsia="ja-JP"/>
        </w:rPr>
        <w:tab/>
      </w:r>
      <w:r w:rsidR="00772F26">
        <w:rPr>
          <w:lang w:eastAsia="ja-JP"/>
        </w:rPr>
        <w:t>Documentos de la reunión</w:t>
      </w:r>
    </w:p>
    <w:p w:rsidR="00AB7E54" w:rsidRDefault="00AB7E54" w:rsidP="00772F26">
      <w:pPr>
        <w:tabs>
          <w:tab w:val="clear" w:pos="794"/>
          <w:tab w:val="clear" w:pos="1191"/>
          <w:tab w:val="clear" w:pos="1588"/>
          <w:tab w:val="clear" w:pos="1985"/>
          <w:tab w:val="left" w:leader="dot" w:pos="8789"/>
          <w:tab w:val="right" w:pos="9639"/>
        </w:tabs>
        <w:ind w:left="567" w:hanging="567"/>
        <w:rPr>
          <w:lang w:eastAsia="ja-JP"/>
        </w:rPr>
      </w:pPr>
      <w:r>
        <w:rPr>
          <w:lang w:eastAsia="ja-JP"/>
        </w:rPr>
        <w:t>4</w:t>
      </w:r>
      <w:r>
        <w:rPr>
          <w:rFonts w:hint="eastAsia"/>
          <w:lang w:eastAsia="ja-JP"/>
        </w:rPr>
        <w:tab/>
      </w:r>
      <w:r w:rsidR="00772F26">
        <w:rPr>
          <w:lang w:eastAsia="ja-JP"/>
        </w:rPr>
        <w:t xml:space="preserve">Actividad Conjunta de Coordinación </w:t>
      </w:r>
      <w:r>
        <w:rPr>
          <w:lang w:eastAsia="ja-JP"/>
        </w:rPr>
        <w:t xml:space="preserve">(JCA) </w:t>
      </w:r>
      <w:r w:rsidR="00772F26">
        <w:rPr>
          <w:lang w:eastAsia="ja-JP"/>
        </w:rPr>
        <w:t>–</w:t>
      </w:r>
      <w:r>
        <w:rPr>
          <w:lang w:eastAsia="ja-JP"/>
        </w:rPr>
        <w:t xml:space="preserve"> </w:t>
      </w:r>
      <w:r w:rsidR="00772F26">
        <w:rPr>
          <w:lang w:eastAsia="ja-JP"/>
        </w:rPr>
        <w:t>métodos de trabajo</w:t>
      </w:r>
    </w:p>
    <w:p w:rsidR="00AB7E54" w:rsidRPr="00E90D03" w:rsidRDefault="00AB7E54" w:rsidP="00772F26">
      <w:pPr>
        <w:tabs>
          <w:tab w:val="clear" w:pos="794"/>
          <w:tab w:val="clear" w:pos="1191"/>
          <w:tab w:val="clear" w:pos="1588"/>
          <w:tab w:val="clear" w:pos="1985"/>
          <w:tab w:val="left" w:leader="dot" w:pos="8789"/>
          <w:tab w:val="right" w:pos="9639"/>
        </w:tabs>
        <w:ind w:left="567" w:hanging="567"/>
        <w:rPr>
          <w:lang w:eastAsia="ja-JP"/>
        </w:rPr>
      </w:pPr>
      <w:r>
        <w:rPr>
          <w:lang w:eastAsia="ja-JP"/>
        </w:rPr>
        <w:t>5</w:t>
      </w:r>
      <w:r>
        <w:rPr>
          <w:lang w:eastAsia="ja-JP"/>
        </w:rPr>
        <w:tab/>
      </w:r>
      <w:r w:rsidR="00772F26">
        <w:rPr>
          <w:lang w:eastAsia="ja-JP"/>
        </w:rPr>
        <w:t xml:space="preserve">Mandato de la </w:t>
      </w:r>
      <w:r>
        <w:rPr>
          <w:rFonts w:hint="eastAsia"/>
          <w:lang w:eastAsia="ja-JP"/>
        </w:rPr>
        <w:t>JCA-SDN</w:t>
      </w:r>
    </w:p>
    <w:p w:rsidR="00AB7E54" w:rsidRDefault="00AB7E54" w:rsidP="003A7B2A">
      <w:pPr>
        <w:tabs>
          <w:tab w:val="clear" w:pos="794"/>
          <w:tab w:val="clear" w:pos="1191"/>
          <w:tab w:val="clear" w:pos="1588"/>
          <w:tab w:val="clear" w:pos="1985"/>
          <w:tab w:val="left" w:leader="dot" w:pos="8789"/>
          <w:tab w:val="right" w:pos="9639"/>
        </w:tabs>
        <w:ind w:left="567" w:hanging="567"/>
      </w:pPr>
      <w:r>
        <w:t>6</w:t>
      </w:r>
      <w:r w:rsidRPr="00E90D03">
        <w:tab/>
      </w:r>
      <w:r w:rsidR="00772F26">
        <w:t xml:space="preserve">Programa de trabajo </w:t>
      </w:r>
      <w:r w:rsidR="003A7B2A">
        <w:t xml:space="preserve">sobre </w:t>
      </w:r>
      <w:r>
        <w:rPr>
          <w:lang w:eastAsia="ja-JP"/>
        </w:rPr>
        <w:t xml:space="preserve">SDN </w:t>
      </w:r>
      <w:r w:rsidR="00772F26">
        <w:rPr>
          <w:lang w:eastAsia="ja-JP"/>
        </w:rPr>
        <w:t xml:space="preserve">y </w:t>
      </w:r>
      <w:r w:rsidR="003A7B2A">
        <w:rPr>
          <w:lang w:eastAsia="ja-JP"/>
        </w:rPr>
        <w:t>temas de estudio en las Comisiones de Estudio del U</w:t>
      </w:r>
      <w:r>
        <w:rPr>
          <w:lang w:eastAsia="ja-JP"/>
        </w:rPr>
        <w:t xml:space="preserve">IT-T </w:t>
      </w:r>
    </w:p>
    <w:p w:rsidR="00AB7E54" w:rsidRDefault="00AB7E54" w:rsidP="003A7B2A">
      <w:pPr>
        <w:tabs>
          <w:tab w:val="clear" w:pos="794"/>
          <w:tab w:val="clear" w:pos="1191"/>
          <w:tab w:val="clear" w:pos="1588"/>
          <w:tab w:val="clear" w:pos="1985"/>
          <w:tab w:val="left" w:leader="dot" w:pos="8789"/>
          <w:tab w:val="right" w:pos="9639"/>
        </w:tabs>
        <w:ind w:left="567" w:hanging="567"/>
        <w:rPr>
          <w:lang w:eastAsia="ja-JP"/>
        </w:rPr>
      </w:pPr>
      <w:r>
        <w:rPr>
          <w:lang w:eastAsia="ja-JP"/>
        </w:rPr>
        <w:t>7</w:t>
      </w:r>
      <w:r>
        <w:rPr>
          <w:lang w:eastAsia="ja-JP"/>
        </w:rPr>
        <w:tab/>
      </w:r>
      <w:r w:rsidR="003A7B2A">
        <w:rPr>
          <w:lang w:eastAsia="ja-JP"/>
        </w:rPr>
        <w:t xml:space="preserve">Programa de trabajo sobre </w:t>
      </w:r>
      <w:r>
        <w:rPr>
          <w:lang w:eastAsia="ja-JP"/>
        </w:rPr>
        <w:t xml:space="preserve">SDN </w:t>
      </w:r>
      <w:r w:rsidR="003A7B2A">
        <w:rPr>
          <w:lang w:eastAsia="ja-JP"/>
        </w:rPr>
        <w:t xml:space="preserve">y temas de estudio en otros organismos de normalización </w:t>
      </w:r>
    </w:p>
    <w:p w:rsidR="00AB7E54" w:rsidRDefault="00AB7E54" w:rsidP="003A7B2A">
      <w:pPr>
        <w:tabs>
          <w:tab w:val="clear" w:pos="794"/>
          <w:tab w:val="clear" w:pos="1191"/>
          <w:tab w:val="clear" w:pos="1588"/>
          <w:tab w:val="clear" w:pos="1985"/>
          <w:tab w:val="left" w:leader="dot" w:pos="8789"/>
          <w:tab w:val="right" w:pos="9639"/>
        </w:tabs>
        <w:ind w:left="567" w:hanging="567"/>
        <w:rPr>
          <w:lang w:eastAsia="ja-JP"/>
        </w:rPr>
      </w:pPr>
      <w:r>
        <w:t>8</w:t>
      </w:r>
      <w:r>
        <w:tab/>
      </w:r>
      <w:r w:rsidR="003A7B2A">
        <w:t xml:space="preserve">Asuntos que requieren coordinación </w:t>
      </w:r>
    </w:p>
    <w:p w:rsidR="00AB7E54" w:rsidRDefault="00AB7E54" w:rsidP="003A7B2A">
      <w:pPr>
        <w:tabs>
          <w:tab w:val="clear" w:pos="794"/>
          <w:tab w:val="clear" w:pos="1191"/>
          <w:tab w:val="clear" w:pos="1588"/>
          <w:tab w:val="clear" w:pos="1985"/>
          <w:tab w:val="left" w:leader="dot" w:pos="8789"/>
          <w:tab w:val="right" w:pos="9639"/>
        </w:tabs>
        <w:ind w:left="567" w:hanging="567"/>
        <w:rPr>
          <w:lang w:eastAsia="ja-JP"/>
        </w:rPr>
      </w:pPr>
      <w:r>
        <w:rPr>
          <w:lang w:eastAsia="ja-JP"/>
        </w:rPr>
        <w:t>9</w:t>
      </w:r>
      <w:r>
        <w:rPr>
          <w:lang w:eastAsia="ja-JP"/>
        </w:rPr>
        <w:tab/>
      </w:r>
      <w:r w:rsidR="003A7B2A">
        <w:rPr>
          <w:lang w:eastAsia="ja-JP"/>
        </w:rPr>
        <w:t>Hoja de ruta del U</w:t>
      </w:r>
      <w:r>
        <w:t xml:space="preserve">IT-T </w:t>
      </w:r>
      <w:r w:rsidR="003A7B2A">
        <w:t xml:space="preserve">sobre normalización de las </w:t>
      </w:r>
      <w:r>
        <w:t xml:space="preserve">SDN, </w:t>
      </w:r>
      <w:r w:rsidR="003A7B2A">
        <w:t xml:space="preserve">comprendidos otros organismos de normalización </w:t>
      </w:r>
    </w:p>
    <w:p w:rsidR="00AB7E54" w:rsidRDefault="00AB7E54" w:rsidP="003A7B2A">
      <w:pPr>
        <w:tabs>
          <w:tab w:val="clear" w:pos="794"/>
          <w:tab w:val="clear" w:pos="1191"/>
          <w:tab w:val="clear" w:pos="1588"/>
          <w:tab w:val="clear" w:pos="1985"/>
          <w:tab w:val="left" w:leader="dot" w:pos="8789"/>
          <w:tab w:val="right" w:pos="9639"/>
        </w:tabs>
        <w:ind w:left="567" w:hanging="567"/>
        <w:rPr>
          <w:lang w:eastAsia="ja-JP"/>
        </w:rPr>
      </w:pPr>
      <w:r>
        <w:rPr>
          <w:lang w:eastAsia="ja-JP"/>
        </w:rPr>
        <w:t>10</w:t>
      </w:r>
      <w:r>
        <w:rPr>
          <w:rFonts w:hint="eastAsia"/>
          <w:lang w:eastAsia="ja-JP"/>
        </w:rPr>
        <w:tab/>
      </w:r>
      <w:r>
        <w:rPr>
          <w:lang w:eastAsia="ja-JP"/>
        </w:rPr>
        <w:t>List</w:t>
      </w:r>
      <w:r w:rsidR="003A7B2A">
        <w:rPr>
          <w:lang w:eastAsia="ja-JP"/>
        </w:rPr>
        <w:t>a</w:t>
      </w:r>
      <w:r>
        <w:rPr>
          <w:lang w:eastAsia="ja-JP"/>
        </w:rPr>
        <w:t xml:space="preserve"> </w:t>
      </w:r>
      <w:r w:rsidR="003A7B2A">
        <w:rPr>
          <w:lang w:eastAsia="ja-JP"/>
        </w:rPr>
        <w:t>de puntos de contacto y representantes de las CE del U</w:t>
      </w:r>
      <w:r>
        <w:rPr>
          <w:lang w:eastAsia="ja-JP"/>
        </w:rPr>
        <w:t xml:space="preserve">IT-T </w:t>
      </w:r>
      <w:r w:rsidR="003A7B2A">
        <w:rPr>
          <w:lang w:eastAsia="ja-JP"/>
        </w:rPr>
        <w:t>y de otros organismos de normalización y foros</w:t>
      </w:r>
    </w:p>
    <w:p w:rsidR="00AB7E54" w:rsidRDefault="00AB7E54" w:rsidP="003A7B2A">
      <w:pPr>
        <w:tabs>
          <w:tab w:val="clear" w:pos="794"/>
          <w:tab w:val="clear" w:pos="1191"/>
          <w:tab w:val="clear" w:pos="1588"/>
          <w:tab w:val="clear" w:pos="1985"/>
          <w:tab w:val="left" w:leader="dot" w:pos="8789"/>
          <w:tab w:val="right" w:pos="9639"/>
        </w:tabs>
        <w:ind w:left="567" w:hanging="567"/>
        <w:rPr>
          <w:lang w:eastAsia="ja-JP"/>
        </w:rPr>
      </w:pPr>
      <w:r>
        <w:rPr>
          <w:lang w:eastAsia="ja-JP"/>
        </w:rPr>
        <w:t>11</w:t>
      </w:r>
      <w:r>
        <w:rPr>
          <w:rFonts w:hint="eastAsia"/>
          <w:lang w:eastAsia="ja-JP"/>
        </w:rPr>
        <w:tab/>
      </w:r>
      <w:r w:rsidR="003A7B2A">
        <w:rPr>
          <w:lang w:eastAsia="ja-JP"/>
        </w:rPr>
        <w:t xml:space="preserve">Próxima etapa y declaraciones de coordinación formuladas </w:t>
      </w:r>
    </w:p>
    <w:p w:rsidR="00AB7E54" w:rsidRDefault="00AB7E54" w:rsidP="003A7B2A">
      <w:pPr>
        <w:tabs>
          <w:tab w:val="clear" w:pos="794"/>
          <w:tab w:val="clear" w:pos="1191"/>
          <w:tab w:val="clear" w:pos="1588"/>
          <w:tab w:val="clear" w:pos="1985"/>
          <w:tab w:val="left" w:leader="dot" w:pos="8789"/>
          <w:tab w:val="right" w:pos="9639"/>
        </w:tabs>
        <w:ind w:left="567" w:hanging="567"/>
        <w:rPr>
          <w:lang w:eastAsia="ja-JP"/>
        </w:rPr>
      </w:pPr>
      <w:r>
        <w:rPr>
          <w:lang w:eastAsia="ja-JP"/>
        </w:rPr>
        <w:t>12</w:t>
      </w:r>
      <w:r>
        <w:rPr>
          <w:lang w:eastAsia="ja-JP"/>
        </w:rPr>
        <w:tab/>
      </w:r>
      <w:r w:rsidR="003A7B2A">
        <w:rPr>
          <w:lang w:eastAsia="ja-JP"/>
        </w:rPr>
        <w:t xml:space="preserve">Próxima reunión de la </w:t>
      </w:r>
      <w:r>
        <w:rPr>
          <w:lang w:eastAsia="ja-JP"/>
        </w:rPr>
        <w:t xml:space="preserve">JCA-SDN </w:t>
      </w:r>
    </w:p>
    <w:p w:rsidR="00AB7E54" w:rsidRDefault="00AB7E54" w:rsidP="003A7B2A">
      <w:pPr>
        <w:tabs>
          <w:tab w:val="clear" w:pos="794"/>
          <w:tab w:val="clear" w:pos="1191"/>
          <w:tab w:val="clear" w:pos="1588"/>
          <w:tab w:val="clear" w:pos="1985"/>
          <w:tab w:val="left" w:leader="dot" w:pos="8789"/>
          <w:tab w:val="right" w:pos="9639"/>
        </w:tabs>
        <w:ind w:left="567" w:hanging="567"/>
        <w:rPr>
          <w:lang w:eastAsia="ja-JP"/>
        </w:rPr>
      </w:pPr>
      <w:r>
        <w:rPr>
          <w:lang w:eastAsia="ja-JP"/>
        </w:rPr>
        <w:t>13</w:t>
      </w:r>
      <w:r w:rsidRPr="00E90D03">
        <w:tab/>
      </w:r>
      <w:r w:rsidR="003A7B2A">
        <w:rPr>
          <w:lang w:eastAsia="ja-JP"/>
        </w:rPr>
        <w:t>Otros asuntos</w:t>
      </w:r>
    </w:p>
    <w:p w:rsidR="00AB7E54" w:rsidRPr="00E027F2" w:rsidRDefault="00AB7E54" w:rsidP="003A7B2A">
      <w:pPr>
        <w:tabs>
          <w:tab w:val="clear" w:pos="794"/>
        </w:tabs>
        <w:ind w:left="567" w:hanging="567"/>
        <w:rPr>
          <w:sz w:val="16"/>
          <w:szCs w:val="16"/>
          <w:lang w:val="en-US" w:eastAsia="ja-JP" w:bidi="ar-EG"/>
        </w:rPr>
      </w:pPr>
      <w:r>
        <w:rPr>
          <w:lang w:eastAsia="ja-JP"/>
        </w:rPr>
        <w:t>14</w:t>
      </w:r>
      <w:r w:rsidRPr="00E90D03">
        <w:tab/>
      </w:r>
      <w:r w:rsidR="003A7B2A">
        <w:t>Clausura</w:t>
      </w:r>
    </w:p>
    <w:p w:rsidR="00115243" w:rsidRPr="007D1A22" w:rsidRDefault="00115243" w:rsidP="00115243"/>
    <w:p w:rsidR="00B818EC" w:rsidRDefault="00B818EC" w:rsidP="0032202E">
      <w:pPr>
        <w:pStyle w:val="Reasons"/>
      </w:pPr>
    </w:p>
    <w:p w:rsidR="00B818EC" w:rsidRDefault="00B818EC">
      <w:pPr>
        <w:jc w:val="center"/>
      </w:pPr>
      <w:r>
        <w:t>______________</w:t>
      </w:r>
    </w:p>
    <w:sectPr w:rsidR="00B818EC">
      <w:headerReference w:type="default" r:id="rId13"/>
      <w:footerReference w:type="default" r:id="rId14"/>
      <w:footerReference w:type="first" r:id="rId15"/>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F87" w:rsidRDefault="00781F87">
      <w:r>
        <w:separator/>
      </w:r>
    </w:p>
  </w:endnote>
  <w:endnote w:type="continuationSeparator" w:id="0">
    <w:p w:rsidR="00781F87" w:rsidRDefault="007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EC" w:rsidRPr="00A16F53" w:rsidRDefault="00A16F53" w:rsidP="00A16F53">
    <w:pPr>
      <w:tabs>
        <w:tab w:val="clear" w:pos="794"/>
        <w:tab w:val="clear" w:pos="1191"/>
        <w:tab w:val="clear" w:pos="1588"/>
        <w:tab w:val="clear" w:pos="1985"/>
        <w:tab w:val="left" w:pos="5954"/>
        <w:tab w:val="right" w:pos="9639"/>
      </w:tabs>
      <w:spacing w:before="0"/>
      <w:rPr>
        <w:caps/>
        <w:noProof/>
        <w:sz w:val="16"/>
        <w:lang w:val="fr-FR"/>
      </w:rPr>
    </w:pPr>
    <w:r w:rsidRPr="00A16F53">
      <w:rPr>
        <w:caps/>
        <w:noProof/>
        <w:sz w:val="16"/>
        <w:lang w:val="fr-FR"/>
      </w:rPr>
      <w:t>ITU-T\BUREAU\CIRC\060</w:t>
    </w:r>
    <w:r>
      <w:rPr>
        <w:caps/>
        <w:noProof/>
        <w:sz w:val="16"/>
        <w:lang w:val="fr-FR"/>
      </w:rPr>
      <w:t>S</w:t>
    </w:r>
    <w:r w:rsidRPr="00A16F53">
      <w:rPr>
        <w:caps/>
        <w:noProof/>
        <w:sz w:val="16"/>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1900DB" w:rsidRPr="003D673B">
      <w:tc>
        <w:tcPr>
          <w:tcW w:w="1985" w:type="dxa"/>
          <w:tcBorders>
            <w:top w:val="single" w:sz="6" w:space="0" w:color="auto"/>
            <w:left w:val="nil"/>
            <w:bottom w:val="nil"/>
            <w:right w:val="nil"/>
          </w:tcBorders>
        </w:tcPr>
        <w:p w:rsidR="001900DB" w:rsidRDefault="001900DB">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1900DB" w:rsidRDefault="001900DB" w:rsidP="00A66517">
          <w:pPr>
            <w:pStyle w:val="FirstFooter"/>
            <w:tabs>
              <w:tab w:val="left" w:pos="709"/>
              <w:tab w:val="left" w:pos="1060"/>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1900DB" w:rsidRDefault="001900DB">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1900DB" w:rsidRDefault="001900DB"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1900DB">
      <w:tc>
        <w:tcPr>
          <w:tcW w:w="1985" w:type="dxa"/>
        </w:tcPr>
        <w:p w:rsidR="001900DB" w:rsidRDefault="001900DB">
          <w:pPr>
            <w:pStyle w:val="FirstFooter"/>
            <w:rPr>
              <w:rFonts w:ascii="Futura Lt BT" w:hAnsi="Futura Lt BT"/>
            </w:rPr>
          </w:pPr>
          <w:r>
            <w:rPr>
              <w:rFonts w:ascii="Futura Lt BT" w:hAnsi="Futura Lt BT"/>
            </w:rPr>
            <w:t>CH-1211 Ginebra 20</w:t>
          </w:r>
        </w:p>
      </w:tc>
      <w:tc>
        <w:tcPr>
          <w:tcW w:w="3119" w:type="dxa"/>
        </w:tcPr>
        <w:p w:rsidR="001900DB" w:rsidRDefault="001900DB">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1900DB" w:rsidRDefault="001900DB">
          <w:pPr>
            <w:pStyle w:val="FirstFooter"/>
            <w:rPr>
              <w:rFonts w:ascii="Futura Lt BT" w:hAnsi="Futura Lt BT"/>
            </w:rPr>
          </w:pPr>
          <w:r>
            <w:rPr>
              <w:rFonts w:ascii="Futura Lt BT" w:hAnsi="Futura Lt BT"/>
            </w:rPr>
            <w:t>Telegrama ITU GENEVE</w:t>
          </w:r>
        </w:p>
      </w:tc>
      <w:tc>
        <w:tcPr>
          <w:tcW w:w="2304" w:type="dxa"/>
        </w:tcPr>
        <w:p w:rsidR="001900DB" w:rsidRDefault="001900DB" w:rsidP="008505BD">
          <w:pPr>
            <w:pStyle w:val="FirstFooter"/>
            <w:tabs>
              <w:tab w:val="right" w:pos="1956"/>
            </w:tabs>
            <w:ind w:right="70"/>
            <w:rPr>
              <w:rFonts w:ascii="Futura Lt BT" w:hAnsi="Futura Lt BT"/>
            </w:rPr>
          </w:pPr>
          <w:r>
            <w:rPr>
              <w:rFonts w:ascii="Futura Lt BT" w:hAnsi="Futura Lt BT"/>
            </w:rPr>
            <w:tab/>
            <w:t>www.itu.int</w:t>
          </w:r>
        </w:p>
      </w:tc>
    </w:tr>
    <w:tr w:rsidR="001900DB">
      <w:tc>
        <w:tcPr>
          <w:tcW w:w="1985" w:type="dxa"/>
        </w:tcPr>
        <w:p w:rsidR="001900DB" w:rsidRDefault="001900DB">
          <w:pPr>
            <w:pStyle w:val="FirstFooter"/>
            <w:rPr>
              <w:rFonts w:ascii="Futura Lt BT" w:hAnsi="Futura Lt BT"/>
            </w:rPr>
          </w:pPr>
          <w:r>
            <w:rPr>
              <w:rFonts w:ascii="Futura Lt BT" w:hAnsi="Futura Lt BT"/>
            </w:rPr>
            <w:t>Suiza</w:t>
          </w:r>
        </w:p>
      </w:tc>
      <w:tc>
        <w:tcPr>
          <w:tcW w:w="3119" w:type="dxa"/>
        </w:tcPr>
        <w:p w:rsidR="001900DB" w:rsidRDefault="001900DB">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1900DB" w:rsidRDefault="001900DB">
          <w:pPr>
            <w:pStyle w:val="FirstFooter"/>
            <w:rPr>
              <w:rFonts w:ascii="Futura Lt BT" w:hAnsi="Futura Lt BT"/>
            </w:rPr>
          </w:pPr>
        </w:p>
      </w:tc>
      <w:tc>
        <w:tcPr>
          <w:tcW w:w="2304" w:type="dxa"/>
        </w:tcPr>
        <w:p w:rsidR="001900DB" w:rsidRDefault="001900DB">
          <w:pPr>
            <w:pStyle w:val="FirstFooter"/>
            <w:rPr>
              <w:rFonts w:ascii="Futura Lt BT" w:hAnsi="Futura Lt BT"/>
            </w:rPr>
          </w:pPr>
        </w:p>
      </w:tc>
    </w:tr>
  </w:tbl>
  <w:p w:rsidR="001900DB" w:rsidRPr="00D9715B" w:rsidRDefault="001900DB" w:rsidP="00D9715B">
    <w:pPr>
      <w:pStyle w:val="Footer"/>
      <w:spacing w:before="120"/>
      <w:rPr>
        <w:sz w:val="2"/>
        <w:szCs w:val="2"/>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F87" w:rsidRDefault="00781F87">
      <w:r>
        <w:t>____________________</w:t>
      </w:r>
    </w:p>
  </w:footnote>
  <w:footnote w:type="continuationSeparator" w:id="0">
    <w:p w:rsidR="00781F87" w:rsidRDefault="00781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DB" w:rsidRPr="00303D62" w:rsidRDefault="001900DB" w:rsidP="007D1A22">
    <w:pPr>
      <w:pStyle w:val="Header"/>
      <w:rPr>
        <w:sz w:val="18"/>
        <w:szCs w:val="18"/>
      </w:rPr>
    </w:pP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9C04CE">
      <w:rPr>
        <w:rStyle w:val="PageNumber"/>
        <w:noProof/>
        <w:sz w:val="18"/>
        <w:szCs w:val="18"/>
      </w:rPr>
      <w:t>2</w:t>
    </w:r>
    <w:r w:rsidRPr="00303D62">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1BAE"/>
    <w:multiLevelType w:val="hybridMultilevel"/>
    <w:tmpl w:val="8FFC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B5410A"/>
    <w:multiLevelType w:val="hybridMultilevel"/>
    <w:tmpl w:val="14126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6D5674"/>
    <w:multiLevelType w:val="multilevel"/>
    <w:tmpl w:val="858AA8FC"/>
    <w:numStyleLink w:val="Style1"/>
  </w:abstractNum>
  <w:abstractNum w:abstractNumId="3">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4">
    <w:nsid w:val="4BE71BCC"/>
    <w:multiLevelType w:val="multilevel"/>
    <w:tmpl w:val="12B041D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51863AA3"/>
    <w:multiLevelType w:val="hybridMultilevel"/>
    <w:tmpl w:val="0A3625A6"/>
    <w:lvl w:ilvl="0" w:tplc="D264DCB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7">
    <w:nsid w:val="56182AA5"/>
    <w:multiLevelType w:val="hybridMultilevel"/>
    <w:tmpl w:val="5AAE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0C135A"/>
    <w:multiLevelType w:val="hybridMultilevel"/>
    <w:tmpl w:val="39002D0C"/>
    <w:lvl w:ilvl="0" w:tplc="0409000F">
      <w:start w:val="1"/>
      <w:numFmt w:val="decimal"/>
      <w:lvlText w:val="%1."/>
      <w:lvlJc w:val="left"/>
      <w:pPr>
        <w:ind w:left="363" w:hanging="363"/>
      </w:pPr>
      <w:rPr>
        <w:rFonts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9">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DFA25FC"/>
    <w:multiLevelType w:val="multilevel"/>
    <w:tmpl w:val="858AA8FC"/>
    <w:styleLink w:val="Style1"/>
    <w:lvl w:ilvl="0">
      <w:start w:val="1"/>
      <w:numFmt w:val="decimal"/>
      <w:lvlRestart w:val="0"/>
      <w:lvlText w:val="%1"/>
      <w:lvlJc w:val="left"/>
      <w:pPr>
        <w:ind w:left="360" w:hanging="360"/>
      </w:pPr>
      <w:rPr>
        <w:rFonts w:ascii="Arial" w:hAnsi="Arial" w:cs="Times New Roman" w:hint="default"/>
      </w:rPr>
    </w:lvl>
    <w:lvl w:ilvl="1">
      <w:start w:val="1"/>
      <w:numFmt w:val="lowerLetter"/>
      <w:lvlText w:val="%2"/>
      <w:lvlJc w:val="left"/>
      <w:pPr>
        <w:ind w:left="720" w:hanging="360"/>
      </w:pPr>
      <w:rPr>
        <w:rFonts w:ascii="Arial" w:hAnsi="Arial" w:cs="Courier New" w:hint="default"/>
      </w:rPr>
    </w:lvl>
    <w:lvl w:ilvl="2">
      <w:start w:val="1"/>
      <w:numFmt w:val="lowerRoman"/>
      <w:lvlText w:val="%3"/>
      <w:lvlJc w:val="left"/>
      <w:pPr>
        <w:ind w:left="1080" w:hanging="360"/>
      </w:pPr>
      <w:rPr>
        <w:rFonts w:ascii="Arial" w:hAnsi="Arial"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1">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3"/>
  </w:num>
  <w:num w:numId="2">
    <w:abstractNumId w:val="11"/>
  </w:num>
  <w:num w:numId="3">
    <w:abstractNumId w:val="9"/>
  </w:num>
  <w:num w:numId="4">
    <w:abstractNumId w:val="6"/>
  </w:num>
  <w:num w:numId="5">
    <w:abstractNumId w:val="8"/>
  </w:num>
  <w:num w:numId="6">
    <w:abstractNumId w:val="10"/>
  </w:num>
  <w:num w:numId="7">
    <w:abstractNumId w:val="2"/>
    <w:lvlOverride w:ilvl="0">
      <w:lvl w:ilvl="0">
        <w:start w:val="1"/>
        <w:numFmt w:val="decimal"/>
        <w:lvlRestart w:val="0"/>
        <w:lvlText w:val="%1"/>
        <w:lvlJc w:val="left"/>
        <w:pPr>
          <w:ind w:left="360" w:hanging="360"/>
        </w:pPr>
        <w:rPr>
          <w:rFonts w:asciiTheme="majorBidi" w:hAnsiTheme="majorBidi" w:cstheme="majorBidi" w:hint="default"/>
        </w:rPr>
      </w:lvl>
    </w:lvlOverride>
    <w:lvlOverride w:ilvl="1">
      <w:lvl w:ilvl="1">
        <w:start w:val="1"/>
        <w:numFmt w:val="lowerLetter"/>
        <w:lvlText w:val="%2"/>
        <w:lvlJc w:val="left"/>
        <w:pPr>
          <w:ind w:left="720" w:hanging="360"/>
        </w:pPr>
        <w:rPr>
          <w:rFonts w:asciiTheme="majorBidi" w:hAnsiTheme="majorBidi" w:cstheme="majorBidi" w:hint="default"/>
        </w:rPr>
      </w:lvl>
    </w:lvlOverride>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0CFDF96-239F-4556-9F45-AEC8E5905228}"/>
    <w:docVar w:name="dgnword-eventsink" w:val="23058632"/>
  </w:docVars>
  <w:rsids>
    <w:rsidRoot w:val="00C34772"/>
    <w:rsid w:val="00002529"/>
    <w:rsid w:val="0000599D"/>
    <w:rsid w:val="00026AE8"/>
    <w:rsid w:val="00041472"/>
    <w:rsid w:val="0004733E"/>
    <w:rsid w:val="00075621"/>
    <w:rsid w:val="00084533"/>
    <w:rsid w:val="000C382F"/>
    <w:rsid w:val="000D4AF6"/>
    <w:rsid w:val="000E1335"/>
    <w:rsid w:val="00113C3F"/>
    <w:rsid w:val="00115243"/>
    <w:rsid w:val="001173CC"/>
    <w:rsid w:val="001874B0"/>
    <w:rsid w:val="001900DB"/>
    <w:rsid w:val="001A0091"/>
    <w:rsid w:val="001A54CC"/>
    <w:rsid w:val="001D587A"/>
    <w:rsid w:val="001E5E88"/>
    <w:rsid w:val="001F0D6D"/>
    <w:rsid w:val="00220003"/>
    <w:rsid w:val="00255478"/>
    <w:rsid w:val="00257FB4"/>
    <w:rsid w:val="00285C66"/>
    <w:rsid w:val="00295F59"/>
    <w:rsid w:val="002B745A"/>
    <w:rsid w:val="002C1052"/>
    <w:rsid w:val="002C1655"/>
    <w:rsid w:val="002F0711"/>
    <w:rsid w:val="002F07C3"/>
    <w:rsid w:val="00303D62"/>
    <w:rsid w:val="0031749D"/>
    <w:rsid w:val="00327398"/>
    <w:rsid w:val="00335367"/>
    <w:rsid w:val="003413F9"/>
    <w:rsid w:val="003465B2"/>
    <w:rsid w:val="00357CE8"/>
    <w:rsid w:val="00370C2D"/>
    <w:rsid w:val="003A7B2A"/>
    <w:rsid w:val="003B009B"/>
    <w:rsid w:val="003D1E8D"/>
    <w:rsid w:val="003D673B"/>
    <w:rsid w:val="003F2855"/>
    <w:rsid w:val="00401C20"/>
    <w:rsid w:val="00402CFF"/>
    <w:rsid w:val="004323B8"/>
    <w:rsid w:val="0045327C"/>
    <w:rsid w:val="004770DB"/>
    <w:rsid w:val="004C4144"/>
    <w:rsid w:val="004D3122"/>
    <w:rsid w:val="004F03FE"/>
    <w:rsid w:val="00533EF5"/>
    <w:rsid w:val="005367FD"/>
    <w:rsid w:val="005617AD"/>
    <w:rsid w:val="005950BA"/>
    <w:rsid w:val="005B0D8F"/>
    <w:rsid w:val="005D359E"/>
    <w:rsid w:val="005D3DD5"/>
    <w:rsid w:val="006243E2"/>
    <w:rsid w:val="00680C03"/>
    <w:rsid w:val="0069493C"/>
    <w:rsid w:val="006969B4"/>
    <w:rsid w:val="006E5C4B"/>
    <w:rsid w:val="0071652B"/>
    <w:rsid w:val="00720F15"/>
    <w:rsid w:val="00761E92"/>
    <w:rsid w:val="00772F26"/>
    <w:rsid w:val="00781E2A"/>
    <w:rsid w:val="00781F87"/>
    <w:rsid w:val="00793957"/>
    <w:rsid w:val="007B0E9A"/>
    <w:rsid w:val="007C2B3B"/>
    <w:rsid w:val="007D1A22"/>
    <w:rsid w:val="008066A3"/>
    <w:rsid w:val="00810619"/>
    <w:rsid w:val="0081715C"/>
    <w:rsid w:val="008258C2"/>
    <w:rsid w:val="00830846"/>
    <w:rsid w:val="00844AF2"/>
    <w:rsid w:val="008505BD"/>
    <w:rsid w:val="00850C78"/>
    <w:rsid w:val="00855348"/>
    <w:rsid w:val="008610EE"/>
    <w:rsid w:val="008B3237"/>
    <w:rsid w:val="008C17AD"/>
    <w:rsid w:val="008D02CD"/>
    <w:rsid w:val="008D0C63"/>
    <w:rsid w:val="008D4458"/>
    <w:rsid w:val="0090741C"/>
    <w:rsid w:val="00921263"/>
    <w:rsid w:val="0093424D"/>
    <w:rsid w:val="009452E6"/>
    <w:rsid w:val="00947C22"/>
    <w:rsid w:val="0095172A"/>
    <w:rsid w:val="00985B18"/>
    <w:rsid w:val="009A0BA0"/>
    <w:rsid w:val="009A48C3"/>
    <w:rsid w:val="009B3490"/>
    <w:rsid w:val="009B3A9A"/>
    <w:rsid w:val="009C04CE"/>
    <w:rsid w:val="009F6058"/>
    <w:rsid w:val="00A16F53"/>
    <w:rsid w:val="00A268A9"/>
    <w:rsid w:val="00A3238E"/>
    <w:rsid w:val="00A54E47"/>
    <w:rsid w:val="00A66517"/>
    <w:rsid w:val="00A83CD5"/>
    <w:rsid w:val="00AB7E54"/>
    <w:rsid w:val="00AC53AD"/>
    <w:rsid w:val="00AE7093"/>
    <w:rsid w:val="00B03FB6"/>
    <w:rsid w:val="00B1077B"/>
    <w:rsid w:val="00B13009"/>
    <w:rsid w:val="00B30734"/>
    <w:rsid w:val="00B422BC"/>
    <w:rsid w:val="00B43F77"/>
    <w:rsid w:val="00B51018"/>
    <w:rsid w:val="00B5346E"/>
    <w:rsid w:val="00B55A3E"/>
    <w:rsid w:val="00B61B22"/>
    <w:rsid w:val="00B70121"/>
    <w:rsid w:val="00B74942"/>
    <w:rsid w:val="00B74E81"/>
    <w:rsid w:val="00B818EC"/>
    <w:rsid w:val="00B95F0A"/>
    <w:rsid w:val="00B96180"/>
    <w:rsid w:val="00BA2B4E"/>
    <w:rsid w:val="00BB5C06"/>
    <w:rsid w:val="00C04CE4"/>
    <w:rsid w:val="00C17004"/>
    <w:rsid w:val="00C17AC0"/>
    <w:rsid w:val="00C31C50"/>
    <w:rsid w:val="00C34772"/>
    <w:rsid w:val="00C409EE"/>
    <w:rsid w:val="00C45FCA"/>
    <w:rsid w:val="00C47562"/>
    <w:rsid w:val="00C5174D"/>
    <w:rsid w:val="00C5465A"/>
    <w:rsid w:val="00C62088"/>
    <w:rsid w:val="00C65EEE"/>
    <w:rsid w:val="00C934C4"/>
    <w:rsid w:val="00CB0AFB"/>
    <w:rsid w:val="00CF3D04"/>
    <w:rsid w:val="00D54642"/>
    <w:rsid w:val="00D672EF"/>
    <w:rsid w:val="00D9715B"/>
    <w:rsid w:val="00DA39A2"/>
    <w:rsid w:val="00DB2DF7"/>
    <w:rsid w:val="00DC10CC"/>
    <w:rsid w:val="00DD54E9"/>
    <w:rsid w:val="00DD77C9"/>
    <w:rsid w:val="00E70920"/>
    <w:rsid w:val="00E839B0"/>
    <w:rsid w:val="00E92C09"/>
    <w:rsid w:val="00EB1B79"/>
    <w:rsid w:val="00ED3A87"/>
    <w:rsid w:val="00F0004B"/>
    <w:rsid w:val="00F35A60"/>
    <w:rsid w:val="00F57A95"/>
    <w:rsid w:val="00F6461F"/>
    <w:rsid w:val="00FA492E"/>
    <w:rsid w:val="00FD2B2D"/>
    <w:rsid w:val="00FD72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5B0D8F"/>
    <w:pPr>
      <w:spacing w:before="0"/>
    </w:pPr>
    <w:rPr>
      <w:rFonts w:ascii="Tahoma" w:hAnsi="Tahoma" w:cs="Tahoma"/>
      <w:sz w:val="16"/>
      <w:szCs w:val="16"/>
    </w:rPr>
  </w:style>
  <w:style w:type="character" w:customStyle="1" w:styleId="BalloonTextChar">
    <w:name w:val="Balloon Text Char"/>
    <w:basedOn w:val="DefaultParagraphFont"/>
    <w:link w:val="BalloonText"/>
    <w:rsid w:val="005B0D8F"/>
    <w:rPr>
      <w:rFonts w:ascii="Tahoma" w:hAnsi="Tahoma" w:cs="Tahoma"/>
      <w:sz w:val="16"/>
      <w:szCs w:val="16"/>
      <w:lang w:val="es-ES_tradnl" w:eastAsia="en-US"/>
    </w:rPr>
  </w:style>
  <w:style w:type="paragraph" w:customStyle="1" w:styleId="Reasons">
    <w:name w:val="Reasons"/>
    <w:basedOn w:val="Normal"/>
    <w:qFormat/>
    <w:rsid w:val="0090741C"/>
    <w:pPr>
      <w:tabs>
        <w:tab w:val="clear" w:pos="794"/>
        <w:tab w:val="clear" w:pos="1191"/>
        <w:tab w:val="clear" w:pos="1588"/>
        <w:tab w:val="clear" w:pos="1985"/>
      </w:tabs>
      <w:overflowPunct/>
      <w:autoSpaceDE/>
      <w:autoSpaceDN/>
      <w:adjustRightInd/>
      <w:spacing w:before="0"/>
      <w:textAlignment w:val="auto"/>
    </w:pPr>
    <w:rPr>
      <w:lang w:val="en-US"/>
    </w:rPr>
  </w:style>
  <w:style w:type="paragraph" w:styleId="PlainText">
    <w:name w:val="Plain Text"/>
    <w:basedOn w:val="Normal"/>
    <w:link w:val="PlainTextChar"/>
    <w:uiPriority w:val="99"/>
    <w:unhideWhenUsed/>
    <w:rsid w:val="00327398"/>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327398"/>
    <w:rPr>
      <w:rFonts w:ascii="Consolas" w:eastAsiaTheme="minorEastAsia" w:hAnsi="Consolas" w:cstheme="minorBidi"/>
      <w:sz w:val="21"/>
      <w:szCs w:val="21"/>
    </w:rPr>
  </w:style>
  <w:style w:type="character" w:customStyle="1" w:styleId="FootnoteTextChar">
    <w:name w:val="Footnote Text Char"/>
    <w:basedOn w:val="DefaultParagraphFont"/>
    <w:link w:val="FootnoteText"/>
    <w:locked/>
    <w:rsid w:val="00327398"/>
    <w:rPr>
      <w:rFonts w:ascii="Times New Roman" w:hAnsi="Times New Roman"/>
      <w:sz w:val="24"/>
      <w:lang w:val="es-ES_tradnl" w:eastAsia="en-US"/>
    </w:rPr>
  </w:style>
  <w:style w:type="paragraph" w:customStyle="1" w:styleId="NormalBefore0pt">
    <w:name w:val="Normal + Before:  0 pt"/>
    <w:basedOn w:val="Normal"/>
    <w:rsid w:val="001E5E88"/>
    <w:pPr>
      <w:tabs>
        <w:tab w:val="clear" w:pos="794"/>
        <w:tab w:val="clear" w:pos="1191"/>
        <w:tab w:val="clear" w:pos="1588"/>
        <w:tab w:val="clear" w:pos="1985"/>
        <w:tab w:val="left" w:pos="284"/>
      </w:tabs>
      <w:spacing w:before="0"/>
      <w:ind w:left="284" w:hanging="284"/>
    </w:pPr>
    <w:rPr>
      <w:lang w:val="es-ES"/>
    </w:rPr>
  </w:style>
  <w:style w:type="character" w:styleId="Strong">
    <w:name w:val="Strong"/>
    <w:basedOn w:val="DefaultParagraphFont"/>
    <w:uiPriority w:val="22"/>
    <w:qFormat/>
    <w:rsid w:val="00921263"/>
    <w:rPr>
      <w:b/>
      <w:bCs/>
    </w:rPr>
  </w:style>
  <w:style w:type="paragraph" w:styleId="ListParagraph">
    <w:name w:val="List Paragraph"/>
    <w:basedOn w:val="Normal"/>
    <w:uiPriority w:val="34"/>
    <w:qFormat/>
    <w:rsid w:val="00921263"/>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table" w:styleId="TableGrid">
    <w:name w:val="Table Grid"/>
    <w:basedOn w:val="TableNormal"/>
    <w:rsid w:val="00921263"/>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921263"/>
    <w:pPr>
      <w:numPr>
        <w:numId w:val="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5B0D8F"/>
    <w:pPr>
      <w:spacing w:before="0"/>
    </w:pPr>
    <w:rPr>
      <w:rFonts w:ascii="Tahoma" w:hAnsi="Tahoma" w:cs="Tahoma"/>
      <w:sz w:val="16"/>
      <w:szCs w:val="16"/>
    </w:rPr>
  </w:style>
  <w:style w:type="character" w:customStyle="1" w:styleId="BalloonTextChar">
    <w:name w:val="Balloon Text Char"/>
    <w:basedOn w:val="DefaultParagraphFont"/>
    <w:link w:val="BalloonText"/>
    <w:rsid w:val="005B0D8F"/>
    <w:rPr>
      <w:rFonts w:ascii="Tahoma" w:hAnsi="Tahoma" w:cs="Tahoma"/>
      <w:sz w:val="16"/>
      <w:szCs w:val="16"/>
      <w:lang w:val="es-ES_tradnl" w:eastAsia="en-US"/>
    </w:rPr>
  </w:style>
  <w:style w:type="paragraph" w:customStyle="1" w:styleId="Reasons">
    <w:name w:val="Reasons"/>
    <w:basedOn w:val="Normal"/>
    <w:qFormat/>
    <w:rsid w:val="0090741C"/>
    <w:pPr>
      <w:tabs>
        <w:tab w:val="clear" w:pos="794"/>
        <w:tab w:val="clear" w:pos="1191"/>
        <w:tab w:val="clear" w:pos="1588"/>
        <w:tab w:val="clear" w:pos="1985"/>
      </w:tabs>
      <w:overflowPunct/>
      <w:autoSpaceDE/>
      <w:autoSpaceDN/>
      <w:adjustRightInd/>
      <w:spacing w:before="0"/>
      <w:textAlignment w:val="auto"/>
    </w:pPr>
    <w:rPr>
      <w:lang w:val="en-US"/>
    </w:rPr>
  </w:style>
  <w:style w:type="paragraph" w:styleId="PlainText">
    <w:name w:val="Plain Text"/>
    <w:basedOn w:val="Normal"/>
    <w:link w:val="PlainTextChar"/>
    <w:uiPriority w:val="99"/>
    <w:unhideWhenUsed/>
    <w:rsid w:val="00327398"/>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327398"/>
    <w:rPr>
      <w:rFonts w:ascii="Consolas" w:eastAsiaTheme="minorEastAsia" w:hAnsi="Consolas" w:cstheme="minorBidi"/>
      <w:sz w:val="21"/>
      <w:szCs w:val="21"/>
    </w:rPr>
  </w:style>
  <w:style w:type="character" w:customStyle="1" w:styleId="FootnoteTextChar">
    <w:name w:val="Footnote Text Char"/>
    <w:basedOn w:val="DefaultParagraphFont"/>
    <w:link w:val="FootnoteText"/>
    <w:locked/>
    <w:rsid w:val="00327398"/>
    <w:rPr>
      <w:rFonts w:ascii="Times New Roman" w:hAnsi="Times New Roman"/>
      <w:sz w:val="24"/>
      <w:lang w:val="es-ES_tradnl" w:eastAsia="en-US"/>
    </w:rPr>
  </w:style>
  <w:style w:type="paragraph" w:customStyle="1" w:styleId="NormalBefore0pt">
    <w:name w:val="Normal + Before:  0 pt"/>
    <w:basedOn w:val="Normal"/>
    <w:rsid w:val="001E5E88"/>
    <w:pPr>
      <w:tabs>
        <w:tab w:val="clear" w:pos="794"/>
        <w:tab w:val="clear" w:pos="1191"/>
        <w:tab w:val="clear" w:pos="1588"/>
        <w:tab w:val="clear" w:pos="1985"/>
        <w:tab w:val="left" w:pos="284"/>
      </w:tabs>
      <w:spacing w:before="0"/>
      <w:ind w:left="284" w:hanging="284"/>
    </w:pPr>
    <w:rPr>
      <w:lang w:val="es-ES"/>
    </w:rPr>
  </w:style>
  <w:style w:type="character" w:styleId="Strong">
    <w:name w:val="Strong"/>
    <w:basedOn w:val="DefaultParagraphFont"/>
    <w:uiPriority w:val="22"/>
    <w:qFormat/>
    <w:rsid w:val="00921263"/>
    <w:rPr>
      <w:b/>
      <w:bCs/>
    </w:rPr>
  </w:style>
  <w:style w:type="paragraph" w:styleId="ListParagraph">
    <w:name w:val="List Paragraph"/>
    <w:basedOn w:val="Normal"/>
    <w:uiPriority w:val="34"/>
    <w:qFormat/>
    <w:rsid w:val="00921263"/>
    <w:pPr>
      <w:tabs>
        <w:tab w:val="clear" w:pos="794"/>
        <w:tab w:val="clear" w:pos="1191"/>
        <w:tab w:val="clear" w:pos="1588"/>
        <w:tab w:val="clear" w:pos="1985"/>
      </w:tabs>
      <w:overflowPunct/>
      <w:autoSpaceDE/>
      <w:autoSpaceDN/>
      <w:adjustRightInd/>
      <w:spacing w:before="0"/>
      <w:ind w:left="720"/>
      <w:contextualSpacing/>
      <w:textAlignment w:val="auto"/>
    </w:pPr>
    <w:rPr>
      <w:rFonts w:eastAsia="MS Mincho"/>
      <w:szCs w:val="24"/>
      <w:lang w:val="en-US"/>
    </w:rPr>
  </w:style>
  <w:style w:type="table" w:styleId="TableGrid">
    <w:name w:val="Table Grid"/>
    <w:basedOn w:val="TableNormal"/>
    <w:rsid w:val="00921263"/>
    <w:pPr>
      <w:tabs>
        <w:tab w:val="left" w:pos="794"/>
        <w:tab w:val="left" w:pos="1191"/>
        <w:tab w:val="left" w:pos="1588"/>
        <w:tab w:val="left" w:pos="1985"/>
      </w:tabs>
      <w:spacing w:before="12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uiPriority w:val="99"/>
    <w:rsid w:val="0092126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tu.int/en/ITU-T/jca/sd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pub/T-RES-T.77-2012"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tsbjcasdn@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33211-DFBC-4767-BBDE-643F2329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0</TotalTime>
  <Pages>5</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9419</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Andriamanerasoa, Tsiory</cp:lastModifiedBy>
  <cp:revision>2</cp:revision>
  <cp:lastPrinted>2013-10-23T08:25:00Z</cp:lastPrinted>
  <dcterms:created xsi:type="dcterms:W3CDTF">2013-10-23T08:33:00Z</dcterms:created>
  <dcterms:modified xsi:type="dcterms:W3CDTF">2013-10-23T08:33:00Z</dcterms:modified>
</cp:coreProperties>
</file>