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E66841" w:rsidRPr="0011167E" w:rsidTr="00426C2F">
        <w:trPr>
          <w:cantSplit/>
        </w:trPr>
        <w:tc>
          <w:tcPr>
            <w:tcW w:w="6804" w:type="dxa"/>
            <w:vAlign w:val="center"/>
          </w:tcPr>
          <w:p w:rsidR="00E66841" w:rsidRPr="0011167E" w:rsidRDefault="00E66841" w:rsidP="00426C2F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E66841" w:rsidRPr="0011167E" w:rsidRDefault="00E66841" w:rsidP="00426C2F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00D4EB0" wp14:editId="1990660B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841" w:rsidRPr="0011167E" w:rsidTr="00426C2F">
        <w:trPr>
          <w:cantSplit/>
        </w:trPr>
        <w:tc>
          <w:tcPr>
            <w:tcW w:w="6804" w:type="dxa"/>
            <w:vAlign w:val="center"/>
          </w:tcPr>
          <w:p w:rsidR="00E66841" w:rsidRPr="0011167E" w:rsidRDefault="00E66841" w:rsidP="00426C2F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E66841" w:rsidRPr="0011167E" w:rsidRDefault="00E66841" w:rsidP="00426C2F">
            <w:pPr>
              <w:rPr>
                <w:lang w:val="ru-RU"/>
              </w:rPr>
            </w:pPr>
          </w:p>
        </w:tc>
      </w:tr>
    </w:tbl>
    <w:p w:rsidR="00E66841" w:rsidRPr="00E66841" w:rsidRDefault="00E66841" w:rsidP="0013273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360" w:after="360"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ab/>
        <w:t>Женева,</w:t>
      </w:r>
      <w:r w:rsidRPr="00E66841">
        <w:rPr>
          <w:rFonts w:eastAsiaTheme="minorEastAsia"/>
          <w:sz w:val="22"/>
          <w:szCs w:val="24"/>
          <w:lang w:val="en-US"/>
        </w:rPr>
        <w:t xml:space="preserve"> </w:t>
      </w:r>
      <w:r w:rsidR="00132737">
        <w:rPr>
          <w:rFonts w:eastAsiaTheme="minorEastAsia"/>
          <w:sz w:val="22"/>
          <w:szCs w:val="24"/>
          <w:lang w:val="en-US"/>
        </w:rPr>
        <w:t xml:space="preserve">6 </w:t>
      </w:r>
      <w:r w:rsidR="00132737">
        <w:rPr>
          <w:rFonts w:eastAsiaTheme="minorEastAsia"/>
          <w:sz w:val="22"/>
          <w:szCs w:val="24"/>
          <w:lang w:val="ru-RU"/>
        </w:rPr>
        <w:t>сентября</w:t>
      </w:r>
      <w:r w:rsidRPr="00E66841">
        <w:rPr>
          <w:rFonts w:eastAsiaTheme="minorEastAsia"/>
          <w:sz w:val="22"/>
          <w:szCs w:val="24"/>
          <w:lang w:val="ru-RU"/>
        </w:rPr>
        <w:t xml:space="preserve">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E66841" w:rsidRPr="00CE4AA0" w:rsidTr="000A16E0">
        <w:trPr>
          <w:cantSplit/>
          <w:trHeight w:val="1194"/>
        </w:trPr>
        <w:tc>
          <w:tcPr>
            <w:tcW w:w="1260" w:type="dxa"/>
          </w:tcPr>
          <w:p w:rsidR="001A009D" w:rsidRDefault="00E66841" w:rsidP="001A009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proofErr w:type="spellStart"/>
            <w:r w:rsidRPr="00E66841">
              <w:rPr>
                <w:rFonts w:eastAsiaTheme="minorEastAsia"/>
                <w:sz w:val="22"/>
                <w:szCs w:val="24"/>
                <w:lang w:val="ru-RU"/>
              </w:rPr>
              <w:t>Осн</w:t>
            </w:r>
            <w:proofErr w:type="spellEnd"/>
            <w:r w:rsidRPr="00E66841">
              <w:rPr>
                <w:rFonts w:eastAsiaTheme="minorEastAsia"/>
                <w:sz w:val="22"/>
                <w:szCs w:val="24"/>
                <w:lang w:val="ru-RU"/>
              </w:rPr>
              <w:t>.:</w:t>
            </w:r>
            <w:r w:rsidR="001A009D">
              <w:rPr>
                <w:rFonts w:eastAsiaTheme="minorEastAsia"/>
                <w:sz w:val="22"/>
                <w:szCs w:val="24"/>
                <w:lang w:val="ru-RU"/>
              </w:rPr>
              <w:br/>
            </w:r>
          </w:p>
          <w:p w:rsidR="001A009D" w:rsidRPr="00E66841" w:rsidRDefault="001A009D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Тел.: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br/>
              <w:t>Факс: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br/>
              <w:t>Эл</w:t>
            </w:r>
            <w:proofErr w:type="gramStart"/>
            <w:r w:rsidRPr="00E66841">
              <w:rPr>
                <w:rFonts w:eastAsiaTheme="minorEastAsia"/>
                <w:sz w:val="22"/>
                <w:szCs w:val="24"/>
                <w:lang w:val="ru-RU"/>
              </w:rPr>
              <w:t>.</w:t>
            </w:r>
            <w:proofErr w:type="gramEnd"/>
            <w:r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 </w:t>
            </w:r>
            <w:proofErr w:type="gramStart"/>
            <w:r w:rsidRPr="00E66841">
              <w:rPr>
                <w:rFonts w:eastAsiaTheme="minorEastAsia"/>
                <w:sz w:val="22"/>
                <w:szCs w:val="24"/>
                <w:lang w:val="ru-RU"/>
              </w:rPr>
              <w:t>п</w:t>
            </w:r>
            <w:proofErr w:type="gramEnd"/>
            <w:r w:rsidRPr="00E66841">
              <w:rPr>
                <w:rFonts w:eastAsiaTheme="minorEastAsia"/>
                <w:sz w:val="22"/>
                <w:szCs w:val="24"/>
                <w:lang w:val="ru-RU"/>
              </w:rPr>
              <w:t>очта:</w:t>
            </w:r>
          </w:p>
        </w:tc>
        <w:tc>
          <w:tcPr>
            <w:tcW w:w="4140" w:type="dxa"/>
          </w:tcPr>
          <w:p w:rsidR="00E66841" w:rsidRPr="00570615" w:rsidRDefault="00E66841" w:rsidP="0013273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Циркуляр</w:t>
            </w:r>
            <w:r w:rsidRPr="00570615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</w:t>
            </w:r>
            <w:r w:rsidR="00132737" w:rsidRPr="00570615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49</w:t>
            </w:r>
            <w:r w:rsidRPr="00570615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БСЭ</w:t>
            </w:r>
            <w:r w:rsidRPr="00570615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br/>
            </w:r>
          </w:p>
          <w:p w:rsidR="001A009D" w:rsidRPr="00E66841" w:rsidRDefault="001A009D" w:rsidP="0013273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+41 22 730 </w:t>
            </w:r>
            <w:r w:rsidR="00132737" w:rsidRPr="00570615">
              <w:rPr>
                <w:rFonts w:eastAsiaTheme="minorEastAsia"/>
                <w:sz w:val="22"/>
                <w:szCs w:val="24"/>
                <w:lang w:val="ru-RU"/>
              </w:rPr>
              <w:t>6226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 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br/>
              <w:t>+41 22 730 5853</w:t>
            </w:r>
          </w:p>
          <w:p w:rsidR="001A009D" w:rsidRPr="00CE4AA0" w:rsidRDefault="00CE4AA0" w:rsidP="00CE4AA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hyperlink r:id="rId10" w:history="1">
              <w:r w:rsidRPr="00573277">
                <w:rPr>
                  <w:rStyle w:val="Hyperlink"/>
                  <w:rFonts w:eastAsiaTheme="minorEastAsia"/>
                  <w:sz w:val="22"/>
                  <w:szCs w:val="24"/>
                  <w:lang w:val="en-US"/>
                </w:rPr>
                <w:t>interop</w:t>
              </w:r>
              <w:r w:rsidRPr="00CE4AA0">
                <w:rPr>
                  <w:rStyle w:val="Hyperlink"/>
                  <w:rFonts w:eastAsiaTheme="minorEastAsia"/>
                  <w:sz w:val="22"/>
                  <w:szCs w:val="24"/>
                  <w:lang w:val="ru-RU"/>
                </w:rPr>
                <w:t>@</w:t>
              </w:r>
              <w:r w:rsidRPr="00573277">
                <w:rPr>
                  <w:rStyle w:val="Hyperlink"/>
                  <w:rFonts w:eastAsiaTheme="minorEastAsia"/>
                  <w:sz w:val="22"/>
                  <w:szCs w:val="24"/>
                  <w:lang w:val="en-US"/>
                </w:rPr>
                <w:t>itu</w:t>
              </w:r>
              <w:r w:rsidRPr="00CE4AA0">
                <w:rPr>
                  <w:rStyle w:val="Hyperlink"/>
                  <w:rFonts w:eastAsiaTheme="minorEastAsia"/>
                  <w:sz w:val="22"/>
                  <w:szCs w:val="24"/>
                  <w:lang w:val="ru-RU"/>
                </w:rPr>
                <w:t>.</w:t>
              </w:r>
              <w:proofErr w:type="spellStart"/>
              <w:r w:rsidRPr="00573277">
                <w:rPr>
                  <w:rStyle w:val="Hyperlink"/>
                  <w:rFonts w:eastAsiaTheme="minorEastAsia"/>
                  <w:sz w:val="22"/>
                  <w:szCs w:val="24"/>
                  <w:lang w:val="en-US"/>
                </w:rPr>
                <w:t>int</w:t>
              </w:r>
              <w:proofErr w:type="spellEnd"/>
            </w:hyperlink>
            <w:r w:rsidRPr="00CE4AA0">
              <w:rPr>
                <w:rFonts w:eastAsiaTheme="minorEastAsia"/>
                <w:sz w:val="22"/>
                <w:szCs w:val="24"/>
                <w:lang w:val="ru-RU"/>
              </w:rPr>
              <w:t xml:space="preserve"> </w:t>
            </w:r>
          </w:p>
        </w:tc>
        <w:tc>
          <w:tcPr>
            <w:tcW w:w="4320" w:type="dxa"/>
          </w:tcPr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Администрациям Государств – Членов Союза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Членам Сектора МСЭ-Т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Ассоциированным членам МСЭ-Т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Академическим организациям − Членам МСЭ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noBreakHyphen/>
              <w:t>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  <w:tr w:rsidR="00E66841" w:rsidRPr="00CE4AA0" w:rsidTr="000A16E0">
        <w:trPr>
          <w:cantSplit/>
          <w:trHeight w:val="20"/>
        </w:trPr>
        <w:tc>
          <w:tcPr>
            <w:tcW w:w="1260" w:type="dxa"/>
          </w:tcPr>
          <w:p w:rsidR="00E66841" w:rsidRPr="00E66841" w:rsidRDefault="00E66841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4140" w:type="dxa"/>
          </w:tcPr>
          <w:p w:rsidR="00E66841" w:rsidRPr="00E66841" w:rsidRDefault="00E66841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4320" w:type="dxa"/>
          </w:tcPr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Копии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>: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 xml:space="preserve">Председателям и заместителям председателей </w:t>
            </w:r>
            <w:r w:rsidR="009B03BF"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исследовательских 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>комиссий МСЭ-Т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Директору Бюро радиосвязи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</w:tbl>
    <w:p w:rsidR="00E66841" w:rsidRPr="001C5E55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E66841" w:rsidRPr="00CE4AA0" w:rsidTr="000A16E0">
        <w:trPr>
          <w:cantSplit/>
          <w:trHeight w:val="680"/>
        </w:trPr>
        <w:tc>
          <w:tcPr>
            <w:tcW w:w="1260" w:type="dxa"/>
          </w:tcPr>
          <w:p w:rsidR="00E66841" w:rsidRPr="001C5E55" w:rsidRDefault="00E66841" w:rsidP="00426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  <w:r w:rsidRPr="001C5E55">
              <w:rPr>
                <w:rFonts w:eastAsiaTheme="minorEastAsia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E66841" w:rsidRPr="001C5E55" w:rsidRDefault="00E66841" w:rsidP="001C5E5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1C5E55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>Совместное мероприятие МСЭ</w:t>
            </w:r>
            <w:r w:rsidR="00570615" w:rsidRPr="001C5E55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>/</w:t>
            </w:r>
            <w:r w:rsidR="00570615" w:rsidRPr="001C5E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/>
              </w:rPr>
              <w:t>Continua</w:t>
            </w:r>
            <w:r w:rsidR="00570615" w:rsidRPr="001C5E55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70615" w:rsidRPr="001C5E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/>
              </w:rPr>
              <w:t>Health</w:t>
            </w:r>
            <w:r w:rsidR="00570615" w:rsidRPr="001C5E55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70615" w:rsidRPr="001C5E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/>
              </w:rPr>
              <w:t>Alliance</w:t>
            </w:r>
            <w:r w:rsidRPr="001C5E55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 xml:space="preserve">, </w:t>
            </w:r>
            <w:r w:rsidR="00570615" w:rsidRPr="001C5E55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 xml:space="preserve">посвященное проверке на функциональную совместимость </w:t>
            </w:r>
            <w:r w:rsidR="001C5E55" w:rsidRPr="001C5E55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 xml:space="preserve">в области электронного здравоохранения </w:t>
            </w:r>
            <w:r w:rsidR="00570615" w:rsidRPr="001C5E55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>и ее демонстрации</w:t>
            </w:r>
            <w:r w:rsidR="00570615" w:rsidRPr="001C5E55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; Женева, Швейцария, 28–31 октября 2013 года</w:t>
            </w:r>
          </w:p>
        </w:tc>
      </w:tr>
    </w:tbl>
    <w:p w:rsidR="00E66841" w:rsidRPr="001C5E55" w:rsidRDefault="00E66841" w:rsidP="00426C2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/>
        <w:rPr>
          <w:rFonts w:eastAsiaTheme="minorEastAsia"/>
          <w:sz w:val="22"/>
          <w:szCs w:val="22"/>
          <w:lang w:val="ru-RU"/>
        </w:rPr>
      </w:pPr>
      <w:r w:rsidRPr="001C5E55">
        <w:rPr>
          <w:rFonts w:eastAsiaTheme="minorEastAsia"/>
          <w:sz w:val="22"/>
          <w:szCs w:val="22"/>
          <w:lang w:val="ru-RU"/>
        </w:rPr>
        <w:t>Уважаемая госпожа,</w:t>
      </w:r>
      <w:r w:rsidRPr="001C5E55">
        <w:rPr>
          <w:rFonts w:eastAsiaTheme="minorEastAsia"/>
          <w:sz w:val="22"/>
          <w:szCs w:val="22"/>
          <w:lang w:val="ru-RU"/>
        </w:rPr>
        <w:br/>
        <w:t>уважаемый господин,</w:t>
      </w:r>
    </w:p>
    <w:p w:rsidR="00570615" w:rsidRPr="001C5E55" w:rsidRDefault="00E66841" w:rsidP="00AC79C9">
      <w:pPr>
        <w:rPr>
          <w:rFonts w:asciiTheme="majorBidi" w:hAnsiTheme="majorBidi" w:cstheme="majorBidi"/>
          <w:sz w:val="22"/>
          <w:szCs w:val="22"/>
          <w:lang w:val="ru-RU"/>
        </w:rPr>
      </w:pPr>
      <w:r w:rsidRPr="001C5E55">
        <w:rPr>
          <w:rFonts w:eastAsiaTheme="minorEastAsia"/>
          <w:sz w:val="22"/>
          <w:szCs w:val="22"/>
          <w:lang w:val="ru-RU"/>
        </w:rPr>
        <w:t>1</w:t>
      </w:r>
      <w:proofErr w:type="gramStart"/>
      <w:r w:rsidRPr="001C5E55">
        <w:rPr>
          <w:rFonts w:eastAsiaTheme="minorEastAsia"/>
          <w:sz w:val="22"/>
          <w:szCs w:val="22"/>
          <w:lang w:val="ru-RU"/>
        </w:rPr>
        <w:tab/>
        <w:t>Х</w:t>
      </w:r>
      <w:proofErr w:type="gramEnd"/>
      <w:r w:rsidRPr="001C5E55">
        <w:rPr>
          <w:rFonts w:eastAsiaTheme="minorEastAsia"/>
          <w:sz w:val="22"/>
          <w:szCs w:val="22"/>
          <w:lang w:val="ru-RU"/>
        </w:rPr>
        <w:t xml:space="preserve">отел бы сообщить </w:t>
      </w:r>
      <w:r w:rsidR="001C7FB4" w:rsidRPr="001C5E55">
        <w:rPr>
          <w:rFonts w:eastAsiaTheme="minorEastAsia"/>
          <w:sz w:val="22"/>
          <w:szCs w:val="22"/>
          <w:lang w:val="ru-RU"/>
        </w:rPr>
        <w:t>вам</w:t>
      </w:r>
      <w:r w:rsidRPr="001C5E55">
        <w:rPr>
          <w:rFonts w:eastAsiaTheme="minorEastAsia"/>
          <w:sz w:val="22"/>
          <w:szCs w:val="22"/>
          <w:lang w:val="ru-RU"/>
        </w:rPr>
        <w:t xml:space="preserve">, </w:t>
      </w:r>
      <w:r w:rsidR="00570615" w:rsidRPr="001C5E55">
        <w:rPr>
          <w:rFonts w:eastAsiaTheme="minorEastAsia"/>
          <w:sz w:val="22"/>
          <w:szCs w:val="22"/>
          <w:lang w:val="ru-RU"/>
        </w:rPr>
        <w:t>что Совместное мероприятие МСЭ/</w:t>
      </w:r>
      <w:r w:rsidR="00570615" w:rsidRPr="001C5E55">
        <w:rPr>
          <w:rFonts w:asciiTheme="majorBidi" w:hAnsiTheme="majorBidi" w:cstheme="majorBidi"/>
          <w:sz w:val="22"/>
          <w:szCs w:val="22"/>
          <w:lang w:val="en-CA"/>
        </w:rPr>
        <w:t>Continua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570615" w:rsidRPr="001C5E55">
        <w:rPr>
          <w:rFonts w:asciiTheme="majorBidi" w:hAnsiTheme="majorBidi" w:cstheme="majorBidi"/>
          <w:sz w:val="22"/>
          <w:szCs w:val="22"/>
          <w:lang w:val="en-CA"/>
        </w:rPr>
        <w:t>Health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570615" w:rsidRPr="001C5E55">
        <w:rPr>
          <w:rFonts w:asciiTheme="majorBidi" w:hAnsiTheme="majorBidi" w:cstheme="majorBidi"/>
          <w:sz w:val="22"/>
          <w:szCs w:val="22"/>
          <w:lang w:val="en-CA"/>
        </w:rPr>
        <w:t>Alliance</w:t>
      </w:r>
      <w:r w:rsidR="00570615" w:rsidRPr="001C5E55">
        <w:rPr>
          <w:rFonts w:eastAsiaTheme="minorEastAsia"/>
          <w:sz w:val="22"/>
          <w:szCs w:val="22"/>
          <w:lang w:val="ru-RU"/>
        </w:rPr>
        <w:t>, посвященное функциональной совместимости в области электронного здравоохранения</w:t>
      </w:r>
      <w:r w:rsidR="00570615" w:rsidRPr="00ED2E7D">
        <w:rPr>
          <w:rFonts w:eastAsiaTheme="minorEastAsia"/>
          <w:sz w:val="22"/>
          <w:szCs w:val="22"/>
          <w:lang w:val="ru-RU"/>
        </w:rPr>
        <w:t>,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 xml:space="preserve"> пройдет с</w:t>
      </w:r>
      <w:r w:rsidR="001C5E5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BE5DFA">
        <w:rPr>
          <w:rFonts w:asciiTheme="majorBidi" w:hAnsiTheme="majorBidi" w:cstheme="majorBidi"/>
          <w:sz w:val="22"/>
          <w:szCs w:val="22"/>
          <w:lang w:val="ru-RU"/>
        </w:rPr>
        <w:t>28 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>по 31 октября 2013 года в штаб-ква</w:t>
      </w:r>
      <w:r w:rsidR="00ED2E7D">
        <w:rPr>
          <w:rFonts w:asciiTheme="majorBidi" w:hAnsiTheme="majorBidi" w:cstheme="majorBidi"/>
          <w:sz w:val="22"/>
          <w:szCs w:val="22"/>
          <w:lang w:val="ru-RU"/>
        </w:rPr>
        <w:t xml:space="preserve">ртире МСЭ в Женеве, Швейцария. 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>Компонент</w:t>
      </w:r>
      <w:r w:rsidR="001C5E55">
        <w:rPr>
          <w:rFonts w:asciiTheme="majorBidi" w:hAnsiTheme="majorBidi" w:cstheme="majorBidi"/>
          <w:sz w:val="22"/>
          <w:szCs w:val="22"/>
          <w:lang w:val="ru-RU"/>
        </w:rPr>
        <w:t xml:space="preserve"> мероприятия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>, касающийся проверки, будет проводиться 30–31</w:t>
      </w:r>
      <w:r w:rsidR="00570615" w:rsidRPr="001C5E55">
        <w:rPr>
          <w:rFonts w:asciiTheme="majorBidi" w:hAnsiTheme="majorBidi" w:cstheme="majorBidi"/>
          <w:sz w:val="22"/>
          <w:szCs w:val="22"/>
          <w:lang w:val="en-US"/>
        </w:rPr>
        <w:t> 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>октября 2013</w:t>
      </w:r>
      <w:r w:rsidR="00570615" w:rsidRPr="001C5E55">
        <w:rPr>
          <w:rFonts w:asciiTheme="majorBidi" w:hAnsiTheme="majorBidi" w:cstheme="majorBidi"/>
          <w:sz w:val="22"/>
          <w:szCs w:val="22"/>
          <w:lang w:val="en-US"/>
        </w:rPr>
        <w:t> 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>года, а до этого</w:t>
      </w:r>
      <w:r w:rsidR="00AC79C9" w:rsidRPr="001C5E55">
        <w:rPr>
          <w:rFonts w:asciiTheme="majorBidi" w:hAnsiTheme="majorBidi" w:cstheme="majorBidi"/>
          <w:sz w:val="22"/>
          <w:szCs w:val="22"/>
          <w:lang w:val="ru-RU"/>
        </w:rPr>
        <w:t>, 28–29 октября 2013 года,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 xml:space="preserve"> пройдут </w:t>
      </w:r>
      <w:r w:rsidR="00AC79C9" w:rsidRPr="001C5E55">
        <w:rPr>
          <w:rFonts w:asciiTheme="majorBidi" w:hAnsiTheme="majorBidi" w:cstheme="majorBidi"/>
          <w:sz w:val="22"/>
          <w:szCs w:val="22"/>
          <w:lang w:val="ru-RU"/>
        </w:rPr>
        <w:t>заседания, посвященные демонстрации и профессиональной подготовке в области электронного здравоохранения</w:t>
      </w:r>
      <w:r w:rsidR="00570615" w:rsidRPr="001C5E55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570615" w:rsidRPr="001C5E55" w:rsidRDefault="00570615" w:rsidP="00AC79C9">
      <w:pPr>
        <w:rPr>
          <w:rFonts w:asciiTheme="majorBidi" w:hAnsiTheme="majorBidi" w:cstheme="majorBidi"/>
          <w:sz w:val="22"/>
          <w:szCs w:val="22"/>
          <w:lang w:val="ru-RU"/>
        </w:rPr>
      </w:pPr>
      <w:proofErr w:type="gramStart"/>
      <w:r w:rsidRPr="001C5E55">
        <w:rPr>
          <w:rFonts w:asciiTheme="majorBidi" w:hAnsiTheme="majorBidi" w:cstheme="majorBidi"/>
          <w:sz w:val="22"/>
          <w:szCs w:val="22"/>
          <w:lang w:val="ru-RU"/>
        </w:rPr>
        <w:t>2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ab/>
      </w:r>
      <w:r w:rsidR="00AC79C9" w:rsidRPr="001C5E55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Проверка </w:t>
      </w:r>
      <w:r w:rsidR="00AC79C9" w:rsidRPr="001C5E55">
        <w:rPr>
          <w:rFonts w:asciiTheme="majorBidi" w:hAnsiTheme="majorBidi" w:cstheme="majorBidi"/>
          <w:sz w:val="22"/>
          <w:szCs w:val="22"/>
          <w:lang w:val="ru-RU"/>
        </w:rPr>
        <w:t xml:space="preserve">будет включать проверку на соответствие и/или функциональную совместимость устройств, приложений, услуг и технологических платформ электронного здравоохранения согласно проекту Рекомендации </w:t>
      </w:r>
      <w:hyperlink r:id="rId11" w:history="1">
        <w:r w:rsidR="00AC79C9"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>МСЭ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>-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T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 xml:space="preserve"> 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H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>.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IDGPHS</w:t>
        </w:r>
      </w:hyperlink>
      <w:r w:rsidRPr="001C5E55">
        <w:rPr>
          <w:rFonts w:asciiTheme="majorBidi" w:eastAsia="MS Mincho" w:hAnsiTheme="majorBidi" w:cstheme="majorBidi"/>
          <w:sz w:val="22"/>
          <w:szCs w:val="22"/>
          <w:lang w:val="ru-RU"/>
        </w:rPr>
        <w:t xml:space="preserve"> "</w:t>
      </w:r>
      <w:r w:rsidR="00AC79C9" w:rsidRPr="001C5E55">
        <w:rPr>
          <w:rFonts w:asciiTheme="majorBidi" w:hAnsiTheme="majorBidi" w:cstheme="majorBidi"/>
          <w:color w:val="000000"/>
          <w:sz w:val="22"/>
          <w:szCs w:val="22"/>
          <w:lang w:val="ru-RU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1C5E55">
        <w:rPr>
          <w:rFonts w:asciiTheme="majorBidi" w:eastAsia="MS Mincho" w:hAnsiTheme="majorBidi" w:cstheme="majorBidi"/>
          <w:sz w:val="22"/>
          <w:szCs w:val="22"/>
          <w:lang w:val="ru-RU"/>
        </w:rPr>
        <w:t xml:space="preserve">" </w:t>
      </w:r>
      <w:r w:rsidR="00AC79C9" w:rsidRPr="001C5E55">
        <w:rPr>
          <w:rFonts w:asciiTheme="majorBidi" w:eastAsia="MS Mincho" w:hAnsiTheme="majorBidi" w:cstheme="majorBidi"/>
          <w:sz w:val="22"/>
          <w:szCs w:val="22"/>
          <w:lang w:val="ru-RU"/>
        </w:rPr>
        <w:t xml:space="preserve">на основании руководящих указаний по планированию </w:t>
      </w:r>
      <w:r w:rsidRPr="001C5E55">
        <w:rPr>
          <w:rFonts w:asciiTheme="majorBidi" w:eastAsia="MS Mincho" w:hAnsiTheme="majorBidi" w:cstheme="majorBidi"/>
          <w:sz w:val="22"/>
          <w:szCs w:val="22"/>
        </w:rPr>
        <w:t>Continua</w:t>
      </w:r>
      <w:r w:rsidRPr="001C5E55">
        <w:rPr>
          <w:rFonts w:asciiTheme="majorBidi" w:eastAsia="MS Mincho" w:hAnsiTheme="majorBidi" w:cstheme="majorBidi"/>
          <w:sz w:val="22"/>
          <w:szCs w:val="22"/>
          <w:lang w:val="ru-RU"/>
        </w:rPr>
        <w:t xml:space="preserve"> </w:t>
      </w:r>
      <w:r w:rsidRPr="001C5E55">
        <w:rPr>
          <w:rFonts w:asciiTheme="majorBidi" w:eastAsia="MS Mincho" w:hAnsiTheme="majorBidi" w:cstheme="majorBidi"/>
          <w:sz w:val="22"/>
          <w:szCs w:val="22"/>
        </w:rPr>
        <w:t>Health</w:t>
      </w:r>
      <w:r w:rsidRPr="001C5E55">
        <w:rPr>
          <w:rFonts w:asciiTheme="majorBidi" w:eastAsia="MS Mincho" w:hAnsiTheme="majorBidi" w:cstheme="majorBidi"/>
          <w:sz w:val="22"/>
          <w:szCs w:val="22"/>
          <w:lang w:val="ru-RU"/>
        </w:rPr>
        <w:t xml:space="preserve"> </w:t>
      </w:r>
      <w:r w:rsidRPr="001C5E55">
        <w:rPr>
          <w:rFonts w:asciiTheme="majorBidi" w:eastAsia="MS Mincho" w:hAnsiTheme="majorBidi" w:cstheme="majorBidi"/>
          <w:sz w:val="22"/>
          <w:szCs w:val="22"/>
        </w:rPr>
        <w:t>Alliance</w:t>
      </w:r>
      <w:r w:rsidR="00AC79C9" w:rsidRPr="001C5E55">
        <w:rPr>
          <w:rFonts w:asciiTheme="majorBidi" w:eastAsia="MS Mincho" w:hAnsiTheme="majorBidi" w:cstheme="majorBidi"/>
          <w:sz w:val="22"/>
          <w:szCs w:val="22"/>
          <w:lang w:val="ru-RU"/>
        </w:rPr>
        <w:t>, которые размещены по адресу</w:t>
      </w:r>
      <w:r w:rsidRPr="001C5E55">
        <w:rPr>
          <w:rFonts w:asciiTheme="majorBidi" w:eastAsia="MS Mincho" w:hAnsiTheme="majorBidi" w:cstheme="majorBidi"/>
          <w:sz w:val="22"/>
          <w:szCs w:val="22"/>
          <w:lang w:val="ru-RU"/>
        </w:rPr>
        <w:t xml:space="preserve">: </w:t>
      </w:r>
      <w:hyperlink r:id="rId12" w:history="1"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http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>://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www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>.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continuaalliance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>.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org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>/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prod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u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cts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>/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design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  <w:lang w:val="ru-RU"/>
          </w:rPr>
          <w:t>-</w:t>
        </w:r>
        <w:r w:rsidRPr="001C5E55">
          <w:rPr>
            <w:rStyle w:val="Hyperlink"/>
            <w:rFonts w:asciiTheme="majorBidi" w:eastAsia="MS Mincho" w:hAnsiTheme="majorBidi" w:cstheme="majorBidi"/>
            <w:sz w:val="22"/>
            <w:szCs w:val="22"/>
          </w:rPr>
          <w:t>guidelines</w:t>
        </w:r>
      </w:hyperlink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AC79C9" w:rsidRPr="001C5E55">
        <w:rPr>
          <w:rFonts w:asciiTheme="majorBidi" w:hAnsiTheme="majorBidi" w:cstheme="majorBidi"/>
          <w:sz w:val="22"/>
          <w:szCs w:val="22"/>
          <w:lang w:val="ru-RU"/>
        </w:rPr>
        <w:t>Участники смогут обмениваться результатами проверки</w:t>
      </w:r>
      <w:proofErr w:type="gramEnd"/>
      <w:r w:rsidR="00AC79C9" w:rsidRPr="001C5E55">
        <w:rPr>
          <w:rFonts w:asciiTheme="majorBidi" w:hAnsiTheme="majorBidi" w:cstheme="majorBidi"/>
          <w:sz w:val="22"/>
          <w:szCs w:val="22"/>
          <w:lang w:val="ru-RU"/>
        </w:rPr>
        <w:t xml:space="preserve"> на функциональную совместимость на двусторонней основе, используя такие инструменты, как соглашения о неразглашении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 (</w:t>
      </w:r>
      <w:r w:rsidRPr="001C5E55">
        <w:rPr>
          <w:rFonts w:asciiTheme="majorBidi" w:hAnsiTheme="majorBidi" w:cstheme="majorBidi"/>
          <w:sz w:val="22"/>
          <w:szCs w:val="22"/>
        </w:rPr>
        <w:t>NDA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). </w:t>
      </w:r>
    </w:p>
    <w:p w:rsidR="00570615" w:rsidRPr="001C5E55" w:rsidRDefault="00570615" w:rsidP="00ED2E7D">
      <w:pPr>
        <w:rPr>
          <w:rFonts w:asciiTheme="majorBidi" w:hAnsiTheme="majorBidi" w:cstheme="majorBidi"/>
          <w:sz w:val="22"/>
          <w:szCs w:val="22"/>
          <w:lang w:val="ru-RU"/>
        </w:rPr>
      </w:pPr>
      <w:r w:rsidRPr="001C5E55">
        <w:rPr>
          <w:rFonts w:asciiTheme="majorBidi" w:hAnsiTheme="majorBidi" w:cstheme="majorBidi"/>
          <w:sz w:val="22"/>
          <w:szCs w:val="22"/>
          <w:lang w:val="ru-RU"/>
        </w:rPr>
        <w:t>3</w:t>
      </w:r>
      <w:proofErr w:type="gramStart"/>
      <w:r w:rsidRPr="001C5E55">
        <w:rPr>
          <w:rFonts w:asciiTheme="majorBidi" w:hAnsiTheme="majorBidi" w:cstheme="majorBidi"/>
          <w:sz w:val="22"/>
          <w:szCs w:val="22"/>
          <w:lang w:val="ru-RU"/>
        </w:rPr>
        <w:tab/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П</w:t>
      </w:r>
      <w:proofErr w:type="gramEnd"/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 xml:space="preserve">еред этим состоится </w:t>
      </w:r>
      <w:r w:rsidR="000A3222" w:rsidRPr="001C5E55">
        <w:rPr>
          <w:rFonts w:asciiTheme="majorBidi" w:hAnsiTheme="majorBidi" w:cstheme="majorBidi"/>
          <w:b/>
          <w:bCs/>
          <w:sz w:val="22"/>
          <w:szCs w:val="22"/>
          <w:lang w:val="ru-RU"/>
        </w:rPr>
        <w:t>демонстрация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, которая будет открыта для публики и где будут показаны новые продукты производителей, участвующих в мероприятии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Целью демонстрации будет показ значения информации по передовым технологиям электронного здравоохранения и ведущейся в МСЭ-Т работе по стандартизации, а также распространение этой информации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Каждый</w:t>
      </w:r>
      <w:r w:rsidR="000A3222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вечер</w:t>
      </w:r>
      <w:r w:rsidR="000A3222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будут</w:t>
      </w:r>
      <w:r w:rsidR="000A3222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1C5E55">
        <w:rPr>
          <w:rFonts w:asciiTheme="majorBidi" w:hAnsiTheme="majorBidi" w:cstheme="majorBidi"/>
          <w:sz w:val="22"/>
          <w:szCs w:val="22"/>
          <w:lang w:val="ru-RU"/>
        </w:rPr>
        <w:t xml:space="preserve">также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проводит</w:t>
      </w:r>
      <w:r w:rsidR="001C5E55">
        <w:rPr>
          <w:rFonts w:asciiTheme="majorBidi" w:hAnsiTheme="majorBidi" w:cstheme="majorBidi"/>
          <w:sz w:val="22"/>
          <w:szCs w:val="22"/>
          <w:lang w:val="ru-RU"/>
        </w:rPr>
        <w:t>ь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ся</w:t>
      </w:r>
      <w:r w:rsidR="000A3222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двухчасовые</w:t>
      </w:r>
      <w:r w:rsidR="000A3222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занятия</w:t>
      </w:r>
      <w:r w:rsidR="000A3222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профессиональной</w:t>
      </w:r>
      <w:r w:rsidR="000A3222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>подготовк</w:t>
      </w:r>
      <w:r w:rsidR="00ED2E7D">
        <w:rPr>
          <w:rFonts w:asciiTheme="majorBidi" w:hAnsiTheme="majorBidi" w:cstheme="majorBidi"/>
          <w:sz w:val="22"/>
          <w:szCs w:val="22"/>
          <w:lang w:val="ru-RU"/>
        </w:rPr>
        <w:t>и по электронному здравоохранению</w:t>
      </w:r>
      <w:r w:rsidRPr="00BE5DFA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0A3222" w:rsidRPr="001C5E55">
        <w:rPr>
          <w:rFonts w:asciiTheme="majorBidi" w:hAnsiTheme="majorBidi" w:cstheme="majorBidi"/>
          <w:sz w:val="22"/>
          <w:szCs w:val="22"/>
          <w:lang w:val="ru-RU"/>
        </w:rPr>
        <w:t xml:space="preserve">Информация об этих занятиях будет размещена на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 xml:space="preserve">веб-сайте МСЭ, </w:t>
      </w:r>
      <w:proofErr w:type="gramStart"/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посвященном</w:t>
      </w:r>
      <w:proofErr w:type="gramEnd"/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 xml:space="preserve"> функциональной совместимости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: </w:t>
      </w:r>
      <w:hyperlink r:id="rId13" w:history="1"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www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proofErr w:type="spellStart"/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proofErr w:type="spellEnd"/>
        <w:r w:rsidRPr="001C5E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proofErr w:type="spellStart"/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  <w:proofErr w:type="spellEnd"/>
        <w:r w:rsidRPr="001C5E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i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n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terop</w:t>
        </w:r>
        <w:proofErr w:type="spellEnd"/>
      </w:hyperlink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 .</w:t>
      </w:r>
    </w:p>
    <w:p w:rsidR="00ED2E7D" w:rsidRDefault="00ED2E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br w:type="page"/>
      </w:r>
    </w:p>
    <w:p w:rsidR="00570615" w:rsidRPr="001C5E55" w:rsidRDefault="00570615" w:rsidP="001C5E55">
      <w:pPr>
        <w:rPr>
          <w:rFonts w:asciiTheme="majorBidi" w:hAnsiTheme="majorBidi" w:cstheme="majorBidi"/>
          <w:sz w:val="22"/>
          <w:szCs w:val="22"/>
          <w:lang w:val="ru-RU"/>
        </w:rPr>
      </w:pPr>
      <w:r w:rsidRPr="001C5E55">
        <w:rPr>
          <w:rFonts w:asciiTheme="majorBidi" w:hAnsiTheme="majorBidi" w:cstheme="majorBidi"/>
          <w:sz w:val="22"/>
          <w:szCs w:val="22"/>
          <w:lang w:val="ru-RU"/>
        </w:rPr>
        <w:lastRenderedPageBreak/>
        <w:t>4</w:t>
      </w:r>
      <w:proofErr w:type="gramStart"/>
      <w:r w:rsidRPr="001C5E55">
        <w:rPr>
          <w:rFonts w:asciiTheme="majorBidi" w:hAnsiTheme="majorBidi" w:cstheme="majorBidi"/>
          <w:sz w:val="22"/>
          <w:szCs w:val="22"/>
          <w:lang w:val="ru-RU"/>
        </w:rPr>
        <w:tab/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Э</w:t>
      </w:r>
      <w:proofErr w:type="gramEnd"/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то совместное мероприятие будет способствовать функциональной совместимости</w:t>
      </w:r>
      <w:r w:rsidR="001C5E55">
        <w:rPr>
          <w:rFonts w:asciiTheme="majorBidi" w:hAnsiTheme="majorBidi" w:cstheme="majorBidi"/>
          <w:sz w:val="22"/>
          <w:szCs w:val="22"/>
          <w:lang w:val="ru-RU"/>
        </w:rPr>
        <w:t xml:space="preserve"> в области электронного здравоохранения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, повысит осведомленность о значении открытых, глобальных, общих и функционально совместимых стандартов и обеспечит исследовательским комиссиям МСЭ-Т обратную связь для дальнейших исследований с целью нахождения решений для проблем функциональной совместимости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Это мероприятие также ускорит и активизирует понимание Программы МСЭ по соответствию и функциональной совместимости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 (</w:t>
      </w:r>
      <w:r w:rsidRPr="001C5E55">
        <w:rPr>
          <w:rFonts w:asciiTheme="majorBidi" w:hAnsiTheme="majorBidi" w:cstheme="majorBidi"/>
          <w:sz w:val="22"/>
          <w:szCs w:val="22"/>
        </w:rPr>
        <w:t>C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>&amp;</w:t>
      </w:r>
      <w:r w:rsidRPr="001C5E55">
        <w:rPr>
          <w:rFonts w:asciiTheme="majorBidi" w:hAnsiTheme="majorBidi" w:cstheme="majorBidi"/>
          <w:sz w:val="22"/>
          <w:szCs w:val="22"/>
        </w:rPr>
        <w:t>I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)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и других видов деятельности, относящихся к созданию потенциала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1C5E55">
        <w:rPr>
          <w:rFonts w:asciiTheme="majorBidi" w:hAnsiTheme="majorBidi" w:cstheme="majorBidi"/>
          <w:sz w:val="22"/>
          <w:szCs w:val="22"/>
        </w:rPr>
        <w:t>C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>&amp;</w:t>
      </w:r>
      <w:r w:rsidRPr="001C5E55">
        <w:rPr>
          <w:rFonts w:asciiTheme="majorBidi" w:hAnsiTheme="majorBidi" w:cstheme="majorBidi"/>
          <w:sz w:val="22"/>
          <w:szCs w:val="22"/>
        </w:rPr>
        <w:t>I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</w:p>
    <w:p w:rsidR="00570615" w:rsidRPr="00BE5DFA" w:rsidRDefault="00570615" w:rsidP="001C5E55">
      <w:pPr>
        <w:rPr>
          <w:rFonts w:asciiTheme="majorBidi" w:hAnsiTheme="majorBidi" w:cstheme="majorBidi"/>
          <w:sz w:val="22"/>
          <w:szCs w:val="22"/>
          <w:lang w:val="ru-RU"/>
        </w:rPr>
      </w:pPr>
      <w:r w:rsidRPr="001C5E55">
        <w:rPr>
          <w:rFonts w:asciiTheme="majorBidi" w:hAnsiTheme="majorBidi" w:cstheme="majorBidi"/>
          <w:sz w:val="22"/>
          <w:szCs w:val="22"/>
          <w:lang w:val="ru-RU"/>
        </w:rPr>
        <w:t>5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ab/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 xml:space="preserve">Мероприятие открыто для членов как МСЭ, так и </w:t>
      </w:r>
      <w:r w:rsidRPr="001C5E55">
        <w:rPr>
          <w:rFonts w:asciiTheme="majorBidi" w:hAnsiTheme="majorBidi" w:cstheme="majorBidi"/>
          <w:sz w:val="22"/>
          <w:szCs w:val="22"/>
        </w:rPr>
        <w:t>Continua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1C5E55" w:rsidRPr="001C5E55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Плата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для организаций, участвующих в мероприятии по проверке и/или демонстрации (как экспоненты), составит 1000</w:t>
      </w:r>
      <w:r w:rsidR="001C5E55" w:rsidRPr="001C5E55">
        <w:rPr>
          <w:rFonts w:asciiTheme="majorBidi" w:hAnsiTheme="majorBidi" w:cstheme="majorBidi"/>
          <w:sz w:val="22"/>
          <w:szCs w:val="22"/>
          <w:lang w:val="en-US"/>
        </w:rPr>
        <w:t> 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долл. США на одну организацию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 (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включая плату за одного участника от организации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)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плюс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150 долл. США за каждого дополнительного участника от организации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Посещение</w:t>
      </w:r>
      <w:r w:rsidR="001C5E55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демонстрации</w:t>
      </w:r>
      <w:r w:rsidR="001C5E55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для</w:t>
      </w:r>
      <w:r w:rsidR="001C5E55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публики</w:t>
      </w:r>
      <w:r w:rsidR="001C5E55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будет</w:t>
      </w:r>
      <w:r w:rsidR="001C5E55" w:rsidRPr="00BE5DFA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бесплатным</w:t>
      </w:r>
      <w:r w:rsidRPr="00BE5DFA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</w:p>
    <w:p w:rsidR="00570615" w:rsidRPr="001C5E55" w:rsidRDefault="00570615" w:rsidP="001C5E55">
      <w:pPr>
        <w:rPr>
          <w:rFonts w:asciiTheme="majorBidi" w:hAnsiTheme="majorBidi" w:cstheme="majorBidi"/>
          <w:sz w:val="22"/>
          <w:szCs w:val="22"/>
          <w:lang w:val="ru-RU"/>
        </w:rPr>
      </w:pPr>
      <w:proofErr w:type="gramStart"/>
      <w:r w:rsidRPr="001C5E55">
        <w:rPr>
          <w:rFonts w:asciiTheme="majorBidi" w:hAnsiTheme="majorBidi" w:cstheme="majorBidi"/>
          <w:sz w:val="22"/>
          <w:szCs w:val="22"/>
          <w:lang w:val="ru-RU"/>
        </w:rPr>
        <w:t>6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ab/>
      </w:r>
      <w:r w:rsidR="001C5E55" w:rsidRPr="001C5E55">
        <w:rPr>
          <w:rFonts w:asciiTheme="majorBidi" w:hAnsiTheme="majorBidi" w:cstheme="majorBidi"/>
          <w:b/>
          <w:bCs/>
          <w:sz w:val="22"/>
          <w:szCs w:val="22"/>
          <w:lang w:val="ru-RU"/>
        </w:rPr>
        <w:t>Регистрация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: </w:t>
      </w:r>
      <w:r w:rsidR="001C5E55" w:rsidRPr="001C5E55">
        <w:rPr>
          <w:rFonts w:eastAsiaTheme="minorEastAsia"/>
          <w:sz w:val="22"/>
          <w:szCs w:val="22"/>
          <w:lang w:val="ru-RU"/>
        </w:rPr>
        <w:t>с тем чтобы мы могли принять необходимые меры в отношении организации мероприятия, был бы признателен, если бы вы смогли зарегистрироваться по адресу</w:t>
      </w:r>
      <w:r w:rsidR="00ED2E7D">
        <w:rPr>
          <w:rFonts w:eastAsiaTheme="minorEastAsia"/>
          <w:sz w:val="22"/>
          <w:szCs w:val="22"/>
          <w:lang w:val="ru-RU"/>
        </w:rPr>
        <w:t>: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hyperlink r:id="rId14" w:history="1"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www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i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n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t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interop</w:t>
        </w:r>
      </w:hyperlink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1C5E55" w:rsidRPr="001C5E55">
        <w:rPr>
          <w:rFonts w:eastAsiaTheme="minorEastAsia"/>
          <w:sz w:val="22"/>
          <w:szCs w:val="22"/>
          <w:lang w:val="ru-RU"/>
        </w:rPr>
        <w:t xml:space="preserve">возможно скорее и </w:t>
      </w:r>
      <w:r w:rsidR="001C5E55" w:rsidRPr="001C5E55">
        <w:rPr>
          <w:rFonts w:eastAsiaTheme="minorEastAsia"/>
          <w:b/>
          <w:bCs/>
          <w:sz w:val="22"/>
          <w:szCs w:val="22"/>
          <w:lang w:val="ru-RU"/>
        </w:rPr>
        <w:t>не позднее</w:t>
      </w:r>
      <w:r w:rsidRPr="001C5E55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30</w:t>
      </w:r>
      <w:r w:rsidR="001C5E55" w:rsidRPr="001C5E55">
        <w:rPr>
          <w:rFonts w:asciiTheme="majorBidi" w:hAnsiTheme="majorBidi" w:cstheme="majorBidi"/>
          <w:b/>
          <w:bCs/>
          <w:sz w:val="22"/>
          <w:szCs w:val="22"/>
          <w:lang w:val="en-US"/>
        </w:rPr>
        <w:t> </w:t>
      </w:r>
      <w:r w:rsidR="001C5E55" w:rsidRPr="001C5E55">
        <w:rPr>
          <w:rFonts w:asciiTheme="majorBidi" w:hAnsiTheme="majorBidi" w:cstheme="majorBidi"/>
          <w:b/>
          <w:bCs/>
          <w:sz w:val="22"/>
          <w:szCs w:val="22"/>
          <w:lang w:val="ru-RU"/>
        </w:rPr>
        <w:t>сентября</w:t>
      </w:r>
      <w:r w:rsidRPr="001C5E55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2013</w:t>
      </w:r>
      <w:r w:rsidR="001C5E55" w:rsidRPr="001C5E55">
        <w:rPr>
          <w:rFonts w:asciiTheme="majorBidi" w:hAnsiTheme="majorBidi" w:cstheme="majorBidi"/>
          <w:b/>
          <w:bCs/>
          <w:sz w:val="22"/>
          <w:szCs w:val="22"/>
          <w:lang w:val="ru-RU"/>
        </w:rPr>
        <w:t> года</w:t>
      </w:r>
      <w:r w:rsidRPr="001C5E55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r w:rsidR="001C5E55" w:rsidRPr="001C5E55">
        <w:rPr>
          <w:rFonts w:asciiTheme="majorBidi" w:hAnsiTheme="majorBidi" w:cstheme="majorBidi"/>
          <w:sz w:val="22"/>
          <w:szCs w:val="22"/>
          <w:lang w:val="ru-RU"/>
        </w:rPr>
        <w:t>для участия в проверке и/или демонстрации (в качестве экспонентов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>)</w:t>
      </w:r>
      <w:r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, </w:t>
      </w:r>
      <w:r w:rsidR="001C5E55"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>тогда как посетителям демонстрации предлагается связаться с нами по адресу</w:t>
      </w:r>
      <w:r w:rsidR="00ED2E7D">
        <w:rPr>
          <w:rFonts w:asciiTheme="majorBidi" w:eastAsiaTheme="minorEastAsia" w:hAnsiTheme="majorBidi" w:cstheme="majorBidi"/>
          <w:sz w:val="22"/>
          <w:szCs w:val="22"/>
          <w:lang w:val="ru-RU"/>
        </w:rPr>
        <w:t>:</w:t>
      </w:r>
      <w:r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 </w:t>
      </w:r>
      <w:hyperlink r:id="rId15" w:history="1">
        <w:proofErr w:type="gramEnd"/>
        <w:r w:rsidRPr="001C5E55">
          <w:rPr>
            <w:rStyle w:val="Hyperlink"/>
            <w:rFonts w:asciiTheme="majorBidi" w:eastAsiaTheme="minorEastAsia" w:hAnsiTheme="majorBidi" w:cstheme="majorBidi"/>
            <w:sz w:val="22"/>
            <w:szCs w:val="22"/>
          </w:rPr>
          <w:t>interop</w:t>
        </w:r>
        <w:r w:rsidRPr="001C5E55">
          <w:rPr>
            <w:rStyle w:val="Hyperlink"/>
            <w:rFonts w:asciiTheme="majorBidi" w:eastAsiaTheme="minorEastAsia" w:hAnsiTheme="majorBidi" w:cstheme="majorBidi"/>
            <w:sz w:val="22"/>
            <w:szCs w:val="22"/>
            <w:lang w:val="ru-RU"/>
          </w:rPr>
          <w:t>@</w:t>
        </w:r>
        <w:r w:rsidRPr="001C5E55">
          <w:rPr>
            <w:rStyle w:val="Hyperlink"/>
            <w:rFonts w:asciiTheme="majorBidi" w:eastAsiaTheme="minorEastAsia" w:hAnsiTheme="majorBidi" w:cstheme="majorBidi"/>
            <w:sz w:val="22"/>
            <w:szCs w:val="22"/>
          </w:rPr>
          <w:t>itu</w:t>
        </w:r>
        <w:r w:rsidRPr="001C5E55">
          <w:rPr>
            <w:rStyle w:val="Hyperlink"/>
            <w:rFonts w:asciiTheme="majorBidi" w:eastAsiaTheme="minorEastAsia" w:hAnsiTheme="majorBidi" w:cstheme="majorBidi"/>
            <w:sz w:val="22"/>
            <w:szCs w:val="22"/>
            <w:lang w:val="ru-RU"/>
          </w:rPr>
          <w:t>.</w:t>
        </w:r>
        <w:r w:rsidRPr="001C5E55">
          <w:rPr>
            <w:rStyle w:val="Hyperlink"/>
            <w:rFonts w:asciiTheme="majorBidi" w:eastAsiaTheme="minorEastAsia" w:hAnsiTheme="majorBidi" w:cstheme="majorBidi"/>
            <w:sz w:val="22"/>
            <w:szCs w:val="22"/>
          </w:rPr>
          <w:t>int</w:t>
        </w:r>
      </w:hyperlink>
      <w:r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 </w:t>
      </w:r>
      <w:r w:rsidR="001C5E55"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>до</w:t>
      </w:r>
      <w:r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 21</w:t>
      </w:r>
      <w:r w:rsidR="001C5E55"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> октября</w:t>
      </w:r>
      <w:r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 2013</w:t>
      </w:r>
      <w:r w:rsidR="001C5E55"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> года</w:t>
      </w:r>
      <w:r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. </w:t>
      </w:r>
      <w:r w:rsidR="001C5E55"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Подробная информация по мероприятию размещена на веб-сайте МСЭ, </w:t>
      </w:r>
      <w:proofErr w:type="gramStart"/>
      <w:r w:rsidR="001C5E55"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>посвященном</w:t>
      </w:r>
      <w:proofErr w:type="gramEnd"/>
      <w:r w:rsidR="001C5E55" w:rsidRPr="001C5E55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 функциональной совместимости</w:t>
      </w:r>
      <w:r w:rsidRPr="001C5E55">
        <w:rPr>
          <w:rFonts w:asciiTheme="majorBidi" w:hAnsiTheme="majorBidi" w:cstheme="majorBidi"/>
          <w:sz w:val="22"/>
          <w:szCs w:val="22"/>
          <w:lang w:val="ru-RU"/>
        </w:rPr>
        <w:t xml:space="preserve">: </w:t>
      </w:r>
      <w:hyperlink r:id="rId16" w:history="1"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www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i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n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t</w:t>
        </w:r>
        <w:r w:rsidRPr="001C5E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Pr="001C5E55">
          <w:rPr>
            <w:rStyle w:val="Hyperlink"/>
            <w:rFonts w:asciiTheme="majorBidi" w:hAnsiTheme="majorBidi" w:cstheme="majorBidi"/>
            <w:sz w:val="22"/>
            <w:szCs w:val="22"/>
          </w:rPr>
          <w:t>interop</w:t>
        </w:r>
        <w:proofErr w:type="spellEnd"/>
      </w:hyperlink>
      <w:r w:rsidRPr="001C5E55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E66841" w:rsidRPr="00E66841" w:rsidRDefault="00E66841" w:rsidP="00570615">
      <w:pPr>
        <w:overflowPunct/>
        <w:autoSpaceDE/>
        <w:autoSpaceDN/>
        <w:adjustRightInd/>
        <w:spacing w:before="240"/>
        <w:textAlignment w:val="auto"/>
        <w:rPr>
          <w:rFonts w:eastAsiaTheme="minorEastAsia"/>
          <w:sz w:val="22"/>
          <w:lang w:val="ru-RU"/>
        </w:rPr>
      </w:pPr>
      <w:r w:rsidRPr="00E66841">
        <w:rPr>
          <w:rFonts w:eastAsiaTheme="minorEastAsia"/>
          <w:sz w:val="22"/>
          <w:lang w:val="ru-RU"/>
        </w:rPr>
        <w:t>С уважением,</w:t>
      </w:r>
    </w:p>
    <w:p w:rsidR="00E66841" w:rsidRPr="00E66841" w:rsidRDefault="00E66841" w:rsidP="00E66841">
      <w:pPr>
        <w:overflowPunct/>
        <w:autoSpaceDE/>
        <w:autoSpaceDN/>
        <w:adjustRightInd/>
        <w:spacing w:before="1080"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>Малколм Джонсон</w:t>
      </w:r>
      <w:r w:rsidRPr="00E66841">
        <w:rPr>
          <w:rFonts w:eastAsiaTheme="minorEastAsia"/>
          <w:sz w:val="22"/>
          <w:szCs w:val="24"/>
          <w:lang w:val="ru-RU"/>
        </w:rPr>
        <w:br/>
        <w:t>Директор Бюро</w:t>
      </w:r>
      <w:r w:rsidRPr="00E66841">
        <w:rPr>
          <w:rFonts w:eastAsiaTheme="minorEastAsia"/>
          <w:sz w:val="22"/>
          <w:szCs w:val="24"/>
          <w:lang w:val="ru-RU"/>
        </w:rPr>
        <w:br/>
        <w:t>стандартизации электросвязи</w:t>
      </w:r>
    </w:p>
    <w:sectPr w:rsidR="00E66841" w:rsidRPr="00E66841" w:rsidSect="00C87221">
      <w:headerReference w:type="default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E7" w:rsidRDefault="00D64CE7">
      <w:r>
        <w:separator/>
      </w:r>
    </w:p>
  </w:endnote>
  <w:endnote w:type="continuationSeparator" w:id="0">
    <w:p w:rsidR="00D64CE7" w:rsidRDefault="00D6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FA" w:rsidRPr="00CE4AA0" w:rsidRDefault="00CE4AA0" w:rsidP="00BE5DFA">
    <w:pPr>
      <w:pStyle w:val="Footer"/>
      <w:rPr>
        <w:sz w:val="16"/>
        <w:szCs w:val="16"/>
        <w:lang w:val="fr-FR"/>
      </w:rPr>
    </w:pPr>
    <w:r w:rsidRPr="00CE4AA0">
      <w:rPr>
        <w:sz w:val="16"/>
        <w:szCs w:val="16"/>
        <w:lang w:val="fr-FR"/>
      </w:rPr>
      <w:t>itu-t\bureau\circ\049r.docx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E5DFA" w:rsidRPr="00EF273F" w:rsidTr="006415C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BE5DFA" w:rsidRPr="00EF273F" w:rsidTr="006415C0">
      <w:trPr>
        <w:cantSplit/>
      </w:trPr>
      <w:tc>
        <w:tcPr>
          <w:tcW w:w="1062" w:type="pct"/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BE5DFA" w:rsidRPr="00EF273F" w:rsidTr="006415C0">
      <w:trPr>
        <w:cantSplit/>
      </w:trPr>
      <w:tc>
        <w:tcPr>
          <w:tcW w:w="1062" w:type="pct"/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E5DFA" w:rsidRPr="00EF273F" w:rsidRDefault="00BE5DFA" w:rsidP="006415C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BE5DFA" w:rsidRDefault="00BE5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E7" w:rsidRDefault="00D64CE7">
      <w:r>
        <w:t>____________________</w:t>
      </w:r>
    </w:p>
  </w:footnote>
  <w:footnote w:type="continuationSeparator" w:id="0">
    <w:p w:rsidR="00D64CE7" w:rsidRDefault="00D6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FA" w:rsidRPr="00BE5DFA" w:rsidRDefault="00CE4AA0" w:rsidP="00BE5DFA">
    <w:pPr>
      <w:pStyle w:val="Header"/>
      <w:rPr>
        <w:sz w:val="18"/>
        <w:szCs w:val="18"/>
        <w:lang w:val="ru-RU"/>
      </w:rPr>
    </w:pPr>
    <w:sdt>
      <w:sdtPr>
        <w:rPr>
          <w:sz w:val="18"/>
          <w:szCs w:val="18"/>
        </w:rPr>
        <w:id w:val="3489119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E5DFA" w:rsidRPr="00BE5DFA">
          <w:rPr>
            <w:sz w:val="18"/>
            <w:szCs w:val="18"/>
          </w:rPr>
          <w:fldChar w:fldCharType="begin"/>
        </w:r>
        <w:r w:rsidR="00BE5DFA" w:rsidRPr="00BE5DFA">
          <w:rPr>
            <w:sz w:val="18"/>
            <w:szCs w:val="18"/>
          </w:rPr>
          <w:instrText xml:space="preserve"> PAGE   \* MERGEFORMAT </w:instrText>
        </w:r>
        <w:r w:rsidR="00BE5DFA" w:rsidRPr="00BE5DF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- 2 -</w:t>
        </w:r>
        <w:r w:rsidR="00BE5DFA" w:rsidRPr="00BE5DFA">
          <w:rPr>
            <w:noProof/>
            <w:sz w:val="18"/>
            <w:szCs w:val="1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7"/>
  </w:num>
  <w:num w:numId="4">
    <w:abstractNumId w:val="36"/>
  </w:num>
  <w:num w:numId="5">
    <w:abstractNumId w:val="17"/>
  </w:num>
  <w:num w:numId="6">
    <w:abstractNumId w:val="30"/>
  </w:num>
  <w:num w:numId="7">
    <w:abstractNumId w:val="4"/>
  </w:num>
  <w:num w:numId="8">
    <w:abstractNumId w:val="14"/>
  </w:num>
  <w:num w:numId="9">
    <w:abstractNumId w:val="33"/>
  </w:num>
  <w:num w:numId="10">
    <w:abstractNumId w:val="13"/>
  </w:num>
  <w:num w:numId="11">
    <w:abstractNumId w:val="15"/>
  </w:num>
  <w:num w:numId="12">
    <w:abstractNumId w:val="39"/>
  </w:num>
  <w:num w:numId="13">
    <w:abstractNumId w:val="16"/>
  </w:num>
  <w:num w:numId="14">
    <w:abstractNumId w:val="18"/>
  </w:num>
  <w:num w:numId="15">
    <w:abstractNumId w:val="0"/>
  </w:num>
  <w:num w:numId="16">
    <w:abstractNumId w:val="32"/>
  </w:num>
  <w:num w:numId="17">
    <w:abstractNumId w:val="12"/>
  </w:num>
  <w:num w:numId="18">
    <w:abstractNumId w:val="26"/>
  </w:num>
  <w:num w:numId="19">
    <w:abstractNumId w:val="8"/>
  </w:num>
  <w:num w:numId="20">
    <w:abstractNumId w:val="29"/>
  </w:num>
  <w:num w:numId="21">
    <w:abstractNumId w:val="23"/>
  </w:num>
  <w:num w:numId="22">
    <w:abstractNumId w:val="11"/>
  </w:num>
  <w:num w:numId="23">
    <w:abstractNumId w:val="1"/>
  </w:num>
  <w:num w:numId="24">
    <w:abstractNumId w:val="5"/>
  </w:num>
  <w:num w:numId="25">
    <w:abstractNumId w:val="24"/>
  </w:num>
  <w:num w:numId="26">
    <w:abstractNumId w:val="7"/>
  </w:num>
  <w:num w:numId="27">
    <w:abstractNumId w:val="35"/>
  </w:num>
  <w:num w:numId="28">
    <w:abstractNumId w:val="10"/>
  </w:num>
  <w:num w:numId="29">
    <w:abstractNumId w:val="2"/>
  </w:num>
  <w:num w:numId="30">
    <w:abstractNumId w:val="21"/>
  </w:num>
  <w:num w:numId="31">
    <w:abstractNumId w:val="3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34"/>
  </w:num>
  <w:num w:numId="37">
    <w:abstractNumId w:val="28"/>
  </w:num>
  <w:num w:numId="38">
    <w:abstractNumId w:val="38"/>
  </w:num>
  <w:num w:numId="39">
    <w:abstractNumId w:val="20"/>
  </w:num>
  <w:num w:numId="40">
    <w:abstractNumId w:val="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11144"/>
    <w:rsid w:val="00011892"/>
    <w:rsid w:val="00013F72"/>
    <w:rsid w:val="00017E65"/>
    <w:rsid w:val="00026E5A"/>
    <w:rsid w:val="00035C46"/>
    <w:rsid w:val="000376F6"/>
    <w:rsid w:val="00051A63"/>
    <w:rsid w:val="00056AA9"/>
    <w:rsid w:val="00057635"/>
    <w:rsid w:val="00060952"/>
    <w:rsid w:val="00067ECA"/>
    <w:rsid w:val="00073963"/>
    <w:rsid w:val="0008198D"/>
    <w:rsid w:val="0009124E"/>
    <w:rsid w:val="000950B3"/>
    <w:rsid w:val="000A145F"/>
    <w:rsid w:val="000A3222"/>
    <w:rsid w:val="000A4E25"/>
    <w:rsid w:val="000B4048"/>
    <w:rsid w:val="000C209B"/>
    <w:rsid w:val="000D0987"/>
    <w:rsid w:val="000E54E9"/>
    <w:rsid w:val="000E581A"/>
    <w:rsid w:val="000F1051"/>
    <w:rsid w:val="000F3D72"/>
    <w:rsid w:val="00123EF1"/>
    <w:rsid w:val="00125014"/>
    <w:rsid w:val="00125634"/>
    <w:rsid w:val="001259FD"/>
    <w:rsid w:val="00132737"/>
    <w:rsid w:val="00132E06"/>
    <w:rsid w:val="00133444"/>
    <w:rsid w:val="00133B7C"/>
    <w:rsid w:val="001368EB"/>
    <w:rsid w:val="00136A3A"/>
    <w:rsid w:val="00153390"/>
    <w:rsid w:val="00155586"/>
    <w:rsid w:val="001569C6"/>
    <w:rsid w:val="00163DDB"/>
    <w:rsid w:val="001677A4"/>
    <w:rsid w:val="00167879"/>
    <w:rsid w:val="00170565"/>
    <w:rsid w:val="00173307"/>
    <w:rsid w:val="00174053"/>
    <w:rsid w:val="00175825"/>
    <w:rsid w:val="00187336"/>
    <w:rsid w:val="0019121A"/>
    <w:rsid w:val="001A009D"/>
    <w:rsid w:val="001A153B"/>
    <w:rsid w:val="001A1759"/>
    <w:rsid w:val="001A1D22"/>
    <w:rsid w:val="001A2BAA"/>
    <w:rsid w:val="001A30E7"/>
    <w:rsid w:val="001A508C"/>
    <w:rsid w:val="001C058E"/>
    <w:rsid w:val="001C5E55"/>
    <w:rsid w:val="001C7FB4"/>
    <w:rsid w:val="001D228A"/>
    <w:rsid w:val="001F4A2E"/>
    <w:rsid w:val="0020032D"/>
    <w:rsid w:val="002010FE"/>
    <w:rsid w:val="00235DB9"/>
    <w:rsid w:val="002378BD"/>
    <w:rsid w:val="00241044"/>
    <w:rsid w:val="00244F57"/>
    <w:rsid w:val="00252B18"/>
    <w:rsid w:val="00283707"/>
    <w:rsid w:val="00284516"/>
    <w:rsid w:val="002906AD"/>
    <w:rsid w:val="00296B7F"/>
    <w:rsid w:val="0029740F"/>
    <w:rsid w:val="002C2A8C"/>
    <w:rsid w:val="002D3853"/>
    <w:rsid w:val="002D646E"/>
    <w:rsid w:val="002E10AF"/>
    <w:rsid w:val="002E257E"/>
    <w:rsid w:val="002E63DC"/>
    <w:rsid w:val="002F22F6"/>
    <w:rsid w:val="002F2E6C"/>
    <w:rsid w:val="002F3773"/>
    <w:rsid w:val="002F63A3"/>
    <w:rsid w:val="00300758"/>
    <w:rsid w:val="00301C86"/>
    <w:rsid w:val="0031744E"/>
    <w:rsid w:val="00325F3A"/>
    <w:rsid w:val="00334D0E"/>
    <w:rsid w:val="003520AF"/>
    <w:rsid w:val="00364389"/>
    <w:rsid w:val="00377F50"/>
    <w:rsid w:val="00383092"/>
    <w:rsid w:val="00386E4E"/>
    <w:rsid w:val="003B6294"/>
    <w:rsid w:val="003C1132"/>
    <w:rsid w:val="003C595E"/>
    <w:rsid w:val="003E620E"/>
    <w:rsid w:val="003E7A21"/>
    <w:rsid w:val="003F3552"/>
    <w:rsid w:val="0040485D"/>
    <w:rsid w:val="00405CD7"/>
    <w:rsid w:val="00406224"/>
    <w:rsid w:val="00414CBB"/>
    <w:rsid w:val="004259C3"/>
    <w:rsid w:val="00426C2F"/>
    <w:rsid w:val="004354F0"/>
    <w:rsid w:val="00454DFC"/>
    <w:rsid w:val="004556D7"/>
    <w:rsid w:val="00463772"/>
    <w:rsid w:val="00473B59"/>
    <w:rsid w:val="00480A04"/>
    <w:rsid w:val="0048397C"/>
    <w:rsid w:val="004856BC"/>
    <w:rsid w:val="00497175"/>
    <w:rsid w:val="004A1A1D"/>
    <w:rsid w:val="004B3E2D"/>
    <w:rsid w:val="004D7697"/>
    <w:rsid w:val="004F2C2A"/>
    <w:rsid w:val="00506865"/>
    <w:rsid w:val="005209C7"/>
    <w:rsid w:val="00523839"/>
    <w:rsid w:val="00570615"/>
    <w:rsid w:val="00583B87"/>
    <w:rsid w:val="0059537F"/>
    <w:rsid w:val="005A73A6"/>
    <w:rsid w:val="005B3270"/>
    <w:rsid w:val="005B53C7"/>
    <w:rsid w:val="005C7BD2"/>
    <w:rsid w:val="005E175B"/>
    <w:rsid w:val="005E2083"/>
    <w:rsid w:val="005E54DC"/>
    <w:rsid w:val="005E54DF"/>
    <w:rsid w:val="005F4AB7"/>
    <w:rsid w:val="005F5D50"/>
    <w:rsid w:val="005F6B35"/>
    <w:rsid w:val="0060122C"/>
    <w:rsid w:val="00602A75"/>
    <w:rsid w:val="00604878"/>
    <w:rsid w:val="00611736"/>
    <w:rsid w:val="0063589E"/>
    <w:rsid w:val="0064149D"/>
    <w:rsid w:val="00646117"/>
    <w:rsid w:val="00650071"/>
    <w:rsid w:val="00651FD4"/>
    <w:rsid w:val="00683DDC"/>
    <w:rsid w:val="00690FA5"/>
    <w:rsid w:val="00697500"/>
    <w:rsid w:val="00697D21"/>
    <w:rsid w:val="006A10E7"/>
    <w:rsid w:val="006B7D20"/>
    <w:rsid w:val="006B7E42"/>
    <w:rsid w:val="006C0802"/>
    <w:rsid w:val="006C3929"/>
    <w:rsid w:val="006C48F9"/>
    <w:rsid w:val="006C53DB"/>
    <w:rsid w:val="006D279E"/>
    <w:rsid w:val="006D2FDF"/>
    <w:rsid w:val="006E14BC"/>
    <w:rsid w:val="006E2381"/>
    <w:rsid w:val="006E51D9"/>
    <w:rsid w:val="006E66FC"/>
    <w:rsid w:val="006E7C16"/>
    <w:rsid w:val="006F1ABE"/>
    <w:rsid w:val="00703064"/>
    <w:rsid w:val="00703612"/>
    <w:rsid w:val="00704936"/>
    <w:rsid w:val="007108BB"/>
    <w:rsid w:val="007212FB"/>
    <w:rsid w:val="00724A84"/>
    <w:rsid w:val="007328B1"/>
    <w:rsid w:val="0073603C"/>
    <w:rsid w:val="00760405"/>
    <w:rsid w:val="0078244B"/>
    <w:rsid w:val="00785658"/>
    <w:rsid w:val="00787F7B"/>
    <w:rsid w:val="00790273"/>
    <w:rsid w:val="007A0468"/>
    <w:rsid w:val="007A710E"/>
    <w:rsid w:val="007A7287"/>
    <w:rsid w:val="007A7444"/>
    <w:rsid w:val="007B5425"/>
    <w:rsid w:val="007C52E5"/>
    <w:rsid w:val="007D3E49"/>
    <w:rsid w:val="00801170"/>
    <w:rsid w:val="008171E1"/>
    <w:rsid w:val="00833B55"/>
    <w:rsid w:val="00837DF6"/>
    <w:rsid w:val="00846550"/>
    <w:rsid w:val="008504F8"/>
    <w:rsid w:val="008551B2"/>
    <w:rsid w:val="008634B7"/>
    <w:rsid w:val="0087225E"/>
    <w:rsid w:val="008762A1"/>
    <w:rsid w:val="008776AB"/>
    <w:rsid w:val="00877EA3"/>
    <w:rsid w:val="008804F6"/>
    <w:rsid w:val="008900D5"/>
    <w:rsid w:val="0089011D"/>
    <w:rsid w:val="00891922"/>
    <w:rsid w:val="008A53D6"/>
    <w:rsid w:val="008A6911"/>
    <w:rsid w:val="008B0DBC"/>
    <w:rsid w:val="008B5F31"/>
    <w:rsid w:val="008B7140"/>
    <w:rsid w:val="008D10C6"/>
    <w:rsid w:val="008F18FA"/>
    <w:rsid w:val="009070F9"/>
    <w:rsid w:val="00910089"/>
    <w:rsid w:val="00910799"/>
    <w:rsid w:val="009339A5"/>
    <w:rsid w:val="00940256"/>
    <w:rsid w:val="009560C7"/>
    <w:rsid w:val="00963579"/>
    <w:rsid w:val="009822E1"/>
    <w:rsid w:val="00987C72"/>
    <w:rsid w:val="009942BF"/>
    <w:rsid w:val="009A22F8"/>
    <w:rsid w:val="009B03BF"/>
    <w:rsid w:val="009D618F"/>
    <w:rsid w:val="009D7DF1"/>
    <w:rsid w:val="009E1168"/>
    <w:rsid w:val="009E41DE"/>
    <w:rsid w:val="00A23A16"/>
    <w:rsid w:val="00A240D9"/>
    <w:rsid w:val="00A42838"/>
    <w:rsid w:val="00A5282C"/>
    <w:rsid w:val="00A55116"/>
    <w:rsid w:val="00A661B0"/>
    <w:rsid w:val="00A74919"/>
    <w:rsid w:val="00A74F2E"/>
    <w:rsid w:val="00A82C84"/>
    <w:rsid w:val="00A870FA"/>
    <w:rsid w:val="00AA4AEF"/>
    <w:rsid w:val="00AA552E"/>
    <w:rsid w:val="00AB391D"/>
    <w:rsid w:val="00AB73BC"/>
    <w:rsid w:val="00AC287A"/>
    <w:rsid w:val="00AC3528"/>
    <w:rsid w:val="00AC79C9"/>
    <w:rsid w:val="00AD3CCC"/>
    <w:rsid w:val="00AE1F2D"/>
    <w:rsid w:val="00AE6D52"/>
    <w:rsid w:val="00AE76E1"/>
    <w:rsid w:val="00AF037E"/>
    <w:rsid w:val="00AF2D52"/>
    <w:rsid w:val="00AF3FB9"/>
    <w:rsid w:val="00B0579C"/>
    <w:rsid w:val="00B12825"/>
    <w:rsid w:val="00B37274"/>
    <w:rsid w:val="00B404FD"/>
    <w:rsid w:val="00B41739"/>
    <w:rsid w:val="00B43C45"/>
    <w:rsid w:val="00B51197"/>
    <w:rsid w:val="00B529FF"/>
    <w:rsid w:val="00B65895"/>
    <w:rsid w:val="00B75E6E"/>
    <w:rsid w:val="00B865AE"/>
    <w:rsid w:val="00B877D7"/>
    <w:rsid w:val="00B91A6F"/>
    <w:rsid w:val="00B94E81"/>
    <w:rsid w:val="00B96400"/>
    <w:rsid w:val="00BA2D1A"/>
    <w:rsid w:val="00BB173B"/>
    <w:rsid w:val="00BB4836"/>
    <w:rsid w:val="00BC15CF"/>
    <w:rsid w:val="00BC2315"/>
    <w:rsid w:val="00BC5B49"/>
    <w:rsid w:val="00BE4BEE"/>
    <w:rsid w:val="00BE5DFA"/>
    <w:rsid w:val="00BE7A62"/>
    <w:rsid w:val="00BF1617"/>
    <w:rsid w:val="00C14C4F"/>
    <w:rsid w:val="00C30E04"/>
    <w:rsid w:val="00C3256E"/>
    <w:rsid w:val="00C35D65"/>
    <w:rsid w:val="00C60E22"/>
    <w:rsid w:val="00C65438"/>
    <w:rsid w:val="00C7740C"/>
    <w:rsid w:val="00C87221"/>
    <w:rsid w:val="00C90A08"/>
    <w:rsid w:val="00C91CD0"/>
    <w:rsid w:val="00CB45B6"/>
    <w:rsid w:val="00CC1937"/>
    <w:rsid w:val="00CD595E"/>
    <w:rsid w:val="00CD79C5"/>
    <w:rsid w:val="00CE4AA0"/>
    <w:rsid w:val="00CF1C60"/>
    <w:rsid w:val="00CF1CC7"/>
    <w:rsid w:val="00D0335E"/>
    <w:rsid w:val="00D061A1"/>
    <w:rsid w:val="00D14E0E"/>
    <w:rsid w:val="00D20EE6"/>
    <w:rsid w:val="00D25AFE"/>
    <w:rsid w:val="00D25F11"/>
    <w:rsid w:val="00D27786"/>
    <w:rsid w:val="00D3619C"/>
    <w:rsid w:val="00D46AE2"/>
    <w:rsid w:val="00D50E3C"/>
    <w:rsid w:val="00D550B8"/>
    <w:rsid w:val="00D64B8E"/>
    <w:rsid w:val="00D64CE7"/>
    <w:rsid w:val="00D76491"/>
    <w:rsid w:val="00D8717A"/>
    <w:rsid w:val="00DA11D1"/>
    <w:rsid w:val="00DB5171"/>
    <w:rsid w:val="00DC67C4"/>
    <w:rsid w:val="00E175F0"/>
    <w:rsid w:val="00E30B45"/>
    <w:rsid w:val="00E31150"/>
    <w:rsid w:val="00E37103"/>
    <w:rsid w:val="00E4666B"/>
    <w:rsid w:val="00E575E4"/>
    <w:rsid w:val="00E66841"/>
    <w:rsid w:val="00E679E5"/>
    <w:rsid w:val="00E70A7F"/>
    <w:rsid w:val="00E730E7"/>
    <w:rsid w:val="00E74C03"/>
    <w:rsid w:val="00E83E20"/>
    <w:rsid w:val="00EA3F42"/>
    <w:rsid w:val="00EB051A"/>
    <w:rsid w:val="00EB137D"/>
    <w:rsid w:val="00EB2C29"/>
    <w:rsid w:val="00EB56D8"/>
    <w:rsid w:val="00EC6A5F"/>
    <w:rsid w:val="00ED2E7D"/>
    <w:rsid w:val="00ED6CCA"/>
    <w:rsid w:val="00ED7C59"/>
    <w:rsid w:val="00EE0B70"/>
    <w:rsid w:val="00EE186F"/>
    <w:rsid w:val="00EE5108"/>
    <w:rsid w:val="00EE6D69"/>
    <w:rsid w:val="00EE7C30"/>
    <w:rsid w:val="00F00ACF"/>
    <w:rsid w:val="00F015AB"/>
    <w:rsid w:val="00F02FEB"/>
    <w:rsid w:val="00F047DB"/>
    <w:rsid w:val="00F0530B"/>
    <w:rsid w:val="00F054D4"/>
    <w:rsid w:val="00F141EA"/>
    <w:rsid w:val="00F3043C"/>
    <w:rsid w:val="00F44583"/>
    <w:rsid w:val="00F472BF"/>
    <w:rsid w:val="00F52ECA"/>
    <w:rsid w:val="00F603DF"/>
    <w:rsid w:val="00F64376"/>
    <w:rsid w:val="00F6610D"/>
    <w:rsid w:val="00F70815"/>
    <w:rsid w:val="00F7412C"/>
    <w:rsid w:val="00F746EA"/>
    <w:rsid w:val="00F76C23"/>
    <w:rsid w:val="00F92A3C"/>
    <w:rsid w:val="00F93F2F"/>
    <w:rsid w:val="00FA01B3"/>
    <w:rsid w:val="00FA57B9"/>
    <w:rsid w:val="00FB2F6A"/>
    <w:rsid w:val="00FB48C8"/>
    <w:rsid w:val="00FB4C63"/>
    <w:rsid w:val="00FB7E4E"/>
    <w:rsid w:val="00FC6FF4"/>
    <w:rsid w:val="00FD0B61"/>
    <w:rsid w:val="00FD2CD0"/>
    <w:rsid w:val="00FD351A"/>
    <w:rsid w:val="00FE1965"/>
    <w:rsid w:val="00FF097C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8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C872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E5DFA"/>
    <w:rPr>
      <w:rFonts w:ascii="Times New Roman" w:hAnsi="Times New Roman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8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C872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E5DFA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ntero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tinuaalliance.org/products/design-guidelin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ntero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prog/wp_item.aspx?isn=963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op@itu.int" TargetMode="External"/><Relationship Id="rId10" Type="http://schemas.openxmlformats.org/officeDocument/2006/relationships/hyperlink" Target="mailto:interop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ntero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898AA375-D543-4211-BE7D-2CB0328A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1</TotalTime>
  <Pages>2</Pages>
  <Words>654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4379</CharactersWithSpaces>
  <SharedDoc>false</SharedDoc>
  <HLinks>
    <vt:vector size="24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2013-09-16T12:29:00Z</cp:lastPrinted>
  <dcterms:created xsi:type="dcterms:W3CDTF">2013-09-16T12:30:00Z</dcterms:created>
  <dcterms:modified xsi:type="dcterms:W3CDTF">2013-09-16T12:30:00Z</dcterms:modified>
</cp:coreProperties>
</file>