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402F31">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402F31">
              <w:rPr>
                <w:lang w:bidi="ar-SY"/>
              </w:rPr>
              <w:t>3</w:t>
            </w:r>
            <w:r w:rsidR="00030425">
              <w:rPr>
                <w:rFonts w:hint="cs"/>
                <w:rtl/>
                <w:lang w:bidi="ar-SY"/>
              </w:rPr>
              <w:t xml:space="preserve"> </w:t>
            </w:r>
            <w:r w:rsidR="00492ABB">
              <w:rPr>
                <w:rFonts w:hint="cs"/>
                <w:rtl/>
                <w:lang w:bidi="ar-SY"/>
              </w:rPr>
              <w:t xml:space="preserve">مايو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402F31">
            <w:pPr>
              <w:tabs>
                <w:tab w:val="left" w:pos="4111"/>
              </w:tabs>
              <w:spacing w:before="20" w:line="280" w:lineRule="exact"/>
              <w:ind w:left="57"/>
              <w:jc w:val="left"/>
              <w:rPr>
                <w:bCs/>
                <w:rtl/>
                <w:lang w:bidi="ar-EG"/>
              </w:rPr>
            </w:pPr>
            <w:r>
              <w:rPr>
                <w:b/>
              </w:rPr>
              <w:t>TSB</w:t>
            </w:r>
            <w:r w:rsidR="004F3D50">
              <w:rPr>
                <w:b/>
              </w:rPr>
              <w:t> </w:t>
            </w:r>
            <w:r>
              <w:rPr>
                <w:b/>
              </w:rPr>
              <w:t>Circular</w:t>
            </w:r>
            <w:r w:rsidR="001344C5">
              <w:rPr>
                <w:b/>
              </w:rPr>
              <w:t> </w:t>
            </w:r>
            <w:r w:rsidR="00492ABB">
              <w:rPr>
                <w:b/>
              </w:rPr>
              <w:t>2</w:t>
            </w:r>
            <w:r w:rsidR="00402F31">
              <w:rPr>
                <w:b/>
              </w:rPr>
              <w:t>4</w:t>
            </w:r>
            <w:r w:rsidR="001344C5">
              <w:rPr>
                <w:rFonts w:hint="cs"/>
                <w:b/>
                <w:rtl/>
                <w:lang w:bidi="ar-SY"/>
              </w:rPr>
              <w:br/>
            </w:r>
            <w:r w:rsidR="00402F31">
              <w:rPr>
                <w:bCs/>
              </w:rPr>
              <w:t>COM 17/MEU</w:t>
            </w:r>
            <w:r w:rsidR="001344C5">
              <w:rPr>
                <w:bCs/>
                <w:rtl/>
                <w:lang w:bidi="ar-SY"/>
              </w:rPr>
              <w:br/>
            </w:r>
            <w:r w:rsidR="001344C5">
              <w:rPr>
                <w:bCs/>
                <w:rtl/>
                <w:lang w:bidi="ar-SY"/>
              </w:rPr>
              <w:br/>
            </w:r>
            <w:r w:rsidR="001344C5">
              <w:t>+41 22 730 </w:t>
            </w:r>
            <w:r w:rsidR="00492ABB">
              <w:t>5866</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507031" w:rsidRPr="00DC5505" w:rsidRDefault="00507031" w:rsidP="00402F31">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w:t>
            </w:r>
            <w:r w:rsidR="00402F31">
              <w:rPr>
                <w:rFonts w:hint="cs"/>
                <w:rtl/>
                <w:lang w:bidi="ar-EG"/>
              </w:rPr>
              <w:t>إدارات الدول الأعضاء في الاتحاد</w:t>
            </w: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r w:rsidRPr="00DC5505">
              <w:rPr>
                <w:rFonts w:hint="cs"/>
                <w:rtl/>
              </w:rPr>
              <w:t>البريد الإلكتروني:</w:t>
            </w:r>
          </w:p>
        </w:tc>
        <w:tc>
          <w:tcPr>
            <w:tcW w:w="3340" w:type="dxa"/>
          </w:tcPr>
          <w:p w:rsidR="00507031" w:rsidRDefault="00631D1C" w:rsidP="00C17749">
            <w:pPr>
              <w:tabs>
                <w:tab w:val="left" w:pos="4111"/>
              </w:tabs>
              <w:spacing w:before="60" w:after="60" w:line="280" w:lineRule="exact"/>
              <w:ind w:left="57"/>
              <w:jc w:val="left"/>
              <w:rPr>
                <w:rtl/>
                <w:lang w:bidi="ar-SY"/>
              </w:rPr>
            </w:pPr>
            <w:hyperlink r:id="rId10" w:history="1">
              <w:r w:rsidR="00402F31" w:rsidRPr="00BF58A6">
                <w:rPr>
                  <w:rStyle w:val="Hyperlink"/>
                </w:rPr>
                <w:t>tsbsg17@itu.int</w:t>
              </w:r>
            </w:hyperlink>
          </w:p>
          <w:p w:rsidR="00402F31" w:rsidRPr="00DC5505" w:rsidRDefault="00402F31"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E21669" w:rsidRDefault="00402F31"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أعضاء قطاع تقييس الاتصالات؛</w:t>
            </w:r>
          </w:p>
          <w:p w:rsidR="00402F31" w:rsidRDefault="00402F31"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المنتسبين إلى قطاع تقييس الاتصالات؛</w:t>
            </w:r>
          </w:p>
          <w:p w:rsidR="00402F31" w:rsidRDefault="00402F31"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p w:rsidR="00402F31" w:rsidRDefault="00402F31" w:rsidP="00402F31">
            <w:pPr>
              <w:tabs>
                <w:tab w:val="left" w:pos="284"/>
                <w:tab w:val="left" w:pos="4111"/>
              </w:tabs>
              <w:spacing w:before="20" w:line="300" w:lineRule="exact"/>
              <w:ind w:left="57"/>
              <w:rPr>
                <w:rtl/>
                <w:lang w:bidi="ar-SY"/>
              </w:rPr>
            </w:pPr>
            <w:r>
              <w:rPr>
                <w:rFonts w:hint="cs"/>
                <w:rtl/>
                <w:lang w:bidi="ar-EG"/>
              </w:rPr>
              <w:t>-</w:t>
            </w:r>
            <w:r>
              <w:rPr>
                <w:rtl/>
                <w:lang w:bidi="ar-EG"/>
              </w:rPr>
              <w:tab/>
            </w:r>
            <w:r>
              <w:rPr>
                <w:rFonts w:hint="cs"/>
                <w:rtl/>
                <w:lang w:bidi="ar-EG"/>
              </w:rPr>
              <w:t xml:space="preserve">رئيس لجنة الدراسات </w:t>
            </w:r>
            <w:r>
              <w:rPr>
                <w:lang w:bidi="ar-EG"/>
              </w:rPr>
              <w:t>17</w:t>
            </w:r>
            <w:r>
              <w:rPr>
                <w:rFonts w:hint="cs"/>
                <w:rtl/>
                <w:lang w:bidi="ar-SY"/>
              </w:rPr>
              <w:t xml:space="preserve"> ونوابه؛</w:t>
            </w:r>
          </w:p>
          <w:p w:rsidR="00402F31" w:rsidRDefault="00402F31" w:rsidP="00402F31">
            <w:pPr>
              <w:tabs>
                <w:tab w:val="left" w:pos="284"/>
                <w:tab w:val="left" w:pos="4111"/>
              </w:tabs>
              <w:spacing w:before="20" w:line="300" w:lineRule="exact"/>
              <w:ind w:left="57"/>
              <w:rPr>
                <w:rtl/>
                <w:lang w:bidi="ar-SY"/>
              </w:rPr>
            </w:pPr>
            <w:r>
              <w:rPr>
                <w:rFonts w:hint="cs"/>
                <w:rtl/>
                <w:lang w:bidi="ar-SY"/>
              </w:rPr>
              <w:t>-</w:t>
            </w:r>
            <w:r>
              <w:rPr>
                <w:rtl/>
                <w:lang w:bidi="ar-SY"/>
              </w:rPr>
              <w:tab/>
            </w:r>
            <w:r>
              <w:rPr>
                <w:rFonts w:hint="cs"/>
                <w:rtl/>
                <w:lang w:bidi="ar-SY"/>
              </w:rPr>
              <w:t>مدير مكتب تنمية الاتصالات؛</w:t>
            </w:r>
          </w:p>
          <w:p w:rsidR="00507031" w:rsidRPr="00DC5505" w:rsidRDefault="00402F31" w:rsidP="00402F31">
            <w:pPr>
              <w:tabs>
                <w:tab w:val="left" w:pos="284"/>
                <w:tab w:val="left" w:pos="4111"/>
              </w:tabs>
              <w:spacing w:before="20" w:line="300" w:lineRule="exact"/>
              <w:ind w:left="57"/>
              <w:rPr>
                <w:rtl/>
                <w:lang w:bidi="ar-EG"/>
              </w:rPr>
            </w:pPr>
            <w:r>
              <w:rPr>
                <w:rFonts w:hint="cs"/>
                <w:rtl/>
                <w:lang w:bidi="ar-SY"/>
              </w:rPr>
              <w:t>-</w:t>
            </w:r>
            <w:r>
              <w:rPr>
                <w:rtl/>
                <w:lang w:bidi="ar-SY"/>
              </w:rPr>
              <w:tab/>
            </w:r>
            <w:r>
              <w:rPr>
                <w:rFonts w:hint="cs"/>
                <w:rtl/>
                <w:lang w:bidi="ar-SY"/>
              </w:rPr>
              <w:t>مدير مكتب الاتصالات الراديوية</w:t>
            </w: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A01C50">
            <w:pPr>
              <w:spacing w:after="120" w:line="300" w:lineRule="exact"/>
              <w:ind w:left="57"/>
              <w:rPr>
                <w:rtl/>
                <w:lang w:bidi="ar-SY"/>
              </w:rPr>
            </w:pPr>
            <w:r w:rsidRPr="005F33FD">
              <w:rPr>
                <w:rFonts w:hint="cs"/>
                <w:rtl/>
              </w:rPr>
              <w:t>الموضوع:</w:t>
            </w:r>
          </w:p>
        </w:tc>
        <w:tc>
          <w:tcPr>
            <w:tcW w:w="8100" w:type="dxa"/>
            <w:gridSpan w:val="2"/>
          </w:tcPr>
          <w:p w:rsidR="000C2FB2" w:rsidRPr="00642E11" w:rsidRDefault="00402F31" w:rsidP="00642E11">
            <w:pPr>
              <w:tabs>
                <w:tab w:val="left" w:pos="284"/>
                <w:tab w:val="left" w:pos="4111"/>
              </w:tabs>
              <w:spacing w:after="120" w:line="300" w:lineRule="exact"/>
              <w:ind w:left="57"/>
              <w:rPr>
                <w:rFonts w:ascii="Times New Roman Bold" w:hAnsi="Times New Roman Bold"/>
                <w:b/>
                <w:bCs/>
                <w:lang w:bidi="ar-EG"/>
              </w:rPr>
            </w:pPr>
            <w:r w:rsidRPr="00642E11">
              <w:rPr>
                <w:rFonts w:ascii="Times New Roman Bold" w:hAnsi="Times New Roman Bold" w:hint="cs"/>
                <w:b/>
                <w:bCs/>
                <w:rtl/>
              </w:rPr>
              <w:t>اجتماع لجنة الدراسات</w:t>
            </w:r>
            <w:r w:rsidRPr="00642E11">
              <w:rPr>
                <w:rFonts w:ascii="Times New Roman Bold" w:hAnsi="Times New Roman Bold" w:hint="cs"/>
                <w:b/>
                <w:bCs/>
                <w:rtl/>
                <w:lang w:bidi="ar-EG"/>
              </w:rPr>
              <w:t xml:space="preserve"> </w:t>
            </w:r>
            <w:r w:rsidRPr="00642E11">
              <w:rPr>
                <w:rFonts w:ascii="Times New Roman Bold" w:hAnsi="Times New Roman Bold"/>
                <w:b/>
                <w:bCs/>
                <w:lang w:bidi="ar-EG"/>
              </w:rPr>
              <w:t>17</w:t>
            </w:r>
            <w:r w:rsidRPr="00642E11">
              <w:rPr>
                <w:rFonts w:ascii="Times New Roman Bold" w:hAnsi="Times New Roman Bold" w:hint="cs"/>
                <w:b/>
                <w:bCs/>
                <w:rtl/>
                <w:lang w:bidi="ar-EG"/>
              </w:rPr>
              <w:t xml:space="preserve"> بهدف الموافقة على مشروعي التوصيتين الجديدتين </w:t>
            </w:r>
            <w:r w:rsidRPr="00642E11">
              <w:rPr>
                <w:rFonts w:ascii="Times New Roman Bold" w:hAnsi="Times New Roman Bold"/>
                <w:b/>
                <w:bCs/>
                <w:lang w:bidi="ar-EG"/>
              </w:rPr>
              <w:t>ITU</w:t>
            </w:r>
            <w:r w:rsidRPr="00642E11">
              <w:rPr>
                <w:rFonts w:ascii="Times New Roman Bold" w:hAnsi="Times New Roman Bold"/>
                <w:b/>
                <w:bCs/>
                <w:lang w:bidi="ar-EG"/>
              </w:rPr>
              <w:noBreakHyphen/>
              <w:t>T X.1208</w:t>
            </w:r>
            <w:r w:rsidRPr="00642E11">
              <w:rPr>
                <w:rFonts w:ascii="Times New Roman Bold" w:hAnsi="Times New Roman Bold" w:hint="cs"/>
                <w:b/>
                <w:bCs/>
                <w:rtl/>
                <w:lang w:bidi="ar-EG"/>
              </w:rPr>
              <w:t xml:space="preserve"> و</w:t>
            </w:r>
            <w:r w:rsidR="00642E11" w:rsidRPr="00642E11">
              <w:rPr>
                <w:rFonts w:ascii="Times New Roman Bold" w:hAnsi="Times New Roman Bold"/>
                <w:b/>
                <w:bCs/>
                <w:lang w:bidi="ar-EG"/>
              </w:rPr>
              <w:t>ITU</w:t>
            </w:r>
            <w:r w:rsidR="00642E11" w:rsidRPr="00642E11">
              <w:rPr>
                <w:rFonts w:ascii="Times New Roman Bold" w:hAnsi="Times New Roman Bold"/>
                <w:b/>
                <w:bCs/>
                <w:lang w:bidi="ar-EG"/>
              </w:rPr>
              <w:noBreakHyphen/>
              <w:t>T </w:t>
            </w:r>
            <w:r w:rsidRPr="00642E11">
              <w:rPr>
                <w:rFonts w:ascii="Times New Roman Bold" w:hAnsi="Times New Roman Bold"/>
                <w:b/>
                <w:bCs/>
                <w:lang w:bidi="ar-EG"/>
              </w:rPr>
              <w:t>X.1255</w:t>
            </w:r>
            <w:r w:rsidR="00642E11" w:rsidRPr="00642E11">
              <w:rPr>
                <w:rFonts w:ascii="Times New Roman Bold" w:hAnsi="Times New Roman Bold" w:hint="cs"/>
                <w:b/>
                <w:bCs/>
                <w:rtl/>
                <w:lang w:bidi="ar-EG"/>
              </w:rPr>
              <w:t xml:space="preserve"> لقطاع تقييس الاتصالات</w:t>
            </w:r>
            <w:r w:rsidRPr="00642E11">
              <w:rPr>
                <w:rFonts w:ascii="Times New Roman Bold" w:hAnsi="Times New Roman Bold" w:hint="cs"/>
                <w:b/>
                <w:bCs/>
                <w:rtl/>
              </w:rPr>
              <w:t>،</w:t>
            </w:r>
            <w:r w:rsidRPr="00642E11">
              <w:rPr>
                <w:rFonts w:ascii="Times New Roman Bold" w:hAnsi="Times New Roman Bold" w:hint="cs"/>
                <w:b/>
                <w:bCs/>
                <w:rtl/>
                <w:lang w:bidi="ar-EG"/>
              </w:rPr>
              <w:t xml:space="preserve"> عملاً بأحكام القسم</w:t>
            </w:r>
            <w:r w:rsidR="00642E11">
              <w:rPr>
                <w:rFonts w:ascii="Times New Roman Bold" w:hAnsi="Times New Roman Bold" w:hint="eastAsia"/>
                <w:b/>
                <w:bCs/>
                <w:rtl/>
                <w:lang w:bidi="ar-EG"/>
              </w:rPr>
              <w:t> </w:t>
            </w:r>
            <w:r w:rsidRPr="00642E11">
              <w:rPr>
                <w:rFonts w:ascii="Times New Roman Bold" w:hAnsi="Times New Roman Bold"/>
                <w:b/>
                <w:bCs/>
                <w:lang w:bidi="ar-EG"/>
              </w:rPr>
              <w:t>9</w:t>
            </w:r>
            <w:r w:rsidRPr="00642E11">
              <w:rPr>
                <w:rFonts w:ascii="Times New Roman Bold" w:hAnsi="Times New Roman Bold" w:hint="cs"/>
                <w:b/>
                <w:bCs/>
                <w:rtl/>
                <w:lang w:bidi="ar-EG"/>
              </w:rPr>
              <w:t xml:space="preserve"> من القرار</w:t>
            </w:r>
            <w:r w:rsidR="00642E11">
              <w:rPr>
                <w:rFonts w:ascii="Times New Roman Bold" w:hAnsi="Times New Roman Bold" w:hint="eastAsia"/>
                <w:b/>
                <w:bCs/>
                <w:rtl/>
                <w:lang w:bidi="ar-EG"/>
              </w:rPr>
              <w:t> </w:t>
            </w:r>
            <w:r w:rsidRPr="00642E11">
              <w:rPr>
                <w:rFonts w:ascii="Times New Roman Bold" w:hAnsi="Times New Roman Bold"/>
                <w:b/>
                <w:bCs/>
                <w:lang w:bidi="ar-EG"/>
              </w:rPr>
              <w:t>1</w:t>
            </w:r>
            <w:r w:rsidRPr="00642E11">
              <w:rPr>
                <w:rFonts w:ascii="Times New Roman Bold" w:hAnsi="Times New Roman Bold" w:hint="cs"/>
                <w:b/>
                <w:bCs/>
                <w:rtl/>
                <w:lang w:bidi="ar-EG"/>
              </w:rPr>
              <w:t xml:space="preserve"> الصادر عن الجمعية العالمية لتقييس الاتصالات (دبي، </w:t>
            </w:r>
            <w:r w:rsidRPr="00642E11">
              <w:rPr>
                <w:rFonts w:ascii="Times New Roman Bold" w:hAnsi="Times New Roman Bold"/>
                <w:b/>
                <w:bCs/>
                <w:lang w:bidi="ar-EG"/>
              </w:rPr>
              <w:t>2012</w:t>
            </w:r>
            <w:r w:rsidRPr="00642E11">
              <w:rPr>
                <w:rFonts w:ascii="Times New Roman Bold" w:hAnsi="Times New Roman Bold" w:hint="cs"/>
                <w:b/>
                <w:bCs/>
                <w:rtl/>
                <w:lang w:bidi="ar-EG"/>
              </w:rPr>
              <w:t>)</w:t>
            </w:r>
            <w:r w:rsidR="00642E11" w:rsidRPr="00642E11">
              <w:rPr>
                <w:rFonts w:ascii="Times New Roman Bold" w:hAnsi="Times New Roman Bold" w:hint="cs"/>
                <w:b/>
                <w:bCs/>
                <w:rtl/>
                <w:lang w:bidi="ar-EG"/>
              </w:rPr>
              <w:t>،</w:t>
            </w:r>
            <w:r w:rsidR="00A01C50" w:rsidRPr="00642E11">
              <w:rPr>
                <w:rFonts w:ascii="Times New Roman Bold" w:hAnsi="Times New Roman Bold"/>
                <w:b/>
                <w:bCs/>
                <w:rtl/>
                <w:lang w:bidi="ar-EG"/>
              </w:rPr>
              <w:tab/>
            </w:r>
            <w:r w:rsidRPr="00642E11">
              <w:rPr>
                <w:rFonts w:ascii="Times New Roman Bold" w:hAnsi="Times New Roman Bold" w:hint="cs"/>
                <w:b/>
                <w:bCs/>
                <w:rtl/>
                <w:lang w:bidi="ar-EG"/>
              </w:rPr>
              <w:br/>
              <w:t xml:space="preserve">جنيف، </w:t>
            </w:r>
            <w:r w:rsidRPr="00642E11">
              <w:rPr>
                <w:rFonts w:ascii="Times New Roman Bold" w:hAnsi="Times New Roman Bold"/>
                <w:b/>
                <w:bCs/>
                <w:lang w:bidi="ar-EG"/>
              </w:rPr>
              <w:t>4</w:t>
            </w:r>
            <w:r w:rsidRPr="00642E11">
              <w:rPr>
                <w:rFonts w:ascii="Times New Roman Bold" w:hAnsi="Times New Roman Bold" w:hint="cs"/>
                <w:b/>
                <w:bCs/>
                <w:rtl/>
                <w:lang w:bidi="ar-SY"/>
              </w:rPr>
              <w:t xml:space="preserve"> سبتمبر </w:t>
            </w:r>
            <w:r w:rsidRPr="00642E11">
              <w:rPr>
                <w:rFonts w:ascii="Times New Roman Bold" w:hAnsi="Times New Roman Bold"/>
                <w:b/>
                <w:bCs/>
                <w:lang w:bidi="ar-EG"/>
              </w:rPr>
              <w:t>2013</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402F31" w:rsidRPr="00DF2BA4" w:rsidRDefault="00402F31" w:rsidP="0020664E">
      <w:pPr>
        <w:rPr>
          <w:rtl/>
          <w:lang w:bidi="ar-EG"/>
        </w:rPr>
      </w:pPr>
      <w:r w:rsidRPr="00DF2BA4">
        <w:t>1</w:t>
      </w:r>
      <w:r w:rsidRPr="00DF2BA4">
        <w:tab/>
      </w:r>
      <w:r w:rsidRPr="00DF2BA4">
        <w:rPr>
          <w:rFonts w:hint="cs"/>
          <w:rtl/>
        </w:rPr>
        <w:t xml:space="preserve">بناءً على طلب رئيس لجنة الدراسات </w:t>
      </w:r>
      <w:r w:rsidRPr="00DF2BA4">
        <w:t>17</w:t>
      </w:r>
      <w:r w:rsidRPr="00DF2BA4">
        <w:rPr>
          <w:rFonts w:hint="cs"/>
          <w:rtl/>
          <w:lang w:bidi="ar-EG"/>
        </w:rPr>
        <w:t xml:space="preserve">، المعنية </w:t>
      </w:r>
      <w:r w:rsidRPr="00B85431">
        <w:rPr>
          <w:rFonts w:hint="cs"/>
          <w:i/>
          <w:iCs/>
          <w:rtl/>
        </w:rPr>
        <w:t>بالأمن</w:t>
      </w:r>
      <w:r w:rsidRPr="00DF2BA4">
        <w:rPr>
          <w:rFonts w:hint="cs"/>
          <w:rtl/>
          <w:lang w:bidi="ar-EG"/>
        </w:rPr>
        <w:t xml:space="preserve">، أتشرف بأن أُعلمكُم أن لجنة الدراسات هذه، التي ستجتمع من </w:t>
      </w:r>
      <w:r>
        <w:rPr>
          <w:lang w:bidi="ar-EG"/>
        </w:rPr>
        <w:t>26</w:t>
      </w:r>
      <w:r w:rsidRPr="00DF2BA4">
        <w:rPr>
          <w:rFonts w:hint="cs"/>
          <w:rtl/>
          <w:lang w:bidi="ar-EG"/>
        </w:rPr>
        <w:t xml:space="preserve"> </w:t>
      </w:r>
      <w:r>
        <w:rPr>
          <w:rFonts w:hint="cs"/>
          <w:rtl/>
          <w:lang w:bidi="ar-EG"/>
        </w:rPr>
        <w:t xml:space="preserve">أغسطس </w:t>
      </w:r>
      <w:r w:rsidRPr="00DF2BA4">
        <w:rPr>
          <w:rFonts w:hint="cs"/>
          <w:rtl/>
          <w:lang w:bidi="ar-EG"/>
        </w:rPr>
        <w:t>إلى</w:t>
      </w:r>
      <w:r>
        <w:rPr>
          <w:rFonts w:hint="cs"/>
          <w:rtl/>
          <w:lang w:bidi="ar-EG"/>
        </w:rPr>
        <w:t xml:space="preserve"> </w:t>
      </w:r>
      <w:r>
        <w:rPr>
          <w:lang w:bidi="ar-EG"/>
        </w:rPr>
        <w:t>4</w:t>
      </w:r>
      <w:r w:rsidRPr="00DF2BA4">
        <w:rPr>
          <w:rFonts w:hint="cs"/>
          <w:rtl/>
          <w:lang w:bidi="ar-SY"/>
        </w:rPr>
        <w:t xml:space="preserve"> </w:t>
      </w:r>
      <w:r>
        <w:rPr>
          <w:rFonts w:hint="cs"/>
          <w:rtl/>
          <w:lang w:bidi="ar-SY"/>
        </w:rPr>
        <w:t>سبتمبر</w:t>
      </w:r>
      <w:r w:rsidRPr="00DF2BA4">
        <w:rPr>
          <w:rFonts w:hint="cs"/>
          <w:rtl/>
          <w:lang w:bidi="ar-SY"/>
        </w:rPr>
        <w:t xml:space="preserve"> </w:t>
      </w:r>
      <w:r w:rsidRPr="00DF2BA4">
        <w:rPr>
          <w:lang w:bidi="ar-SY"/>
        </w:rPr>
        <w:t>2013</w:t>
      </w:r>
      <w:r w:rsidRPr="00DF2BA4">
        <w:rPr>
          <w:rFonts w:hint="cs"/>
          <w:rtl/>
          <w:lang w:bidi="ar-EG"/>
        </w:rPr>
        <w:t>، تنوي تطبيق الإجراءات الموصوفة في القسم</w:t>
      </w:r>
      <w:r w:rsidRPr="00DF2BA4">
        <w:rPr>
          <w:rFonts w:hint="eastAsia"/>
          <w:rtl/>
          <w:lang w:bidi="ar-EG"/>
        </w:rPr>
        <w:t> </w:t>
      </w:r>
      <w:r w:rsidRPr="00DF2BA4">
        <w:rPr>
          <w:lang w:bidi="ar-EG"/>
        </w:rPr>
        <w:t>9</w:t>
      </w:r>
      <w:r w:rsidRPr="00DF2BA4">
        <w:rPr>
          <w:rFonts w:hint="cs"/>
          <w:rtl/>
          <w:lang w:bidi="ar-EG"/>
        </w:rPr>
        <w:t xml:space="preserve"> من القرار</w:t>
      </w:r>
      <w:r w:rsidRPr="00DF2BA4">
        <w:rPr>
          <w:rFonts w:hint="eastAsia"/>
          <w:rtl/>
          <w:lang w:bidi="ar-EG"/>
        </w:rPr>
        <w:t> </w:t>
      </w:r>
      <w:r w:rsidRPr="00DF2BA4">
        <w:rPr>
          <w:lang w:bidi="ar-EG"/>
        </w:rPr>
        <w:t>1</w:t>
      </w:r>
      <w:r w:rsidRPr="00DF2BA4">
        <w:rPr>
          <w:rFonts w:hint="cs"/>
          <w:rtl/>
          <w:lang w:bidi="ar-EG"/>
        </w:rPr>
        <w:t xml:space="preserve"> الصادر عن الجمعية العالمية لتقييس الاتصالات (</w:t>
      </w:r>
      <w:r w:rsidRPr="00174F2B">
        <w:rPr>
          <w:rFonts w:hint="cs"/>
          <w:rtl/>
          <w:lang w:bidi="ar-EG"/>
        </w:rPr>
        <w:t xml:space="preserve">دبي، </w:t>
      </w:r>
      <w:r w:rsidRPr="00174F2B">
        <w:rPr>
          <w:lang w:bidi="ar-EG"/>
        </w:rPr>
        <w:t>2012</w:t>
      </w:r>
      <w:r w:rsidRPr="00DF2BA4">
        <w:rPr>
          <w:rFonts w:hint="cs"/>
          <w:rtl/>
          <w:lang w:bidi="ar-EG"/>
        </w:rPr>
        <w:t xml:space="preserve">) وذلك من أجل الموافقة على </w:t>
      </w:r>
      <w:r w:rsidRPr="00174F2B">
        <w:rPr>
          <w:rFonts w:hint="cs"/>
          <w:rtl/>
          <w:lang w:bidi="ar-EG"/>
        </w:rPr>
        <w:t>مشروعي التوصيتين الجديدتين</w:t>
      </w:r>
      <w:r w:rsidRPr="00DF2BA4">
        <w:rPr>
          <w:rFonts w:hint="cs"/>
          <w:rtl/>
          <w:lang w:bidi="ar-EG"/>
        </w:rPr>
        <w:t xml:space="preserve"> المذكور</w:t>
      </w:r>
      <w:r>
        <w:rPr>
          <w:rFonts w:hint="cs"/>
          <w:rtl/>
          <w:lang w:bidi="ar-EG"/>
        </w:rPr>
        <w:t>تين</w:t>
      </w:r>
      <w:r w:rsidRPr="00DF2BA4">
        <w:rPr>
          <w:rFonts w:hint="cs"/>
          <w:rtl/>
          <w:lang w:bidi="ar-EG"/>
        </w:rPr>
        <w:t xml:space="preserve"> أعلاه.</w:t>
      </w:r>
    </w:p>
    <w:p w:rsidR="00402F31" w:rsidRPr="00DF2BA4" w:rsidRDefault="00402F31" w:rsidP="00402F31">
      <w:pPr>
        <w:rPr>
          <w:rtl/>
          <w:lang w:bidi="ar-EG"/>
        </w:rPr>
      </w:pPr>
      <w:proofErr w:type="gramStart"/>
      <w:r w:rsidRPr="00DF2BA4">
        <w:rPr>
          <w:lang w:bidi="ar-EG"/>
        </w:rPr>
        <w:t>2</w:t>
      </w:r>
      <w:r w:rsidRPr="00DF2BA4">
        <w:rPr>
          <w:rFonts w:hint="cs"/>
          <w:rtl/>
          <w:lang w:bidi="ar-EG"/>
        </w:rPr>
        <w:tab/>
        <w:t xml:space="preserve">ويشتمل </w:t>
      </w:r>
      <w:r w:rsidRPr="00DF2BA4">
        <w:rPr>
          <w:rFonts w:hint="cs"/>
          <w:b/>
          <w:bCs/>
          <w:rtl/>
          <w:lang w:bidi="ar-EG"/>
        </w:rPr>
        <w:t>الملحق</w:t>
      </w:r>
      <w:r w:rsidRPr="00DF2BA4">
        <w:rPr>
          <w:rFonts w:hint="eastAsia"/>
          <w:b/>
          <w:bCs/>
          <w:rtl/>
          <w:lang w:bidi="ar-EG"/>
        </w:rPr>
        <w:t> </w:t>
      </w:r>
      <w:r w:rsidRPr="00DF2BA4">
        <w:rPr>
          <w:b/>
          <w:bCs/>
          <w:lang w:bidi="ar-EG"/>
        </w:rPr>
        <w:t>1</w:t>
      </w:r>
      <w:r w:rsidRPr="00DF2BA4">
        <w:rPr>
          <w:rFonts w:hint="cs"/>
          <w:rtl/>
          <w:lang w:bidi="ar-EG"/>
        </w:rPr>
        <w:t xml:space="preserve"> بهذه الرسالة على ملخص </w:t>
      </w:r>
      <w:r w:rsidRPr="00174F2B">
        <w:rPr>
          <w:rFonts w:hint="cs"/>
          <w:rtl/>
          <w:lang w:bidi="ar-EG"/>
        </w:rPr>
        <w:t>مشروعي التوصيتين الجديدتين</w:t>
      </w:r>
      <w:r w:rsidRPr="00DF2BA4">
        <w:rPr>
          <w:rFonts w:hint="cs"/>
          <w:rtl/>
          <w:lang w:bidi="ar-EG"/>
        </w:rPr>
        <w:t xml:space="preserve"> لقطاع تقييس الاتصالات المقترح الموافقة عليه</w:t>
      </w:r>
      <w:r>
        <w:rPr>
          <w:rFonts w:hint="cs"/>
          <w:rtl/>
          <w:lang w:bidi="ar-EG"/>
        </w:rPr>
        <w:t>م</w:t>
      </w:r>
      <w:r w:rsidRPr="00DF2BA4">
        <w:rPr>
          <w:rFonts w:hint="cs"/>
          <w:rtl/>
          <w:lang w:bidi="ar-EG"/>
        </w:rPr>
        <w:t>ا، وعلى عن</w:t>
      </w:r>
      <w:r>
        <w:rPr>
          <w:rFonts w:hint="cs"/>
          <w:rtl/>
          <w:lang w:bidi="ar-EG"/>
        </w:rPr>
        <w:t>وانيهما</w:t>
      </w:r>
      <w:r w:rsidRPr="00DF2BA4">
        <w:rPr>
          <w:rFonts w:hint="cs"/>
          <w:rtl/>
          <w:lang w:bidi="ar-EG"/>
        </w:rPr>
        <w:t xml:space="preserve"> والوثائق التي ترد</w:t>
      </w:r>
      <w:r>
        <w:rPr>
          <w:rFonts w:hint="cs"/>
          <w:rtl/>
          <w:lang w:bidi="ar-EG"/>
        </w:rPr>
        <w:t>ان</w:t>
      </w:r>
      <w:r w:rsidRPr="00DF2BA4">
        <w:rPr>
          <w:rFonts w:hint="eastAsia"/>
          <w:rtl/>
          <w:lang w:bidi="ar-EG"/>
        </w:rPr>
        <w:t> </w:t>
      </w:r>
      <w:r w:rsidRPr="00DF2BA4">
        <w:rPr>
          <w:rFonts w:hint="cs"/>
          <w:rtl/>
          <w:lang w:bidi="ar-EG"/>
        </w:rPr>
        <w:t>فيها.</w:t>
      </w:r>
      <w:proofErr w:type="gramEnd"/>
    </w:p>
    <w:p w:rsidR="00402F31" w:rsidRPr="00DF2BA4" w:rsidRDefault="00402F31" w:rsidP="00402F31">
      <w:pPr>
        <w:rPr>
          <w:lang w:bidi="ar-EG"/>
        </w:rPr>
      </w:pPr>
      <w:r w:rsidRPr="00DF2BA4">
        <w:rPr>
          <w:lang w:bidi="ar-EG"/>
        </w:rPr>
        <w:t>3</w:t>
      </w:r>
      <w:r w:rsidRPr="00DF2BA4">
        <w:rPr>
          <w:rFonts w:hint="cs"/>
          <w:rtl/>
          <w:lang w:bidi="ar-EG"/>
        </w:rPr>
        <w:tab/>
      </w:r>
      <w:r w:rsidRPr="00DF2BA4">
        <w:rPr>
          <w:rFonts w:hint="cs"/>
          <w:spacing w:val="-4"/>
          <w:rtl/>
          <w:lang w:bidi="ar-EG"/>
        </w:rPr>
        <w:t>يرجى من أي دولة عضو في الاتحاد أو عضو في القطاع أو منتسب إليه أو هيئة أكاديمية، تعلم بوجود براءة اختراع في</w:t>
      </w:r>
      <w:r>
        <w:rPr>
          <w:rFonts w:hint="eastAsia"/>
          <w:spacing w:val="-4"/>
          <w:rtl/>
          <w:lang w:bidi="ar-EG"/>
        </w:rPr>
        <w:t> </w:t>
      </w:r>
      <w:r w:rsidRPr="00DF2BA4">
        <w:rPr>
          <w:rFonts w:hint="cs"/>
          <w:spacing w:val="-4"/>
          <w:rtl/>
          <w:lang w:bidi="ar-EG"/>
        </w:rPr>
        <w:t xml:space="preserve">حيازتها أو في حيازة الغير من شأنها أن تشمل كلياً أو جزئياً عناصر من </w:t>
      </w:r>
      <w:r w:rsidRPr="00174F2B">
        <w:rPr>
          <w:rFonts w:hint="cs"/>
          <w:rtl/>
          <w:lang w:bidi="ar-EG"/>
        </w:rPr>
        <w:t xml:space="preserve">مشروعي التوصيتين </w:t>
      </w:r>
      <w:r w:rsidRPr="00DF2BA4">
        <w:rPr>
          <w:rFonts w:hint="cs"/>
          <w:spacing w:val="-4"/>
          <w:rtl/>
          <w:lang w:bidi="ar-EG"/>
        </w:rPr>
        <w:t>المقترح الموافقة عليه</w:t>
      </w:r>
      <w:r>
        <w:rPr>
          <w:rFonts w:hint="cs"/>
          <w:spacing w:val="-4"/>
          <w:rtl/>
          <w:lang w:bidi="ar-EG"/>
        </w:rPr>
        <w:t>م</w:t>
      </w:r>
      <w:r w:rsidRPr="00DF2BA4">
        <w:rPr>
          <w:rFonts w:hint="cs"/>
          <w:spacing w:val="-4"/>
          <w:rtl/>
          <w:lang w:bidi="ar-EG"/>
        </w:rPr>
        <w:t>ا، أن</w:t>
      </w:r>
      <w:r w:rsidRPr="00DF2BA4">
        <w:rPr>
          <w:rFonts w:hint="eastAsia"/>
          <w:spacing w:val="-4"/>
          <w:rtl/>
          <w:lang w:bidi="ar-EG"/>
        </w:rPr>
        <w:t> </w:t>
      </w:r>
      <w:r w:rsidRPr="00DF2BA4">
        <w:rPr>
          <w:rFonts w:hint="cs"/>
          <w:spacing w:val="-4"/>
          <w:rtl/>
          <w:lang w:bidi="ar-EG"/>
        </w:rPr>
        <w:t>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DF2BA4">
        <w:rPr>
          <w:rFonts w:hint="eastAsia"/>
          <w:spacing w:val="-4"/>
          <w:rtl/>
          <w:lang w:bidi="ar-EG"/>
        </w:rPr>
        <w:t> </w:t>
      </w:r>
      <w:r w:rsidRPr="00DF2BA4">
        <w:rPr>
          <w:spacing w:val="-4"/>
          <w:lang w:bidi="ar-EG"/>
        </w:rPr>
        <w:t>(ITU-T/ITU-R/ISO/IEC)</w:t>
      </w:r>
      <w:r w:rsidRPr="00DF2BA4">
        <w:rPr>
          <w:rFonts w:hint="cs"/>
          <w:spacing w:val="-4"/>
          <w:rtl/>
          <w:lang w:bidi="ar-EG"/>
        </w:rPr>
        <w:t>.</w:t>
      </w:r>
    </w:p>
    <w:p w:rsidR="00402F31" w:rsidRPr="00DF2BA4" w:rsidRDefault="00402F31" w:rsidP="00402F31">
      <w:pPr>
        <w:rPr>
          <w:spacing w:val="-6"/>
          <w:rtl/>
          <w:lang w:bidi="ar-EG"/>
        </w:rPr>
      </w:pPr>
      <w:r w:rsidRPr="00DF2BA4">
        <w:rPr>
          <w:rFonts w:hint="cs"/>
          <w:spacing w:val="-6"/>
          <w:rtl/>
          <w:lang w:bidi="ar-EG"/>
        </w:rPr>
        <w:t xml:space="preserve">ويمكن الاطلاع على معلومات براءات الاختراع المتاحة مباشرة على الخط في الموقع الإلكتروني للقطاع </w:t>
      </w:r>
      <w:r w:rsidRPr="00DF2BA4">
        <w:rPr>
          <w:spacing w:val="-6"/>
          <w:lang w:bidi="ar-EG"/>
        </w:rPr>
        <w:t>(</w:t>
      </w:r>
      <w:hyperlink r:id="rId11" w:history="1">
        <w:r w:rsidRPr="00DF2BA4">
          <w:rPr>
            <w:color w:val="0000FF"/>
            <w:spacing w:val="-6"/>
            <w:u w:val="single"/>
            <w:lang w:bidi="ar-EG"/>
          </w:rPr>
          <w:t>www.</w:t>
        </w:r>
        <w:bookmarkStart w:id="0" w:name="_GoBack"/>
        <w:bookmarkEnd w:id="0"/>
        <w:r w:rsidRPr="00DF2BA4">
          <w:rPr>
            <w:color w:val="0000FF"/>
            <w:spacing w:val="-6"/>
            <w:u w:val="single"/>
            <w:lang w:bidi="ar-EG"/>
          </w:rPr>
          <w:t>itu.int/ITU-T/ipr/</w:t>
        </w:r>
      </w:hyperlink>
      <w:r w:rsidRPr="00DF2BA4">
        <w:rPr>
          <w:spacing w:val="-6"/>
          <w:lang w:bidi="ar-EG"/>
        </w:rPr>
        <w:t>)</w:t>
      </w:r>
      <w:r w:rsidRPr="00DF2BA4">
        <w:rPr>
          <w:rFonts w:hint="cs"/>
          <w:spacing w:val="-6"/>
          <w:rtl/>
          <w:lang w:bidi="ar-EG"/>
        </w:rPr>
        <w:t>.</w:t>
      </w:r>
    </w:p>
    <w:p w:rsidR="00402F31" w:rsidRPr="00DF2BA4" w:rsidRDefault="00402F31" w:rsidP="00402F31">
      <w:pPr>
        <w:keepNext/>
        <w:keepLines/>
        <w:rPr>
          <w:rtl/>
          <w:lang w:bidi="ar-EG"/>
        </w:rPr>
      </w:pPr>
      <w:r w:rsidRPr="00DF2BA4">
        <w:rPr>
          <w:lang w:bidi="ar-EG"/>
        </w:rPr>
        <w:lastRenderedPageBreak/>
        <w:t>4</w:t>
      </w:r>
      <w:r w:rsidRPr="00DF2BA4">
        <w:rPr>
          <w:rFonts w:hint="cs"/>
          <w:rtl/>
          <w:lang w:bidi="ar-EG"/>
        </w:rPr>
        <w:tab/>
        <w:t>وتبعاً لأحكام القسم</w:t>
      </w:r>
      <w:r w:rsidRPr="00DF2BA4">
        <w:rPr>
          <w:rFonts w:hint="eastAsia"/>
          <w:rtl/>
          <w:lang w:bidi="ar-EG"/>
        </w:rPr>
        <w:t> </w:t>
      </w:r>
      <w:r w:rsidRPr="00DF2BA4">
        <w:rPr>
          <w:lang w:bidi="ar-EG"/>
        </w:rPr>
        <w:t>9</w:t>
      </w:r>
      <w:r w:rsidRPr="00DF2BA4">
        <w:rPr>
          <w:rFonts w:hint="cs"/>
          <w:rtl/>
          <w:lang w:bidi="ar-EG"/>
        </w:rPr>
        <w:t xml:space="preserve"> من القرار</w:t>
      </w:r>
      <w:r w:rsidRPr="00DF2BA4">
        <w:rPr>
          <w:rFonts w:hint="eastAsia"/>
          <w:rtl/>
          <w:lang w:bidi="ar-EG"/>
        </w:rPr>
        <w:t> </w:t>
      </w:r>
      <w:r w:rsidRPr="00DF2BA4">
        <w:rPr>
          <w:lang w:bidi="ar-EG"/>
        </w:rPr>
        <w:t>1</w:t>
      </w:r>
      <w:r w:rsidRPr="00DF2BA4">
        <w:rPr>
          <w:rFonts w:hint="cs"/>
          <w:rtl/>
          <w:lang w:bidi="ar-EG"/>
        </w:rPr>
        <w:t xml:space="preserve"> سأكون ممتناً لو تفضلتم بإعلامي في موعد أقصاه منتصف الليل بالتوقيت العالمي المنسَّق </w:t>
      </w:r>
      <w:r w:rsidRPr="00DF2BA4">
        <w:rPr>
          <w:rFonts w:hint="cs"/>
          <w:b/>
          <w:bCs/>
          <w:rtl/>
          <w:lang w:bidi="ar-EG"/>
        </w:rPr>
        <w:t xml:space="preserve">في </w:t>
      </w:r>
      <w:r>
        <w:rPr>
          <w:b/>
          <w:bCs/>
        </w:rPr>
        <w:t>15</w:t>
      </w:r>
      <w:r w:rsidRPr="00DF2BA4">
        <w:rPr>
          <w:rFonts w:hint="cs"/>
          <w:b/>
          <w:bCs/>
          <w:rtl/>
          <w:lang w:bidi="ar-SY"/>
        </w:rPr>
        <w:t xml:space="preserve"> أ</w:t>
      </w:r>
      <w:r>
        <w:rPr>
          <w:rFonts w:hint="cs"/>
          <w:b/>
          <w:bCs/>
          <w:rtl/>
          <w:lang w:bidi="ar-SY"/>
        </w:rPr>
        <w:t>غسطس</w:t>
      </w:r>
      <w:r w:rsidRPr="00DF2BA4">
        <w:rPr>
          <w:rFonts w:hint="cs"/>
          <w:b/>
          <w:bCs/>
          <w:rtl/>
          <w:lang w:bidi="ar-SY"/>
        </w:rPr>
        <w:t xml:space="preserve"> </w:t>
      </w:r>
      <w:r w:rsidRPr="00DF2BA4">
        <w:rPr>
          <w:b/>
          <w:bCs/>
          <w:lang w:bidi="ar-SY"/>
        </w:rPr>
        <w:t>2013</w:t>
      </w:r>
      <w:r w:rsidRPr="00DF2BA4">
        <w:rPr>
          <w:rFonts w:hint="cs"/>
          <w:rtl/>
          <w:lang w:bidi="ar-SY"/>
        </w:rPr>
        <w:t xml:space="preserve"> </w:t>
      </w:r>
      <w:r w:rsidRPr="00DF2BA4">
        <w:rPr>
          <w:rFonts w:hint="cs"/>
          <w:rtl/>
          <w:lang w:bidi="ar-EG"/>
        </w:rPr>
        <w:t>ما إذا كانت إدارتكم تفوِّض السلطة إلى لجنة الدراسات</w:t>
      </w:r>
      <w:r>
        <w:rPr>
          <w:rFonts w:hint="cs"/>
          <w:rtl/>
          <w:lang w:bidi="ar-EG"/>
        </w:rPr>
        <w:t xml:space="preserve"> </w:t>
      </w:r>
      <w:r w:rsidRPr="00DF2BA4">
        <w:rPr>
          <w:lang w:bidi="ar-EG"/>
        </w:rPr>
        <w:t>17</w:t>
      </w:r>
      <w:r>
        <w:rPr>
          <w:rFonts w:hint="cs"/>
          <w:rtl/>
          <w:lang w:bidi="ar-EG"/>
        </w:rPr>
        <w:t xml:space="preserve"> </w:t>
      </w:r>
      <w:r w:rsidRPr="00DF2BA4">
        <w:rPr>
          <w:rFonts w:hint="cs"/>
          <w:rtl/>
          <w:lang w:bidi="ar-EG"/>
        </w:rPr>
        <w:t xml:space="preserve">للنظر في </w:t>
      </w:r>
      <w:r w:rsidRPr="00174F2B">
        <w:rPr>
          <w:rFonts w:hint="cs"/>
          <w:rtl/>
          <w:lang w:bidi="ar-EG"/>
        </w:rPr>
        <w:t>مشروعي</w:t>
      </w:r>
      <w:r>
        <w:rPr>
          <w:rFonts w:hint="cs"/>
          <w:rtl/>
          <w:lang w:bidi="ar-EG"/>
        </w:rPr>
        <w:t xml:space="preserve"> هاتين</w:t>
      </w:r>
      <w:r w:rsidRPr="00174F2B">
        <w:rPr>
          <w:rFonts w:hint="cs"/>
          <w:rtl/>
          <w:lang w:bidi="ar-EG"/>
        </w:rPr>
        <w:t xml:space="preserve"> التوصيتين </w:t>
      </w:r>
      <w:r w:rsidRPr="00DF2BA4">
        <w:rPr>
          <w:rFonts w:hint="cs"/>
          <w:rtl/>
          <w:lang w:bidi="ar-EG"/>
        </w:rPr>
        <w:t>الجديد</w:t>
      </w:r>
      <w:r>
        <w:rPr>
          <w:rFonts w:hint="cs"/>
          <w:rtl/>
          <w:lang w:bidi="ar-EG"/>
        </w:rPr>
        <w:t>تين</w:t>
      </w:r>
      <w:r w:rsidRPr="00DF2BA4">
        <w:rPr>
          <w:rFonts w:hint="cs"/>
          <w:rtl/>
          <w:lang w:bidi="ar-EG"/>
        </w:rPr>
        <w:t xml:space="preserve"> بغرض الموافقة عليه</w:t>
      </w:r>
      <w:r>
        <w:rPr>
          <w:rFonts w:hint="cs"/>
          <w:rtl/>
          <w:lang w:bidi="ar-EG"/>
        </w:rPr>
        <w:t>م</w:t>
      </w:r>
      <w:r w:rsidRPr="00DF2BA4">
        <w:rPr>
          <w:rFonts w:hint="cs"/>
          <w:rtl/>
          <w:lang w:bidi="ar-EG"/>
        </w:rPr>
        <w:t>ا في اجتماع لجنة الدراسات.</w:t>
      </w:r>
    </w:p>
    <w:p w:rsidR="00402F31" w:rsidRPr="00DF2BA4" w:rsidRDefault="00402F31" w:rsidP="00402F31">
      <w:pPr>
        <w:keepNext/>
        <w:keepLines/>
        <w:rPr>
          <w:rtl/>
          <w:lang w:bidi="ar-EG"/>
        </w:rPr>
      </w:pPr>
      <w:r w:rsidRPr="00DF2BA4">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w:t>
      </w:r>
      <w:r w:rsidRPr="00174F2B">
        <w:rPr>
          <w:rFonts w:hint="cs"/>
          <w:rtl/>
          <w:lang w:bidi="ar-EG"/>
        </w:rPr>
        <w:t>مشروعي التوصيتين الجديدتين</w:t>
      </w:r>
      <w:r w:rsidRPr="00DF2BA4">
        <w:rPr>
          <w:rFonts w:hint="cs"/>
          <w:rtl/>
          <w:lang w:bidi="ar-EG"/>
        </w:rPr>
        <w:t xml:space="preserve"> والموافقة عليه</w:t>
      </w:r>
      <w:r>
        <w:rPr>
          <w:rFonts w:hint="cs"/>
          <w:rtl/>
          <w:lang w:bidi="ar-EG"/>
        </w:rPr>
        <w:t>م</w:t>
      </w:r>
      <w:r w:rsidRPr="00DF2BA4">
        <w:rPr>
          <w:rFonts w:hint="cs"/>
          <w:rtl/>
          <w:lang w:bidi="ar-EG"/>
        </w:rPr>
        <w:t>ا.</w:t>
      </w:r>
    </w:p>
    <w:p w:rsidR="00402F31" w:rsidRPr="00DF2BA4" w:rsidRDefault="00402F31" w:rsidP="00402F31">
      <w:pPr>
        <w:rPr>
          <w:rtl/>
          <w:lang w:bidi="ar-EG"/>
        </w:rPr>
      </w:pPr>
      <w:proofErr w:type="gramStart"/>
      <w:r w:rsidRPr="00DF2BA4">
        <w:rPr>
          <w:lang w:bidi="ar-EG"/>
        </w:rPr>
        <w:t>5</w:t>
      </w:r>
      <w:r w:rsidRPr="00DF2BA4">
        <w:rPr>
          <w:rFonts w:hint="cs"/>
          <w:rtl/>
          <w:lang w:bidi="ar-EG"/>
        </w:rPr>
        <w:tab/>
      </w:r>
      <w:r w:rsidRPr="00D1034E">
        <w:rPr>
          <w:rFonts w:hint="cs"/>
          <w:spacing w:val="-4"/>
          <w:rtl/>
          <w:lang w:bidi="ar-EG"/>
        </w:rPr>
        <w:t>فإذا كان</w:t>
      </w:r>
      <w:r w:rsidRPr="00D1034E">
        <w:rPr>
          <w:rFonts w:hint="eastAsia"/>
          <w:spacing w:val="-4"/>
          <w:rtl/>
          <w:lang w:bidi="ar-EG"/>
        </w:rPr>
        <w:t> </w:t>
      </w:r>
      <w:r w:rsidRPr="00D1034E">
        <w:rPr>
          <w:spacing w:val="-4"/>
          <w:lang w:bidi="ar-EG"/>
        </w:rPr>
        <w:t>70</w:t>
      </w:r>
      <w:r w:rsidRPr="00D1034E">
        <w:rPr>
          <w:rFonts w:hint="cs"/>
          <w:spacing w:val="-4"/>
          <w:rtl/>
          <w:lang w:bidi="ar-EG"/>
        </w:rPr>
        <w:t xml:space="preserve"> في المائة أو أكثر من الردود الواردة من الدول الأعضاء تؤيد النظر في </w:t>
      </w:r>
      <w:r w:rsidRPr="00174F2B">
        <w:rPr>
          <w:rFonts w:hint="cs"/>
          <w:rtl/>
          <w:lang w:bidi="ar-EG"/>
        </w:rPr>
        <w:t>مشروعي</w:t>
      </w:r>
      <w:r>
        <w:rPr>
          <w:rFonts w:hint="cs"/>
          <w:rtl/>
          <w:lang w:bidi="ar-EG"/>
        </w:rPr>
        <w:t xml:space="preserve"> هاتين</w:t>
      </w:r>
      <w:r w:rsidRPr="00174F2B">
        <w:rPr>
          <w:rFonts w:hint="cs"/>
          <w:rtl/>
          <w:lang w:bidi="ar-EG"/>
        </w:rPr>
        <w:t xml:space="preserve"> التوصيتين </w:t>
      </w:r>
      <w:r w:rsidRPr="00DF2BA4">
        <w:rPr>
          <w:rFonts w:hint="cs"/>
          <w:rtl/>
          <w:lang w:bidi="ar-EG"/>
        </w:rPr>
        <w:t>الجديد</w:t>
      </w:r>
      <w:r>
        <w:rPr>
          <w:rFonts w:hint="cs"/>
          <w:rtl/>
          <w:lang w:bidi="ar-EG"/>
        </w:rPr>
        <w:t>تين</w:t>
      </w:r>
      <w:r w:rsidRPr="00D1034E">
        <w:rPr>
          <w:rFonts w:hint="cs"/>
          <w:spacing w:val="-4"/>
          <w:rtl/>
          <w:lang w:bidi="ar-EG"/>
        </w:rPr>
        <w:t xml:space="preserve"> بغرض الموافقة عليه</w:t>
      </w:r>
      <w:r>
        <w:rPr>
          <w:rFonts w:hint="cs"/>
          <w:spacing w:val="-4"/>
          <w:rtl/>
          <w:lang w:bidi="ar-EG"/>
        </w:rPr>
        <w:t>م</w:t>
      </w:r>
      <w:r w:rsidRPr="00D1034E">
        <w:rPr>
          <w:rFonts w:hint="cs"/>
          <w:spacing w:val="-4"/>
          <w:rtl/>
          <w:lang w:bidi="ar-EG"/>
        </w:rPr>
        <w:t xml:space="preserve">ا في اجتماع لجنة الدراسات، عندئذ سوف تُكرَّس جلسة عامة </w:t>
      </w:r>
      <w:r w:rsidRPr="00D1034E">
        <w:rPr>
          <w:rFonts w:hint="cs"/>
          <w:b/>
          <w:bCs/>
          <w:spacing w:val="-4"/>
          <w:rtl/>
          <w:lang w:bidi="ar-EG"/>
        </w:rPr>
        <w:t xml:space="preserve">في </w:t>
      </w:r>
      <w:r>
        <w:rPr>
          <w:b/>
          <w:bCs/>
          <w:spacing w:val="-4"/>
          <w:lang w:bidi="ar-EG"/>
        </w:rPr>
        <w:t>4</w:t>
      </w:r>
      <w:r w:rsidRPr="00D1034E">
        <w:rPr>
          <w:rFonts w:hint="cs"/>
          <w:b/>
          <w:bCs/>
          <w:spacing w:val="-4"/>
          <w:rtl/>
          <w:lang w:bidi="ar-SY"/>
        </w:rPr>
        <w:t xml:space="preserve"> </w:t>
      </w:r>
      <w:r>
        <w:rPr>
          <w:rFonts w:hint="cs"/>
          <w:b/>
          <w:bCs/>
          <w:spacing w:val="-4"/>
          <w:rtl/>
          <w:lang w:bidi="ar-SY"/>
        </w:rPr>
        <w:t>سبتمبر</w:t>
      </w:r>
      <w:r w:rsidRPr="00D1034E">
        <w:rPr>
          <w:rFonts w:hint="cs"/>
          <w:b/>
          <w:bCs/>
          <w:spacing w:val="-4"/>
          <w:rtl/>
          <w:lang w:bidi="ar-SY"/>
        </w:rPr>
        <w:t xml:space="preserve"> </w:t>
      </w:r>
      <w:r w:rsidRPr="00D1034E">
        <w:rPr>
          <w:b/>
          <w:bCs/>
          <w:spacing w:val="-4"/>
          <w:lang w:bidi="ar-SY"/>
        </w:rPr>
        <w:t>2013</w:t>
      </w:r>
      <w:r>
        <w:rPr>
          <w:rFonts w:hint="cs"/>
          <w:spacing w:val="-4"/>
          <w:rtl/>
          <w:lang w:bidi="ar-EG"/>
        </w:rPr>
        <w:t xml:space="preserve"> </w:t>
      </w:r>
      <w:r w:rsidRPr="00D1034E">
        <w:rPr>
          <w:rFonts w:hint="cs"/>
          <w:spacing w:val="-4"/>
          <w:rtl/>
          <w:lang w:bidi="ar-EG"/>
        </w:rPr>
        <w:t>لتطبيق إجراءات الموافقة.</w:t>
      </w:r>
      <w:proofErr w:type="gramEnd"/>
    </w:p>
    <w:p w:rsidR="00402F31" w:rsidRPr="00DF2BA4" w:rsidRDefault="00402F31" w:rsidP="00402F31">
      <w:pPr>
        <w:rPr>
          <w:spacing w:val="2"/>
          <w:rtl/>
          <w:lang w:bidi="ar-EG"/>
        </w:rPr>
      </w:pPr>
      <w:r w:rsidRPr="00DF2BA4">
        <w:rPr>
          <w:rFonts w:hint="cs"/>
          <w:spacing w:val="2"/>
          <w:rtl/>
          <w:lang w:bidi="ar-EG"/>
        </w:rPr>
        <w:t xml:space="preserve">ولذلك فإنني أدعو إدارتكم إلى إيفاد ممثل إلى الاجتماع. </w:t>
      </w:r>
      <w:r w:rsidRPr="00DF2BA4">
        <w:rPr>
          <w:rFonts w:hint="cs"/>
          <w:b/>
          <w:bCs/>
          <w:spacing w:val="2"/>
          <w:rtl/>
          <w:lang w:bidi="ar-EG"/>
        </w:rPr>
        <w:t>ويرجى من إدارات الدول الأعضاء في الاتحاد</w:t>
      </w:r>
      <w:r w:rsidRPr="00DF2BA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ينبغي إبلاغ المدير بذلك طبقاً لأحكام الرقم</w:t>
      </w:r>
      <w:r w:rsidRPr="00DF2BA4">
        <w:rPr>
          <w:rFonts w:hint="eastAsia"/>
          <w:spacing w:val="2"/>
          <w:rtl/>
          <w:lang w:bidi="ar-EG"/>
        </w:rPr>
        <w:t> </w:t>
      </w:r>
      <w:r w:rsidRPr="00DF2BA4">
        <w:rPr>
          <w:spacing w:val="2"/>
          <w:lang w:bidi="ar-EG"/>
        </w:rPr>
        <w:t>239</w:t>
      </w:r>
      <w:r w:rsidRPr="00DF2BA4">
        <w:rPr>
          <w:rFonts w:hint="cs"/>
          <w:spacing w:val="2"/>
          <w:rtl/>
          <w:lang w:bidi="ar-EG"/>
        </w:rPr>
        <w:t xml:space="preserve"> من المادة</w:t>
      </w:r>
      <w:r w:rsidRPr="00DF2BA4">
        <w:rPr>
          <w:rFonts w:hint="eastAsia"/>
          <w:spacing w:val="2"/>
          <w:rtl/>
          <w:lang w:bidi="ar-EG"/>
        </w:rPr>
        <w:t> </w:t>
      </w:r>
      <w:r w:rsidRPr="00DF2BA4">
        <w:rPr>
          <w:spacing w:val="2"/>
          <w:lang w:bidi="ar-EG"/>
        </w:rPr>
        <w:t>19</w:t>
      </w:r>
      <w:r w:rsidRPr="00DF2BA4">
        <w:rPr>
          <w:rFonts w:hint="cs"/>
          <w:spacing w:val="2"/>
          <w:rtl/>
          <w:lang w:bidi="ar-EG"/>
        </w:rPr>
        <w:t xml:space="preserve"> من اتفاقية الاتحاد.</w:t>
      </w:r>
    </w:p>
    <w:p w:rsidR="00402F31" w:rsidRPr="00DF2BA4" w:rsidRDefault="00402F31" w:rsidP="00402F31">
      <w:pPr>
        <w:rPr>
          <w:rtl/>
          <w:lang w:bidi="ar-SY"/>
        </w:rPr>
      </w:pPr>
      <w:proofErr w:type="gramStart"/>
      <w:r w:rsidRPr="00DF2BA4">
        <w:rPr>
          <w:lang w:bidi="ar-EG"/>
        </w:rPr>
        <w:t>6</w:t>
      </w:r>
      <w:r w:rsidRPr="00DF2BA4">
        <w:rPr>
          <w:rFonts w:hint="cs"/>
          <w:rtl/>
          <w:lang w:bidi="ar-EG"/>
        </w:rPr>
        <w:tab/>
        <w:t>ويمكن الاطلاع على جدول الأعمال وجميع المعلومات ذات الصلة فيما يتعلق باجتماع لجنة الدراسات</w:t>
      </w:r>
      <w:r>
        <w:rPr>
          <w:rFonts w:hint="eastAsia"/>
          <w:rtl/>
          <w:lang w:bidi="ar-EG"/>
        </w:rPr>
        <w:t> </w:t>
      </w:r>
      <w:r w:rsidRPr="00DF2BA4">
        <w:rPr>
          <w:lang w:bidi="ar-EG"/>
        </w:rPr>
        <w:t>17</w:t>
      </w:r>
      <w:r>
        <w:rPr>
          <w:rFonts w:hint="cs"/>
          <w:rtl/>
          <w:lang w:bidi="ar-EG"/>
        </w:rPr>
        <w:t xml:space="preserve"> </w:t>
      </w:r>
      <w:r w:rsidRPr="00DF2BA4">
        <w:rPr>
          <w:rFonts w:hint="cs"/>
          <w:rtl/>
          <w:lang w:bidi="ar-EG"/>
        </w:rPr>
        <w:t>في</w:t>
      </w:r>
      <w:r>
        <w:rPr>
          <w:rFonts w:hint="eastAsia"/>
          <w:rtl/>
          <w:lang w:bidi="ar-EG"/>
        </w:rPr>
        <w:t> </w:t>
      </w:r>
      <w:r w:rsidRPr="00DF2BA4">
        <w:rPr>
          <w:rFonts w:hint="cs"/>
          <w:rtl/>
          <w:lang w:bidi="ar-EG"/>
        </w:rPr>
        <w:t xml:space="preserve">الرسالة الجماعية </w:t>
      </w:r>
      <w:r>
        <w:rPr>
          <w:rFonts w:hint="cs"/>
          <w:rtl/>
          <w:lang w:bidi="ar-SY"/>
        </w:rPr>
        <w:t>التي ستصدر مستقبلاً.</w:t>
      </w:r>
      <w:proofErr w:type="gramEnd"/>
    </w:p>
    <w:p w:rsidR="00EA0732" w:rsidRPr="001E0216" w:rsidRDefault="00402F31" w:rsidP="00402F31">
      <w:pPr>
        <w:rPr>
          <w:rtl/>
          <w:lang w:val="en-GB" w:bidi="ar-EG"/>
        </w:rPr>
      </w:pPr>
      <w:proofErr w:type="gramStart"/>
      <w:r w:rsidRPr="00DF2BA4">
        <w:rPr>
          <w:lang w:bidi="ar-EG"/>
        </w:rPr>
        <w:t>7</w:t>
      </w:r>
      <w:r w:rsidRPr="00DF2BA4">
        <w:rPr>
          <w:rFonts w:hint="cs"/>
          <w:rtl/>
          <w:lang w:bidi="ar-EG"/>
        </w:rPr>
        <w:tab/>
        <w:t xml:space="preserve">وفي أعقاب الاجتماع سوف يعلن مدير مكتب تقييس الاتصالات، في رسالة معممة، عن القرار المُتَخّذ بشأن </w:t>
      </w:r>
      <w:r>
        <w:rPr>
          <w:rFonts w:hint="cs"/>
          <w:rtl/>
          <w:lang w:bidi="ar-EG"/>
        </w:rPr>
        <w:t>هاتين</w:t>
      </w:r>
      <w:r w:rsidRPr="00174F2B">
        <w:rPr>
          <w:rFonts w:hint="cs"/>
          <w:rtl/>
          <w:lang w:bidi="ar-EG"/>
        </w:rPr>
        <w:t xml:space="preserve"> التوصيتين</w:t>
      </w:r>
      <w:r w:rsidRPr="00DF2BA4">
        <w:rPr>
          <w:rFonts w:hint="cs"/>
          <w:rtl/>
          <w:lang w:bidi="ar-EG"/>
        </w:rPr>
        <w:t>.</w:t>
      </w:r>
      <w:proofErr w:type="gramEnd"/>
      <w:r w:rsidRPr="00DF2BA4">
        <w:rPr>
          <w:rFonts w:hint="cs"/>
          <w:rtl/>
          <w:lang w:bidi="ar-EG"/>
        </w:rPr>
        <w:t xml:space="preserve"> ولسوف تُنشر هذه المعلومات أيضاً في النشرة التشغيلية للاتحاد.</w:t>
      </w:r>
    </w:p>
    <w:p w:rsidR="00DC5505" w:rsidRPr="004A05B3" w:rsidRDefault="00DC5505" w:rsidP="009572C2">
      <w:pPr>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17036F">
      <w:pPr>
        <w:spacing w:before="960"/>
        <w:jc w:val="left"/>
        <w:rPr>
          <w:rtl/>
          <w:lang w:bidi="ar-EG"/>
        </w:rPr>
      </w:pPr>
      <w:r w:rsidRPr="004A05B3">
        <w:rPr>
          <w:rFonts w:hint="cs"/>
          <w:b/>
          <w:bCs/>
          <w:rtl/>
          <w:lang w:bidi="ar-EG"/>
        </w:rPr>
        <w:t>ال</w:t>
      </w:r>
      <w:r w:rsidR="0000002B">
        <w:rPr>
          <w:rFonts w:hint="cs"/>
          <w:b/>
          <w:bCs/>
          <w:rtl/>
          <w:lang w:bidi="ar-EG"/>
        </w:rPr>
        <w:t>‍</w:t>
      </w:r>
      <w:r w:rsidRPr="004A05B3">
        <w:rPr>
          <w:rFonts w:hint="cs"/>
          <w:b/>
          <w:bCs/>
          <w:rtl/>
          <w:lang w:bidi="ar-EG"/>
        </w:rPr>
        <w:t>ملحقات:</w:t>
      </w:r>
      <w:r w:rsidR="000E4145">
        <w:rPr>
          <w:rFonts w:hint="eastAsia"/>
          <w:rtl/>
          <w:lang w:bidi="ar-EG"/>
        </w:rPr>
        <w:t> </w:t>
      </w:r>
      <w:r w:rsidR="0017036F">
        <w:rPr>
          <w:lang w:bidi="ar-EG"/>
        </w:rPr>
        <w:t>1</w:t>
      </w:r>
    </w:p>
    <w:p w:rsidR="00AE6487" w:rsidRDefault="00AE6487" w:rsidP="000E4145">
      <w:pPr>
        <w:spacing w:before="240" w:line="187" w:lineRule="auto"/>
        <w:jc w:val="left"/>
        <w:rPr>
          <w:rtl/>
          <w:lang w:bidi="ar-EG"/>
        </w:rPr>
      </w:pPr>
    </w:p>
    <w:p w:rsidR="00AE6487" w:rsidRDefault="00AE6487" w:rsidP="000E4145">
      <w:pPr>
        <w:spacing w:before="240" w:line="187" w:lineRule="auto"/>
        <w:jc w:val="left"/>
        <w:rPr>
          <w:rtl/>
          <w:lang w:bidi="ar-EG"/>
        </w:rPr>
        <w:sectPr w:rsidR="00AE6487" w:rsidSect="00737B58">
          <w:headerReference w:type="even" r:id="rId12"/>
          <w:headerReference w:type="default" r:id="rId13"/>
          <w:footerReference w:type="even" r:id="rId14"/>
          <w:footerReference w:type="default" r:id="rId15"/>
          <w:footerReference w:type="first" r:id="rId16"/>
          <w:pgSz w:w="11901" w:h="16840" w:code="9"/>
          <w:pgMar w:top="1418" w:right="1134" w:bottom="1134" w:left="1134" w:header="567" w:footer="567" w:gutter="0"/>
          <w:pgNumType w:start="1"/>
          <w:cols w:space="720"/>
          <w:titlePg/>
          <w:docGrid w:linePitch="360"/>
        </w:sectPr>
      </w:pPr>
    </w:p>
    <w:p w:rsidR="007641E2" w:rsidRDefault="00811A43" w:rsidP="00E53204">
      <w:pPr>
        <w:tabs>
          <w:tab w:val="center" w:pos="4962"/>
        </w:tabs>
        <w:spacing w:before="0" w:after="120"/>
        <w:jc w:val="center"/>
        <w:rPr>
          <w:rStyle w:val="AnnexNotitleChar"/>
          <w:rFonts w:ascii="Times New Roman" w:hAnsi="Times New Roman"/>
          <w:b w:val="0"/>
          <w:bCs w:val="0"/>
          <w:rtl/>
          <w:lang w:bidi="ar-EG"/>
        </w:rPr>
      </w:pPr>
      <w:r w:rsidRPr="00811A43">
        <w:rPr>
          <w:rStyle w:val="AnnexNotitleChar"/>
          <w:rFonts w:ascii="Times New Roman" w:hAnsi="Times New Roman" w:hint="cs"/>
          <w:b w:val="0"/>
          <w:bCs w:val="0"/>
          <w:rtl/>
          <w:lang w:bidi="ar-EG"/>
        </w:rPr>
        <w:lastRenderedPageBreak/>
        <w:t>ال</w:t>
      </w:r>
      <w:r w:rsidR="00F01831">
        <w:rPr>
          <w:rStyle w:val="AnnexNotitleChar"/>
          <w:rFonts w:ascii="Times New Roman" w:hAnsi="Times New Roman" w:hint="cs"/>
          <w:b w:val="0"/>
          <w:bCs w:val="0"/>
          <w:rtl/>
          <w:lang w:bidi="ar-EG"/>
        </w:rPr>
        <w:t>‍</w:t>
      </w:r>
      <w:r w:rsidRPr="00811A43">
        <w:rPr>
          <w:rStyle w:val="AnnexNotitleChar"/>
          <w:rFonts w:ascii="Times New Roman" w:hAnsi="Times New Roman" w:hint="cs"/>
          <w:b w:val="0"/>
          <w:bCs w:val="0"/>
          <w:rtl/>
          <w:lang w:bidi="ar-EG"/>
        </w:rPr>
        <w:t>ملحـق</w:t>
      </w:r>
      <w:r w:rsidR="00F01831">
        <w:rPr>
          <w:rStyle w:val="AnnexNotitleChar"/>
          <w:rFonts w:ascii="Times New Roman" w:hAnsi="Times New Roman" w:hint="eastAsia"/>
          <w:b w:val="0"/>
          <w:bCs w:val="0"/>
          <w:rtl/>
          <w:lang w:bidi="ar-EG"/>
        </w:rPr>
        <w:t> </w:t>
      </w:r>
      <w:r w:rsidRPr="00811A43">
        <w:rPr>
          <w:rStyle w:val="AnnexNotitleChar"/>
          <w:rFonts w:ascii="Times New Roman" w:hAnsi="Times New Roman"/>
          <w:b w:val="0"/>
          <w:bCs w:val="0"/>
          <w:lang w:val="en-US" w:bidi="ar-EG"/>
        </w:rPr>
        <w:t>1</w:t>
      </w:r>
      <w:r w:rsidR="00721732">
        <w:rPr>
          <w:rStyle w:val="AnnexNotitleChar"/>
          <w:rFonts w:ascii="Times New Roman" w:hAnsi="Times New Roman" w:hint="cs"/>
          <w:b w:val="0"/>
          <w:bCs w:val="0"/>
          <w:rtl/>
          <w:lang w:val="en-US" w:bidi="ar-EG"/>
        </w:rPr>
        <w:br/>
      </w:r>
      <w:r>
        <w:rPr>
          <w:rStyle w:val="AnnexNotitleChar"/>
          <w:rFonts w:ascii="Times New Roman" w:hAnsi="Times New Roman" w:hint="cs"/>
          <w:b w:val="0"/>
          <w:bCs w:val="0"/>
          <w:rtl/>
          <w:lang w:bidi="ar-EG"/>
        </w:rPr>
        <w:t>(بالرسالة ال</w:t>
      </w:r>
      <w:r w:rsidR="00DD1237">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معممة </w:t>
      </w:r>
      <w:r w:rsidR="00721732">
        <w:rPr>
          <w:rStyle w:val="AnnexNotitleChar"/>
          <w:rFonts w:ascii="Times New Roman" w:hAnsi="Times New Roman"/>
          <w:b w:val="0"/>
          <w:bCs w:val="0"/>
          <w:lang w:bidi="ar-EG"/>
        </w:rPr>
        <w:t>2</w:t>
      </w:r>
      <w:r w:rsidR="0020664E">
        <w:rPr>
          <w:rStyle w:val="AnnexNotitleChar"/>
          <w:rFonts w:ascii="Times New Roman" w:hAnsi="Times New Roman"/>
          <w:b w:val="0"/>
          <w:bCs w:val="0"/>
          <w:lang w:bidi="ar-EG"/>
        </w:rPr>
        <w:t>4</w:t>
      </w:r>
      <w:r>
        <w:rPr>
          <w:rStyle w:val="AnnexNotitleChar"/>
          <w:rFonts w:ascii="Times New Roman" w:hAnsi="Times New Roman" w:hint="cs"/>
          <w:b w:val="0"/>
          <w:bCs w:val="0"/>
          <w:rtl/>
          <w:lang w:bidi="ar-EG"/>
        </w:rPr>
        <w:t xml:space="preserve"> ل</w:t>
      </w:r>
      <w:r w:rsidR="00E53204">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مكتب تقييس الاتصالات)</w:t>
      </w:r>
    </w:p>
    <w:p w:rsidR="00721732" w:rsidRDefault="0020664E" w:rsidP="0020664E">
      <w:pPr>
        <w:pStyle w:val="Annextitle"/>
        <w:spacing w:after="360"/>
        <w:jc w:val="center"/>
        <w:rPr>
          <w:rStyle w:val="AnnexNotitleChar"/>
          <w:rFonts w:ascii="Times New Roman" w:hAnsi="Times New Roman"/>
          <w:sz w:val="30"/>
          <w:szCs w:val="40"/>
          <w:rtl/>
          <w:lang w:bidi="ar-EG"/>
        </w:rPr>
      </w:pPr>
      <w:r>
        <w:rPr>
          <w:rStyle w:val="AnnexNotitleChar"/>
          <w:rFonts w:ascii="Times New Roman" w:hAnsi="Times New Roman" w:hint="cs"/>
          <w:sz w:val="30"/>
          <w:szCs w:val="40"/>
          <w:rtl/>
          <w:lang w:bidi="ar-EG"/>
        </w:rPr>
        <w:t>ملخص نصَّي التوصيتين والوثائق التي تردان فيها</w:t>
      </w:r>
    </w:p>
    <w:p w:rsidR="0020664E" w:rsidRPr="0020664E" w:rsidRDefault="0020664E" w:rsidP="0020664E">
      <w:pPr>
        <w:pStyle w:val="Headingb"/>
        <w:spacing w:before="240"/>
        <w:rPr>
          <w:sz w:val="24"/>
          <w:szCs w:val="32"/>
          <w:rtl/>
        </w:rPr>
      </w:pPr>
      <w:r w:rsidRPr="0020664E">
        <w:rPr>
          <w:rFonts w:hint="cs"/>
          <w:sz w:val="24"/>
          <w:szCs w:val="32"/>
          <w:rtl/>
        </w:rPr>
        <w:t xml:space="preserve">مشروع التوصية الجديدة </w:t>
      </w:r>
      <w:r w:rsidRPr="0020664E">
        <w:rPr>
          <w:sz w:val="24"/>
          <w:szCs w:val="32"/>
        </w:rPr>
        <w:t>ITU</w:t>
      </w:r>
      <w:r w:rsidRPr="0020664E">
        <w:rPr>
          <w:sz w:val="24"/>
          <w:szCs w:val="32"/>
        </w:rPr>
        <w:noBreakHyphen/>
        <w:t>T X. 1208 (</w:t>
      </w:r>
      <w:proofErr w:type="spellStart"/>
      <w:r w:rsidRPr="0020664E">
        <w:rPr>
          <w:sz w:val="24"/>
          <w:szCs w:val="32"/>
        </w:rPr>
        <w:t>X.csi</w:t>
      </w:r>
      <w:proofErr w:type="spellEnd"/>
      <w:proofErr w:type="gramStart"/>
      <w:r w:rsidRPr="0020664E">
        <w:rPr>
          <w:sz w:val="24"/>
          <w:szCs w:val="32"/>
        </w:rPr>
        <w:t>)</w:t>
      </w:r>
      <w:r w:rsidRPr="0020664E">
        <w:rPr>
          <w:rFonts w:hint="cs"/>
          <w:sz w:val="24"/>
          <w:szCs w:val="32"/>
          <w:rtl/>
        </w:rPr>
        <w:t>،</w:t>
      </w:r>
      <w:proofErr w:type="gramEnd"/>
      <w:r w:rsidRPr="0020664E">
        <w:rPr>
          <w:rFonts w:hint="cs"/>
          <w:sz w:val="24"/>
          <w:szCs w:val="32"/>
          <w:rtl/>
        </w:rPr>
        <w:t xml:space="preserve"> مبادئ توجيهية بشأن دليل الأمن السيبراني</w:t>
      </w:r>
      <w:r>
        <w:rPr>
          <w:sz w:val="24"/>
          <w:szCs w:val="32"/>
          <w:rtl/>
        </w:rPr>
        <w:tab/>
      </w:r>
      <w:r w:rsidRPr="0020664E">
        <w:rPr>
          <w:sz w:val="24"/>
          <w:szCs w:val="32"/>
          <w:rtl/>
        </w:rPr>
        <w:br/>
      </w:r>
      <w:r w:rsidRPr="0020664E">
        <w:rPr>
          <w:rFonts w:hint="cs"/>
          <w:sz w:val="24"/>
          <w:szCs w:val="32"/>
          <w:rtl/>
        </w:rPr>
        <w:t xml:space="preserve">الوثيقة </w:t>
      </w:r>
      <w:r w:rsidRPr="0020664E">
        <w:rPr>
          <w:sz w:val="24"/>
          <w:szCs w:val="32"/>
        </w:rPr>
        <w:t>COM 17 – R4</w:t>
      </w:r>
    </w:p>
    <w:p w:rsidR="0020664E" w:rsidRPr="001751BB" w:rsidRDefault="0020664E" w:rsidP="0020664E">
      <w:pPr>
        <w:pStyle w:val="Headingb"/>
        <w:rPr>
          <w:rtl/>
          <w:lang w:val="en-US" w:bidi="ar-EG"/>
        </w:rPr>
      </w:pPr>
      <w:r w:rsidRPr="00C70A82">
        <w:rPr>
          <w:rFonts w:hint="cs"/>
          <w:rtl/>
        </w:rPr>
        <w:t>ملخص</w:t>
      </w:r>
    </w:p>
    <w:p w:rsidR="0020664E" w:rsidRDefault="0020664E" w:rsidP="009331AD">
      <w:pPr>
        <w:rPr>
          <w:rtl/>
        </w:rPr>
      </w:pPr>
      <w:r>
        <w:rPr>
          <w:rFonts w:hint="cs"/>
          <w:rtl/>
        </w:rPr>
        <w:t xml:space="preserve">دليل الأمن السيبراني هو </w:t>
      </w:r>
      <w:r w:rsidR="0024616F">
        <w:rPr>
          <w:rFonts w:hint="cs"/>
          <w:rtl/>
        </w:rPr>
        <w:t>ل</w:t>
      </w:r>
      <w:r w:rsidR="00747C88">
        <w:rPr>
          <w:rFonts w:hint="cs"/>
          <w:rtl/>
        </w:rPr>
        <w:t xml:space="preserve">قياس </w:t>
      </w:r>
      <w:r>
        <w:rPr>
          <w:rFonts w:hint="cs"/>
          <w:rtl/>
        </w:rPr>
        <w:t>مستوى كفاءة الأمن السيبراني ومدى تقدم برنامج الأمن السيبراني مع الوقت لمنظمة أو مجتمع محلي أو</w:t>
      </w:r>
      <w:r w:rsidR="009331AD">
        <w:rPr>
          <w:rFonts w:hint="eastAsia"/>
          <w:rtl/>
        </w:rPr>
        <w:t> </w:t>
      </w:r>
      <w:r>
        <w:rPr>
          <w:rFonts w:hint="cs"/>
          <w:rtl/>
        </w:rPr>
        <w:t>بلد.</w:t>
      </w:r>
    </w:p>
    <w:p w:rsidR="0020664E" w:rsidRPr="00831367" w:rsidRDefault="0020664E" w:rsidP="00AC5606">
      <w:pPr>
        <w:rPr>
          <w:rtl/>
        </w:rPr>
      </w:pPr>
      <w:r>
        <w:rPr>
          <w:rFonts w:hint="cs"/>
          <w:rtl/>
        </w:rPr>
        <w:t>وتقدم التوصية</w:t>
      </w:r>
      <w:r w:rsidR="00AC5606">
        <w:rPr>
          <w:rFonts w:hint="eastAsia"/>
          <w:rtl/>
        </w:rPr>
        <w:t> </w:t>
      </w:r>
      <w:r w:rsidRPr="00C70A82">
        <w:t>ITU</w:t>
      </w:r>
      <w:r w:rsidRPr="00C70A82">
        <w:noBreakHyphen/>
        <w:t>T X.1</w:t>
      </w:r>
      <w:r>
        <w:t>208</w:t>
      </w:r>
      <w:r>
        <w:rPr>
          <w:rFonts w:hint="cs"/>
          <w:rtl/>
        </w:rPr>
        <w:t xml:space="preserve"> توجيهاً للمساعدة في وضع واختيار وتنفيذ التدابير والمؤشرات التي تشكل الأساس لحساب دليل الأمن السيبراني</w:t>
      </w:r>
      <w:r w:rsidR="00AC5606">
        <w:rPr>
          <w:rFonts w:hint="eastAsia"/>
          <w:rtl/>
        </w:rPr>
        <w:t> </w:t>
      </w:r>
      <w:r>
        <w:t>(CSI)</w:t>
      </w:r>
      <w:r>
        <w:rPr>
          <w:rFonts w:hint="cs"/>
          <w:rtl/>
          <w:lang w:bidi="ar-EG"/>
        </w:rPr>
        <w:t>. وتحقيقاً لهذا الهدف، تقدم التوصية</w:t>
      </w:r>
      <w:r w:rsidR="00AC5606">
        <w:rPr>
          <w:rFonts w:hint="eastAsia"/>
          <w:rtl/>
          <w:lang w:bidi="ar-EG"/>
        </w:rPr>
        <w:t> </w:t>
      </w:r>
      <w:r w:rsidRPr="00C70A82">
        <w:t>ITU</w:t>
      </w:r>
      <w:r w:rsidRPr="00C70A82">
        <w:noBreakHyphen/>
        <w:t>T X.1</w:t>
      </w:r>
      <w:r>
        <w:t>208</w:t>
      </w:r>
      <w:r>
        <w:rPr>
          <w:rFonts w:hint="cs"/>
          <w:rtl/>
        </w:rPr>
        <w:t xml:space="preserve"> قائمة بالمؤشرات المحتملة وتشرح منهجية تستعمل في حساب الدليل</w:t>
      </w:r>
      <w:r w:rsidR="00AC5606">
        <w:rPr>
          <w:rFonts w:hint="eastAsia"/>
          <w:rtl/>
        </w:rPr>
        <w:t> </w:t>
      </w:r>
      <w:r>
        <w:t>CSI</w:t>
      </w:r>
      <w:r>
        <w:rPr>
          <w:rFonts w:hint="cs"/>
          <w:rtl/>
          <w:lang w:bidi="ar-EG"/>
        </w:rPr>
        <w:t xml:space="preserve"> من المؤشرات خلال مراحله المختلفة.</w:t>
      </w:r>
    </w:p>
    <w:p w:rsidR="0020664E" w:rsidRPr="0020664E" w:rsidRDefault="0020664E" w:rsidP="0020664E">
      <w:pPr>
        <w:pStyle w:val="Headingb"/>
        <w:spacing w:before="240"/>
        <w:rPr>
          <w:sz w:val="24"/>
          <w:szCs w:val="32"/>
          <w:rtl/>
        </w:rPr>
      </w:pPr>
      <w:r w:rsidRPr="0020664E">
        <w:rPr>
          <w:rFonts w:hint="cs"/>
          <w:sz w:val="24"/>
          <w:szCs w:val="32"/>
          <w:rtl/>
        </w:rPr>
        <w:t xml:space="preserve">مشروع التوصية الجديدة </w:t>
      </w:r>
      <w:r w:rsidRPr="0020664E">
        <w:rPr>
          <w:sz w:val="24"/>
          <w:szCs w:val="32"/>
        </w:rPr>
        <w:t>ITU-T X.1255 (</w:t>
      </w:r>
      <w:proofErr w:type="spellStart"/>
      <w:r w:rsidRPr="0020664E">
        <w:rPr>
          <w:sz w:val="24"/>
          <w:szCs w:val="32"/>
        </w:rPr>
        <w:t>X.discovery</w:t>
      </w:r>
      <w:proofErr w:type="spellEnd"/>
      <w:r w:rsidRPr="0020664E">
        <w:rPr>
          <w:sz w:val="24"/>
          <w:szCs w:val="32"/>
        </w:rPr>
        <w:t>)</w:t>
      </w:r>
      <w:r w:rsidRPr="0020664E">
        <w:rPr>
          <w:rFonts w:hint="cs"/>
          <w:sz w:val="24"/>
          <w:szCs w:val="32"/>
          <w:rtl/>
        </w:rPr>
        <w:t>، إطار لاكتشاف معلومات إدارة الهوية</w:t>
      </w:r>
      <w:r>
        <w:rPr>
          <w:sz w:val="24"/>
          <w:szCs w:val="32"/>
          <w:rtl/>
        </w:rPr>
        <w:tab/>
      </w:r>
      <w:r w:rsidRPr="0020664E">
        <w:rPr>
          <w:rFonts w:hint="cs"/>
          <w:sz w:val="24"/>
          <w:szCs w:val="32"/>
          <w:rtl/>
        </w:rPr>
        <w:br/>
        <w:t xml:space="preserve">الوثيقة </w:t>
      </w:r>
      <w:r w:rsidRPr="0020664E">
        <w:rPr>
          <w:sz w:val="24"/>
          <w:szCs w:val="32"/>
        </w:rPr>
        <w:t>COM 17 </w:t>
      </w:r>
      <w:r w:rsidRPr="0020664E">
        <w:rPr>
          <w:sz w:val="24"/>
          <w:szCs w:val="32"/>
        </w:rPr>
        <w:noBreakHyphen/>
        <w:t> R 6</w:t>
      </w:r>
      <w:r w:rsidRPr="0020664E">
        <w:rPr>
          <w:rFonts w:hint="cs"/>
          <w:sz w:val="24"/>
          <w:szCs w:val="32"/>
          <w:rtl/>
        </w:rPr>
        <w:t xml:space="preserve"> </w:t>
      </w:r>
      <w:r w:rsidRPr="0020664E">
        <w:rPr>
          <w:rFonts w:hint="cs"/>
          <w:b w:val="0"/>
          <w:bCs w:val="0"/>
          <w:i/>
          <w:iCs/>
          <w:sz w:val="24"/>
          <w:szCs w:val="32"/>
          <w:rtl/>
        </w:rPr>
        <w:t>(ستتاح قريباً على الويب)</w:t>
      </w:r>
    </w:p>
    <w:p w:rsidR="0020664E" w:rsidRPr="00C70A82" w:rsidRDefault="0020664E" w:rsidP="0020664E">
      <w:pPr>
        <w:pStyle w:val="Headingb"/>
        <w:rPr>
          <w:rtl/>
        </w:rPr>
      </w:pPr>
      <w:r w:rsidRPr="00C70A82">
        <w:rPr>
          <w:rFonts w:hint="cs"/>
          <w:rtl/>
        </w:rPr>
        <w:t>ملخص</w:t>
      </w:r>
    </w:p>
    <w:p w:rsidR="0020664E" w:rsidRPr="000153BD" w:rsidRDefault="0020664E" w:rsidP="00AC5606">
      <w:pPr>
        <w:spacing w:before="80" w:line="187" w:lineRule="auto"/>
        <w:rPr>
          <w:rStyle w:val="AnnexNotitleChar"/>
          <w:rFonts w:ascii="Times New Roman" w:hAnsi="Times New Roman"/>
          <w:sz w:val="30"/>
          <w:szCs w:val="40"/>
          <w:rtl/>
          <w:lang w:val="en-US" w:bidi="ar-EG"/>
        </w:rPr>
      </w:pPr>
      <w:r w:rsidRPr="000153BD">
        <w:rPr>
          <w:rFonts w:hint="cs"/>
          <w:rtl/>
        </w:rPr>
        <w:t>الغرض من التوصية</w:t>
      </w:r>
      <w:r w:rsidR="00AC5606" w:rsidRPr="000153BD">
        <w:rPr>
          <w:rFonts w:hint="eastAsia"/>
          <w:rtl/>
        </w:rPr>
        <w:t> </w:t>
      </w:r>
      <w:r w:rsidRPr="000153BD">
        <w:t>ITU</w:t>
      </w:r>
      <w:r w:rsidRPr="000153BD">
        <w:noBreakHyphen/>
        <w:t>T X.1255</w:t>
      </w:r>
      <w:r w:rsidRPr="000153BD">
        <w:rPr>
          <w:rFonts w:hint="cs"/>
          <w:rtl/>
        </w:rPr>
        <w:t xml:space="preserve"> هو توفير إطار لمعمارية مفتوحة يمكن أن تكتشف فيها معلومات إدارة الهوية. ومن الضروري تمثيل معلومات إدارة الهوية هذه بأساليب مختلفة وأن تدعمها أطر ثقة مختلفة أو أنظمة أخرى لإدارة الهوية تستخدم مخططات مختلفة للبيانات الشرحية. وسيمكن هذا الإطار، على سبيل المثال الكيانات التي تعمل في إطار نظام معين لإدارة الهوية من التحليل الدقيق لمعرفات الهوية الصادرة عن أنظمة أخرى لإدارة الهوية. وبدون وجود إمكانية لاكتشاف هذه المعلومات، سيكون على المستعملين والمنظمات (أو البرامج التي تعمل بالنيابة عنهم) تحديد أفضل السبل لتعيين مصداقية واستيقان أي من معرفات الهوية المناسبة، سواء بالنسبة لمستعمل أو لمورد من موارد النظام أو معلومات أو كيانات أخرى. وطبقاً لهذه المعلومات، يعود إلى المستعمل أو المنظمة تحديد الاعتماد على إطار ثقة معين أو نظام آخر لإدارة الهوية من عدمه لهذا الغرض. وتتضمن المكونات الأساسية للإطار المحدد في</w:t>
      </w:r>
      <w:r w:rsidR="000F7FC6" w:rsidRPr="000153BD">
        <w:rPr>
          <w:rFonts w:hint="eastAsia"/>
          <w:rtl/>
        </w:rPr>
        <w:t> </w:t>
      </w:r>
      <w:r w:rsidRPr="000153BD">
        <w:rPr>
          <w:rFonts w:hint="cs"/>
          <w:rtl/>
        </w:rPr>
        <w:t xml:space="preserve">هذه التوصية: </w:t>
      </w:r>
      <w:r w:rsidRPr="000153BD">
        <w:t>(1</w:t>
      </w:r>
      <w:r w:rsidRPr="000153BD">
        <w:rPr>
          <w:rFonts w:hint="eastAsia"/>
          <w:rtl/>
          <w:lang w:bidi="ar-EG"/>
        </w:rPr>
        <w:t> </w:t>
      </w:r>
      <w:r w:rsidRPr="000153BD">
        <w:rPr>
          <w:rFonts w:hint="cs"/>
          <w:rtl/>
          <w:lang w:bidi="ar-EG"/>
        </w:rPr>
        <w:t xml:space="preserve">نموذج بيانات للشيء الرقمي، </w:t>
      </w:r>
      <w:r w:rsidRPr="000153BD">
        <w:rPr>
          <w:lang w:bidi="ar-EG"/>
        </w:rPr>
        <w:t>(2</w:t>
      </w:r>
      <w:r w:rsidRPr="000153BD">
        <w:rPr>
          <w:rFonts w:hint="eastAsia"/>
          <w:rtl/>
          <w:lang w:bidi="ar-EG"/>
        </w:rPr>
        <w:t> </w:t>
      </w:r>
      <w:r w:rsidRPr="000153BD">
        <w:rPr>
          <w:rFonts w:hint="cs"/>
          <w:rtl/>
          <w:lang w:bidi="ar-EG"/>
        </w:rPr>
        <w:t xml:space="preserve">بروتوكول للسطح البيني للشيء الرقمي، </w:t>
      </w:r>
      <w:r w:rsidRPr="000153BD">
        <w:rPr>
          <w:lang w:bidi="ar-EG"/>
        </w:rPr>
        <w:t>(3</w:t>
      </w:r>
      <w:r w:rsidRPr="000153BD">
        <w:rPr>
          <w:rFonts w:hint="eastAsia"/>
          <w:rtl/>
          <w:lang w:bidi="ar-EG"/>
        </w:rPr>
        <w:t> </w:t>
      </w:r>
      <w:r w:rsidRPr="000153BD">
        <w:rPr>
          <w:rFonts w:hint="cs"/>
          <w:rtl/>
          <w:lang w:bidi="ar-EG"/>
        </w:rPr>
        <w:t xml:space="preserve">نظام واحد أو أكثر </w:t>
      </w:r>
      <w:r w:rsidR="000F7FC6" w:rsidRPr="000153BD">
        <w:rPr>
          <w:rFonts w:hint="cs"/>
          <w:rtl/>
          <w:lang w:bidi="ar-EG"/>
        </w:rPr>
        <w:t>من أنظمة التعرف/الاستبانة</w:t>
      </w:r>
      <w:r w:rsidRPr="000153BD">
        <w:rPr>
          <w:rFonts w:hint="cs"/>
          <w:rtl/>
          <w:lang w:bidi="ar-EG"/>
        </w:rPr>
        <w:t xml:space="preserve">، </w:t>
      </w:r>
      <w:r w:rsidRPr="000153BD">
        <w:rPr>
          <w:lang w:bidi="ar-EG"/>
        </w:rPr>
        <w:t>(4</w:t>
      </w:r>
      <w:r w:rsidRPr="000153BD">
        <w:rPr>
          <w:rFonts w:hint="eastAsia"/>
          <w:rtl/>
          <w:lang w:bidi="ar-EG"/>
        </w:rPr>
        <w:t> </w:t>
      </w:r>
      <w:r w:rsidRPr="000153BD">
        <w:rPr>
          <w:rFonts w:hint="cs"/>
          <w:rtl/>
          <w:lang w:bidi="ar-EG"/>
        </w:rPr>
        <w:t>سجل واحد أو أكثر للبيانات الشرحية. وتشكل هذه المكونات الأساس لإطار المعمارية المفتوحة.</w:t>
      </w:r>
    </w:p>
    <w:p w:rsidR="00D93BC9" w:rsidRPr="00D93BC9" w:rsidRDefault="00F9470D" w:rsidP="00F36B68">
      <w:pPr>
        <w:tabs>
          <w:tab w:val="center" w:pos="4962"/>
        </w:tabs>
        <w:spacing w:before="600" w:line="240" w:lineRule="atLeast"/>
        <w:jc w:val="center"/>
        <w:rPr>
          <w:rtl/>
          <w:lang w:bidi="ar-EG"/>
        </w:rPr>
      </w:pPr>
      <w:r>
        <w:rPr>
          <w:rFonts w:hint="cs"/>
          <w:rtl/>
          <w:lang w:bidi="ar-EG"/>
        </w:rPr>
        <w:t>___________</w:t>
      </w:r>
    </w:p>
    <w:sectPr w:rsidR="00D93BC9" w:rsidRPr="00D93BC9" w:rsidSect="00382923">
      <w:footerReference w:type="default" r:id="rId17"/>
      <w:type w:val="oddPage"/>
      <w:pgSz w:w="11907" w:h="16840" w:code="9"/>
      <w:pgMar w:top="1418" w:right="1134" w:bottom="1134" w:left="1134" w:header="397" w:footer="39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E2" w:rsidRPr="00631D1C" w:rsidRDefault="00631D1C" w:rsidP="00631D1C">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631D1C">
      <w:rPr>
        <w:rFonts w:cs="Times New Roman"/>
        <w:caps/>
        <w:sz w:val="16"/>
        <w:szCs w:val="20"/>
        <w:lang w:val="fr-CH"/>
      </w:rPr>
      <w:t>ITU-T\BUREAU\CIRC\024</w:t>
    </w:r>
    <w:r>
      <w:rPr>
        <w:rFonts w:cs="Times New Roman"/>
        <w:caps/>
        <w:sz w:val="16"/>
        <w:szCs w:val="20"/>
        <w:lang w:val="fr-CH"/>
      </w:rPr>
      <w:t>A</w:t>
    </w:r>
    <w:r w:rsidRPr="00631D1C">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CB" w:rsidRPr="009F69CB" w:rsidRDefault="009F69CB" w:rsidP="009F69CB">
    <w:pPr>
      <w:pStyle w:val="Footer"/>
      <w:bidi w:val="0"/>
      <w:rPr>
        <w:sz w:val="16"/>
        <w:szCs w:val="16"/>
        <w:lang w:val="fr-CH"/>
      </w:rPr>
    </w:pPr>
    <w:r w:rsidRPr="009F69CB">
      <w:rPr>
        <w:sz w:val="16"/>
        <w:szCs w:val="16"/>
        <w:lang w:val="fr-CH"/>
      </w:rPr>
      <w:t>ITU-T\BUREAU\CIRC\315</w:t>
    </w:r>
    <w:r>
      <w:rPr>
        <w:sz w:val="16"/>
        <w:szCs w:val="16"/>
        <w:lang w:val="fr-CH"/>
      </w:rPr>
      <w:t>A</w:t>
    </w:r>
    <w:r w:rsidRPr="009F69CB">
      <w:rPr>
        <w:sz w:val="16"/>
        <w:szCs w:val="16"/>
        <w:lang w:val="fr-CH"/>
      </w:rPr>
      <w:t>.DOC</w:t>
    </w:r>
  </w:p>
  <w:p w:rsidR="005B6B7C" w:rsidRPr="009F69CB" w:rsidRDefault="005B6B7C" w:rsidP="009F69C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B6B7C" w:rsidTr="00306AB2">
      <w:trPr>
        <w:cantSplit/>
      </w:trPr>
      <w:tc>
        <w:tcPr>
          <w:tcW w:w="1062" w:type="pct"/>
          <w:tcBorders>
            <w:top w:val="single" w:sz="6" w:space="0" w:color="auto"/>
          </w:tcBorders>
          <w:tcMar>
            <w:top w:w="57" w:type="dxa"/>
          </w:tcMar>
        </w:tcPr>
        <w:p w:rsidR="005B6B7C" w:rsidRDefault="005B6B7C" w:rsidP="00306AB2">
          <w:pPr>
            <w:pStyle w:val="itu"/>
          </w:pPr>
          <w:r>
            <w:t>Place des Nations</w:t>
          </w:r>
        </w:p>
      </w:tc>
      <w:tc>
        <w:tcPr>
          <w:tcW w:w="1583" w:type="pct"/>
          <w:tcBorders>
            <w:top w:val="single" w:sz="6" w:space="0" w:color="auto"/>
          </w:tcBorders>
          <w:tcMar>
            <w:top w:w="57" w:type="dxa"/>
          </w:tcMar>
        </w:tcPr>
        <w:p w:rsidR="005B6B7C" w:rsidRDefault="005B6B7C" w:rsidP="00306AB2">
          <w:pPr>
            <w:pStyle w:val="itu"/>
          </w:pPr>
          <w:r>
            <w:t>Telephone</w:t>
          </w:r>
          <w:r>
            <w:tab/>
            <w:t>+41 22 730 51 11</w:t>
          </w:r>
        </w:p>
      </w:tc>
      <w:tc>
        <w:tcPr>
          <w:tcW w:w="1224" w:type="pct"/>
          <w:tcBorders>
            <w:top w:val="single" w:sz="6" w:space="0" w:color="auto"/>
          </w:tcBorders>
          <w:tcMar>
            <w:top w:w="57" w:type="dxa"/>
          </w:tcMar>
        </w:tcPr>
        <w:p w:rsidR="005B6B7C" w:rsidRDefault="005B6B7C"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6B7C" w:rsidRDefault="005B6B7C" w:rsidP="00306AB2">
          <w:pPr>
            <w:pStyle w:val="itu"/>
          </w:pPr>
          <w:r>
            <w:t>E-mail:</w:t>
          </w:r>
          <w:r>
            <w:tab/>
            <w:t>itumail@itu.int</w:t>
          </w:r>
        </w:p>
      </w:tc>
    </w:tr>
    <w:tr w:rsidR="005B6B7C" w:rsidTr="00306AB2">
      <w:trPr>
        <w:cantSplit/>
      </w:trPr>
      <w:tc>
        <w:tcPr>
          <w:tcW w:w="1062" w:type="pct"/>
        </w:tcPr>
        <w:p w:rsidR="005B6B7C" w:rsidRPr="008F5E3A" w:rsidRDefault="005B6B7C" w:rsidP="00306AB2">
          <w:pPr>
            <w:pStyle w:val="itu"/>
          </w:pPr>
          <w:r w:rsidRPr="008F5E3A">
            <w:t>CH-1211 Geneva 20</w:t>
          </w:r>
        </w:p>
      </w:tc>
      <w:tc>
        <w:tcPr>
          <w:tcW w:w="1583" w:type="pct"/>
        </w:tcPr>
        <w:p w:rsidR="005B6B7C" w:rsidRPr="008F5E3A" w:rsidRDefault="005B6B7C" w:rsidP="00306AB2">
          <w:pPr>
            <w:pStyle w:val="itu"/>
          </w:pPr>
          <w:r w:rsidRPr="008F5E3A">
            <w:t>Telefax</w:t>
          </w:r>
          <w:r w:rsidRPr="008F5E3A">
            <w:tab/>
            <w:t>Gr3:</w:t>
          </w:r>
          <w:r w:rsidRPr="008F5E3A">
            <w:tab/>
            <w:t>+41 22 733 72 56</w:t>
          </w:r>
        </w:p>
      </w:tc>
      <w:tc>
        <w:tcPr>
          <w:tcW w:w="1224" w:type="pct"/>
        </w:tcPr>
        <w:p w:rsidR="005B6B7C" w:rsidRPr="008F5E3A" w:rsidRDefault="005B6B7C" w:rsidP="00306AB2">
          <w:pPr>
            <w:pStyle w:val="itu"/>
          </w:pPr>
          <w:r w:rsidRPr="008F5E3A">
            <w:t>Telegram ITU GENEVE</w:t>
          </w:r>
        </w:p>
      </w:tc>
      <w:tc>
        <w:tcPr>
          <w:tcW w:w="1131" w:type="pct"/>
        </w:tcPr>
        <w:p w:rsidR="005B6B7C" w:rsidRPr="00724ED5" w:rsidRDefault="005B6B7C" w:rsidP="00306AB2">
          <w:pPr>
            <w:pStyle w:val="itu"/>
            <w:rPr>
              <w:lang w:val="en-US"/>
            </w:rPr>
          </w:pPr>
          <w:r w:rsidRPr="008F5E3A">
            <w:tab/>
          </w:r>
          <w:hyperlink r:id="rId1" w:history="1">
            <w:r w:rsidRPr="0034525D">
              <w:rPr>
                <w:rStyle w:val="Hyperlink"/>
              </w:rPr>
              <w:t>www.itu.int</w:t>
            </w:r>
          </w:hyperlink>
        </w:p>
      </w:tc>
    </w:tr>
    <w:tr w:rsidR="005B6B7C" w:rsidTr="00306AB2">
      <w:trPr>
        <w:cantSplit/>
      </w:trPr>
      <w:tc>
        <w:tcPr>
          <w:tcW w:w="1062" w:type="pct"/>
        </w:tcPr>
        <w:p w:rsidR="005B6B7C" w:rsidRPr="006E3E44" w:rsidRDefault="00F72112" w:rsidP="006E3E44">
          <w:pPr>
            <w:pStyle w:val="itu"/>
            <w:rPr>
              <w:rtl/>
              <w:lang w:val="en-US" w:bidi="ar-SY"/>
            </w:rPr>
          </w:pPr>
          <w:r>
            <w:rPr>
              <w:lang w:val="en-US"/>
            </w:rPr>
            <w:t>Switzerland</w:t>
          </w:r>
        </w:p>
      </w:tc>
      <w:tc>
        <w:tcPr>
          <w:tcW w:w="1583" w:type="pct"/>
        </w:tcPr>
        <w:p w:rsidR="005B6B7C" w:rsidRDefault="005B6B7C" w:rsidP="00306AB2">
          <w:pPr>
            <w:pStyle w:val="itu"/>
          </w:pPr>
          <w:r>
            <w:tab/>
            <w:t>Gr4:</w:t>
          </w:r>
          <w:r>
            <w:tab/>
            <w:t>+41 22 730 65 00</w:t>
          </w:r>
        </w:p>
      </w:tc>
      <w:tc>
        <w:tcPr>
          <w:tcW w:w="1224" w:type="pct"/>
        </w:tcPr>
        <w:p w:rsidR="005B6B7C" w:rsidRDefault="005B6B7C" w:rsidP="00306AB2">
          <w:pPr>
            <w:pStyle w:val="itu"/>
          </w:pPr>
        </w:p>
      </w:tc>
      <w:tc>
        <w:tcPr>
          <w:tcW w:w="1131" w:type="pct"/>
        </w:tcPr>
        <w:p w:rsidR="005B6B7C" w:rsidRDefault="005B6B7C" w:rsidP="00306AB2">
          <w:pPr>
            <w:pStyle w:val="itu"/>
          </w:pPr>
        </w:p>
      </w:tc>
    </w:tr>
  </w:tbl>
  <w:p w:rsidR="005B6B7C" w:rsidRPr="00AE03C4" w:rsidRDefault="005B6B7C" w:rsidP="00C17749">
    <w:pPr>
      <w:pStyle w:val="Footer"/>
      <w:bidi w:val="0"/>
      <w:spacing w:before="0" w:line="1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E2" w:rsidRPr="00631D1C" w:rsidRDefault="00631D1C" w:rsidP="00631D1C">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631D1C">
      <w:rPr>
        <w:rFonts w:cs="Times New Roman"/>
        <w:caps/>
        <w:sz w:val="16"/>
        <w:szCs w:val="20"/>
        <w:lang w:val="fr-CH"/>
      </w:rPr>
      <w:t>ITU-T\BUREAU\CIRC\024</w:t>
    </w:r>
    <w:r>
      <w:rPr>
        <w:rFonts w:cs="Times New Roman"/>
        <w:caps/>
        <w:sz w:val="16"/>
        <w:szCs w:val="20"/>
        <w:lang w:val="fr-CH"/>
      </w:rPr>
      <w:t>A</w:t>
    </w:r>
    <w:r w:rsidRPr="00631D1C">
      <w:rPr>
        <w:rFonts w:cs="Times New Roman"/>
        <w:caps/>
        <w:sz w:val="16"/>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7C" w:rsidRPr="00737B58" w:rsidRDefault="005B6B7C" w:rsidP="00737B58">
    <w:pPr>
      <w:pStyle w:val="Header"/>
      <w:bidi w:val="0"/>
      <w:spacing w:after="120"/>
      <w:jc w:val="center"/>
      <w:rPr>
        <w:sz w:val="20"/>
        <w:szCs w:val="20"/>
      </w:rPr>
    </w:pPr>
    <w:r w:rsidRPr="003F3F82">
      <w:rPr>
        <w:sz w:val="20"/>
        <w:szCs w:val="20"/>
      </w:rPr>
      <w:t>- </w:t>
    </w:r>
    <w:r w:rsidR="00775CC2" w:rsidRPr="003F3F82">
      <w:rPr>
        <w:rFonts w:cs="Times New Roman"/>
        <w:sz w:val="20"/>
        <w:szCs w:val="20"/>
      </w:rPr>
      <w:fldChar w:fldCharType="begin"/>
    </w:r>
    <w:r w:rsidRPr="003F3F82">
      <w:rPr>
        <w:rFonts w:cs="Times New Roman"/>
        <w:sz w:val="20"/>
        <w:szCs w:val="20"/>
      </w:rPr>
      <w:instrText>PAGE</w:instrText>
    </w:r>
    <w:r w:rsidR="00775CC2" w:rsidRPr="003F3F82">
      <w:rPr>
        <w:rFonts w:cs="Times New Roman"/>
        <w:sz w:val="20"/>
        <w:szCs w:val="20"/>
      </w:rPr>
      <w:fldChar w:fldCharType="separate"/>
    </w:r>
    <w:r w:rsidR="00631D1C">
      <w:rPr>
        <w:rFonts w:cs="Times New Roman"/>
        <w:noProof/>
        <w:sz w:val="20"/>
        <w:szCs w:val="20"/>
      </w:rPr>
      <w:t>2</w:t>
    </w:r>
    <w:r w:rsidR="00775CC2"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7C" w:rsidRPr="003F3F82" w:rsidRDefault="005B6B7C" w:rsidP="00737B58">
    <w:pPr>
      <w:pStyle w:val="Header"/>
      <w:bidi w:val="0"/>
      <w:spacing w:after="120"/>
      <w:jc w:val="center"/>
      <w:rPr>
        <w:sz w:val="20"/>
        <w:szCs w:val="20"/>
      </w:rPr>
    </w:pPr>
    <w:r w:rsidRPr="003F3F82">
      <w:rPr>
        <w:sz w:val="20"/>
        <w:szCs w:val="20"/>
      </w:rPr>
      <w:t>- </w:t>
    </w:r>
    <w:r w:rsidR="00775CC2" w:rsidRPr="003F3F82">
      <w:rPr>
        <w:rFonts w:cs="Times New Roman"/>
        <w:sz w:val="20"/>
        <w:szCs w:val="20"/>
      </w:rPr>
      <w:fldChar w:fldCharType="begin"/>
    </w:r>
    <w:r w:rsidRPr="003F3F82">
      <w:rPr>
        <w:rFonts w:cs="Times New Roman"/>
        <w:sz w:val="20"/>
        <w:szCs w:val="20"/>
      </w:rPr>
      <w:instrText>PAGE</w:instrText>
    </w:r>
    <w:r w:rsidR="00775CC2" w:rsidRPr="003F3F82">
      <w:rPr>
        <w:rFonts w:cs="Times New Roman"/>
        <w:sz w:val="20"/>
        <w:szCs w:val="20"/>
      </w:rPr>
      <w:fldChar w:fldCharType="separate"/>
    </w:r>
    <w:r w:rsidR="00631D1C">
      <w:rPr>
        <w:rFonts w:cs="Times New Roman"/>
        <w:noProof/>
        <w:sz w:val="20"/>
        <w:szCs w:val="20"/>
      </w:rPr>
      <w:t>3</w:t>
    </w:r>
    <w:r w:rsidR="00775CC2"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evenAndOddHeaders/>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18B7"/>
    <w:rsid w:val="00003DC4"/>
    <w:rsid w:val="00007569"/>
    <w:rsid w:val="000123E5"/>
    <w:rsid w:val="00012BD9"/>
    <w:rsid w:val="00012BDE"/>
    <w:rsid w:val="000132B7"/>
    <w:rsid w:val="000153BD"/>
    <w:rsid w:val="00017A82"/>
    <w:rsid w:val="00017B73"/>
    <w:rsid w:val="00020DB7"/>
    <w:rsid w:val="00024C0A"/>
    <w:rsid w:val="000260D5"/>
    <w:rsid w:val="000302D3"/>
    <w:rsid w:val="00030425"/>
    <w:rsid w:val="0003441B"/>
    <w:rsid w:val="000417C7"/>
    <w:rsid w:val="00042EAA"/>
    <w:rsid w:val="000440C4"/>
    <w:rsid w:val="000525E5"/>
    <w:rsid w:val="00055916"/>
    <w:rsid w:val="00061AFB"/>
    <w:rsid w:val="00063093"/>
    <w:rsid w:val="00063119"/>
    <w:rsid w:val="000637D6"/>
    <w:rsid w:val="0006455A"/>
    <w:rsid w:val="00064EC5"/>
    <w:rsid w:val="00071718"/>
    <w:rsid w:val="00073C9D"/>
    <w:rsid w:val="00073E7E"/>
    <w:rsid w:val="00076A45"/>
    <w:rsid w:val="00077FE3"/>
    <w:rsid w:val="00081D8A"/>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0F7FC6"/>
    <w:rsid w:val="0010144A"/>
    <w:rsid w:val="001014A9"/>
    <w:rsid w:val="001031DA"/>
    <w:rsid w:val="00111909"/>
    <w:rsid w:val="001132C8"/>
    <w:rsid w:val="00122F1A"/>
    <w:rsid w:val="00127FFE"/>
    <w:rsid w:val="00131FF6"/>
    <w:rsid w:val="00133BF7"/>
    <w:rsid w:val="001344C5"/>
    <w:rsid w:val="001401E7"/>
    <w:rsid w:val="00150879"/>
    <w:rsid w:val="001523BE"/>
    <w:rsid w:val="00155D87"/>
    <w:rsid w:val="0016239F"/>
    <w:rsid w:val="001631E7"/>
    <w:rsid w:val="0017036F"/>
    <w:rsid w:val="00171486"/>
    <w:rsid w:val="00172571"/>
    <w:rsid w:val="001737DC"/>
    <w:rsid w:val="001751BB"/>
    <w:rsid w:val="00180899"/>
    <w:rsid w:val="001919D1"/>
    <w:rsid w:val="0019316A"/>
    <w:rsid w:val="0019658A"/>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0664E"/>
    <w:rsid w:val="0021011A"/>
    <w:rsid w:val="00213FD5"/>
    <w:rsid w:val="00214741"/>
    <w:rsid w:val="0022041F"/>
    <w:rsid w:val="00224522"/>
    <w:rsid w:val="002264A9"/>
    <w:rsid w:val="002313E7"/>
    <w:rsid w:val="002330BE"/>
    <w:rsid w:val="00235C8A"/>
    <w:rsid w:val="00236786"/>
    <w:rsid w:val="00240FE5"/>
    <w:rsid w:val="0024616F"/>
    <w:rsid w:val="00246AD0"/>
    <w:rsid w:val="00247D96"/>
    <w:rsid w:val="00247D9B"/>
    <w:rsid w:val="00250DC3"/>
    <w:rsid w:val="00252705"/>
    <w:rsid w:val="00254978"/>
    <w:rsid w:val="002561C9"/>
    <w:rsid w:val="00256EA5"/>
    <w:rsid w:val="002622F5"/>
    <w:rsid w:val="00264241"/>
    <w:rsid w:val="00266364"/>
    <w:rsid w:val="00267A26"/>
    <w:rsid w:val="00270797"/>
    <w:rsid w:val="0027494C"/>
    <w:rsid w:val="00274B47"/>
    <w:rsid w:val="00286E0F"/>
    <w:rsid w:val="00287340"/>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208D"/>
    <w:rsid w:val="002C233F"/>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A60E0"/>
    <w:rsid w:val="003A66D9"/>
    <w:rsid w:val="003A749F"/>
    <w:rsid w:val="003B2C5F"/>
    <w:rsid w:val="003B459A"/>
    <w:rsid w:val="003C2AC9"/>
    <w:rsid w:val="003C37F9"/>
    <w:rsid w:val="003C459D"/>
    <w:rsid w:val="003C75BF"/>
    <w:rsid w:val="003D27F3"/>
    <w:rsid w:val="003D56B1"/>
    <w:rsid w:val="003E051B"/>
    <w:rsid w:val="003E32A8"/>
    <w:rsid w:val="003E6B7D"/>
    <w:rsid w:val="003E7D54"/>
    <w:rsid w:val="003F2748"/>
    <w:rsid w:val="003F3F82"/>
    <w:rsid w:val="00402F31"/>
    <w:rsid w:val="004067A6"/>
    <w:rsid w:val="0041276C"/>
    <w:rsid w:val="00417512"/>
    <w:rsid w:val="00420FCC"/>
    <w:rsid w:val="00422171"/>
    <w:rsid w:val="004221D4"/>
    <w:rsid w:val="004245AB"/>
    <w:rsid w:val="00425397"/>
    <w:rsid w:val="00425DFF"/>
    <w:rsid w:val="00431A19"/>
    <w:rsid w:val="00432DDA"/>
    <w:rsid w:val="004331B3"/>
    <w:rsid w:val="00434574"/>
    <w:rsid w:val="00447F3B"/>
    <w:rsid w:val="004530BE"/>
    <w:rsid w:val="0045475A"/>
    <w:rsid w:val="004556CD"/>
    <w:rsid w:val="004558BF"/>
    <w:rsid w:val="004579B5"/>
    <w:rsid w:val="004603FF"/>
    <w:rsid w:val="00460C14"/>
    <w:rsid w:val="00460C4B"/>
    <w:rsid w:val="00461C8D"/>
    <w:rsid w:val="00467258"/>
    <w:rsid w:val="00471EC0"/>
    <w:rsid w:val="00474AAB"/>
    <w:rsid w:val="00492ABB"/>
    <w:rsid w:val="00492FAD"/>
    <w:rsid w:val="0049418C"/>
    <w:rsid w:val="004956B5"/>
    <w:rsid w:val="00495720"/>
    <w:rsid w:val="00496580"/>
    <w:rsid w:val="004A05B3"/>
    <w:rsid w:val="004A0F33"/>
    <w:rsid w:val="004A5068"/>
    <w:rsid w:val="004A510C"/>
    <w:rsid w:val="004A52B4"/>
    <w:rsid w:val="004A7A1A"/>
    <w:rsid w:val="004A7ED2"/>
    <w:rsid w:val="004B16DE"/>
    <w:rsid w:val="004B4609"/>
    <w:rsid w:val="004B49B9"/>
    <w:rsid w:val="004C28CF"/>
    <w:rsid w:val="004C2D2B"/>
    <w:rsid w:val="004D043A"/>
    <w:rsid w:val="004D5491"/>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3DBC"/>
    <w:rsid w:val="005D467E"/>
    <w:rsid w:val="005D488B"/>
    <w:rsid w:val="005D49D4"/>
    <w:rsid w:val="005E007E"/>
    <w:rsid w:val="005E30F7"/>
    <w:rsid w:val="005E36D0"/>
    <w:rsid w:val="005E43E2"/>
    <w:rsid w:val="005F0828"/>
    <w:rsid w:val="005F33FD"/>
    <w:rsid w:val="005F4982"/>
    <w:rsid w:val="006011E0"/>
    <w:rsid w:val="0060203A"/>
    <w:rsid w:val="00605E96"/>
    <w:rsid w:val="00606E7A"/>
    <w:rsid w:val="0061222B"/>
    <w:rsid w:val="00614A3A"/>
    <w:rsid w:val="00614F3F"/>
    <w:rsid w:val="006206BC"/>
    <w:rsid w:val="00622460"/>
    <w:rsid w:val="00631D1C"/>
    <w:rsid w:val="00633EB6"/>
    <w:rsid w:val="006344E2"/>
    <w:rsid w:val="00635668"/>
    <w:rsid w:val="00637285"/>
    <w:rsid w:val="00637FB5"/>
    <w:rsid w:val="006401EA"/>
    <w:rsid w:val="00642E11"/>
    <w:rsid w:val="00642F8E"/>
    <w:rsid w:val="0064388F"/>
    <w:rsid w:val="00645A60"/>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088"/>
    <w:rsid w:val="006A4DF3"/>
    <w:rsid w:val="006B52B5"/>
    <w:rsid w:val="006B6B9A"/>
    <w:rsid w:val="006C1530"/>
    <w:rsid w:val="006C174A"/>
    <w:rsid w:val="006C3F7D"/>
    <w:rsid w:val="006C4FFB"/>
    <w:rsid w:val="006C5406"/>
    <w:rsid w:val="006D04B7"/>
    <w:rsid w:val="006D28CD"/>
    <w:rsid w:val="006D3825"/>
    <w:rsid w:val="006D436D"/>
    <w:rsid w:val="006D49AD"/>
    <w:rsid w:val="006D5178"/>
    <w:rsid w:val="006E0FAF"/>
    <w:rsid w:val="006E38E0"/>
    <w:rsid w:val="006E3CB2"/>
    <w:rsid w:val="006E3E44"/>
    <w:rsid w:val="006E4140"/>
    <w:rsid w:val="006E73B1"/>
    <w:rsid w:val="006F2D1C"/>
    <w:rsid w:val="006F43F8"/>
    <w:rsid w:val="0070074B"/>
    <w:rsid w:val="0070156D"/>
    <w:rsid w:val="0070470C"/>
    <w:rsid w:val="00706054"/>
    <w:rsid w:val="0071127D"/>
    <w:rsid w:val="0071131C"/>
    <w:rsid w:val="007149A7"/>
    <w:rsid w:val="007202C3"/>
    <w:rsid w:val="00721228"/>
    <w:rsid w:val="00721732"/>
    <w:rsid w:val="00721D7C"/>
    <w:rsid w:val="00725DCA"/>
    <w:rsid w:val="00725F86"/>
    <w:rsid w:val="00737B58"/>
    <w:rsid w:val="007437F9"/>
    <w:rsid w:val="00743819"/>
    <w:rsid w:val="00743D7C"/>
    <w:rsid w:val="00744A4B"/>
    <w:rsid w:val="00745CB2"/>
    <w:rsid w:val="00746048"/>
    <w:rsid w:val="00747C88"/>
    <w:rsid w:val="00754328"/>
    <w:rsid w:val="007561C9"/>
    <w:rsid w:val="00757D5F"/>
    <w:rsid w:val="00760887"/>
    <w:rsid w:val="00761A48"/>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C1AEA"/>
    <w:rsid w:val="007C6A0C"/>
    <w:rsid w:val="007D5054"/>
    <w:rsid w:val="007E44DF"/>
    <w:rsid w:val="007E4D5B"/>
    <w:rsid w:val="007F03E5"/>
    <w:rsid w:val="007F0AC6"/>
    <w:rsid w:val="007F4834"/>
    <w:rsid w:val="007F53EB"/>
    <w:rsid w:val="007F5D5A"/>
    <w:rsid w:val="0080133D"/>
    <w:rsid w:val="008041A7"/>
    <w:rsid w:val="00811121"/>
    <w:rsid w:val="00811A43"/>
    <w:rsid w:val="008165EA"/>
    <w:rsid w:val="0081722F"/>
    <w:rsid w:val="008226F2"/>
    <w:rsid w:val="0082500A"/>
    <w:rsid w:val="0082673E"/>
    <w:rsid w:val="00830F86"/>
    <w:rsid w:val="00832E41"/>
    <w:rsid w:val="00835745"/>
    <w:rsid w:val="00845B80"/>
    <w:rsid w:val="008476DC"/>
    <w:rsid w:val="00852573"/>
    <w:rsid w:val="008608F6"/>
    <w:rsid w:val="00861C93"/>
    <w:rsid w:val="00866CFB"/>
    <w:rsid w:val="0087077B"/>
    <w:rsid w:val="00872FBE"/>
    <w:rsid w:val="00876CC0"/>
    <w:rsid w:val="00883E59"/>
    <w:rsid w:val="00886A0C"/>
    <w:rsid w:val="008B3005"/>
    <w:rsid w:val="008B3B81"/>
    <w:rsid w:val="008B61CA"/>
    <w:rsid w:val="008C3899"/>
    <w:rsid w:val="008C4385"/>
    <w:rsid w:val="008C4418"/>
    <w:rsid w:val="008C7D86"/>
    <w:rsid w:val="008D1EC0"/>
    <w:rsid w:val="008D27E0"/>
    <w:rsid w:val="008D2E33"/>
    <w:rsid w:val="008D3838"/>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31AD"/>
    <w:rsid w:val="009362C1"/>
    <w:rsid w:val="0093679C"/>
    <w:rsid w:val="00941B05"/>
    <w:rsid w:val="00946AC0"/>
    <w:rsid w:val="00946B8F"/>
    <w:rsid w:val="00954436"/>
    <w:rsid w:val="00955DB4"/>
    <w:rsid w:val="009572C2"/>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487E"/>
    <w:rsid w:val="009B5009"/>
    <w:rsid w:val="009B5BEF"/>
    <w:rsid w:val="009C00AA"/>
    <w:rsid w:val="009C4ADE"/>
    <w:rsid w:val="009C4E2A"/>
    <w:rsid w:val="009C5D18"/>
    <w:rsid w:val="009D2DD2"/>
    <w:rsid w:val="009E058C"/>
    <w:rsid w:val="009E1EB7"/>
    <w:rsid w:val="009E21AD"/>
    <w:rsid w:val="009E29CE"/>
    <w:rsid w:val="009F4B09"/>
    <w:rsid w:val="009F69CB"/>
    <w:rsid w:val="00A01C50"/>
    <w:rsid w:val="00A07BD7"/>
    <w:rsid w:val="00A10658"/>
    <w:rsid w:val="00A14ADB"/>
    <w:rsid w:val="00A16A2B"/>
    <w:rsid w:val="00A22222"/>
    <w:rsid w:val="00A22A92"/>
    <w:rsid w:val="00A26943"/>
    <w:rsid w:val="00A26EA0"/>
    <w:rsid w:val="00A27BDB"/>
    <w:rsid w:val="00A33EB9"/>
    <w:rsid w:val="00A41CE4"/>
    <w:rsid w:val="00A45762"/>
    <w:rsid w:val="00A55013"/>
    <w:rsid w:val="00A600B6"/>
    <w:rsid w:val="00A61EAA"/>
    <w:rsid w:val="00A6296D"/>
    <w:rsid w:val="00A63C54"/>
    <w:rsid w:val="00A64FDF"/>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C5606"/>
    <w:rsid w:val="00AD1CC4"/>
    <w:rsid w:val="00AD28DD"/>
    <w:rsid w:val="00AD3BF6"/>
    <w:rsid w:val="00AD48BF"/>
    <w:rsid w:val="00AE6487"/>
    <w:rsid w:val="00B06EFE"/>
    <w:rsid w:val="00B10464"/>
    <w:rsid w:val="00B204CB"/>
    <w:rsid w:val="00B22847"/>
    <w:rsid w:val="00B232BD"/>
    <w:rsid w:val="00B269E5"/>
    <w:rsid w:val="00B2745A"/>
    <w:rsid w:val="00B321AC"/>
    <w:rsid w:val="00B341A3"/>
    <w:rsid w:val="00B3481D"/>
    <w:rsid w:val="00B34DC2"/>
    <w:rsid w:val="00B40910"/>
    <w:rsid w:val="00B45D33"/>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06F21"/>
    <w:rsid w:val="00C11143"/>
    <w:rsid w:val="00C16CB6"/>
    <w:rsid w:val="00C17749"/>
    <w:rsid w:val="00C20F36"/>
    <w:rsid w:val="00C23F00"/>
    <w:rsid w:val="00C335A4"/>
    <w:rsid w:val="00C33D50"/>
    <w:rsid w:val="00C35715"/>
    <w:rsid w:val="00C42FC9"/>
    <w:rsid w:val="00C4474D"/>
    <w:rsid w:val="00C447E9"/>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90712"/>
    <w:rsid w:val="00C91A9F"/>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678A8"/>
    <w:rsid w:val="00D72140"/>
    <w:rsid w:val="00D807A7"/>
    <w:rsid w:val="00D82615"/>
    <w:rsid w:val="00D8334F"/>
    <w:rsid w:val="00D84854"/>
    <w:rsid w:val="00D8532A"/>
    <w:rsid w:val="00D86402"/>
    <w:rsid w:val="00D87242"/>
    <w:rsid w:val="00D90360"/>
    <w:rsid w:val="00D90879"/>
    <w:rsid w:val="00D91522"/>
    <w:rsid w:val="00D93BC9"/>
    <w:rsid w:val="00DA07ED"/>
    <w:rsid w:val="00DA1155"/>
    <w:rsid w:val="00DA5A7F"/>
    <w:rsid w:val="00DA5F42"/>
    <w:rsid w:val="00DB0549"/>
    <w:rsid w:val="00DC2200"/>
    <w:rsid w:val="00DC2272"/>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61D4"/>
    <w:rsid w:val="00E21669"/>
    <w:rsid w:val="00E24356"/>
    <w:rsid w:val="00E25C6C"/>
    <w:rsid w:val="00E27501"/>
    <w:rsid w:val="00E32073"/>
    <w:rsid w:val="00E36E54"/>
    <w:rsid w:val="00E4218D"/>
    <w:rsid w:val="00E43C8F"/>
    <w:rsid w:val="00E44061"/>
    <w:rsid w:val="00E448CA"/>
    <w:rsid w:val="00E479CF"/>
    <w:rsid w:val="00E507D1"/>
    <w:rsid w:val="00E529E7"/>
    <w:rsid w:val="00E53204"/>
    <w:rsid w:val="00E53BB2"/>
    <w:rsid w:val="00E61338"/>
    <w:rsid w:val="00E61E5B"/>
    <w:rsid w:val="00E621D0"/>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3A4"/>
    <w:rsid w:val="00ED3E50"/>
    <w:rsid w:val="00ED6CD3"/>
    <w:rsid w:val="00EE57C3"/>
    <w:rsid w:val="00EF1712"/>
    <w:rsid w:val="00EF527A"/>
    <w:rsid w:val="00EF5BAB"/>
    <w:rsid w:val="00EF7518"/>
    <w:rsid w:val="00F01078"/>
    <w:rsid w:val="00F01831"/>
    <w:rsid w:val="00F03585"/>
    <w:rsid w:val="00F060DD"/>
    <w:rsid w:val="00F0698D"/>
    <w:rsid w:val="00F11BC4"/>
    <w:rsid w:val="00F14BA4"/>
    <w:rsid w:val="00F20164"/>
    <w:rsid w:val="00F23FC1"/>
    <w:rsid w:val="00F265E2"/>
    <w:rsid w:val="00F27FBB"/>
    <w:rsid w:val="00F300BA"/>
    <w:rsid w:val="00F318DD"/>
    <w:rsid w:val="00F31960"/>
    <w:rsid w:val="00F354D4"/>
    <w:rsid w:val="00F36B68"/>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45BD"/>
    <w:rsid w:val="00F856AD"/>
    <w:rsid w:val="00F877C1"/>
    <w:rsid w:val="00F9060D"/>
    <w:rsid w:val="00F90F4A"/>
    <w:rsid w:val="00F91BE5"/>
    <w:rsid w:val="00F93BFA"/>
    <w:rsid w:val="00F9470D"/>
    <w:rsid w:val="00F964C4"/>
    <w:rsid w:val="00F968D5"/>
    <w:rsid w:val="00FA3E86"/>
    <w:rsid w:val="00FA6851"/>
    <w:rsid w:val="00FB089C"/>
    <w:rsid w:val="00FB1373"/>
    <w:rsid w:val="00FB3342"/>
    <w:rsid w:val="00FB5466"/>
    <w:rsid w:val="00FB6B6D"/>
    <w:rsid w:val="00FC16AB"/>
    <w:rsid w:val="00FC593B"/>
    <w:rsid w:val="00FC641F"/>
    <w:rsid w:val="00FC651D"/>
    <w:rsid w:val="00FD07E7"/>
    <w:rsid w:val="00FD4B47"/>
    <w:rsid w:val="00FD6525"/>
    <w:rsid w:val="00FE4768"/>
    <w:rsid w:val="00FE7226"/>
    <w:rsid w:val="00FF143A"/>
    <w:rsid w:val="00FF195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paragraph" w:customStyle="1" w:styleId="Headingb">
    <w:name w:val="Heading_b"/>
    <w:basedOn w:val="Normal"/>
    <w:next w:val="Normal"/>
    <w:rsid w:val="0020664E"/>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7C23-C7AA-4CC8-AF5C-EA962DC2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18</TotalTime>
  <Pages>3</Pages>
  <Words>810</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5118</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Norton Viard, Emma</cp:lastModifiedBy>
  <cp:revision>18</cp:revision>
  <cp:lastPrinted>2013-05-08T13:12:00Z</cp:lastPrinted>
  <dcterms:created xsi:type="dcterms:W3CDTF">2013-05-08T09:39:00Z</dcterms:created>
  <dcterms:modified xsi:type="dcterms:W3CDTF">2013-05-10T08:48:00Z</dcterms:modified>
</cp:coreProperties>
</file>