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D41EF9" w:rsidTr="009D51FA">
        <w:trPr>
          <w:cantSplit/>
        </w:trPr>
        <w:tc>
          <w:tcPr>
            <w:tcW w:w="6426" w:type="dxa"/>
            <w:vAlign w:val="center"/>
          </w:tcPr>
          <w:p w:rsidR="00517A03" w:rsidRPr="00D41EF9" w:rsidRDefault="00517A03" w:rsidP="00AC7C9B">
            <w:pPr>
              <w:tabs>
                <w:tab w:val="right" w:pos="8732"/>
              </w:tabs>
              <w:spacing w:before="0"/>
              <w:rPr>
                <w:rFonts w:ascii="Verdana" w:hAnsi="Verdana"/>
                <w:b/>
                <w:bCs/>
                <w:iCs/>
                <w:color w:val="FFFFFF"/>
                <w:sz w:val="26"/>
                <w:szCs w:val="26"/>
                <w:lang w:val="fr-CH"/>
              </w:rPr>
            </w:pPr>
            <w:r w:rsidRPr="00D41EF9">
              <w:rPr>
                <w:rFonts w:ascii="Verdana" w:hAnsi="Verdana"/>
                <w:b/>
                <w:bCs/>
                <w:iCs/>
                <w:sz w:val="26"/>
                <w:szCs w:val="26"/>
                <w:lang w:val="fr-CH"/>
              </w:rPr>
              <w:t>Bureau de la normalisation</w:t>
            </w:r>
            <w:r w:rsidRPr="00D41EF9">
              <w:rPr>
                <w:rFonts w:ascii="Verdana" w:hAnsi="Verdana"/>
                <w:b/>
                <w:bCs/>
                <w:iCs/>
                <w:sz w:val="26"/>
                <w:szCs w:val="26"/>
                <w:lang w:val="fr-CH"/>
              </w:rPr>
              <w:br/>
              <w:t>des télécommunications</w:t>
            </w:r>
          </w:p>
        </w:tc>
        <w:tc>
          <w:tcPr>
            <w:tcW w:w="3355" w:type="dxa"/>
            <w:vAlign w:val="center"/>
          </w:tcPr>
          <w:p w:rsidR="00517A03" w:rsidRPr="00D41EF9" w:rsidRDefault="001026FD" w:rsidP="00AC7C9B">
            <w:pPr>
              <w:spacing w:before="0"/>
              <w:jc w:val="right"/>
              <w:rPr>
                <w:rFonts w:ascii="Verdana" w:hAnsi="Verdana"/>
                <w:color w:val="FFFFFF"/>
                <w:sz w:val="26"/>
                <w:szCs w:val="26"/>
                <w:lang w:val="fr-CH"/>
              </w:rPr>
            </w:pPr>
            <w:r w:rsidRPr="00D41EF9">
              <w:rPr>
                <w:rFonts w:ascii="Verdana" w:hAnsi="Verdana"/>
                <w:b/>
                <w:bCs/>
                <w:noProof/>
                <w:color w:val="FFFFFF"/>
                <w:sz w:val="26"/>
                <w:szCs w:val="26"/>
                <w:lang w:val="en-US" w:eastAsia="zh-CN"/>
              </w:rPr>
              <w:drawing>
                <wp:inline distT="0" distB="0" distL="0" distR="0" wp14:anchorId="4141B19B" wp14:editId="10475EE7">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D41EF9" w:rsidTr="009D51FA">
        <w:trPr>
          <w:cantSplit/>
        </w:trPr>
        <w:tc>
          <w:tcPr>
            <w:tcW w:w="6426" w:type="dxa"/>
            <w:vAlign w:val="center"/>
          </w:tcPr>
          <w:p w:rsidR="00517A03" w:rsidRPr="00D41EF9" w:rsidRDefault="00517A03" w:rsidP="00AC7C9B">
            <w:pPr>
              <w:tabs>
                <w:tab w:val="right" w:pos="8732"/>
              </w:tabs>
              <w:spacing w:before="0"/>
              <w:rPr>
                <w:rFonts w:ascii="Verdana" w:hAnsi="Verdana"/>
                <w:b/>
                <w:bCs/>
                <w:iCs/>
                <w:sz w:val="18"/>
                <w:szCs w:val="18"/>
                <w:lang w:val="fr-CH"/>
              </w:rPr>
            </w:pPr>
          </w:p>
        </w:tc>
        <w:tc>
          <w:tcPr>
            <w:tcW w:w="3355" w:type="dxa"/>
            <w:vAlign w:val="center"/>
          </w:tcPr>
          <w:p w:rsidR="00517A03" w:rsidRPr="00D41EF9" w:rsidRDefault="00517A03" w:rsidP="00AC7C9B">
            <w:pPr>
              <w:spacing w:before="0"/>
              <w:ind w:left="993" w:hanging="993"/>
              <w:jc w:val="right"/>
              <w:rPr>
                <w:rFonts w:ascii="Verdana" w:hAnsi="Verdana"/>
                <w:sz w:val="18"/>
                <w:szCs w:val="18"/>
                <w:lang w:val="fr-CH"/>
              </w:rPr>
            </w:pPr>
          </w:p>
        </w:tc>
      </w:tr>
    </w:tbl>
    <w:p w:rsidR="00DC5B23" w:rsidRPr="00D41EF9" w:rsidRDefault="00517A03" w:rsidP="00AC7C9B">
      <w:pPr>
        <w:tabs>
          <w:tab w:val="clear" w:pos="794"/>
          <w:tab w:val="clear" w:pos="1191"/>
          <w:tab w:val="clear" w:pos="1588"/>
          <w:tab w:val="clear" w:pos="1985"/>
          <w:tab w:val="left" w:pos="4962"/>
        </w:tabs>
        <w:spacing w:before="0"/>
        <w:rPr>
          <w:lang w:val="fr-CH"/>
        </w:rPr>
      </w:pPr>
      <w:r w:rsidRPr="00D41EF9">
        <w:rPr>
          <w:lang w:val="fr-CH"/>
        </w:rPr>
        <w:tab/>
      </w:r>
    </w:p>
    <w:p w:rsidR="00517A03" w:rsidRPr="00D41EF9" w:rsidRDefault="00DC5B23" w:rsidP="00AC7C9B">
      <w:pPr>
        <w:tabs>
          <w:tab w:val="clear" w:pos="794"/>
          <w:tab w:val="clear" w:pos="1191"/>
          <w:tab w:val="clear" w:pos="1588"/>
          <w:tab w:val="clear" w:pos="1985"/>
          <w:tab w:val="left" w:pos="4962"/>
        </w:tabs>
        <w:spacing w:before="0"/>
        <w:rPr>
          <w:lang w:val="fr-CH"/>
        </w:rPr>
      </w:pPr>
      <w:r w:rsidRPr="00D41EF9">
        <w:rPr>
          <w:lang w:val="fr-CH"/>
        </w:rPr>
        <w:tab/>
      </w:r>
      <w:r w:rsidR="00517A03" w:rsidRPr="00D41EF9">
        <w:rPr>
          <w:lang w:val="fr-CH"/>
        </w:rPr>
        <w:t xml:space="preserve">Genève, le </w:t>
      </w:r>
      <w:r w:rsidR="00983C24" w:rsidRPr="00D41EF9">
        <w:rPr>
          <w:lang w:val="fr-CH"/>
        </w:rPr>
        <w:t xml:space="preserve">5 avril </w:t>
      </w:r>
      <w:r w:rsidR="002304AD" w:rsidRPr="00D41EF9">
        <w:rPr>
          <w:lang w:val="fr-CH"/>
        </w:rPr>
        <w:t>201</w:t>
      </w:r>
      <w:r w:rsidR="00983C24" w:rsidRPr="00D41EF9">
        <w:rPr>
          <w:lang w:val="fr-CH"/>
        </w:rPr>
        <w:t>3</w:t>
      </w:r>
    </w:p>
    <w:p w:rsidR="00517A03" w:rsidRPr="00D41EF9" w:rsidRDefault="00517A03" w:rsidP="00AC7C9B">
      <w:pPr>
        <w:tabs>
          <w:tab w:val="clear" w:pos="794"/>
          <w:tab w:val="clear" w:pos="1191"/>
          <w:tab w:val="clear" w:pos="1588"/>
          <w:tab w:val="clear" w:pos="1985"/>
          <w:tab w:val="left" w:pos="4962"/>
        </w:tabs>
        <w:spacing w:before="0"/>
        <w:rPr>
          <w:sz w:val="10"/>
          <w:szCs w:val="10"/>
          <w:lang w:val="fr-CH"/>
        </w:rPr>
      </w:pPr>
    </w:p>
    <w:p w:rsidR="00517A03" w:rsidRPr="00D41EF9" w:rsidRDefault="00517A03" w:rsidP="00AC7C9B">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RPr="00D41EF9" w:rsidTr="009D51FA">
        <w:trPr>
          <w:cantSplit/>
          <w:trHeight w:val="340"/>
        </w:trPr>
        <w:tc>
          <w:tcPr>
            <w:tcW w:w="822" w:type="dxa"/>
          </w:tcPr>
          <w:p w:rsidR="00517A03" w:rsidRPr="00D41EF9" w:rsidRDefault="00517A03" w:rsidP="00AC7C9B">
            <w:pPr>
              <w:tabs>
                <w:tab w:val="left" w:pos="4111"/>
              </w:tabs>
              <w:spacing w:before="10"/>
              <w:ind w:left="57"/>
              <w:rPr>
                <w:lang w:val="fr-CH"/>
              </w:rPr>
            </w:pPr>
            <w:r w:rsidRPr="00D41EF9">
              <w:rPr>
                <w:lang w:val="fr-CH"/>
              </w:rPr>
              <w:t>Réf.:</w:t>
            </w:r>
          </w:p>
          <w:p w:rsidR="00517A03" w:rsidRPr="00D41EF9" w:rsidRDefault="00517A03" w:rsidP="00AC7C9B">
            <w:pPr>
              <w:tabs>
                <w:tab w:val="left" w:pos="4111"/>
              </w:tabs>
              <w:spacing w:before="10"/>
              <w:ind w:left="57"/>
              <w:rPr>
                <w:lang w:val="fr-CH"/>
              </w:rPr>
            </w:pPr>
          </w:p>
          <w:p w:rsidR="00517A03" w:rsidRPr="00D41EF9" w:rsidRDefault="00517A03" w:rsidP="00AC7C9B">
            <w:pPr>
              <w:tabs>
                <w:tab w:val="left" w:pos="4111"/>
              </w:tabs>
              <w:spacing w:before="10"/>
              <w:ind w:left="57"/>
              <w:rPr>
                <w:lang w:val="fr-CH"/>
              </w:rPr>
            </w:pPr>
          </w:p>
          <w:p w:rsidR="00517A03" w:rsidRPr="00D41EF9" w:rsidRDefault="00517A03" w:rsidP="00AC7C9B">
            <w:pPr>
              <w:tabs>
                <w:tab w:val="left" w:pos="4111"/>
              </w:tabs>
              <w:spacing w:before="10"/>
              <w:ind w:left="57"/>
              <w:rPr>
                <w:lang w:val="fr-CH"/>
              </w:rPr>
            </w:pPr>
          </w:p>
        </w:tc>
        <w:tc>
          <w:tcPr>
            <w:tcW w:w="4055" w:type="dxa"/>
          </w:tcPr>
          <w:p w:rsidR="00517A03" w:rsidRPr="00D41EF9" w:rsidRDefault="002304AD" w:rsidP="00AC7C9B">
            <w:pPr>
              <w:tabs>
                <w:tab w:val="left" w:pos="4111"/>
              </w:tabs>
              <w:spacing w:before="10"/>
              <w:ind w:left="57"/>
              <w:rPr>
                <w:b/>
                <w:lang w:val="fr-CH"/>
              </w:rPr>
            </w:pPr>
            <w:r w:rsidRPr="00D41EF9">
              <w:rPr>
                <w:b/>
                <w:lang w:val="fr-CH"/>
              </w:rPr>
              <w:t xml:space="preserve">Circulaire TSB </w:t>
            </w:r>
            <w:r w:rsidR="00394C4E" w:rsidRPr="00D41EF9">
              <w:rPr>
                <w:b/>
                <w:lang w:val="fr-CH"/>
              </w:rPr>
              <w:t>19</w:t>
            </w:r>
          </w:p>
          <w:p w:rsidR="00517A03" w:rsidRPr="00D41EF9" w:rsidRDefault="00394C4E" w:rsidP="00AC7C9B">
            <w:pPr>
              <w:tabs>
                <w:tab w:val="left" w:pos="4111"/>
              </w:tabs>
              <w:spacing w:before="10"/>
              <w:ind w:left="57"/>
              <w:rPr>
                <w:b/>
                <w:lang w:val="fr-CH"/>
              </w:rPr>
            </w:pPr>
            <w:r w:rsidRPr="00D41EF9">
              <w:rPr>
                <w:lang w:val="fr-CH"/>
              </w:rPr>
              <w:t>TSBDIR</w:t>
            </w:r>
          </w:p>
          <w:p w:rsidR="00517A03" w:rsidRPr="00D41EF9" w:rsidRDefault="00517A03" w:rsidP="00AC7C9B">
            <w:pPr>
              <w:tabs>
                <w:tab w:val="left" w:pos="4111"/>
              </w:tabs>
              <w:spacing w:before="10"/>
              <w:ind w:left="57"/>
              <w:rPr>
                <w:lang w:val="fr-CH"/>
              </w:rPr>
            </w:pPr>
          </w:p>
          <w:p w:rsidR="00517A03" w:rsidRPr="00D41EF9" w:rsidRDefault="00517A03" w:rsidP="00AC7C9B">
            <w:pPr>
              <w:tabs>
                <w:tab w:val="left" w:pos="4111"/>
              </w:tabs>
              <w:spacing w:before="10"/>
              <w:ind w:left="57"/>
              <w:rPr>
                <w:lang w:val="fr-CH"/>
              </w:rPr>
            </w:pPr>
          </w:p>
        </w:tc>
        <w:tc>
          <w:tcPr>
            <w:tcW w:w="5046" w:type="dxa"/>
          </w:tcPr>
          <w:p w:rsidR="00517A03" w:rsidRPr="00D41EF9" w:rsidRDefault="00517A03" w:rsidP="00AC7C9B">
            <w:pPr>
              <w:tabs>
                <w:tab w:val="clear" w:pos="794"/>
                <w:tab w:val="clear" w:pos="1191"/>
                <w:tab w:val="clear" w:pos="1588"/>
                <w:tab w:val="clear" w:pos="1985"/>
                <w:tab w:val="left" w:pos="267"/>
              </w:tabs>
              <w:spacing w:before="0"/>
              <w:ind w:left="267" w:hanging="238"/>
              <w:rPr>
                <w:lang w:val="fr-CH"/>
              </w:rPr>
            </w:pPr>
            <w:bookmarkStart w:id="0" w:name="Addressee_F"/>
            <w:bookmarkEnd w:id="0"/>
            <w:r w:rsidRPr="00D41EF9">
              <w:rPr>
                <w:lang w:val="fr-CH"/>
              </w:rPr>
              <w:t>-</w:t>
            </w:r>
            <w:r w:rsidRPr="00D41EF9">
              <w:rPr>
                <w:lang w:val="fr-CH"/>
              </w:rPr>
              <w:tab/>
              <w:t>Aux administrations des Etats Membres de l</w:t>
            </w:r>
            <w:r w:rsidR="001936E8" w:rsidRPr="00D41EF9">
              <w:rPr>
                <w:lang w:val="fr-CH"/>
              </w:rPr>
              <w:t>'</w:t>
            </w:r>
            <w:r w:rsidRPr="00D41EF9">
              <w:rPr>
                <w:lang w:val="fr-CH"/>
              </w:rPr>
              <w:t>Union</w:t>
            </w:r>
            <w:r w:rsidR="00217020" w:rsidRPr="00D41EF9">
              <w:rPr>
                <w:lang w:val="fr-CH"/>
              </w:rPr>
              <w:t>;</w:t>
            </w:r>
          </w:p>
          <w:p w:rsidR="001807D0" w:rsidRPr="00D41EF9" w:rsidRDefault="001807D0" w:rsidP="00AC7C9B">
            <w:pPr>
              <w:tabs>
                <w:tab w:val="clear" w:pos="794"/>
                <w:tab w:val="clear" w:pos="1191"/>
                <w:tab w:val="clear" w:pos="1588"/>
                <w:tab w:val="clear" w:pos="1985"/>
                <w:tab w:val="left" w:pos="267"/>
              </w:tabs>
              <w:spacing w:before="0"/>
              <w:ind w:left="267" w:hanging="238"/>
              <w:rPr>
                <w:lang w:val="fr-CH"/>
              </w:rPr>
            </w:pPr>
            <w:r w:rsidRPr="00D41EF9">
              <w:rPr>
                <w:lang w:val="fr-CH"/>
              </w:rPr>
              <w:t>-</w:t>
            </w:r>
            <w:r w:rsidRPr="00D41EF9">
              <w:rPr>
                <w:lang w:val="fr-CH"/>
              </w:rPr>
              <w:tab/>
              <w:t>Aux Membres du Secteur UIT-T;</w:t>
            </w:r>
          </w:p>
          <w:p w:rsidR="001807D0" w:rsidRPr="00D41EF9" w:rsidRDefault="00394C4E" w:rsidP="00AC7C9B">
            <w:pPr>
              <w:tabs>
                <w:tab w:val="clear" w:pos="794"/>
                <w:tab w:val="clear" w:pos="1191"/>
                <w:tab w:val="clear" w:pos="1588"/>
                <w:tab w:val="clear" w:pos="1985"/>
                <w:tab w:val="left" w:pos="267"/>
              </w:tabs>
              <w:spacing w:before="0"/>
              <w:ind w:left="267" w:hanging="238"/>
              <w:rPr>
                <w:lang w:val="fr-CH"/>
              </w:rPr>
            </w:pPr>
            <w:r w:rsidRPr="00D41EF9">
              <w:rPr>
                <w:lang w:val="fr-CH"/>
              </w:rPr>
              <w:t>-</w:t>
            </w:r>
            <w:r w:rsidRPr="00D41EF9">
              <w:rPr>
                <w:lang w:val="fr-CH"/>
              </w:rPr>
              <w:tab/>
              <w:t>Aux Associés de l'UIT-T</w:t>
            </w:r>
          </w:p>
          <w:p w:rsidR="002304AD" w:rsidRPr="00D41EF9" w:rsidRDefault="002304AD" w:rsidP="00AC7C9B">
            <w:pPr>
              <w:tabs>
                <w:tab w:val="clear" w:pos="794"/>
                <w:tab w:val="clear" w:pos="1191"/>
                <w:tab w:val="clear" w:pos="1588"/>
                <w:tab w:val="clear" w:pos="1985"/>
                <w:tab w:val="left" w:pos="267"/>
              </w:tabs>
              <w:spacing w:before="0" w:after="120"/>
              <w:ind w:left="266" w:hanging="238"/>
              <w:rPr>
                <w:lang w:val="fr-CH"/>
              </w:rPr>
            </w:pPr>
          </w:p>
        </w:tc>
      </w:tr>
      <w:tr w:rsidR="00517A03" w:rsidRPr="00D41EF9" w:rsidTr="009D51FA">
        <w:trPr>
          <w:cantSplit/>
        </w:trPr>
        <w:tc>
          <w:tcPr>
            <w:tcW w:w="822" w:type="dxa"/>
          </w:tcPr>
          <w:p w:rsidR="00517A03" w:rsidRPr="00D41EF9" w:rsidRDefault="0089369E" w:rsidP="00AC7C9B">
            <w:pPr>
              <w:tabs>
                <w:tab w:val="left" w:pos="4111"/>
              </w:tabs>
              <w:spacing w:before="10"/>
              <w:ind w:left="57"/>
              <w:rPr>
                <w:rFonts w:ascii="Futura Lt BT" w:hAnsi="Futura Lt BT"/>
                <w:sz w:val="20"/>
                <w:lang w:val="fr-CH"/>
              </w:rPr>
            </w:pPr>
            <w:r w:rsidRPr="00D41EF9">
              <w:rPr>
                <w:lang w:val="fr-CH"/>
              </w:rPr>
              <w:t>Tél.:</w:t>
            </w:r>
            <w:r w:rsidRPr="00D41EF9">
              <w:rPr>
                <w:lang w:val="fr-CH"/>
              </w:rPr>
              <w:br/>
              <w:t>Fax:</w:t>
            </w:r>
            <w:r w:rsidRPr="00D41EF9">
              <w:rPr>
                <w:lang w:val="fr-CH"/>
              </w:rPr>
              <w:br/>
              <w:t>E-mail:</w:t>
            </w:r>
          </w:p>
        </w:tc>
        <w:tc>
          <w:tcPr>
            <w:tcW w:w="4055" w:type="dxa"/>
          </w:tcPr>
          <w:p w:rsidR="00517A03" w:rsidRPr="00D41EF9" w:rsidRDefault="0089369E" w:rsidP="00AC7C9B">
            <w:pPr>
              <w:tabs>
                <w:tab w:val="left" w:pos="4111"/>
              </w:tabs>
              <w:spacing w:before="0"/>
              <w:ind w:left="57"/>
              <w:rPr>
                <w:lang w:val="fr-CH"/>
              </w:rPr>
            </w:pPr>
            <w:r w:rsidRPr="00D41EF9">
              <w:rPr>
                <w:lang w:val="fr-CH"/>
              </w:rPr>
              <w:t>+41 22 730 585</w:t>
            </w:r>
            <w:r w:rsidR="00394C4E" w:rsidRPr="00D41EF9">
              <w:rPr>
                <w:lang w:val="fr-CH"/>
              </w:rPr>
              <w:t xml:space="preserve">2 </w:t>
            </w:r>
            <w:r w:rsidRPr="00D41EF9">
              <w:rPr>
                <w:lang w:val="fr-CH"/>
              </w:rPr>
              <w:br/>
            </w:r>
            <w:proofErr w:type="gramStart"/>
            <w:r w:rsidRPr="00D41EF9">
              <w:rPr>
                <w:lang w:val="fr-CH"/>
              </w:rPr>
              <w:t>+41 22 730 5853</w:t>
            </w:r>
            <w:r w:rsidR="00394C4E" w:rsidRPr="00D41EF9">
              <w:rPr>
                <w:lang w:val="fr-CH"/>
              </w:rPr>
              <w:t xml:space="preserve"> </w:t>
            </w:r>
            <w:r w:rsidRPr="00D41EF9">
              <w:rPr>
                <w:lang w:val="fr-CH"/>
              </w:rPr>
              <w:br/>
            </w:r>
            <w:r w:rsidR="00394C4E" w:rsidRPr="00D41EF9">
              <w:fldChar w:fldCharType="begin"/>
            </w:r>
            <w:r w:rsidR="00394C4E" w:rsidRPr="00D41EF9">
              <w:rPr>
                <w:lang w:val="fr-CH"/>
                <w:rPrChange w:id="1" w:author="Blondeau, Sophie" w:date="2013-04-03T09:44:00Z">
                  <w:rPr/>
                </w:rPrChange>
              </w:rPr>
              <w:instrText xml:space="preserve"> HYPERLINK "mailto:tsbdir@itu.int" </w:instrText>
            </w:r>
            <w:r w:rsidR="00394C4E" w:rsidRPr="00D41EF9">
              <w:fldChar w:fldCharType="separate"/>
            </w:r>
            <w:r w:rsidR="00394C4E" w:rsidRPr="00D41EF9">
              <w:rPr>
                <w:rStyle w:val="Hyperlink"/>
                <w:lang w:val="fr-CH"/>
              </w:rPr>
              <w:t>tsbdir@itu.int</w:t>
            </w:r>
            <w:proofErr w:type="gramEnd"/>
            <w:r w:rsidR="00394C4E" w:rsidRPr="00D41EF9">
              <w:rPr>
                <w:rStyle w:val="Hyperlink"/>
                <w:lang w:val="fr-CH"/>
              </w:rPr>
              <w:fldChar w:fldCharType="end"/>
            </w:r>
          </w:p>
        </w:tc>
        <w:tc>
          <w:tcPr>
            <w:tcW w:w="5046" w:type="dxa"/>
          </w:tcPr>
          <w:p w:rsidR="00517A03" w:rsidRPr="00D41EF9" w:rsidRDefault="00517A03" w:rsidP="00AC7C9B">
            <w:pPr>
              <w:tabs>
                <w:tab w:val="left" w:pos="4111"/>
              </w:tabs>
              <w:spacing w:before="0"/>
              <w:rPr>
                <w:lang w:val="fr-CH"/>
              </w:rPr>
            </w:pPr>
            <w:r w:rsidRPr="00D41EF9">
              <w:rPr>
                <w:b/>
                <w:lang w:val="fr-CH"/>
              </w:rPr>
              <w:t>Copie</w:t>
            </w:r>
            <w:r w:rsidRPr="00D41EF9">
              <w:rPr>
                <w:lang w:val="fr-CH"/>
              </w:rPr>
              <w:t>:</w:t>
            </w:r>
          </w:p>
          <w:p w:rsidR="00394C4E" w:rsidRPr="00D41EF9" w:rsidRDefault="00394C4E" w:rsidP="009413E8">
            <w:pPr>
              <w:tabs>
                <w:tab w:val="clear" w:pos="794"/>
                <w:tab w:val="left" w:pos="226"/>
                <w:tab w:val="left" w:pos="4111"/>
              </w:tabs>
              <w:spacing w:before="0"/>
              <w:ind w:left="226" w:hanging="226"/>
              <w:rPr>
                <w:lang w:val="fr-CH"/>
              </w:rPr>
            </w:pPr>
            <w:r w:rsidRPr="00D41EF9">
              <w:rPr>
                <w:lang w:val="fr-CH"/>
              </w:rPr>
              <w:t>-</w:t>
            </w:r>
            <w:r w:rsidRPr="00D41EF9">
              <w:rPr>
                <w:lang w:val="fr-CH"/>
              </w:rPr>
              <w:tab/>
              <w:t>Aux Présidents et Vice-Présidents des Commissions d'études de l'UIT-T</w:t>
            </w:r>
            <w:r w:rsidR="009413E8">
              <w:rPr>
                <w:lang w:val="fr-CH"/>
              </w:rPr>
              <w:t>;</w:t>
            </w:r>
          </w:p>
          <w:p w:rsidR="00517A03" w:rsidRPr="00D41EF9" w:rsidRDefault="00517A03" w:rsidP="00AC7C9B">
            <w:pPr>
              <w:tabs>
                <w:tab w:val="clear" w:pos="794"/>
                <w:tab w:val="left" w:pos="226"/>
                <w:tab w:val="left" w:pos="4111"/>
              </w:tabs>
              <w:spacing w:before="0"/>
              <w:ind w:left="226" w:hanging="226"/>
              <w:rPr>
                <w:lang w:val="fr-CH"/>
              </w:rPr>
            </w:pPr>
            <w:r w:rsidRPr="00D41EF9">
              <w:rPr>
                <w:lang w:val="fr-CH"/>
              </w:rPr>
              <w:t>-</w:t>
            </w:r>
            <w:r w:rsidRPr="00D41EF9">
              <w:rPr>
                <w:lang w:val="fr-CH"/>
              </w:rPr>
              <w:tab/>
              <w:t>Au Directeur du Bureau de développement des télécommunications;</w:t>
            </w:r>
          </w:p>
          <w:p w:rsidR="00517A03" w:rsidRPr="00D41EF9" w:rsidRDefault="00517A03" w:rsidP="00AC7C9B">
            <w:pPr>
              <w:tabs>
                <w:tab w:val="clear" w:pos="794"/>
                <w:tab w:val="left" w:pos="226"/>
                <w:tab w:val="left" w:pos="4111"/>
              </w:tabs>
              <w:spacing w:before="0"/>
              <w:ind w:left="226" w:hanging="226"/>
              <w:rPr>
                <w:lang w:val="fr-CH"/>
              </w:rPr>
            </w:pPr>
            <w:r w:rsidRPr="00D41EF9">
              <w:rPr>
                <w:lang w:val="fr-CH"/>
              </w:rPr>
              <w:t>-</w:t>
            </w:r>
            <w:r w:rsidRPr="00D41EF9">
              <w:rPr>
                <w:lang w:val="fr-CH"/>
              </w:rPr>
              <w:tab/>
              <w:t>Au Directeur du Bureau des</w:t>
            </w:r>
            <w:r w:rsidRPr="00D41EF9">
              <w:rPr>
                <w:lang w:val="fr-CH"/>
              </w:rPr>
              <w:br/>
              <w:t>radiocommunications</w:t>
            </w:r>
          </w:p>
        </w:tc>
      </w:tr>
    </w:tbl>
    <w:p w:rsidR="00517A03" w:rsidRPr="00D41EF9" w:rsidRDefault="00517A03" w:rsidP="00AC7C9B">
      <w:pPr>
        <w:tabs>
          <w:tab w:val="left" w:pos="4111"/>
        </w:tabs>
        <w:spacing w:before="0"/>
        <w:ind w:left="57"/>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675"/>
      </w:tblGrid>
      <w:tr w:rsidR="00517A03" w:rsidRPr="00D41EF9" w:rsidTr="00DC5B23">
        <w:trPr>
          <w:cantSplit/>
          <w:trHeight w:val="680"/>
        </w:trPr>
        <w:tc>
          <w:tcPr>
            <w:tcW w:w="822" w:type="dxa"/>
          </w:tcPr>
          <w:p w:rsidR="00517A03" w:rsidRPr="00D41EF9" w:rsidRDefault="00517A03" w:rsidP="00AC7C9B">
            <w:pPr>
              <w:tabs>
                <w:tab w:val="left" w:pos="4111"/>
              </w:tabs>
              <w:spacing w:before="10"/>
              <w:ind w:left="57"/>
              <w:rPr>
                <w:sz w:val="22"/>
                <w:lang w:val="fr-CH"/>
              </w:rPr>
            </w:pPr>
            <w:r w:rsidRPr="00D41EF9">
              <w:rPr>
                <w:sz w:val="22"/>
                <w:lang w:val="fr-CH"/>
              </w:rPr>
              <w:t>Objet:</w:t>
            </w:r>
          </w:p>
        </w:tc>
        <w:tc>
          <w:tcPr>
            <w:tcW w:w="7675" w:type="dxa"/>
          </w:tcPr>
          <w:p w:rsidR="00517A03" w:rsidRPr="00D41EF9" w:rsidRDefault="00394C4E" w:rsidP="00AC7C9B">
            <w:pPr>
              <w:tabs>
                <w:tab w:val="left" w:pos="4111"/>
              </w:tabs>
              <w:spacing w:before="0"/>
              <w:ind w:left="57"/>
              <w:rPr>
                <w:lang w:val="fr-CH"/>
              </w:rPr>
            </w:pPr>
            <w:r w:rsidRPr="00D41EF9">
              <w:rPr>
                <w:b/>
                <w:szCs w:val="24"/>
                <w:lang w:val="fr-CH"/>
              </w:rPr>
              <w:t>Contributions financières volontaires pour les travaux de l'UIT</w:t>
            </w:r>
            <w:r w:rsidRPr="00D41EF9">
              <w:rPr>
                <w:b/>
                <w:szCs w:val="24"/>
                <w:lang w:val="fr-CH"/>
              </w:rPr>
              <w:noBreakHyphen/>
              <w:t>T</w:t>
            </w:r>
          </w:p>
        </w:tc>
      </w:tr>
    </w:tbl>
    <w:p w:rsidR="00517A03" w:rsidRPr="00D41EF9" w:rsidRDefault="00517A03" w:rsidP="00AC7C9B">
      <w:pPr>
        <w:rPr>
          <w:lang w:val="fr-CH"/>
        </w:rPr>
      </w:pPr>
      <w:bookmarkStart w:id="2" w:name="StartTyping_F"/>
      <w:bookmarkEnd w:id="2"/>
    </w:p>
    <w:p w:rsidR="00517A03" w:rsidRPr="00D41EF9" w:rsidRDefault="00517A03" w:rsidP="00AC7C9B">
      <w:pPr>
        <w:rPr>
          <w:lang w:val="fr-CH"/>
        </w:rPr>
      </w:pPr>
      <w:r w:rsidRPr="00D41EF9">
        <w:rPr>
          <w:lang w:val="fr-CH"/>
        </w:rPr>
        <w:t>Madame, Monsieur,</w:t>
      </w:r>
    </w:p>
    <w:p w:rsidR="00394C4E" w:rsidRPr="00D41EF9" w:rsidRDefault="003C4A45" w:rsidP="002872A7">
      <w:pPr>
        <w:pStyle w:val="Normalaftertitle"/>
        <w:rPr>
          <w:lang w:val="fr-CH"/>
        </w:rPr>
      </w:pPr>
      <w:r w:rsidRPr="00D41EF9">
        <w:rPr>
          <w:lang w:val="fr-CH"/>
        </w:rPr>
        <w:t xml:space="preserve">En application de la </w:t>
      </w:r>
      <w:r w:rsidR="00394C4E" w:rsidRPr="00D41EF9">
        <w:rPr>
          <w:lang w:val="fr-CH"/>
        </w:rPr>
        <w:t>R</w:t>
      </w:r>
      <w:r w:rsidRPr="00D41EF9">
        <w:rPr>
          <w:lang w:val="fr-CH"/>
        </w:rPr>
        <w:t>é</w:t>
      </w:r>
      <w:r w:rsidR="00AC7C9B" w:rsidRPr="00D41EF9">
        <w:rPr>
          <w:lang w:val="fr-CH"/>
        </w:rPr>
        <w:t>solution 34 "</w:t>
      </w:r>
      <w:r w:rsidR="00394C4E" w:rsidRPr="00D41EF9">
        <w:rPr>
          <w:lang w:val="fr-CH"/>
        </w:rPr>
        <w:t>Contributions</w:t>
      </w:r>
      <w:r w:rsidRPr="00D41EF9">
        <w:rPr>
          <w:lang w:val="fr-CH"/>
        </w:rPr>
        <w:t xml:space="preserve"> volontaires</w:t>
      </w:r>
      <w:r w:rsidR="00AC7C9B" w:rsidRPr="00D41EF9">
        <w:rPr>
          <w:lang w:val="fr-CH"/>
        </w:rPr>
        <w:t>"</w:t>
      </w:r>
      <w:r w:rsidR="00394C4E" w:rsidRPr="00D41EF9">
        <w:rPr>
          <w:lang w:val="fr-CH"/>
        </w:rPr>
        <w:t>, r</w:t>
      </w:r>
      <w:r w:rsidRPr="00D41EF9">
        <w:rPr>
          <w:lang w:val="fr-CH"/>
        </w:rPr>
        <w:t>é</w:t>
      </w:r>
      <w:r w:rsidR="00394C4E" w:rsidRPr="00D41EF9">
        <w:rPr>
          <w:lang w:val="fr-CH"/>
        </w:rPr>
        <w:t>vis</w:t>
      </w:r>
      <w:r w:rsidRPr="00D41EF9">
        <w:rPr>
          <w:lang w:val="fr-CH"/>
        </w:rPr>
        <w:t xml:space="preserve">ée par l'Assemblée mondiale </w:t>
      </w:r>
      <w:r w:rsidR="00834541" w:rsidRPr="00D41EF9">
        <w:rPr>
          <w:lang w:val="fr-CH"/>
        </w:rPr>
        <w:t xml:space="preserve">de normalisation des télécommunications </w:t>
      </w:r>
      <w:r w:rsidR="00432084" w:rsidRPr="00D41EF9">
        <w:rPr>
          <w:lang w:val="fr-CH"/>
        </w:rPr>
        <w:t xml:space="preserve">qui s'est </w:t>
      </w:r>
      <w:r w:rsidR="00834541" w:rsidRPr="00D41EF9">
        <w:rPr>
          <w:lang w:val="fr-CH"/>
        </w:rPr>
        <w:t xml:space="preserve">tenue à </w:t>
      </w:r>
      <w:r w:rsidR="00394C4E" w:rsidRPr="00D41EF9">
        <w:rPr>
          <w:lang w:val="fr-CH"/>
        </w:rPr>
        <w:t>Duba</w:t>
      </w:r>
      <w:r w:rsidR="00834541" w:rsidRPr="00D41EF9">
        <w:rPr>
          <w:lang w:val="fr-CH"/>
        </w:rPr>
        <w:t>ï</w:t>
      </w:r>
      <w:r w:rsidR="00394C4E" w:rsidRPr="00D41EF9">
        <w:rPr>
          <w:lang w:val="fr-CH"/>
        </w:rPr>
        <w:t xml:space="preserve"> </w:t>
      </w:r>
      <w:r w:rsidR="00834541" w:rsidRPr="00D41EF9">
        <w:rPr>
          <w:lang w:val="fr-CH"/>
        </w:rPr>
        <w:t xml:space="preserve">du </w:t>
      </w:r>
      <w:r w:rsidR="00394C4E" w:rsidRPr="00D41EF9">
        <w:rPr>
          <w:lang w:val="fr-CH"/>
        </w:rPr>
        <w:t>20</w:t>
      </w:r>
      <w:r w:rsidR="00834541" w:rsidRPr="00D41EF9">
        <w:rPr>
          <w:lang w:val="fr-CH"/>
        </w:rPr>
        <w:t xml:space="preserve"> au </w:t>
      </w:r>
      <w:r w:rsidR="00394C4E" w:rsidRPr="00D41EF9">
        <w:rPr>
          <w:lang w:val="fr-CH"/>
        </w:rPr>
        <w:t xml:space="preserve">29 </w:t>
      </w:r>
      <w:r w:rsidR="00834541" w:rsidRPr="00D41EF9">
        <w:rPr>
          <w:lang w:val="fr-CH"/>
        </w:rPr>
        <w:t xml:space="preserve">novembre </w:t>
      </w:r>
      <w:r w:rsidR="00394C4E" w:rsidRPr="00D41EF9">
        <w:rPr>
          <w:lang w:val="fr-CH"/>
        </w:rPr>
        <w:t>2012 (</w:t>
      </w:r>
      <w:r w:rsidR="00834541" w:rsidRPr="00D41EF9">
        <w:rPr>
          <w:lang w:val="fr-CH"/>
        </w:rPr>
        <w:t>voir l'</w:t>
      </w:r>
      <w:r w:rsidR="00394C4E" w:rsidRPr="00D41EF9">
        <w:rPr>
          <w:lang w:val="fr-CH"/>
        </w:rPr>
        <w:t>Annex</w:t>
      </w:r>
      <w:r w:rsidR="00834541" w:rsidRPr="00D41EF9">
        <w:rPr>
          <w:lang w:val="fr-CH"/>
        </w:rPr>
        <w:t>e</w:t>
      </w:r>
      <w:r w:rsidR="00394C4E" w:rsidRPr="00D41EF9">
        <w:rPr>
          <w:lang w:val="fr-CH"/>
        </w:rPr>
        <w:t xml:space="preserve">), </w:t>
      </w:r>
      <w:r w:rsidR="00834541" w:rsidRPr="00D41EF9">
        <w:rPr>
          <w:lang w:val="fr-CH"/>
        </w:rPr>
        <w:t xml:space="preserve">je </w:t>
      </w:r>
      <w:r w:rsidR="00432084" w:rsidRPr="00D41EF9">
        <w:rPr>
          <w:lang w:val="fr-CH"/>
        </w:rPr>
        <w:t xml:space="preserve">viens solliciter auprès de vous </w:t>
      </w:r>
      <w:r w:rsidR="00834541" w:rsidRPr="00D41EF9">
        <w:rPr>
          <w:lang w:val="fr-CH"/>
        </w:rPr>
        <w:t xml:space="preserve">des </w:t>
      </w:r>
      <w:r w:rsidR="00394C4E" w:rsidRPr="00D41EF9">
        <w:rPr>
          <w:lang w:val="fr-CH"/>
        </w:rPr>
        <w:t xml:space="preserve">contributions </w:t>
      </w:r>
      <w:r w:rsidR="00834541" w:rsidRPr="00D41EF9">
        <w:rPr>
          <w:lang w:val="fr-CH"/>
        </w:rPr>
        <w:t>volontaires pour financer des activité</w:t>
      </w:r>
      <w:r w:rsidR="00394C4E" w:rsidRPr="00D41EF9">
        <w:rPr>
          <w:lang w:val="fr-CH"/>
        </w:rPr>
        <w:t xml:space="preserve">s </w:t>
      </w:r>
      <w:r w:rsidR="00834541" w:rsidRPr="00D41EF9">
        <w:rPr>
          <w:lang w:val="fr-CH"/>
        </w:rPr>
        <w:t>du Secteur de l'UIT</w:t>
      </w:r>
      <w:r w:rsidR="00834541" w:rsidRPr="00D41EF9">
        <w:rPr>
          <w:lang w:val="fr-CH"/>
        </w:rPr>
        <w:noBreakHyphen/>
        <w:t>T</w:t>
      </w:r>
      <w:r w:rsidR="00394C4E" w:rsidRPr="00D41EF9">
        <w:rPr>
          <w:lang w:val="fr-CH"/>
        </w:rPr>
        <w:t>.</w:t>
      </w:r>
    </w:p>
    <w:p w:rsidR="00394C4E" w:rsidRPr="00D41EF9" w:rsidRDefault="00CB03EC" w:rsidP="00AC7C9B">
      <w:pPr>
        <w:rPr>
          <w:rFonts w:asciiTheme="majorBidi" w:hAnsiTheme="majorBidi" w:cstheme="majorBidi"/>
          <w:szCs w:val="24"/>
          <w:lang w:val="fr-CH"/>
        </w:rPr>
      </w:pPr>
      <w:r w:rsidRPr="00D41EF9">
        <w:rPr>
          <w:rFonts w:asciiTheme="majorBidi" w:hAnsiTheme="majorBidi" w:cstheme="majorBidi"/>
          <w:szCs w:val="24"/>
          <w:lang w:val="fr-CH"/>
        </w:rPr>
        <w:t xml:space="preserve">Le coût supplémentaire pour la mise en </w:t>
      </w:r>
      <w:proofErr w:type="spellStart"/>
      <w:r w:rsidR="007164F1" w:rsidRPr="00D41EF9">
        <w:rPr>
          <w:rFonts w:asciiTheme="majorBidi" w:hAnsiTheme="majorBidi" w:cstheme="majorBidi"/>
          <w:szCs w:val="24"/>
          <w:lang w:val="fr-CH"/>
        </w:rPr>
        <w:t>oe</w:t>
      </w:r>
      <w:r w:rsidRPr="00D41EF9">
        <w:rPr>
          <w:rFonts w:asciiTheme="majorBidi" w:hAnsiTheme="majorBidi" w:cstheme="majorBidi"/>
          <w:szCs w:val="24"/>
          <w:lang w:val="fr-CH"/>
        </w:rPr>
        <w:t>uvre</w:t>
      </w:r>
      <w:proofErr w:type="spellEnd"/>
      <w:r w:rsidRPr="00D41EF9">
        <w:rPr>
          <w:rFonts w:asciiTheme="majorBidi" w:hAnsiTheme="majorBidi" w:cstheme="majorBidi"/>
          <w:szCs w:val="24"/>
          <w:lang w:val="fr-CH"/>
        </w:rPr>
        <w:t xml:space="preserve"> de toutes les </w:t>
      </w:r>
      <w:r w:rsidR="00394C4E" w:rsidRPr="00D41EF9">
        <w:rPr>
          <w:rFonts w:asciiTheme="majorBidi" w:hAnsiTheme="majorBidi" w:cstheme="majorBidi"/>
          <w:szCs w:val="24"/>
          <w:lang w:val="fr-CH"/>
        </w:rPr>
        <w:t>d</w:t>
      </w:r>
      <w:r w:rsidRPr="00D41EF9">
        <w:rPr>
          <w:rFonts w:asciiTheme="majorBidi" w:hAnsiTheme="majorBidi" w:cstheme="majorBidi"/>
          <w:szCs w:val="24"/>
          <w:lang w:val="fr-CH"/>
        </w:rPr>
        <w:t>é</w:t>
      </w:r>
      <w:r w:rsidR="00394C4E" w:rsidRPr="00D41EF9">
        <w:rPr>
          <w:rFonts w:asciiTheme="majorBidi" w:hAnsiTheme="majorBidi" w:cstheme="majorBidi"/>
          <w:szCs w:val="24"/>
          <w:lang w:val="fr-CH"/>
        </w:rPr>
        <w:t xml:space="preserve">cisions </w:t>
      </w:r>
      <w:r w:rsidRPr="00D41EF9">
        <w:rPr>
          <w:rFonts w:asciiTheme="majorBidi" w:hAnsiTheme="majorBidi" w:cstheme="majorBidi"/>
          <w:szCs w:val="24"/>
          <w:lang w:val="fr-CH"/>
        </w:rPr>
        <w:t>prises à l'AMNT-</w:t>
      </w:r>
      <w:r w:rsidR="00394C4E" w:rsidRPr="00D41EF9">
        <w:rPr>
          <w:rFonts w:asciiTheme="majorBidi" w:hAnsiTheme="majorBidi" w:cstheme="majorBidi"/>
          <w:szCs w:val="24"/>
          <w:lang w:val="fr-CH"/>
        </w:rPr>
        <w:t xml:space="preserve">12 </w:t>
      </w:r>
      <w:r w:rsidRPr="00D41EF9">
        <w:rPr>
          <w:rFonts w:asciiTheme="majorBidi" w:hAnsiTheme="majorBidi" w:cstheme="majorBidi"/>
          <w:szCs w:val="24"/>
          <w:lang w:val="fr-CH"/>
        </w:rPr>
        <w:t>est de 720 000</w:t>
      </w:r>
      <w:r w:rsidR="00432084" w:rsidRPr="00D41EF9">
        <w:rPr>
          <w:rFonts w:asciiTheme="majorBidi" w:hAnsiTheme="majorBidi" w:cstheme="majorBidi"/>
          <w:szCs w:val="24"/>
          <w:lang w:val="fr-CH"/>
        </w:rPr>
        <w:t> </w:t>
      </w:r>
      <w:r w:rsidR="00394C4E" w:rsidRPr="00D41EF9">
        <w:rPr>
          <w:rFonts w:asciiTheme="majorBidi" w:hAnsiTheme="majorBidi" w:cstheme="majorBidi"/>
          <w:szCs w:val="24"/>
          <w:lang w:val="fr-CH"/>
        </w:rPr>
        <w:t xml:space="preserve">CHF </w:t>
      </w:r>
      <w:r w:rsidRPr="00D41EF9">
        <w:rPr>
          <w:rFonts w:asciiTheme="majorBidi" w:hAnsiTheme="majorBidi" w:cstheme="majorBidi"/>
          <w:szCs w:val="24"/>
          <w:lang w:val="fr-CH"/>
        </w:rPr>
        <w:t>par an</w:t>
      </w:r>
      <w:r w:rsidR="00F80DDD" w:rsidRPr="00D41EF9">
        <w:rPr>
          <w:rFonts w:asciiTheme="majorBidi" w:hAnsiTheme="majorBidi" w:cstheme="majorBidi"/>
          <w:szCs w:val="24"/>
          <w:lang w:val="fr-CH"/>
        </w:rPr>
        <w:t xml:space="preserve">, selon les </w:t>
      </w:r>
      <w:r w:rsidR="00394C4E" w:rsidRPr="00D41EF9">
        <w:rPr>
          <w:rFonts w:asciiTheme="majorBidi" w:hAnsiTheme="majorBidi" w:cstheme="majorBidi"/>
          <w:szCs w:val="24"/>
          <w:lang w:val="fr-CH"/>
        </w:rPr>
        <w:t>estimat</w:t>
      </w:r>
      <w:r w:rsidR="00F80DDD" w:rsidRPr="00D41EF9">
        <w:rPr>
          <w:rFonts w:asciiTheme="majorBidi" w:hAnsiTheme="majorBidi" w:cstheme="majorBidi"/>
          <w:szCs w:val="24"/>
          <w:lang w:val="fr-CH"/>
        </w:rPr>
        <w:t xml:space="preserve">ions </w:t>
      </w:r>
      <w:r w:rsidRPr="00D41EF9">
        <w:rPr>
          <w:rFonts w:asciiTheme="majorBidi" w:hAnsiTheme="majorBidi" w:cstheme="majorBidi"/>
          <w:szCs w:val="24"/>
          <w:lang w:val="fr-CH"/>
        </w:rPr>
        <w:t>de la Commission du budget de l'AMNT</w:t>
      </w:r>
      <w:r w:rsidR="00394C4E" w:rsidRPr="00D41EF9">
        <w:rPr>
          <w:rFonts w:asciiTheme="majorBidi" w:hAnsiTheme="majorBidi" w:cstheme="majorBidi"/>
          <w:szCs w:val="24"/>
          <w:lang w:val="fr-CH"/>
        </w:rPr>
        <w:t xml:space="preserve">-12. </w:t>
      </w:r>
      <w:r w:rsidRPr="00D41EF9">
        <w:rPr>
          <w:rFonts w:asciiTheme="majorBidi" w:hAnsiTheme="majorBidi" w:cstheme="majorBidi"/>
          <w:szCs w:val="24"/>
          <w:lang w:val="fr-CH"/>
        </w:rPr>
        <w:t xml:space="preserve">Ce montant ne figure pas dans le projet de </w:t>
      </w:r>
      <w:r w:rsidR="00394C4E" w:rsidRPr="00D41EF9">
        <w:rPr>
          <w:rFonts w:asciiTheme="majorBidi" w:hAnsiTheme="majorBidi" w:cstheme="majorBidi"/>
          <w:szCs w:val="24"/>
          <w:lang w:val="fr-CH"/>
        </w:rPr>
        <w:t xml:space="preserve">budget </w:t>
      </w:r>
      <w:r w:rsidRPr="00D41EF9">
        <w:rPr>
          <w:rFonts w:asciiTheme="majorBidi" w:hAnsiTheme="majorBidi" w:cstheme="majorBidi"/>
          <w:szCs w:val="24"/>
          <w:lang w:val="fr-CH"/>
        </w:rPr>
        <w:t xml:space="preserve">pour </w:t>
      </w:r>
      <w:r w:rsidR="00394C4E" w:rsidRPr="00D41EF9">
        <w:rPr>
          <w:rFonts w:asciiTheme="majorBidi" w:hAnsiTheme="majorBidi" w:cstheme="majorBidi"/>
          <w:szCs w:val="24"/>
          <w:lang w:val="fr-CH"/>
        </w:rPr>
        <w:t>2014-2015 (</w:t>
      </w:r>
      <w:r w:rsidRPr="00D41EF9">
        <w:rPr>
          <w:rFonts w:asciiTheme="majorBidi" w:hAnsiTheme="majorBidi" w:cstheme="majorBidi"/>
          <w:szCs w:val="24"/>
          <w:lang w:val="fr-CH"/>
        </w:rPr>
        <w:t xml:space="preserve">qui sera présenté au Conseil à sa session de juin </w:t>
      </w:r>
      <w:r w:rsidR="00394C4E" w:rsidRPr="00D41EF9">
        <w:rPr>
          <w:rFonts w:asciiTheme="majorBidi" w:hAnsiTheme="majorBidi" w:cstheme="majorBidi"/>
          <w:szCs w:val="24"/>
          <w:lang w:val="fr-CH"/>
        </w:rPr>
        <w:t xml:space="preserve">2013) </w:t>
      </w:r>
      <w:r w:rsidRPr="00D41EF9">
        <w:rPr>
          <w:rFonts w:asciiTheme="majorBidi" w:hAnsiTheme="majorBidi" w:cstheme="majorBidi"/>
          <w:szCs w:val="24"/>
          <w:lang w:val="fr-CH"/>
        </w:rPr>
        <w:t xml:space="preserve">en raison de la nécessité d'équilibrer le </w:t>
      </w:r>
      <w:r w:rsidR="00394C4E" w:rsidRPr="00D41EF9">
        <w:rPr>
          <w:rFonts w:asciiTheme="majorBidi" w:hAnsiTheme="majorBidi" w:cstheme="majorBidi"/>
          <w:szCs w:val="24"/>
          <w:lang w:val="fr-CH"/>
        </w:rPr>
        <w:t xml:space="preserve">budget </w:t>
      </w:r>
      <w:r w:rsidRPr="00D41EF9">
        <w:rPr>
          <w:rFonts w:asciiTheme="majorBidi" w:hAnsiTheme="majorBidi" w:cstheme="majorBidi"/>
          <w:szCs w:val="24"/>
          <w:lang w:val="fr-CH"/>
        </w:rPr>
        <w:t>sans prélèvement sur le Fonds de réserve</w:t>
      </w:r>
      <w:r w:rsidR="00394C4E" w:rsidRPr="00D41EF9">
        <w:rPr>
          <w:rFonts w:asciiTheme="majorBidi" w:hAnsiTheme="majorBidi" w:cstheme="majorBidi"/>
          <w:szCs w:val="24"/>
          <w:lang w:val="fr-CH"/>
        </w:rPr>
        <w:t xml:space="preserve">. </w:t>
      </w:r>
      <w:r w:rsidR="00432084" w:rsidRPr="00D41EF9">
        <w:rPr>
          <w:rFonts w:asciiTheme="majorBidi" w:hAnsiTheme="majorBidi" w:cstheme="majorBidi"/>
          <w:szCs w:val="24"/>
          <w:lang w:val="fr-CH"/>
        </w:rPr>
        <w:t xml:space="preserve">Le niveau actuel des </w:t>
      </w:r>
      <w:r w:rsidRPr="00D41EF9">
        <w:rPr>
          <w:rFonts w:asciiTheme="majorBidi" w:hAnsiTheme="majorBidi" w:cstheme="majorBidi"/>
          <w:szCs w:val="24"/>
          <w:lang w:val="fr-CH"/>
        </w:rPr>
        <w:t>ressources de l'UIT</w:t>
      </w:r>
      <w:r w:rsidRPr="00D41EF9">
        <w:rPr>
          <w:rFonts w:asciiTheme="majorBidi" w:hAnsiTheme="majorBidi" w:cstheme="majorBidi"/>
          <w:szCs w:val="24"/>
          <w:lang w:val="fr-CH"/>
        </w:rPr>
        <w:noBreakHyphen/>
        <w:t xml:space="preserve">T </w:t>
      </w:r>
      <w:r w:rsidR="00432084" w:rsidRPr="00D41EF9">
        <w:rPr>
          <w:rFonts w:asciiTheme="majorBidi" w:hAnsiTheme="majorBidi" w:cstheme="majorBidi"/>
          <w:szCs w:val="24"/>
          <w:lang w:val="fr-CH"/>
        </w:rPr>
        <w:t xml:space="preserve">ne permettra pas de mettre en </w:t>
      </w:r>
      <w:proofErr w:type="spellStart"/>
      <w:r w:rsidR="007164F1" w:rsidRPr="00D41EF9">
        <w:rPr>
          <w:rFonts w:asciiTheme="majorBidi" w:hAnsiTheme="majorBidi" w:cstheme="majorBidi"/>
          <w:szCs w:val="24"/>
          <w:lang w:val="fr-CH"/>
        </w:rPr>
        <w:t>oe</w:t>
      </w:r>
      <w:r w:rsidR="00432084" w:rsidRPr="00D41EF9">
        <w:rPr>
          <w:rFonts w:asciiTheme="majorBidi" w:hAnsiTheme="majorBidi" w:cstheme="majorBidi"/>
          <w:szCs w:val="24"/>
          <w:lang w:val="fr-CH"/>
        </w:rPr>
        <w:t>uvre</w:t>
      </w:r>
      <w:proofErr w:type="spellEnd"/>
      <w:r w:rsidR="00432084" w:rsidRPr="00D41EF9">
        <w:rPr>
          <w:rFonts w:asciiTheme="majorBidi" w:hAnsiTheme="majorBidi" w:cstheme="majorBidi"/>
          <w:szCs w:val="24"/>
          <w:lang w:val="fr-CH"/>
        </w:rPr>
        <w:t xml:space="preserve"> la totalité des décisions </w:t>
      </w:r>
      <w:r w:rsidRPr="00D41EF9">
        <w:rPr>
          <w:rFonts w:asciiTheme="majorBidi" w:hAnsiTheme="majorBidi" w:cstheme="majorBidi"/>
          <w:szCs w:val="24"/>
          <w:lang w:val="fr-CH"/>
        </w:rPr>
        <w:t>car toutes les mesures d'économie possibles ont déjà été prises</w:t>
      </w:r>
      <w:r w:rsidR="00394C4E" w:rsidRPr="00D41EF9">
        <w:rPr>
          <w:rFonts w:asciiTheme="majorBidi" w:hAnsiTheme="majorBidi" w:cstheme="majorBidi"/>
          <w:szCs w:val="24"/>
          <w:lang w:val="fr-CH"/>
        </w:rPr>
        <w:t xml:space="preserve">. </w:t>
      </w:r>
      <w:r w:rsidR="00861883" w:rsidRPr="00D41EF9">
        <w:rPr>
          <w:rFonts w:asciiTheme="majorBidi" w:hAnsiTheme="majorBidi" w:cstheme="majorBidi"/>
          <w:szCs w:val="24"/>
          <w:lang w:val="fr-CH"/>
        </w:rPr>
        <w:t>Des ressources supplémentaires</w:t>
      </w:r>
      <w:r w:rsidR="00394C4E" w:rsidRPr="00D41EF9">
        <w:rPr>
          <w:rFonts w:asciiTheme="majorBidi" w:hAnsiTheme="majorBidi" w:cstheme="majorBidi"/>
          <w:szCs w:val="24"/>
          <w:lang w:val="fr-CH"/>
        </w:rPr>
        <w:t xml:space="preserve">, </w:t>
      </w:r>
      <w:r w:rsidR="00861883" w:rsidRPr="00D41EF9">
        <w:rPr>
          <w:rFonts w:asciiTheme="majorBidi" w:hAnsiTheme="majorBidi" w:cstheme="majorBidi"/>
          <w:szCs w:val="24"/>
          <w:lang w:val="fr-CH"/>
        </w:rPr>
        <w:t xml:space="preserve">par exemple des </w:t>
      </w:r>
      <w:r w:rsidR="00394C4E" w:rsidRPr="00D41EF9">
        <w:rPr>
          <w:rFonts w:asciiTheme="majorBidi" w:hAnsiTheme="majorBidi" w:cstheme="majorBidi"/>
          <w:szCs w:val="24"/>
          <w:lang w:val="fr-CH"/>
        </w:rPr>
        <w:t>contributions</w:t>
      </w:r>
      <w:r w:rsidR="00861883" w:rsidRPr="00D41EF9">
        <w:rPr>
          <w:rFonts w:asciiTheme="majorBidi" w:hAnsiTheme="majorBidi" w:cstheme="majorBidi"/>
          <w:szCs w:val="24"/>
          <w:lang w:val="fr-CH"/>
        </w:rPr>
        <w:t xml:space="preserve"> volontaires</w:t>
      </w:r>
      <w:r w:rsidR="00394C4E" w:rsidRPr="00D41EF9">
        <w:rPr>
          <w:rFonts w:asciiTheme="majorBidi" w:hAnsiTheme="majorBidi" w:cstheme="majorBidi"/>
          <w:szCs w:val="24"/>
          <w:lang w:val="fr-CH"/>
        </w:rPr>
        <w:t xml:space="preserve">, </w:t>
      </w:r>
      <w:r w:rsidR="00861883" w:rsidRPr="00D41EF9">
        <w:rPr>
          <w:rFonts w:asciiTheme="majorBidi" w:hAnsiTheme="majorBidi" w:cstheme="majorBidi"/>
          <w:szCs w:val="24"/>
          <w:lang w:val="fr-CH"/>
        </w:rPr>
        <w:t xml:space="preserve">seront donc nécessaires pour réaliser </w:t>
      </w:r>
      <w:r w:rsidR="00432084" w:rsidRPr="00D41EF9">
        <w:rPr>
          <w:rFonts w:asciiTheme="majorBidi" w:hAnsiTheme="majorBidi" w:cstheme="majorBidi"/>
          <w:szCs w:val="24"/>
          <w:lang w:val="fr-CH"/>
        </w:rPr>
        <w:t xml:space="preserve">dans son intégralité le </w:t>
      </w:r>
      <w:r w:rsidR="00861883" w:rsidRPr="00D41EF9">
        <w:rPr>
          <w:rFonts w:asciiTheme="majorBidi" w:hAnsiTheme="majorBidi" w:cstheme="majorBidi"/>
          <w:szCs w:val="24"/>
          <w:lang w:val="fr-CH"/>
        </w:rPr>
        <w:t xml:space="preserve">programme d'activités </w:t>
      </w:r>
      <w:r w:rsidR="00432084" w:rsidRPr="00D41EF9">
        <w:rPr>
          <w:rFonts w:asciiTheme="majorBidi" w:hAnsiTheme="majorBidi" w:cstheme="majorBidi"/>
          <w:szCs w:val="24"/>
          <w:lang w:val="fr-CH"/>
        </w:rPr>
        <w:t xml:space="preserve">adopté </w:t>
      </w:r>
      <w:r w:rsidR="00861883" w:rsidRPr="00D41EF9">
        <w:rPr>
          <w:rFonts w:asciiTheme="majorBidi" w:hAnsiTheme="majorBidi" w:cstheme="majorBidi"/>
          <w:szCs w:val="24"/>
          <w:lang w:val="fr-CH"/>
        </w:rPr>
        <w:t>par l'AMNT</w:t>
      </w:r>
      <w:r w:rsidR="00394C4E" w:rsidRPr="00D41EF9">
        <w:rPr>
          <w:rFonts w:asciiTheme="majorBidi" w:hAnsiTheme="majorBidi" w:cstheme="majorBidi"/>
          <w:szCs w:val="24"/>
          <w:lang w:val="fr-CH"/>
        </w:rPr>
        <w:t>-12.</w:t>
      </w:r>
    </w:p>
    <w:p w:rsidR="00394C4E" w:rsidRPr="00D41EF9" w:rsidRDefault="00861883" w:rsidP="00B94120">
      <w:pPr>
        <w:rPr>
          <w:rFonts w:asciiTheme="majorBidi" w:hAnsiTheme="majorBidi" w:cstheme="majorBidi"/>
          <w:szCs w:val="24"/>
          <w:lang w:val="fr-CH"/>
        </w:rPr>
      </w:pPr>
      <w:r w:rsidRPr="00D41EF9">
        <w:rPr>
          <w:rFonts w:asciiTheme="majorBidi" w:hAnsiTheme="majorBidi" w:cstheme="majorBidi"/>
          <w:szCs w:val="24"/>
          <w:lang w:val="fr-CH"/>
        </w:rPr>
        <w:t xml:space="preserve">Les </w:t>
      </w:r>
      <w:r w:rsidR="00394C4E" w:rsidRPr="00D41EF9">
        <w:rPr>
          <w:rFonts w:asciiTheme="majorBidi" w:hAnsiTheme="majorBidi" w:cstheme="majorBidi"/>
          <w:szCs w:val="24"/>
          <w:lang w:val="fr-CH"/>
        </w:rPr>
        <w:t xml:space="preserve">contributions </w:t>
      </w:r>
      <w:r w:rsidRPr="00D41EF9">
        <w:rPr>
          <w:rFonts w:asciiTheme="majorBidi" w:hAnsiTheme="majorBidi" w:cstheme="majorBidi"/>
          <w:szCs w:val="24"/>
          <w:lang w:val="fr-CH"/>
        </w:rPr>
        <w:t xml:space="preserve">volontaires pourront </w:t>
      </w:r>
      <w:r w:rsidR="00432084" w:rsidRPr="00D41EF9">
        <w:rPr>
          <w:rFonts w:asciiTheme="majorBidi" w:hAnsiTheme="majorBidi" w:cstheme="majorBidi"/>
          <w:szCs w:val="24"/>
          <w:lang w:val="fr-CH"/>
        </w:rPr>
        <w:t xml:space="preserve">servir à </w:t>
      </w:r>
      <w:r w:rsidRPr="00D41EF9">
        <w:rPr>
          <w:rFonts w:asciiTheme="majorBidi" w:hAnsiTheme="majorBidi" w:cstheme="majorBidi"/>
          <w:szCs w:val="24"/>
          <w:lang w:val="fr-CH"/>
        </w:rPr>
        <w:t xml:space="preserve">financer des projets particuliers ou d'autres nouvelles </w:t>
      </w:r>
      <w:r w:rsidR="00394C4E" w:rsidRPr="00D41EF9">
        <w:rPr>
          <w:rFonts w:asciiTheme="majorBidi" w:hAnsiTheme="majorBidi" w:cstheme="majorBidi"/>
          <w:szCs w:val="24"/>
          <w:lang w:val="fr-CH"/>
        </w:rPr>
        <w:t xml:space="preserve">initiatives, </w:t>
      </w:r>
      <w:r w:rsidRPr="00D41EF9">
        <w:rPr>
          <w:rFonts w:asciiTheme="majorBidi" w:hAnsiTheme="majorBidi" w:cstheme="majorBidi"/>
          <w:szCs w:val="24"/>
          <w:lang w:val="fr-CH"/>
        </w:rPr>
        <w:t xml:space="preserve">y compris des </w:t>
      </w:r>
      <w:r w:rsidR="00394C4E" w:rsidRPr="00D41EF9">
        <w:rPr>
          <w:rFonts w:asciiTheme="majorBidi" w:hAnsiTheme="majorBidi" w:cstheme="majorBidi"/>
          <w:szCs w:val="24"/>
          <w:lang w:val="fr-CH"/>
        </w:rPr>
        <w:t>activit</w:t>
      </w:r>
      <w:r w:rsidRPr="00D41EF9">
        <w:rPr>
          <w:rFonts w:asciiTheme="majorBidi" w:hAnsiTheme="majorBidi" w:cstheme="majorBidi"/>
          <w:szCs w:val="24"/>
          <w:lang w:val="fr-CH"/>
        </w:rPr>
        <w:t>é</w:t>
      </w:r>
      <w:r w:rsidR="00394C4E" w:rsidRPr="00D41EF9">
        <w:rPr>
          <w:rFonts w:asciiTheme="majorBidi" w:hAnsiTheme="majorBidi" w:cstheme="majorBidi"/>
          <w:szCs w:val="24"/>
          <w:lang w:val="fr-CH"/>
        </w:rPr>
        <w:t xml:space="preserve">s </w:t>
      </w:r>
      <w:r w:rsidR="00432084" w:rsidRPr="00D41EF9">
        <w:rPr>
          <w:rFonts w:asciiTheme="majorBidi" w:hAnsiTheme="majorBidi" w:cstheme="majorBidi"/>
          <w:szCs w:val="24"/>
          <w:lang w:val="fr-CH"/>
        </w:rPr>
        <w:t xml:space="preserve">visant à répondre aux </w:t>
      </w:r>
      <w:r w:rsidRPr="00D41EF9">
        <w:rPr>
          <w:rFonts w:asciiTheme="majorBidi" w:hAnsiTheme="majorBidi" w:cstheme="majorBidi"/>
          <w:szCs w:val="24"/>
          <w:lang w:val="fr-CH"/>
        </w:rPr>
        <w:t xml:space="preserve">objectifs de la </w:t>
      </w:r>
      <w:r w:rsidR="00394C4E" w:rsidRPr="00D41EF9">
        <w:rPr>
          <w:rFonts w:asciiTheme="majorBidi" w:hAnsiTheme="majorBidi" w:cstheme="majorBidi"/>
          <w:szCs w:val="24"/>
          <w:lang w:val="fr-CH"/>
        </w:rPr>
        <w:t>R</w:t>
      </w:r>
      <w:r w:rsidRPr="00D41EF9">
        <w:rPr>
          <w:rFonts w:asciiTheme="majorBidi" w:hAnsiTheme="majorBidi" w:cstheme="majorBidi"/>
          <w:szCs w:val="24"/>
          <w:lang w:val="fr-CH"/>
        </w:rPr>
        <w:t>é</w:t>
      </w:r>
      <w:r w:rsidR="00394C4E" w:rsidRPr="00D41EF9">
        <w:rPr>
          <w:rFonts w:asciiTheme="majorBidi" w:hAnsiTheme="majorBidi" w:cstheme="majorBidi"/>
          <w:szCs w:val="24"/>
          <w:lang w:val="fr-CH"/>
        </w:rPr>
        <w:t xml:space="preserve">solution 44 </w:t>
      </w:r>
      <w:r w:rsidRPr="00D41EF9">
        <w:rPr>
          <w:rFonts w:asciiTheme="majorBidi" w:hAnsiTheme="majorBidi" w:cstheme="majorBidi"/>
          <w:szCs w:val="24"/>
          <w:lang w:val="fr-CH"/>
        </w:rPr>
        <w:t xml:space="preserve">de l'AMNT </w:t>
      </w:r>
      <w:r w:rsidR="00394C4E" w:rsidRPr="00D41EF9">
        <w:rPr>
          <w:rFonts w:asciiTheme="majorBidi" w:hAnsiTheme="majorBidi" w:cstheme="majorBidi"/>
          <w:szCs w:val="24"/>
          <w:lang w:val="fr-CH"/>
        </w:rPr>
        <w:t>(</w:t>
      </w:r>
      <w:r w:rsidR="00B94120" w:rsidRPr="00D41EF9">
        <w:rPr>
          <w:rFonts w:asciiTheme="majorBidi" w:hAnsiTheme="majorBidi" w:cstheme="majorBidi"/>
          <w:szCs w:val="24"/>
          <w:lang w:val="fr-CH"/>
        </w:rPr>
        <w:t>"</w:t>
      </w:r>
      <w:r w:rsidRPr="00D41EF9">
        <w:rPr>
          <w:rFonts w:asciiTheme="majorBidi" w:hAnsiTheme="majorBidi" w:cstheme="majorBidi"/>
          <w:szCs w:val="24"/>
          <w:lang w:val="fr-CH"/>
        </w:rPr>
        <w:t>Réduire l'écart en matière de normalisation entre pays en développement et pays développés</w:t>
      </w:r>
      <w:r w:rsidR="00B94120" w:rsidRPr="00D41EF9">
        <w:rPr>
          <w:rFonts w:asciiTheme="majorBidi" w:hAnsiTheme="majorBidi" w:cstheme="majorBidi"/>
          <w:szCs w:val="24"/>
          <w:lang w:val="fr-CH"/>
        </w:rPr>
        <w:t>"</w:t>
      </w:r>
      <w:r w:rsidR="00394C4E" w:rsidRPr="00D41EF9">
        <w:rPr>
          <w:rFonts w:asciiTheme="majorBidi" w:hAnsiTheme="majorBidi" w:cstheme="majorBidi"/>
          <w:szCs w:val="24"/>
          <w:lang w:val="fr-CH"/>
        </w:rPr>
        <w:t xml:space="preserve">). </w:t>
      </w:r>
      <w:r w:rsidR="00432084" w:rsidRPr="00D41EF9">
        <w:rPr>
          <w:rFonts w:asciiTheme="majorBidi" w:hAnsiTheme="majorBidi" w:cstheme="majorBidi"/>
          <w:szCs w:val="24"/>
          <w:lang w:val="fr-CH"/>
        </w:rPr>
        <w:t xml:space="preserve">Leur versement peut se faire </w:t>
      </w:r>
      <w:r w:rsidRPr="00D41EF9">
        <w:rPr>
          <w:rFonts w:asciiTheme="majorBidi" w:hAnsiTheme="majorBidi" w:cstheme="majorBidi"/>
          <w:szCs w:val="24"/>
          <w:lang w:val="fr-CH"/>
        </w:rPr>
        <w:t>en espèces ou en nature</w:t>
      </w:r>
      <w:r w:rsidR="00394C4E" w:rsidRPr="00D41EF9">
        <w:rPr>
          <w:rFonts w:asciiTheme="majorBidi" w:hAnsiTheme="majorBidi" w:cstheme="majorBidi"/>
          <w:szCs w:val="24"/>
          <w:lang w:val="fr-CH"/>
        </w:rPr>
        <w:t xml:space="preserve">. </w:t>
      </w:r>
      <w:r w:rsidRPr="00D41EF9">
        <w:rPr>
          <w:rFonts w:asciiTheme="majorBidi" w:hAnsiTheme="majorBidi" w:cstheme="majorBidi"/>
          <w:szCs w:val="24"/>
          <w:lang w:val="fr-CH"/>
        </w:rPr>
        <w:t>Comme par le passé</w:t>
      </w:r>
      <w:r w:rsidR="00394C4E" w:rsidRPr="00D41EF9">
        <w:rPr>
          <w:rFonts w:asciiTheme="majorBidi" w:hAnsiTheme="majorBidi" w:cstheme="majorBidi"/>
          <w:szCs w:val="24"/>
          <w:lang w:val="fr-CH"/>
        </w:rPr>
        <w:t xml:space="preserve">, </w:t>
      </w:r>
      <w:r w:rsidRPr="00D41EF9">
        <w:rPr>
          <w:rFonts w:asciiTheme="majorBidi" w:hAnsiTheme="majorBidi" w:cstheme="majorBidi"/>
          <w:szCs w:val="24"/>
          <w:lang w:val="fr-CH"/>
        </w:rPr>
        <w:t xml:space="preserve">le </w:t>
      </w:r>
      <w:r w:rsidR="00394C4E" w:rsidRPr="00D41EF9">
        <w:rPr>
          <w:rFonts w:asciiTheme="majorBidi" w:hAnsiTheme="majorBidi" w:cstheme="majorBidi"/>
          <w:szCs w:val="24"/>
          <w:lang w:val="fr-CH"/>
        </w:rPr>
        <w:t xml:space="preserve">TSB </w:t>
      </w:r>
      <w:r w:rsidRPr="00D41EF9">
        <w:rPr>
          <w:rFonts w:asciiTheme="majorBidi" w:hAnsiTheme="majorBidi" w:cstheme="majorBidi"/>
          <w:szCs w:val="24"/>
          <w:lang w:val="fr-CH"/>
        </w:rPr>
        <w:t>consultera toujours le parrain pour veiller à ce que les fonds soient utilisés comme prévu</w:t>
      </w:r>
      <w:r w:rsidR="00394C4E" w:rsidRPr="00D41EF9">
        <w:rPr>
          <w:rFonts w:asciiTheme="majorBidi" w:hAnsiTheme="majorBidi" w:cstheme="majorBidi"/>
          <w:szCs w:val="24"/>
          <w:lang w:val="fr-CH"/>
        </w:rPr>
        <w:t>.</w:t>
      </w:r>
    </w:p>
    <w:p w:rsidR="002872A7" w:rsidRPr="00D41EF9" w:rsidRDefault="002872A7">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lang w:val="fr-CH"/>
        </w:rPr>
      </w:pPr>
      <w:r w:rsidRPr="00D41EF9">
        <w:rPr>
          <w:rFonts w:asciiTheme="majorBidi" w:hAnsiTheme="majorBidi" w:cstheme="majorBidi"/>
          <w:szCs w:val="24"/>
          <w:lang w:val="fr-CH"/>
        </w:rPr>
        <w:br w:type="page"/>
      </w:r>
    </w:p>
    <w:p w:rsidR="00394C4E" w:rsidRPr="00D41EF9" w:rsidRDefault="00432084" w:rsidP="00AC7C9B">
      <w:pPr>
        <w:rPr>
          <w:rFonts w:asciiTheme="majorBidi" w:hAnsiTheme="majorBidi" w:cstheme="majorBidi"/>
          <w:szCs w:val="24"/>
          <w:lang w:val="fr-CH"/>
        </w:rPr>
      </w:pPr>
      <w:r w:rsidRPr="00D41EF9">
        <w:rPr>
          <w:rFonts w:asciiTheme="majorBidi" w:hAnsiTheme="majorBidi" w:cstheme="majorBidi"/>
          <w:szCs w:val="24"/>
          <w:lang w:val="fr-CH"/>
        </w:rPr>
        <w:lastRenderedPageBreak/>
        <w:t xml:space="preserve">Par </w:t>
      </w:r>
      <w:r w:rsidR="00861883" w:rsidRPr="00D41EF9">
        <w:rPr>
          <w:rFonts w:asciiTheme="majorBidi" w:hAnsiTheme="majorBidi" w:cstheme="majorBidi"/>
          <w:szCs w:val="24"/>
          <w:lang w:val="fr-CH"/>
        </w:rPr>
        <w:t>le passé, le fonds mis en place pour réduire l'écart en matière de normalisation a notamment été utilisé aux fins suivantes</w:t>
      </w:r>
      <w:r w:rsidR="00394C4E" w:rsidRPr="00D41EF9">
        <w:rPr>
          <w:rFonts w:asciiTheme="majorBidi" w:hAnsiTheme="majorBidi" w:cstheme="majorBidi"/>
          <w:szCs w:val="24"/>
          <w:lang w:val="fr-CH"/>
        </w:rPr>
        <w:t>:</w:t>
      </w:r>
    </w:p>
    <w:p w:rsidR="00B94120" w:rsidRPr="00D41EF9" w:rsidRDefault="00267151" w:rsidP="002872A7">
      <w:pPr>
        <w:pStyle w:val="enumlev1"/>
        <w:rPr>
          <w:lang w:val="fr-CH"/>
        </w:rPr>
      </w:pPr>
      <w:r w:rsidRPr="00D41EF9">
        <w:rPr>
          <w:lang w:val="fr-CH"/>
        </w:rPr>
        <w:t>–</w:t>
      </w:r>
      <w:r w:rsidRPr="00D41EF9">
        <w:rPr>
          <w:lang w:val="fr-CH"/>
        </w:rPr>
        <w:tab/>
      </w:r>
      <w:r w:rsidR="00861883" w:rsidRPr="00D41EF9">
        <w:rPr>
          <w:lang w:val="fr-CH"/>
        </w:rPr>
        <w:t>Manuel sur la sécurité</w:t>
      </w:r>
    </w:p>
    <w:p w:rsidR="00394C4E" w:rsidRPr="00D41EF9" w:rsidRDefault="00267151" w:rsidP="00267151">
      <w:pPr>
        <w:pStyle w:val="enumlev1"/>
        <w:rPr>
          <w:lang w:val="fr-CH"/>
        </w:rPr>
      </w:pPr>
      <w:r w:rsidRPr="00D41EF9">
        <w:rPr>
          <w:lang w:val="fr-CH"/>
        </w:rPr>
        <w:t>–</w:t>
      </w:r>
      <w:r w:rsidRPr="00D41EF9">
        <w:rPr>
          <w:lang w:val="fr-CH"/>
        </w:rPr>
        <w:tab/>
      </w:r>
      <w:r w:rsidR="00861883" w:rsidRPr="00D41EF9">
        <w:rPr>
          <w:lang w:val="fr-CH"/>
        </w:rPr>
        <w:t>Manuels</w:t>
      </w:r>
      <w:r w:rsidR="00394C4E" w:rsidRPr="00D41EF9">
        <w:rPr>
          <w:lang w:val="fr-CH"/>
        </w:rPr>
        <w:t>/</w:t>
      </w:r>
      <w:r w:rsidR="00861883" w:rsidRPr="00D41EF9">
        <w:rPr>
          <w:lang w:val="fr-CH"/>
        </w:rPr>
        <w:t>rapports techniques sur</w:t>
      </w:r>
      <w:r w:rsidR="00A92DDC" w:rsidRPr="00D41EF9">
        <w:rPr>
          <w:lang w:val="fr-CH"/>
        </w:rPr>
        <w:t xml:space="preserve"> les sujets suivants</w:t>
      </w:r>
      <w:r w:rsidR="00394C4E" w:rsidRPr="00D41EF9">
        <w:rPr>
          <w:lang w:val="fr-CH"/>
        </w:rPr>
        <w:t xml:space="preserve">: </w:t>
      </w:r>
    </w:p>
    <w:p w:rsidR="00394C4E" w:rsidRPr="00D41EF9" w:rsidRDefault="00267151" w:rsidP="00267151">
      <w:pPr>
        <w:pStyle w:val="enumlev2"/>
        <w:rPr>
          <w:lang w:val="fr-CH"/>
        </w:rPr>
      </w:pPr>
      <w:r w:rsidRPr="00D41EF9">
        <w:rPr>
          <w:lang w:val="fr-CH"/>
        </w:rPr>
        <w:t>•</w:t>
      </w:r>
      <w:r w:rsidRPr="00D41EF9">
        <w:rPr>
          <w:lang w:val="fr-CH"/>
        </w:rPr>
        <w:tab/>
      </w:r>
      <w:r w:rsidR="00A92DDC" w:rsidRPr="00D41EF9">
        <w:rPr>
          <w:lang w:val="fr-CH"/>
        </w:rPr>
        <w:t>Scé</w:t>
      </w:r>
      <w:r w:rsidR="00394C4E" w:rsidRPr="00D41EF9">
        <w:rPr>
          <w:lang w:val="fr-CH"/>
        </w:rPr>
        <w:t xml:space="preserve">narios </w:t>
      </w:r>
      <w:r w:rsidR="00A92DDC" w:rsidRPr="00D41EF9">
        <w:rPr>
          <w:lang w:val="fr-CH"/>
        </w:rPr>
        <w:t>de passage des réseaux existants aux réseaux de prochaine génération dans les pays en développement</w:t>
      </w:r>
    </w:p>
    <w:p w:rsidR="00394C4E" w:rsidRPr="00D41EF9" w:rsidRDefault="00267151" w:rsidP="00267151">
      <w:pPr>
        <w:pStyle w:val="enumlev2"/>
        <w:rPr>
          <w:lang w:val="fr-CH"/>
        </w:rPr>
      </w:pPr>
      <w:r w:rsidRPr="00D41EF9">
        <w:rPr>
          <w:lang w:val="fr-CH"/>
        </w:rPr>
        <w:t>•</w:t>
      </w:r>
      <w:r w:rsidRPr="00D41EF9">
        <w:rPr>
          <w:lang w:val="fr-CH"/>
        </w:rPr>
        <w:tab/>
      </w:r>
      <w:r w:rsidR="00394C4E" w:rsidRPr="00D41EF9">
        <w:rPr>
          <w:lang w:val="fr-CH"/>
        </w:rPr>
        <w:t xml:space="preserve">Applications </w:t>
      </w:r>
      <w:r w:rsidR="00432084" w:rsidRPr="00D41EF9">
        <w:rPr>
          <w:lang w:val="fr-CH"/>
        </w:rPr>
        <w:t>de</w:t>
      </w:r>
      <w:r w:rsidR="00A92DDC" w:rsidRPr="00D41EF9">
        <w:rPr>
          <w:lang w:val="fr-CH"/>
        </w:rPr>
        <w:t xml:space="preserve"> réseaux de capteurs sans fil dans les réseaux de prochaine génération</w:t>
      </w:r>
    </w:p>
    <w:p w:rsidR="00394C4E" w:rsidRPr="00D41EF9" w:rsidRDefault="00267151" w:rsidP="00267151">
      <w:pPr>
        <w:pStyle w:val="enumlev2"/>
        <w:rPr>
          <w:lang w:val="fr-CH"/>
        </w:rPr>
      </w:pPr>
      <w:r w:rsidRPr="00D41EF9">
        <w:rPr>
          <w:lang w:val="fr-CH"/>
        </w:rPr>
        <w:t>•</w:t>
      </w:r>
      <w:r w:rsidRPr="00D41EF9">
        <w:rPr>
          <w:lang w:val="fr-CH"/>
        </w:rPr>
        <w:tab/>
      </w:r>
      <w:r w:rsidR="00A92DDC" w:rsidRPr="00D41EF9">
        <w:rPr>
          <w:lang w:val="fr-CH"/>
        </w:rPr>
        <w:t>Manuel technique sur la qualité de service dans les réseaux mobile</w:t>
      </w:r>
      <w:r w:rsidR="00394C4E" w:rsidRPr="00D41EF9">
        <w:rPr>
          <w:lang w:val="fr-CH"/>
        </w:rPr>
        <w:t>s</w:t>
      </w:r>
    </w:p>
    <w:p w:rsidR="00394C4E" w:rsidRPr="00D41EF9" w:rsidRDefault="00267151" w:rsidP="00267151">
      <w:pPr>
        <w:pStyle w:val="enumlev2"/>
        <w:rPr>
          <w:lang w:val="fr-CH"/>
        </w:rPr>
      </w:pPr>
      <w:r w:rsidRPr="00D41EF9">
        <w:rPr>
          <w:lang w:val="fr-CH"/>
        </w:rPr>
        <w:t>•</w:t>
      </w:r>
      <w:r w:rsidRPr="00D41EF9">
        <w:rPr>
          <w:lang w:val="fr-CH"/>
        </w:rPr>
        <w:tab/>
      </w:r>
      <w:r w:rsidR="00A92DDC" w:rsidRPr="00D41EF9">
        <w:rPr>
          <w:lang w:val="fr-CH"/>
        </w:rPr>
        <w:t>Réseaux d'accès</w:t>
      </w:r>
    </w:p>
    <w:p w:rsidR="00394C4E" w:rsidRPr="00D41EF9" w:rsidRDefault="00267151" w:rsidP="00267151">
      <w:pPr>
        <w:pStyle w:val="enumlev2"/>
        <w:rPr>
          <w:lang w:val="fr-CH"/>
        </w:rPr>
      </w:pPr>
      <w:r w:rsidRPr="00D41EF9">
        <w:rPr>
          <w:lang w:val="fr-CH"/>
        </w:rPr>
        <w:t>•</w:t>
      </w:r>
      <w:r w:rsidRPr="00D41EF9">
        <w:rPr>
          <w:lang w:val="fr-CH"/>
        </w:rPr>
        <w:tab/>
      </w:r>
      <w:r w:rsidR="00A92DDC" w:rsidRPr="00D41EF9">
        <w:rPr>
          <w:lang w:val="fr-CH"/>
        </w:rPr>
        <w:t>Réseaux futurs</w:t>
      </w:r>
    </w:p>
    <w:p w:rsidR="00394C4E" w:rsidRPr="00D41EF9" w:rsidRDefault="00267151" w:rsidP="00267151">
      <w:pPr>
        <w:pStyle w:val="enumlev2"/>
        <w:rPr>
          <w:lang w:val="fr-CH"/>
        </w:rPr>
      </w:pPr>
      <w:r w:rsidRPr="00D41EF9">
        <w:rPr>
          <w:lang w:val="fr-CH"/>
        </w:rPr>
        <w:t>•</w:t>
      </w:r>
      <w:r w:rsidRPr="00D41EF9">
        <w:rPr>
          <w:lang w:val="fr-CH"/>
        </w:rPr>
        <w:tab/>
      </w:r>
      <w:r w:rsidR="00A92DDC" w:rsidRPr="00D41EF9">
        <w:rPr>
          <w:lang w:val="fr-CH"/>
        </w:rPr>
        <w:t>Gestion de la mobilité à l'UIT-T:</w:t>
      </w:r>
      <w:r w:rsidR="00394C4E" w:rsidRPr="00D41EF9">
        <w:rPr>
          <w:lang w:val="fr-CH"/>
        </w:rPr>
        <w:t xml:space="preserve"> </w:t>
      </w:r>
      <w:r w:rsidR="00A92DDC" w:rsidRPr="00D41EF9">
        <w:rPr>
          <w:lang w:val="fr-CH"/>
        </w:rPr>
        <w:t>situation actuelle et prochaines étapes en vue des réseaux futurs</w:t>
      </w:r>
    </w:p>
    <w:p w:rsidR="00394C4E" w:rsidRPr="00D41EF9" w:rsidRDefault="00267151" w:rsidP="00267151">
      <w:pPr>
        <w:pStyle w:val="enumlev2"/>
        <w:rPr>
          <w:lang w:val="fr-CH"/>
        </w:rPr>
      </w:pPr>
      <w:r w:rsidRPr="00D41EF9">
        <w:rPr>
          <w:lang w:val="fr-CH"/>
        </w:rPr>
        <w:t>•</w:t>
      </w:r>
      <w:r w:rsidRPr="00D41EF9">
        <w:rPr>
          <w:lang w:val="fr-CH"/>
        </w:rPr>
        <w:tab/>
      </w:r>
      <w:r w:rsidR="00432084" w:rsidRPr="00D41EF9">
        <w:rPr>
          <w:lang w:val="fr-CH"/>
        </w:rPr>
        <w:t xml:space="preserve">Connexions </w:t>
      </w:r>
      <w:r w:rsidR="00A92DDC" w:rsidRPr="00D41EF9">
        <w:rPr>
          <w:lang w:val="fr-CH"/>
        </w:rPr>
        <w:t>multiple</w:t>
      </w:r>
      <w:r w:rsidR="009413E8">
        <w:rPr>
          <w:lang w:val="fr-CH"/>
        </w:rPr>
        <w:t>s</w:t>
      </w:r>
      <w:r w:rsidR="00394C4E" w:rsidRPr="00D41EF9">
        <w:rPr>
          <w:lang w:val="fr-CH"/>
        </w:rPr>
        <w:t>/</w:t>
      </w:r>
      <w:r w:rsidR="00A92DDC" w:rsidRPr="00D41EF9">
        <w:rPr>
          <w:lang w:val="fr-CH"/>
        </w:rPr>
        <w:t>technologies multiples d'accès radioélectrique (M-RAT</w:t>
      </w:r>
      <w:r w:rsidR="00394C4E" w:rsidRPr="00D41EF9">
        <w:rPr>
          <w:lang w:val="fr-CH"/>
        </w:rPr>
        <w:t xml:space="preserve">) </w:t>
      </w:r>
      <w:r w:rsidR="00A92DDC" w:rsidRPr="00D41EF9">
        <w:rPr>
          <w:lang w:val="fr-CH"/>
        </w:rPr>
        <w:t xml:space="preserve">dans les réseaux </w:t>
      </w:r>
      <w:r w:rsidR="00394C4E" w:rsidRPr="00D41EF9">
        <w:rPr>
          <w:lang w:val="fr-CH"/>
        </w:rPr>
        <w:t xml:space="preserve">NGN: </w:t>
      </w:r>
      <w:r w:rsidR="00432084" w:rsidRPr="00D41EF9">
        <w:rPr>
          <w:lang w:val="fr-CH"/>
        </w:rPr>
        <w:t>t</w:t>
      </w:r>
      <w:r w:rsidR="006D6124" w:rsidRPr="00D41EF9">
        <w:rPr>
          <w:lang w:val="fr-CH"/>
        </w:rPr>
        <w:t xml:space="preserve">ransition entre les réseaux de prochaine génération et les réseaux futurs mobiles à l'aide de la connectivité simultanée </w:t>
      </w:r>
    </w:p>
    <w:p w:rsidR="00394C4E" w:rsidRPr="00D41EF9" w:rsidRDefault="00267151" w:rsidP="00267151">
      <w:pPr>
        <w:pStyle w:val="enumlev2"/>
        <w:rPr>
          <w:lang w:val="fr-CH"/>
        </w:rPr>
      </w:pPr>
      <w:r w:rsidRPr="00D41EF9">
        <w:rPr>
          <w:lang w:val="fr-CH"/>
        </w:rPr>
        <w:t>•</w:t>
      </w:r>
      <w:r w:rsidRPr="00D41EF9">
        <w:rPr>
          <w:lang w:val="fr-CH"/>
        </w:rPr>
        <w:tab/>
      </w:r>
      <w:r w:rsidR="00A92DDC" w:rsidRPr="00D41EF9">
        <w:rPr>
          <w:lang w:val="fr-CH"/>
        </w:rPr>
        <w:t xml:space="preserve">Télévision numérique accessible </w:t>
      </w:r>
      <w:r w:rsidR="00394C4E" w:rsidRPr="00D41EF9">
        <w:rPr>
          <w:lang w:val="fr-CH"/>
        </w:rPr>
        <w:t xml:space="preserve">– </w:t>
      </w:r>
      <w:r w:rsidR="00A92DDC" w:rsidRPr="00D41EF9">
        <w:rPr>
          <w:lang w:val="fr-CH"/>
        </w:rPr>
        <w:t>Du concept à la réalité</w:t>
      </w:r>
    </w:p>
    <w:p w:rsidR="00394C4E" w:rsidRPr="00D41EF9" w:rsidRDefault="00267151" w:rsidP="00267151">
      <w:pPr>
        <w:pStyle w:val="enumlev2"/>
        <w:rPr>
          <w:lang w:val="fr-CH"/>
        </w:rPr>
      </w:pPr>
      <w:r w:rsidRPr="00D41EF9">
        <w:rPr>
          <w:lang w:val="fr-CH"/>
        </w:rPr>
        <w:t>•</w:t>
      </w:r>
      <w:r w:rsidRPr="00D41EF9">
        <w:rPr>
          <w:lang w:val="fr-CH"/>
        </w:rPr>
        <w:tab/>
      </w:r>
      <w:r w:rsidR="00A92DDC" w:rsidRPr="00D41EF9">
        <w:rPr>
          <w:lang w:val="fr-CH"/>
        </w:rPr>
        <w:t xml:space="preserve">Incidence des applications de communication de données mobiles MTC ou non MTC sur les réseaux mobiles </w:t>
      </w:r>
    </w:p>
    <w:p w:rsidR="00394C4E" w:rsidRPr="00D41EF9" w:rsidRDefault="00267151" w:rsidP="00267151">
      <w:pPr>
        <w:pStyle w:val="enumlev2"/>
        <w:rPr>
          <w:lang w:val="fr-CH"/>
        </w:rPr>
      </w:pPr>
      <w:r w:rsidRPr="00D41EF9">
        <w:rPr>
          <w:lang w:val="fr-CH"/>
        </w:rPr>
        <w:t>•</w:t>
      </w:r>
      <w:r w:rsidRPr="00D41EF9">
        <w:rPr>
          <w:lang w:val="fr-CH"/>
        </w:rPr>
        <w:tab/>
      </w:r>
      <w:r w:rsidR="00B94120" w:rsidRPr="00D41EF9">
        <w:rPr>
          <w:lang w:val="fr-CH"/>
        </w:rPr>
        <w:t>E</w:t>
      </w:r>
      <w:r w:rsidR="00A92DDC" w:rsidRPr="00D41EF9">
        <w:rPr>
          <w:lang w:val="fr-CH"/>
        </w:rPr>
        <w:t>laboration d'un guide sur la protection contre les surtensions</w:t>
      </w:r>
    </w:p>
    <w:p w:rsidR="00394C4E" w:rsidRPr="00D41EF9" w:rsidRDefault="00267151" w:rsidP="00267151">
      <w:pPr>
        <w:pStyle w:val="enumlev1"/>
        <w:rPr>
          <w:lang w:val="fr-CH"/>
        </w:rPr>
      </w:pPr>
      <w:r w:rsidRPr="00D41EF9">
        <w:rPr>
          <w:lang w:val="fr-CH"/>
        </w:rPr>
        <w:t>–</w:t>
      </w:r>
      <w:r w:rsidRPr="00D41EF9">
        <w:rPr>
          <w:lang w:val="fr-CH"/>
        </w:rPr>
        <w:tab/>
      </w:r>
      <w:r w:rsidR="006D6124" w:rsidRPr="00D41EF9">
        <w:rPr>
          <w:lang w:val="fr-CH"/>
        </w:rPr>
        <w:t xml:space="preserve">Atelier didactique approfondi de deux semaines sur les fibres optiques au </w:t>
      </w:r>
      <w:r w:rsidR="00394C4E" w:rsidRPr="00D41EF9">
        <w:rPr>
          <w:lang w:val="fr-CH"/>
        </w:rPr>
        <w:t>Rwanda</w:t>
      </w:r>
    </w:p>
    <w:p w:rsidR="00394C4E" w:rsidRPr="00D41EF9" w:rsidRDefault="00267151" w:rsidP="00B94120">
      <w:pPr>
        <w:pStyle w:val="enumlev1"/>
        <w:rPr>
          <w:lang w:val="fr-CH"/>
        </w:rPr>
      </w:pPr>
      <w:r w:rsidRPr="00D41EF9">
        <w:rPr>
          <w:lang w:val="fr-CH"/>
        </w:rPr>
        <w:t>–</w:t>
      </w:r>
      <w:r w:rsidRPr="00D41EF9">
        <w:rPr>
          <w:lang w:val="fr-CH"/>
        </w:rPr>
        <w:tab/>
      </w:r>
      <w:r w:rsidR="00394C4E" w:rsidRPr="00D41EF9">
        <w:rPr>
          <w:lang w:val="fr-CH"/>
        </w:rPr>
        <w:t>F</w:t>
      </w:r>
      <w:r w:rsidR="006D6124" w:rsidRPr="00D41EF9">
        <w:rPr>
          <w:lang w:val="fr-CH"/>
        </w:rPr>
        <w:t xml:space="preserve">inancement de la </w:t>
      </w:r>
      <w:r w:rsidR="00394C4E" w:rsidRPr="00D41EF9">
        <w:rPr>
          <w:lang w:val="fr-CH"/>
        </w:rPr>
        <w:t xml:space="preserve">participation </w:t>
      </w:r>
      <w:r w:rsidR="006D6124" w:rsidRPr="00D41EF9">
        <w:rPr>
          <w:lang w:val="fr-CH"/>
        </w:rPr>
        <w:t xml:space="preserve">d'intervenants et de bourses pour des </w:t>
      </w:r>
      <w:r w:rsidR="00394C4E" w:rsidRPr="00D41EF9">
        <w:rPr>
          <w:lang w:val="fr-CH"/>
        </w:rPr>
        <w:t xml:space="preserve">participants </w:t>
      </w:r>
      <w:r w:rsidR="006D6124" w:rsidRPr="00D41EF9">
        <w:rPr>
          <w:lang w:val="fr-CH"/>
        </w:rPr>
        <w:t xml:space="preserve">issus de pays en développement afin qu'ils puissent assister à des ateliers de l'UIT dans des pays en développement </w:t>
      </w:r>
      <w:r w:rsidR="00394C4E" w:rsidRPr="00D41EF9">
        <w:rPr>
          <w:lang w:val="fr-CH"/>
        </w:rPr>
        <w:t>(</w:t>
      </w:r>
      <w:r w:rsidR="006D6124" w:rsidRPr="00D41EF9">
        <w:rPr>
          <w:lang w:val="fr-CH"/>
        </w:rPr>
        <w:t xml:space="preserve">par </w:t>
      </w:r>
      <w:r w:rsidR="00394C4E" w:rsidRPr="00D41EF9">
        <w:rPr>
          <w:lang w:val="fr-CH"/>
        </w:rPr>
        <w:t>ex</w:t>
      </w:r>
      <w:r w:rsidR="00B94120" w:rsidRPr="00D41EF9">
        <w:rPr>
          <w:lang w:val="fr-CH"/>
        </w:rPr>
        <w:t>emple,</w:t>
      </w:r>
      <w:r w:rsidR="00394C4E" w:rsidRPr="00D41EF9">
        <w:rPr>
          <w:lang w:val="fr-CH"/>
        </w:rPr>
        <w:t xml:space="preserve"> </w:t>
      </w:r>
      <w:r w:rsidR="006D6124" w:rsidRPr="00D41EF9">
        <w:rPr>
          <w:lang w:val="fr-CH"/>
        </w:rPr>
        <w:t>atelier sur la conformité et</w:t>
      </w:r>
      <w:r w:rsidR="00B94120" w:rsidRPr="00D41EF9">
        <w:rPr>
          <w:lang w:val="fr-CH"/>
        </w:rPr>
        <w:t xml:space="preserve"> l'interopérabilité en novembre </w:t>
      </w:r>
      <w:r w:rsidR="00394C4E" w:rsidRPr="00D41EF9">
        <w:rPr>
          <w:lang w:val="fr-CH"/>
        </w:rPr>
        <w:t xml:space="preserve">2012, </w:t>
      </w:r>
      <w:r w:rsidR="006D6124" w:rsidRPr="00D41EF9">
        <w:rPr>
          <w:lang w:val="fr-CH"/>
        </w:rPr>
        <w:t>atelier</w:t>
      </w:r>
      <w:r w:rsidR="00B94120" w:rsidRPr="00D41EF9">
        <w:rPr>
          <w:lang w:val="fr-CH"/>
        </w:rPr>
        <w:t>s</w:t>
      </w:r>
      <w:r w:rsidR="006D6124" w:rsidRPr="00D41EF9">
        <w:rPr>
          <w:lang w:val="fr-CH"/>
        </w:rPr>
        <w:t xml:space="preserve"> sur la réduction de l'écart en matière de normalisation en </w:t>
      </w:r>
      <w:r w:rsidR="00394C4E" w:rsidRPr="00D41EF9">
        <w:rPr>
          <w:lang w:val="fr-CH"/>
        </w:rPr>
        <w:t>Ind</w:t>
      </w:r>
      <w:r w:rsidR="00B94120" w:rsidRPr="00D41EF9">
        <w:rPr>
          <w:lang w:val="fr-CH"/>
        </w:rPr>
        <w:t>e en </w:t>
      </w:r>
      <w:r w:rsidR="00394C4E" w:rsidRPr="00D41EF9">
        <w:rPr>
          <w:lang w:val="fr-CH"/>
        </w:rPr>
        <w:t xml:space="preserve">2012, </w:t>
      </w:r>
      <w:r w:rsidR="006D6124" w:rsidRPr="00D41EF9">
        <w:rPr>
          <w:lang w:val="fr-CH"/>
        </w:rPr>
        <w:t xml:space="preserve">à </w:t>
      </w:r>
      <w:r w:rsidR="00394C4E" w:rsidRPr="00D41EF9">
        <w:rPr>
          <w:lang w:val="fr-CH"/>
        </w:rPr>
        <w:t>Fi</w:t>
      </w:r>
      <w:r w:rsidR="006D6124" w:rsidRPr="00D41EF9">
        <w:rPr>
          <w:lang w:val="fr-CH"/>
        </w:rPr>
        <w:t>d</w:t>
      </w:r>
      <w:r w:rsidR="00394C4E" w:rsidRPr="00D41EF9">
        <w:rPr>
          <w:lang w:val="fr-CH"/>
        </w:rPr>
        <w:t xml:space="preserve">ji, </w:t>
      </w:r>
      <w:r w:rsidR="006D6124" w:rsidRPr="00D41EF9">
        <w:rPr>
          <w:lang w:val="fr-CH"/>
        </w:rPr>
        <w:t xml:space="preserve">en </w:t>
      </w:r>
      <w:r w:rsidR="00394C4E" w:rsidRPr="00D41EF9">
        <w:rPr>
          <w:lang w:val="fr-CH"/>
        </w:rPr>
        <w:t xml:space="preserve">Moldova </w:t>
      </w:r>
      <w:r w:rsidR="006D6124" w:rsidRPr="00D41EF9">
        <w:rPr>
          <w:lang w:val="fr-CH"/>
        </w:rPr>
        <w:t xml:space="preserve">et en </w:t>
      </w:r>
      <w:r w:rsidR="00394C4E" w:rsidRPr="00D41EF9">
        <w:rPr>
          <w:lang w:val="fr-CH"/>
        </w:rPr>
        <w:t>Alg</w:t>
      </w:r>
      <w:r w:rsidR="006D6124" w:rsidRPr="00D41EF9">
        <w:rPr>
          <w:lang w:val="fr-CH"/>
        </w:rPr>
        <w:t>érie</w:t>
      </w:r>
      <w:r w:rsidR="00394C4E" w:rsidRPr="00D41EF9">
        <w:rPr>
          <w:lang w:val="fr-CH"/>
        </w:rPr>
        <w:t xml:space="preserve"> </w:t>
      </w:r>
      <w:r w:rsidR="006D6124" w:rsidRPr="00D41EF9">
        <w:rPr>
          <w:lang w:val="fr-CH"/>
        </w:rPr>
        <w:t>en 2011</w:t>
      </w:r>
      <w:r w:rsidR="00394C4E" w:rsidRPr="00D41EF9">
        <w:rPr>
          <w:lang w:val="fr-CH"/>
        </w:rPr>
        <w:t xml:space="preserve"> </w:t>
      </w:r>
      <w:r w:rsidR="006D6124" w:rsidRPr="00D41EF9">
        <w:rPr>
          <w:lang w:val="fr-CH"/>
        </w:rPr>
        <w:t xml:space="preserve">et en </w:t>
      </w:r>
      <w:r w:rsidR="00394C4E" w:rsidRPr="00D41EF9">
        <w:rPr>
          <w:lang w:val="fr-CH"/>
        </w:rPr>
        <w:t>Mala</w:t>
      </w:r>
      <w:r w:rsidR="006D6124" w:rsidRPr="00D41EF9">
        <w:rPr>
          <w:lang w:val="fr-CH"/>
        </w:rPr>
        <w:t>i</w:t>
      </w:r>
      <w:r w:rsidR="00394C4E" w:rsidRPr="00D41EF9">
        <w:rPr>
          <w:lang w:val="fr-CH"/>
        </w:rPr>
        <w:t>si</w:t>
      </w:r>
      <w:r w:rsidR="006D6124" w:rsidRPr="00D41EF9">
        <w:rPr>
          <w:lang w:val="fr-CH"/>
        </w:rPr>
        <w:t>e</w:t>
      </w:r>
      <w:r w:rsidR="00394C4E" w:rsidRPr="00D41EF9">
        <w:rPr>
          <w:lang w:val="fr-CH"/>
        </w:rPr>
        <w:t xml:space="preserve"> </w:t>
      </w:r>
      <w:r w:rsidR="006D6124" w:rsidRPr="00D41EF9">
        <w:rPr>
          <w:lang w:val="fr-CH"/>
        </w:rPr>
        <w:t>e</w:t>
      </w:r>
      <w:r w:rsidR="00394C4E" w:rsidRPr="00D41EF9">
        <w:rPr>
          <w:lang w:val="fr-CH"/>
        </w:rPr>
        <w:t>n 2010)</w:t>
      </w:r>
      <w:r w:rsidR="009413E8">
        <w:rPr>
          <w:lang w:val="fr-CH"/>
        </w:rPr>
        <w:t>.</w:t>
      </w:r>
    </w:p>
    <w:p w:rsidR="00394C4E" w:rsidRPr="00D41EF9" w:rsidRDefault="006D6124" w:rsidP="00AC7C9B">
      <w:pPr>
        <w:rPr>
          <w:rFonts w:asciiTheme="majorBidi" w:hAnsiTheme="majorBidi" w:cstheme="majorBidi"/>
          <w:szCs w:val="24"/>
          <w:lang w:val="fr-CH"/>
        </w:rPr>
      </w:pPr>
      <w:r w:rsidRPr="00D41EF9">
        <w:rPr>
          <w:rFonts w:asciiTheme="majorBidi" w:hAnsiTheme="majorBidi" w:cstheme="majorBidi"/>
          <w:szCs w:val="24"/>
          <w:lang w:val="fr-CH"/>
        </w:rPr>
        <w:t>Même si</w:t>
      </w:r>
      <w:r w:rsidR="0067336B" w:rsidRPr="00D41EF9">
        <w:rPr>
          <w:rFonts w:asciiTheme="majorBidi" w:hAnsiTheme="majorBidi" w:cstheme="majorBidi"/>
          <w:szCs w:val="24"/>
          <w:lang w:val="fr-CH"/>
        </w:rPr>
        <w:t xml:space="preserve">, pour le moment, </w:t>
      </w:r>
      <w:r w:rsidRPr="00D41EF9">
        <w:rPr>
          <w:rFonts w:asciiTheme="majorBidi" w:hAnsiTheme="majorBidi" w:cstheme="majorBidi"/>
          <w:szCs w:val="24"/>
          <w:lang w:val="fr-CH"/>
        </w:rPr>
        <w:t xml:space="preserve">vous n'êtes pas en mesure </w:t>
      </w:r>
      <w:r w:rsidR="0067336B" w:rsidRPr="00D41EF9">
        <w:rPr>
          <w:rFonts w:asciiTheme="majorBidi" w:hAnsiTheme="majorBidi" w:cstheme="majorBidi"/>
          <w:szCs w:val="24"/>
          <w:lang w:val="fr-CH"/>
        </w:rPr>
        <w:t>de verser une contribution volontaire</w:t>
      </w:r>
      <w:r w:rsidR="00394C4E" w:rsidRPr="00D41EF9">
        <w:rPr>
          <w:rFonts w:asciiTheme="majorBidi" w:hAnsiTheme="majorBidi" w:cstheme="majorBidi"/>
          <w:szCs w:val="24"/>
          <w:lang w:val="fr-CH"/>
        </w:rPr>
        <w:t xml:space="preserve">, </w:t>
      </w:r>
      <w:r w:rsidR="0067336B" w:rsidRPr="00D41EF9">
        <w:rPr>
          <w:rFonts w:asciiTheme="majorBidi" w:hAnsiTheme="majorBidi" w:cstheme="majorBidi"/>
          <w:szCs w:val="24"/>
          <w:lang w:val="fr-CH"/>
        </w:rPr>
        <w:t xml:space="preserve">je vous invite à me faire part des éventuels projets ou </w:t>
      </w:r>
      <w:r w:rsidR="00394C4E" w:rsidRPr="00D41EF9">
        <w:rPr>
          <w:rFonts w:asciiTheme="majorBidi" w:hAnsiTheme="majorBidi" w:cstheme="majorBidi"/>
          <w:szCs w:val="24"/>
          <w:lang w:val="fr-CH"/>
        </w:rPr>
        <w:t xml:space="preserve">initiatives </w:t>
      </w:r>
      <w:r w:rsidR="0067336B" w:rsidRPr="00D41EF9">
        <w:rPr>
          <w:rFonts w:asciiTheme="majorBidi" w:hAnsiTheme="majorBidi" w:cstheme="majorBidi"/>
          <w:szCs w:val="24"/>
          <w:lang w:val="fr-CH"/>
        </w:rPr>
        <w:t>intéressant l'UIT</w:t>
      </w:r>
      <w:r w:rsidR="0067336B" w:rsidRPr="00D41EF9">
        <w:rPr>
          <w:rFonts w:asciiTheme="majorBidi" w:hAnsiTheme="majorBidi" w:cstheme="majorBidi"/>
          <w:szCs w:val="24"/>
          <w:lang w:val="fr-CH"/>
        </w:rPr>
        <w:noBreakHyphen/>
        <w:t xml:space="preserve">T pour lesquels vous estimez qu'ils pourraient être financés par des </w:t>
      </w:r>
      <w:r w:rsidR="00394C4E" w:rsidRPr="00D41EF9">
        <w:rPr>
          <w:rFonts w:asciiTheme="majorBidi" w:hAnsiTheme="majorBidi" w:cstheme="majorBidi"/>
          <w:szCs w:val="24"/>
          <w:lang w:val="fr-CH"/>
        </w:rPr>
        <w:t>contributions</w:t>
      </w:r>
      <w:r w:rsidR="0067336B" w:rsidRPr="00D41EF9">
        <w:rPr>
          <w:rFonts w:asciiTheme="majorBidi" w:hAnsiTheme="majorBidi" w:cstheme="majorBidi"/>
          <w:szCs w:val="24"/>
          <w:lang w:val="fr-CH"/>
        </w:rPr>
        <w:t xml:space="preserve"> volontaires</w:t>
      </w:r>
      <w:r w:rsidR="00394C4E" w:rsidRPr="00D41EF9">
        <w:rPr>
          <w:rFonts w:asciiTheme="majorBidi" w:hAnsiTheme="majorBidi" w:cstheme="majorBidi"/>
          <w:szCs w:val="24"/>
          <w:lang w:val="fr-CH"/>
        </w:rPr>
        <w:t xml:space="preserve">. </w:t>
      </w:r>
      <w:r w:rsidR="0067336B" w:rsidRPr="00D41EF9">
        <w:rPr>
          <w:rFonts w:asciiTheme="majorBidi" w:hAnsiTheme="majorBidi" w:cstheme="majorBidi"/>
          <w:szCs w:val="24"/>
          <w:lang w:val="fr-CH"/>
        </w:rPr>
        <w:t>Parmi les projets possibles, on peut citer</w:t>
      </w:r>
      <w:r w:rsidR="00394C4E" w:rsidRPr="00D41EF9">
        <w:rPr>
          <w:rFonts w:asciiTheme="majorBidi" w:hAnsiTheme="majorBidi" w:cstheme="majorBidi"/>
          <w:szCs w:val="24"/>
          <w:lang w:val="fr-CH"/>
        </w:rPr>
        <w:t>:</w:t>
      </w:r>
    </w:p>
    <w:p w:rsidR="00394C4E" w:rsidRPr="00D41EF9" w:rsidRDefault="00267151" w:rsidP="00267151">
      <w:pPr>
        <w:pStyle w:val="enumlev1"/>
        <w:rPr>
          <w:lang w:val="fr-CH"/>
        </w:rPr>
      </w:pPr>
      <w:r w:rsidRPr="00D41EF9">
        <w:rPr>
          <w:lang w:val="fr-CH"/>
        </w:rPr>
        <w:t>–</w:t>
      </w:r>
      <w:r w:rsidRPr="00D41EF9">
        <w:rPr>
          <w:lang w:val="fr-CH"/>
        </w:rPr>
        <w:tab/>
      </w:r>
      <w:r w:rsidR="0067336B" w:rsidRPr="00D41EF9">
        <w:rPr>
          <w:lang w:val="fr-CH"/>
        </w:rPr>
        <w:t>L'élaboration de cours de formation en ligne sur</w:t>
      </w:r>
      <w:r w:rsidR="00394C4E" w:rsidRPr="00D41EF9">
        <w:rPr>
          <w:lang w:val="fr-CH"/>
        </w:rPr>
        <w:t xml:space="preserve">: </w:t>
      </w:r>
    </w:p>
    <w:p w:rsidR="00394C4E" w:rsidRPr="00D41EF9" w:rsidRDefault="00267151" w:rsidP="00267151">
      <w:pPr>
        <w:pStyle w:val="enumlev2"/>
        <w:rPr>
          <w:lang w:val="fr-CH"/>
        </w:rPr>
      </w:pPr>
      <w:r w:rsidRPr="00D41EF9">
        <w:rPr>
          <w:lang w:val="fr-CH"/>
        </w:rPr>
        <w:t>•</w:t>
      </w:r>
      <w:r w:rsidRPr="00D41EF9">
        <w:rPr>
          <w:lang w:val="fr-CH"/>
        </w:rPr>
        <w:tab/>
      </w:r>
      <w:r w:rsidR="0067336B" w:rsidRPr="00D41EF9">
        <w:rPr>
          <w:lang w:val="fr-CH"/>
        </w:rPr>
        <w:t>la Recomma</w:t>
      </w:r>
      <w:r w:rsidR="00394C4E" w:rsidRPr="00D41EF9">
        <w:rPr>
          <w:lang w:val="fr-CH"/>
        </w:rPr>
        <w:t xml:space="preserve">ndation </w:t>
      </w:r>
      <w:r w:rsidR="0067336B" w:rsidRPr="00D41EF9">
        <w:rPr>
          <w:lang w:val="fr-CH"/>
        </w:rPr>
        <w:t>UIT</w:t>
      </w:r>
      <w:r w:rsidR="00394C4E" w:rsidRPr="00D41EF9">
        <w:rPr>
          <w:lang w:val="fr-CH"/>
        </w:rPr>
        <w:t>-T A.1</w:t>
      </w:r>
      <w:r w:rsidR="0067336B" w:rsidRPr="00D41EF9">
        <w:rPr>
          <w:lang w:val="fr-CH"/>
        </w:rPr>
        <w:t>, etc</w:t>
      </w:r>
      <w:r w:rsidR="00394C4E" w:rsidRPr="00D41EF9">
        <w:rPr>
          <w:lang w:val="fr-CH"/>
        </w:rPr>
        <w:t>.</w:t>
      </w:r>
      <w:r w:rsidR="009413E8">
        <w:rPr>
          <w:lang w:val="fr-CH"/>
        </w:rPr>
        <w:t>;</w:t>
      </w:r>
    </w:p>
    <w:p w:rsidR="00394C4E" w:rsidRPr="00D41EF9" w:rsidRDefault="00267151" w:rsidP="00267151">
      <w:pPr>
        <w:pStyle w:val="enumlev2"/>
        <w:rPr>
          <w:lang w:val="fr-CH"/>
        </w:rPr>
      </w:pPr>
      <w:r w:rsidRPr="00D41EF9">
        <w:rPr>
          <w:lang w:val="fr-CH"/>
        </w:rPr>
        <w:t>•</w:t>
      </w:r>
      <w:r w:rsidRPr="00D41EF9">
        <w:rPr>
          <w:lang w:val="fr-CH"/>
        </w:rPr>
        <w:tab/>
      </w:r>
      <w:r w:rsidR="0067336B" w:rsidRPr="00D41EF9">
        <w:rPr>
          <w:lang w:val="fr-CH"/>
        </w:rPr>
        <w:t xml:space="preserve">les </w:t>
      </w:r>
      <w:r w:rsidR="00394C4E" w:rsidRPr="00D41EF9">
        <w:rPr>
          <w:lang w:val="fr-CH"/>
        </w:rPr>
        <w:t>r</w:t>
      </w:r>
      <w:r w:rsidR="0067336B" w:rsidRPr="00D41EF9">
        <w:rPr>
          <w:lang w:val="fr-CH"/>
        </w:rPr>
        <w:t>ô</w:t>
      </w:r>
      <w:r w:rsidR="00394C4E" w:rsidRPr="00D41EF9">
        <w:rPr>
          <w:lang w:val="fr-CH"/>
        </w:rPr>
        <w:t xml:space="preserve">les </w:t>
      </w:r>
      <w:r w:rsidR="0067336B" w:rsidRPr="00D41EF9">
        <w:rPr>
          <w:lang w:val="fr-CH"/>
        </w:rPr>
        <w:t xml:space="preserve">des </w:t>
      </w:r>
      <w:r w:rsidR="00394C4E" w:rsidRPr="00D41EF9">
        <w:rPr>
          <w:lang w:val="fr-CH"/>
        </w:rPr>
        <w:t xml:space="preserve">Rapporteurs </w:t>
      </w:r>
      <w:r w:rsidR="0067336B" w:rsidRPr="00D41EF9">
        <w:rPr>
          <w:lang w:val="fr-CH"/>
        </w:rPr>
        <w:t xml:space="preserve">et des </w:t>
      </w:r>
      <w:r w:rsidR="007164F1" w:rsidRPr="00D41EF9">
        <w:rPr>
          <w:lang w:val="fr-CH"/>
        </w:rPr>
        <w:t>é</w:t>
      </w:r>
      <w:r w:rsidR="0067336B" w:rsidRPr="00D41EF9">
        <w:rPr>
          <w:lang w:val="fr-CH"/>
        </w:rPr>
        <w:t>diteurs</w:t>
      </w:r>
      <w:r w:rsidR="009413E8">
        <w:rPr>
          <w:lang w:val="fr-CH"/>
        </w:rPr>
        <w:t>;</w:t>
      </w:r>
    </w:p>
    <w:p w:rsidR="00394C4E" w:rsidRPr="00D41EF9" w:rsidRDefault="00267151" w:rsidP="00267151">
      <w:pPr>
        <w:pStyle w:val="enumlev2"/>
        <w:rPr>
          <w:lang w:val="fr-CH"/>
        </w:rPr>
      </w:pPr>
      <w:r w:rsidRPr="00D41EF9">
        <w:rPr>
          <w:lang w:val="fr-CH"/>
        </w:rPr>
        <w:t>•</w:t>
      </w:r>
      <w:r w:rsidRPr="00D41EF9">
        <w:rPr>
          <w:lang w:val="fr-CH"/>
        </w:rPr>
        <w:tab/>
      </w:r>
      <w:r w:rsidR="0067336B" w:rsidRPr="00D41EF9">
        <w:rPr>
          <w:lang w:val="fr-CH"/>
        </w:rPr>
        <w:t xml:space="preserve">comment soumettre des </w:t>
      </w:r>
      <w:r w:rsidR="00394C4E" w:rsidRPr="00D41EF9">
        <w:rPr>
          <w:lang w:val="fr-CH"/>
        </w:rPr>
        <w:t>contributions</w:t>
      </w:r>
      <w:r w:rsidR="009413E8">
        <w:rPr>
          <w:lang w:val="fr-CH"/>
        </w:rPr>
        <w:t>;</w:t>
      </w:r>
    </w:p>
    <w:p w:rsidR="00394C4E" w:rsidRPr="00D41EF9" w:rsidRDefault="00267151" w:rsidP="00267151">
      <w:pPr>
        <w:pStyle w:val="enumlev2"/>
        <w:rPr>
          <w:lang w:val="fr-CH"/>
        </w:rPr>
      </w:pPr>
      <w:r w:rsidRPr="00D41EF9">
        <w:rPr>
          <w:lang w:val="fr-CH"/>
        </w:rPr>
        <w:t>•</w:t>
      </w:r>
      <w:r w:rsidRPr="00D41EF9">
        <w:rPr>
          <w:lang w:val="fr-CH"/>
        </w:rPr>
        <w:tab/>
      </w:r>
      <w:r w:rsidR="0067336B" w:rsidRPr="00D41EF9">
        <w:rPr>
          <w:lang w:val="fr-CH"/>
        </w:rPr>
        <w:t xml:space="preserve">comment rédiger des </w:t>
      </w:r>
      <w:r w:rsidR="00394C4E" w:rsidRPr="00D41EF9">
        <w:rPr>
          <w:lang w:val="fr-CH"/>
        </w:rPr>
        <w:t>Recomm</w:t>
      </w:r>
      <w:r w:rsidR="0067336B" w:rsidRPr="00D41EF9">
        <w:rPr>
          <w:lang w:val="fr-CH"/>
        </w:rPr>
        <w:t>a</w:t>
      </w:r>
      <w:r w:rsidR="00394C4E" w:rsidRPr="00D41EF9">
        <w:rPr>
          <w:lang w:val="fr-CH"/>
        </w:rPr>
        <w:t>ndations</w:t>
      </w:r>
      <w:r w:rsidR="009413E8">
        <w:rPr>
          <w:lang w:val="fr-CH"/>
        </w:rPr>
        <w:t>;</w:t>
      </w:r>
    </w:p>
    <w:p w:rsidR="00394C4E" w:rsidRPr="00D41EF9" w:rsidRDefault="00267151" w:rsidP="00267151">
      <w:pPr>
        <w:pStyle w:val="enumlev2"/>
        <w:rPr>
          <w:lang w:val="fr-CH"/>
        </w:rPr>
      </w:pPr>
      <w:r w:rsidRPr="00D41EF9">
        <w:rPr>
          <w:lang w:val="fr-CH"/>
        </w:rPr>
        <w:t>•</w:t>
      </w:r>
      <w:r w:rsidRPr="00D41EF9">
        <w:rPr>
          <w:lang w:val="fr-CH"/>
        </w:rPr>
        <w:tab/>
      </w:r>
      <w:r w:rsidR="0067336B" w:rsidRPr="00D41EF9">
        <w:rPr>
          <w:lang w:val="fr-CH"/>
        </w:rPr>
        <w:t>les Recommandations UIT</w:t>
      </w:r>
      <w:r w:rsidR="0067336B" w:rsidRPr="00D41EF9">
        <w:rPr>
          <w:lang w:val="fr-CH"/>
        </w:rPr>
        <w:noBreakHyphen/>
      </w:r>
      <w:r w:rsidR="00432084" w:rsidRPr="00D41EF9">
        <w:rPr>
          <w:lang w:val="fr-CH"/>
        </w:rPr>
        <w:t>T</w:t>
      </w:r>
      <w:r w:rsidR="0067336B" w:rsidRPr="00D41EF9">
        <w:rPr>
          <w:lang w:val="fr-CH"/>
        </w:rPr>
        <w:t xml:space="preserve"> techniques</w:t>
      </w:r>
      <w:r w:rsidR="009413E8">
        <w:rPr>
          <w:lang w:val="fr-CH"/>
        </w:rPr>
        <w:t>;</w:t>
      </w:r>
    </w:p>
    <w:p w:rsidR="00394C4E" w:rsidRPr="00D41EF9" w:rsidRDefault="00267151" w:rsidP="009413E8">
      <w:pPr>
        <w:pStyle w:val="enumlev2"/>
        <w:rPr>
          <w:lang w:val="fr-CH"/>
        </w:rPr>
      </w:pPr>
      <w:r w:rsidRPr="00D41EF9">
        <w:rPr>
          <w:lang w:val="fr-CH"/>
        </w:rPr>
        <w:t>•</w:t>
      </w:r>
      <w:r w:rsidRPr="00D41EF9">
        <w:rPr>
          <w:lang w:val="fr-CH"/>
        </w:rPr>
        <w:tab/>
      </w:r>
      <w:r w:rsidR="0067336B" w:rsidRPr="00D41EF9">
        <w:rPr>
          <w:lang w:val="fr-CH"/>
        </w:rPr>
        <w:t>les droits de propriété intellectuelle</w:t>
      </w:r>
      <w:r w:rsidR="009413E8">
        <w:rPr>
          <w:lang w:val="fr-CH"/>
        </w:rPr>
        <w:t>.</w:t>
      </w:r>
    </w:p>
    <w:p w:rsidR="00394C4E" w:rsidRPr="00D41EF9" w:rsidRDefault="00267151" w:rsidP="00267151">
      <w:pPr>
        <w:pStyle w:val="enumlev1"/>
        <w:rPr>
          <w:lang w:val="fr-CH"/>
        </w:rPr>
      </w:pPr>
      <w:r w:rsidRPr="00D41EF9">
        <w:rPr>
          <w:lang w:val="fr-CH"/>
        </w:rPr>
        <w:t>–</w:t>
      </w:r>
      <w:r w:rsidRPr="00D41EF9">
        <w:rPr>
          <w:lang w:val="fr-CH"/>
        </w:rPr>
        <w:tab/>
      </w:r>
      <w:r w:rsidR="001F2504" w:rsidRPr="00D41EF9">
        <w:rPr>
          <w:lang w:val="fr-CH"/>
        </w:rPr>
        <w:t>L</w:t>
      </w:r>
      <w:r w:rsidR="0067336B" w:rsidRPr="00D41EF9">
        <w:rPr>
          <w:lang w:val="fr-CH"/>
        </w:rPr>
        <w:t xml:space="preserve">'élaboration de lignes directrices relatives à la mise en </w:t>
      </w:r>
      <w:proofErr w:type="spellStart"/>
      <w:r w:rsidR="007164F1" w:rsidRPr="00D41EF9">
        <w:rPr>
          <w:lang w:val="fr-CH"/>
        </w:rPr>
        <w:t>oe</w:t>
      </w:r>
      <w:r w:rsidR="0067336B" w:rsidRPr="00D41EF9">
        <w:rPr>
          <w:lang w:val="fr-CH"/>
        </w:rPr>
        <w:t>uvre</w:t>
      </w:r>
      <w:proofErr w:type="spellEnd"/>
      <w:r w:rsidR="0067336B" w:rsidRPr="00D41EF9">
        <w:rPr>
          <w:lang w:val="fr-CH"/>
        </w:rPr>
        <w:t xml:space="preserve"> de nouvelles Recommandations UIT</w:t>
      </w:r>
      <w:r w:rsidR="0067336B" w:rsidRPr="00D41EF9">
        <w:rPr>
          <w:lang w:val="fr-CH"/>
        </w:rPr>
        <w:noBreakHyphen/>
        <w:t xml:space="preserve">T pour permettre aux pays en développement de les </w:t>
      </w:r>
      <w:r w:rsidR="00394C4E" w:rsidRPr="00D41EF9">
        <w:rPr>
          <w:lang w:val="fr-CH"/>
        </w:rPr>
        <w:t>adopt</w:t>
      </w:r>
      <w:r w:rsidR="0067336B" w:rsidRPr="00D41EF9">
        <w:rPr>
          <w:lang w:val="fr-CH"/>
        </w:rPr>
        <w:t>er</w:t>
      </w:r>
      <w:r w:rsidR="009413E8">
        <w:rPr>
          <w:lang w:val="fr-CH"/>
        </w:rPr>
        <w:t>.</w:t>
      </w:r>
    </w:p>
    <w:p w:rsidR="00394C4E" w:rsidRPr="00D41EF9" w:rsidRDefault="00267151" w:rsidP="009413E8">
      <w:pPr>
        <w:pStyle w:val="enumlev1"/>
        <w:rPr>
          <w:lang w:val="fr-CH"/>
        </w:rPr>
      </w:pPr>
      <w:r w:rsidRPr="00D41EF9">
        <w:rPr>
          <w:lang w:val="fr-CH"/>
        </w:rPr>
        <w:t>–</w:t>
      </w:r>
      <w:r w:rsidRPr="00D41EF9">
        <w:rPr>
          <w:lang w:val="fr-CH"/>
        </w:rPr>
        <w:tab/>
      </w:r>
      <w:r w:rsidR="001F2504" w:rsidRPr="00D41EF9">
        <w:rPr>
          <w:lang w:val="fr-CH"/>
        </w:rPr>
        <w:t>L</w:t>
      </w:r>
      <w:r w:rsidR="0067336B" w:rsidRPr="00D41EF9">
        <w:rPr>
          <w:lang w:val="fr-CH"/>
        </w:rPr>
        <w:t>'élaboration de rapports techniques</w:t>
      </w:r>
      <w:r w:rsidR="00394C4E" w:rsidRPr="00D41EF9">
        <w:rPr>
          <w:lang w:val="fr-CH"/>
        </w:rPr>
        <w:t xml:space="preserve">/guides </w:t>
      </w:r>
      <w:r w:rsidR="0067336B" w:rsidRPr="00D41EF9">
        <w:rPr>
          <w:lang w:val="fr-CH"/>
        </w:rPr>
        <w:t>web</w:t>
      </w:r>
      <w:r w:rsidR="00394C4E" w:rsidRPr="00D41EF9">
        <w:rPr>
          <w:lang w:val="fr-CH"/>
        </w:rPr>
        <w:t xml:space="preserve">/applications </w:t>
      </w:r>
      <w:r w:rsidR="0067336B" w:rsidRPr="00D41EF9">
        <w:rPr>
          <w:lang w:val="fr-CH"/>
        </w:rPr>
        <w:t>concernant des Recommandations UIT</w:t>
      </w:r>
      <w:r w:rsidR="0067336B" w:rsidRPr="00D41EF9">
        <w:rPr>
          <w:lang w:val="fr-CH"/>
        </w:rPr>
        <w:noBreakHyphen/>
      </w:r>
      <w:r w:rsidR="00394C4E" w:rsidRPr="00D41EF9">
        <w:rPr>
          <w:lang w:val="fr-CH"/>
        </w:rPr>
        <w:t>T</w:t>
      </w:r>
      <w:r w:rsidR="009413E8">
        <w:rPr>
          <w:lang w:val="fr-CH"/>
        </w:rPr>
        <w:t>:</w:t>
      </w:r>
    </w:p>
    <w:p w:rsidR="00394C4E" w:rsidRPr="00D41EF9" w:rsidRDefault="00267151" w:rsidP="00267151">
      <w:pPr>
        <w:pStyle w:val="enumlev2"/>
        <w:rPr>
          <w:lang w:val="fr-CH"/>
        </w:rPr>
      </w:pPr>
      <w:r w:rsidRPr="00D41EF9">
        <w:rPr>
          <w:lang w:val="fr-CH"/>
        </w:rPr>
        <w:t>•</w:t>
      </w:r>
      <w:r w:rsidRPr="00D41EF9">
        <w:rPr>
          <w:lang w:val="fr-CH"/>
        </w:rPr>
        <w:tab/>
      </w:r>
      <w:r w:rsidR="0067336B" w:rsidRPr="00D41EF9">
        <w:rPr>
          <w:lang w:val="fr-CH"/>
        </w:rPr>
        <w:t>compatibilité électromagnétique</w:t>
      </w:r>
      <w:r w:rsidR="009413E8">
        <w:rPr>
          <w:lang w:val="fr-CH"/>
        </w:rPr>
        <w:t>;</w:t>
      </w:r>
    </w:p>
    <w:p w:rsidR="00394C4E" w:rsidRPr="00D41EF9" w:rsidRDefault="00267151" w:rsidP="00267151">
      <w:pPr>
        <w:pStyle w:val="enumlev2"/>
        <w:rPr>
          <w:lang w:val="fr-CH"/>
        </w:rPr>
      </w:pPr>
      <w:r w:rsidRPr="00D41EF9">
        <w:rPr>
          <w:lang w:val="fr-CH"/>
        </w:rPr>
        <w:t>•</w:t>
      </w:r>
      <w:r w:rsidRPr="00D41EF9">
        <w:rPr>
          <w:lang w:val="fr-CH"/>
        </w:rPr>
        <w:tab/>
      </w:r>
      <w:r w:rsidR="0067336B" w:rsidRPr="00D41EF9">
        <w:rPr>
          <w:lang w:val="fr-CH"/>
        </w:rPr>
        <w:t>changements climatiques</w:t>
      </w:r>
      <w:r w:rsidR="009413E8">
        <w:rPr>
          <w:lang w:val="fr-CH"/>
        </w:rPr>
        <w:t>;</w:t>
      </w:r>
    </w:p>
    <w:p w:rsidR="00394C4E" w:rsidRPr="00D41EF9" w:rsidRDefault="00267151" w:rsidP="009413E8">
      <w:pPr>
        <w:pStyle w:val="enumlev2"/>
        <w:rPr>
          <w:lang w:val="fr-CH"/>
        </w:rPr>
      </w:pPr>
      <w:r w:rsidRPr="00D41EF9">
        <w:rPr>
          <w:lang w:val="fr-CH"/>
        </w:rPr>
        <w:t>•</w:t>
      </w:r>
      <w:r w:rsidRPr="00D41EF9">
        <w:rPr>
          <w:lang w:val="fr-CH"/>
        </w:rPr>
        <w:tab/>
      </w:r>
      <w:r w:rsidR="0067336B" w:rsidRPr="00D41EF9">
        <w:rPr>
          <w:lang w:val="fr-CH"/>
        </w:rPr>
        <w:t>déchets d'équipements électriques et électroniques</w:t>
      </w:r>
      <w:r w:rsidR="009413E8">
        <w:rPr>
          <w:lang w:val="fr-CH"/>
        </w:rPr>
        <w:t>;</w:t>
      </w:r>
    </w:p>
    <w:p w:rsidR="00394C4E" w:rsidRPr="00D41EF9" w:rsidRDefault="00267151" w:rsidP="009413E8">
      <w:pPr>
        <w:pStyle w:val="enumlev2"/>
        <w:rPr>
          <w:lang w:val="fr-CH"/>
        </w:rPr>
      </w:pPr>
      <w:r w:rsidRPr="00D41EF9">
        <w:rPr>
          <w:lang w:val="fr-CH"/>
        </w:rPr>
        <w:t>•</w:t>
      </w:r>
      <w:r w:rsidRPr="00D41EF9">
        <w:rPr>
          <w:lang w:val="fr-CH"/>
        </w:rPr>
        <w:tab/>
      </w:r>
      <w:r w:rsidR="00394C4E" w:rsidRPr="00D41EF9">
        <w:rPr>
          <w:lang w:val="fr-CH"/>
        </w:rPr>
        <w:t>infrastructure</w:t>
      </w:r>
      <w:r w:rsidR="00313578" w:rsidRPr="00D41EF9">
        <w:rPr>
          <w:lang w:val="fr-CH"/>
        </w:rPr>
        <w:t xml:space="preserve"> de clé publique</w:t>
      </w:r>
      <w:r w:rsidR="009413E8">
        <w:rPr>
          <w:lang w:val="fr-CH"/>
        </w:rPr>
        <w:t>;</w:t>
      </w:r>
    </w:p>
    <w:p w:rsidR="00394C4E" w:rsidRPr="00D41EF9" w:rsidRDefault="00267151" w:rsidP="00267151">
      <w:pPr>
        <w:pStyle w:val="enumlev2"/>
        <w:rPr>
          <w:lang w:val="fr-CH"/>
        </w:rPr>
      </w:pPr>
      <w:r w:rsidRPr="00D41EF9">
        <w:rPr>
          <w:lang w:val="fr-CH"/>
        </w:rPr>
        <w:t>•</w:t>
      </w:r>
      <w:r w:rsidRPr="00D41EF9">
        <w:rPr>
          <w:lang w:val="fr-CH"/>
        </w:rPr>
        <w:tab/>
      </w:r>
      <w:r w:rsidR="00313578" w:rsidRPr="00D41EF9">
        <w:rPr>
          <w:lang w:val="fr-CH"/>
        </w:rPr>
        <w:t>autres</w:t>
      </w:r>
      <w:r w:rsidR="009413E8">
        <w:rPr>
          <w:lang w:val="fr-CH"/>
        </w:rPr>
        <w:t>.</w:t>
      </w:r>
    </w:p>
    <w:p w:rsidR="00394C4E" w:rsidRPr="00D41EF9" w:rsidRDefault="00267151" w:rsidP="009413E8">
      <w:pPr>
        <w:pStyle w:val="enumlev1"/>
        <w:rPr>
          <w:lang w:val="fr-CH"/>
        </w:rPr>
      </w:pPr>
      <w:r w:rsidRPr="00D41EF9">
        <w:rPr>
          <w:lang w:val="fr-CH"/>
        </w:rPr>
        <w:lastRenderedPageBreak/>
        <w:t>–</w:t>
      </w:r>
      <w:r w:rsidRPr="00D41EF9">
        <w:rPr>
          <w:lang w:val="fr-CH"/>
        </w:rPr>
        <w:tab/>
      </w:r>
      <w:r w:rsidR="001F2504" w:rsidRPr="00D41EF9">
        <w:rPr>
          <w:lang w:val="fr-CH"/>
        </w:rPr>
        <w:t>L</w:t>
      </w:r>
      <w:r w:rsidR="00313578" w:rsidRPr="00D41EF9">
        <w:rPr>
          <w:lang w:val="fr-CH"/>
        </w:rPr>
        <w:t>a réalisation d'une étude sur le rôle des programmes de gestion et de stimulation de l'</w:t>
      </w:r>
      <w:r w:rsidR="00394C4E" w:rsidRPr="00D41EF9">
        <w:rPr>
          <w:lang w:val="fr-CH"/>
        </w:rPr>
        <w:t xml:space="preserve">innovation </w:t>
      </w:r>
      <w:r w:rsidR="00432084" w:rsidRPr="00D41EF9">
        <w:rPr>
          <w:lang w:val="fr-CH"/>
        </w:rPr>
        <w:t xml:space="preserve">dans </w:t>
      </w:r>
      <w:r w:rsidR="00313578" w:rsidRPr="00D41EF9">
        <w:rPr>
          <w:lang w:val="fr-CH"/>
        </w:rPr>
        <w:t>la réduction de l'écart en matière de normalisation entre les pays développés et les pays en développement</w:t>
      </w:r>
      <w:r w:rsidR="009413E8">
        <w:rPr>
          <w:lang w:val="fr-CH"/>
        </w:rPr>
        <w:t>.</w:t>
      </w:r>
    </w:p>
    <w:p w:rsidR="00394C4E" w:rsidRPr="00D41EF9" w:rsidRDefault="00267151" w:rsidP="009413E8">
      <w:pPr>
        <w:pStyle w:val="enumlev1"/>
        <w:rPr>
          <w:lang w:val="fr-CH"/>
        </w:rPr>
      </w:pPr>
      <w:r w:rsidRPr="00D41EF9">
        <w:rPr>
          <w:lang w:val="fr-CH"/>
        </w:rPr>
        <w:t>–</w:t>
      </w:r>
      <w:r w:rsidRPr="00D41EF9">
        <w:rPr>
          <w:lang w:val="fr-CH"/>
        </w:rPr>
        <w:tab/>
      </w:r>
      <w:r w:rsidR="001F2504" w:rsidRPr="00D41EF9">
        <w:rPr>
          <w:lang w:val="fr-CH"/>
        </w:rPr>
        <w:t>L</w:t>
      </w:r>
      <w:r w:rsidR="00313578" w:rsidRPr="00D41EF9">
        <w:rPr>
          <w:lang w:val="fr-CH"/>
        </w:rPr>
        <w:t xml:space="preserve">'organisation de séminaires sur le </w:t>
      </w:r>
      <w:r w:rsidR="00394C4E" w:rsidRPr="00D41EF9">
        <w:rPr>
          <w:lang w:val="fr-CH"/>
        </w:rPr>
        <w:t>web</w:t>
      </w:r>
      <w:r w:rsidR="00313578" w:rsidRPr="00D41EF9">
        <w:rPr>
          <w:lang w:val="fr-CH"/>
        </w:rPr>
        <w:t xml:space="preserve"> lors de chaque réunion de </w:t>
      </w:r>
      <w:r w:rsidR="009413E8">
        <w:rPr>
          <w:lang w:val="fr-CH"/>
        </w:rPr>
        <w:t>c</w:t>
      </w:r>
      <w:r w:rsidR="00313578" w:rsidRPr="00D41EF9">
        <w:rPr>
          <w:lang w:val="fr-CH"/>
        </w:rPr>
        <w:t>ommission d'études sur des sujets intéressant les pays en développement</w:t>
      </w:r>
      <w:r w:rsidR="00394C4E" w:rsidRPr="00D41EF9">
        <w:rPr>
          <w:lang w:val="fr-CH"/>
        </w:rPr>
        <w:t xml:space="preserve">, </w:t>
      </w:r>
      <w:r w:rsidR="00313578" w:rsidRPr="00D41EF9">
        <w:rPr>
          <w:lang w:val="fr-CH"/>
        </w:rPr>
        <w:t>les participants étant encouragés à poser des questions sur la page web des questions/réponses concernant les normes</w:t>
      </w:r>
      <w:r w:rsidR="009413E8">
        <w:rPr>
          <w:lang w:val="fr-CH"/>
        </w:rPr>
        <w:t xml:space="preserve"> </w:t>
      </w:r>
      <w:r w:rsidR="009413E8" w:rsidRPr="009413E8">
        <w:rPr>
          <w:lang w:val="fr-CH"/>
        </w:rPr>
        <w:t>–</w:t>
      </w:r>
      <w:r w:rsidR="00313578" w:rsidRPr="00D41EF9">
        <w:rPr>
          <w:lang w:val="fr-CH"/>
        </w:rPr>
        <w:t xml:space="preserve"> parrainage des séminaires sur le web</w:t>
      </w:r>
      <w:r w:rsidR="009413E8">
        <w:rPr>
          <w:lang w:val="fr-CH"/>
        </w:rPr>
        <w:t>.</w:t>
      </w:r>
    </w:p>
    <w:p w:rsidR="00394C4E" w:rsidRPr="00D41EF9" w:rsidRDefault="00267151" w:rsidP="00267151">
      <w:pPr>
        <w:pStyle w:val="enumlev1"/>
        <w:rPr>
          <w:lang w:val="fr-CH"/>
        </w:rPr>
      </w:pPr>
      <w:r w:rsidRPr="00D41EF9">
        <w:rPr>
          <w:lang w:val="fr-CH"/>
        </w:rPr>
        <w:t>–</w:t>
      </w:r>
      <w:r w:rsidRPr="00D41EF9">
        <w:rPr>
          <w:lang w:val="fr-CH"/>
        </w:rPr>
        <w:tab/>
      </w:r>
      <w:r w:rsidR="001F2504" w:rsidRPr="00D41EF9">
        <w:rPr>
          <w:lang w:val="fr-CH"/>
        </w:rPr>
        <w:t>D</w:t>
      </w:r>
      <w:r w:rsidR="00313578" w:rsidRPr="00D41EF9">
        <w:rPr>
          <w:lang w:val="fr-CH"/>
        </w:rPr>
        <w:t xml:space="preserve">es ateliers de l'UIT dans des pays en développement </w:t>
      </w:r>
      <w:r w:rsidR="00394C4E" w:rsidRPr="00D41EF9">
        <w:rPr>
          <w:lang w:val="fr-CH"/>
        </w:rPr>
        <w:t>(</w:t>
      </w:r>
      <w:r w:rsidR="00313578" w:rsidRPr="00D41EF9">
        <w:rPr>
          <w:lang w:val="fr-CH"/>
        </w:rPr>
        <w:t>bourses et coûts associés à la participation d'intervenants</w:t>
      </w:r>
      <w:r w:rsidR="00394C4E" w:rsidRPr="00D41EF9">
        <w:rPr>
          <w:lang w:val="fr-CH"/>
        </w:rPr>
        <w:t>)</w:t>
      </w:r>
      <w:r w:rsidR="009413E8">
        <w:rPr>
          <w:lang w:val="fr-CH"/>
        </w:rPr>
        <w:t>.</w:t>
      </w:r>
    </w:p>
    <w:p w:rsidR="00394C4E" w:rsidRPr="00D41EF9" w:rsidRDefault="00267151" w:rsidP="009413E8">
      <w:pPr>
        <w:pStyle w:val="enumlev1"/>
        <w:rPr>
          <w:lang w:val="fr-CH"/>
        </w:rPr>
      </w:pPr>
      <w:r w:rsidRPr="00D41EF9">
        <w:rPr>
          <w:lang w:val="fr-CH"/>
        </w:rPr>
        <w:t>–</w:t>
      </w:r>
      <w:r w:rsidRPr="00D41EF9">
        <w:rPr>
          <w:lang w:val="fr-CH"/>
        </w:rPr>
        <w:tab/>
      </w:r>
      <w:r w:rsidR="001F2504" w:rsidRPr="00D41EF9">
        <w:rPr>
          <w:lang w:val="fr-CH"/>
        </w:rPr>
        <w:t>L</w:t>
      </w:r>
      <w:r w:rsidR="00313578" w:rsidRPr="00D41EF9">
        <w:rPr>
          <w:lang w:val="fr-CH"/>
        </w:rPr>
        <w:t>a traduction de rapports</w:t>
      </w:r>
      <w:r w:rsidR="009413E8">
        <w:rPr>
          <w:lang w:val="fr-CH"/>
        </w:rPr>
        <w:t>.</w:t>
      </w:r>
    </w:p>
    <w:p w:rsidR="00394C4E" w:rsidRPr="00D41EF9" w:rsidRDefault="00267151" w:rsidP="00267151">
      <w:pPr>
        <w:pStyle w:val="enumlev1"/>
        <w:rPr>
          <w:lang w:val="fr-CH"/>
        </w:rPr>
      </w:pPr>
      <w:r w:rsidRPr="00D41EF9">
        <w:rPr>
          <w:lang w:val="fr-CH"/>
        </w:rPr>
        <w:t>–</w:t>
      </w:r>
      <w:r w:rsidRPr="00D41EF9">
        <w:rPr>
          <w:lang w:val="fr-CH"/>
        </w:rPr>
        <w:tab/>
      </w:r>
      <w:r w:rsidR="001F2504" w:rsidRPr="00D41EF9">
        <w:rPr>
          <w:lang w:val="fr-CH"/>
        </w:rPr>
        <w:t>D</w:t>
      </w:r>
      <w:r w:rsidR="00313578" w:rsidRPr="00D41EF9">
        <w:rPr>
          <w:lang w:val="fr-CH"/>
        </w:rPr>
        <w:t>es bourses pour la participation à des réunions de l'UIT</w:t>
      </w:r>
      <w:r w:rsidR="00313578" w:rsidRPr="00D41EF9">
        <w:rPr>
          <w:lang w:val="fr-CH"/>
        </w:rPr>
        <w:noBreakHyphen/>
        <w:t>T</w:t>
      </w:r>
      <w:r w:rsidR="009413E8">
        <w:rPr>
          <w:lang w:val="fr-CH"/>
        </w:rPr>
        <w:t>.</w:t>
      </w:r>
    </w:p>
    <w:p w:rsidR="00394C4E" w:rsidRPr="00D41EF9" w:rsidRDefault="00267151" w:rsidP="009413E8">
      <w:pPr>
        <w:pStyle w:val="enumlev1"/>
        <w:rPr>
          <w:lang w:val="fr-CH"/>
        </w:rPr>
      </w:pPr>
      <w:r w:rsidRPr="00D41EF9">
        <w:rPr>
          <w:lang w:val="fr-CH"/>
        </w:rPr>
        <w:t>–</w:t>
      </w:r>
      <w:r w:rsidRPr="00D41EF9">
        <w:rPr>
          <w:lang w:val="fr-CH"/>
        </w:rPr>
        <w:tab/>
      </w:r>
      <w:r w:rsidR="001F2504" w:rsidRPr="00D41EF9">
        <w:rPr>
          <w:lang w:val="fr-CH"/>
        </w:rPr>
        <w:t>L</w:t>
      </w:r>
      <w:r w:rsidR="00696EE4" w:rsidRPr="00D41EF9">
        <w:rPr>
          <w:lang w:val="fr-CH"/>
        </w:rPr>
        <w:t xml:space="preserve">a mise en place d'une </w:t>
      </w:r>
      <w:r w:rsidR="00394C4E" w:rsidRPr="00D41EF9">
        <w:rPr>
          <w:lang w:val="fr-CH"/>
        </w:rPr>
        <w:t xml:space="preserve">participation </w:t>
      </w:r>
      <w:r w:rsidR="00696EE4" w:rsidRPr="00D41EF9">
        <w:rPr>
          <w:lang w:val="fr-CH"/>
        </w:rPr>
        <w:t>à distance aux réunions de l'UIT</w:t>
      </w:r>
      <w:r w:rsidR="00394C4E" w:rsidRPr="00D41EF9">
        <w:rPr>
          <w:lang w:val="fr-CH"/>
        </w:rPr>
        <w:t>-T</w:t>
      </w:r>
      <w:r w:rsidR="009413E8">
        <w:rPr>
          <w:lang w:val="fr-CH"/>
        </w:rPr>
        <w:t>.</w:t>
      </w:r>
    </w:p>
    <w:p w:rsidR="00394C4E" w:rsidRPr="00D41EF9" w:rsidRDefault="00267151" w:rsidP="009413E8">
      <w:pPr>
        <w:pStyle w:val="enumlev1"/>
        <w:rPr>
          <w:lang w:val="fr-CH"/>
        </w:rPr>
      </w:pPr>
      <w:r w:rsidRPr="00D41EF9">
        <w:rPr>
          <w:lang w:val="fr-CH"/>
        </w:rPr>
        <w:t>–</w:t>
      </w:r>
      <w:r w:rsidRPr="00D41EF9">
        <w:rPr>
          <w:lang w:val="fr-CH"/>
        </w:rPr>
        <w:tab/>
      </w:r>
      <w:r w:rsidR="001F2504" w:rsidRPr="00D41EF9">
        <w:rPr>
          <w:lang w:val="fr-CH"/>
        </w:rPr>
        <w:t>L</w:t>
      </w:r>
      <w:r w:rsidR="00313578" w:rsidRPr="00D41EF9">
        <w:rPr>
          <w:lang w:val="fr-CH"/>
        </w:rPr>
        <w:t>'appui à des groupes spécialisés</w:t>
      </w:r>
      <w:r w:rsidR="009413E8">
        <w:rPr>
          <w:lang w:val="fr-CH"/>
        </w:rPr>
        <w:t>.</w:t>
      </w:r>
    </w:p>
    <w:p w:rsidR="00394C4E" w:rsidRPr="00D41EF9" w:rsidRDefault="00267151" w:rsidP="00267151">
      <w:pPr>
        <w:pStyle w:val="enumlev1"/>
        <w:rPr>
          <w:lang w:val="fr-CH"/>
        </w:rPr>
      </w:pPr>
      <w:r w:rsidRPr="00D41EF9">
        <w:rPr>
          <w:lang w:val="fr-CH"/>
        </w:rPr>
        <w:t>–</w:t>
      </w:r>
      <w:r w:rsidRPr="00D41EF9">
        <w:rPr>
          <w:lang w:val="fr-CH"/>
        </w:rPr>
        <w:tab/>
      </w:r>
      <w:r w:rsidR="001F2504" w:rsidRPr="00D41EF9">
        <w:rPr>
          <w:lang w:val="fr-CH"/>
        </w:rPr>
        <w:t>L</w:t>
      </w:r>
      <w:r w:rsidR="00313578" w:rsidRPr="00D41EF9">
        <w:rPr>
          <w:lang w:val="fr-CH"/>
        </w:rPr>
        <w:t>'appui à des groupes régionaux</w:t>
      </w:r>
      <w:r w:rsidR="009413E8">
        <w:rPr>
          <w:lang w:val="fr-CH"/>
        </w:rPr>
        <w:t>.</w:t>
      </w:r>
    </w:p>
    <w:p w:rsidR="00394C4E" w:rsidRPr="00D41EF9" w:rsidRDefault="00267151" w:rsidP="00267151">
      <w:pPr>
        <w:pStyle w:val="enumlev1"/>
        <w:rPr>
          <w:lang w:val="fr-CH"/>
        </w:rPr>
      </w:pPr>
      <w:r w:rsidRPr="00D41EF9">
        <w:rPr>
          <w:lang w:val="fr-CH"/>
        </w:rPr>
        <w:t>–</w:t>
      </w:r>
      <w:r w:rsidRPr="00D41EF9">
        <w:rPr>
          <w:lang w:val="fr-CH"/>
        </w:rPr>
        <w:tab/>
      </w:r>
      <w:r w:rsidR="001F2504" w:rsidRPr="00D41EF9">
        <w:rPr>
          <w:lang w:val="fr-CH"/>
        </w:rPr>
        <w:t>L</w:t>
      </w:r>
      <w:r w:rsidR="00313578" w:rsidRPr="00D41EF9">
        <w:rPr>
          <w:lang w:val="fr-CH"/>
        </w:rPr>
        <w:t xml:space="preserve">e </w:t>
      </w:r>
      <w:r w:rsidR="00432084" w:rsidRPr="00D41EF9">
        <w:rPr>
          <w:lang w:val="fr-CH"/>
        </w:rPr>
        <w:t xml:space="preserve">parrainage </w:t>
      </w:r>
      <w:r w:rsidR="00313578" w:rsidRPr="00D41EF9">
        <w:rPr>
          <w:lang w:val="fr-CH"/>
        </w:rPr>
        <w:t xml:space="preserve">de </w:t>
      </w:r>
      <w:r w:rsidR="00696EE4" w:rsidRPr="00D41EF9">
        <w:rPr>
          <w:lang w:val="fr-CH"/>
        </w:rPr>
        <w:t xml:space="preserve">prix pour les concours sur des </w:t>
      </w:r>
      <w:r w:rsidR="00394C4E" w:rsidRPr="00D41EF9">
        <w:rPr>
          <w:lang w:val="fr-CH"/>
        </w:rPr>
        <w:t>application</w:t>
      </w:r>
      <w:r w:rsidR="00696EE4" w:rsidRPr="00D41EF9">
        <w:rPr>
          <w:lang w:val="fr-CH"/>
        </w:rPr>
        <w:t>s</w:t>
      </w:r>
      <w:r w:rsidR="009413E8">
        <w:rPr>
          <w:lang w:val="fr-CH"/>
        </w:rPr>
        <w:t>.</w:t>
      </w:r>
    </w:p>
    <w:p w:rsidR="00394C4E" w:rsidRPr="00D41EF9" w:rsidRDefault="007B78AF" w:rsidP="00AC7C9B">
      <w:pPr>
        <w:spacing w:after="120"/>
        <w:rPr>
          <w:color w:val="000000"/>
          <w:lang w:val="fr-CH"/>
        </w:rPr>
      </w:pPr>
      <w:r w:rsidRPr="00D41EF9">
        <w:rPr>
          <w:rFonts w:asciiTheme="majorBidi" w:hAnsiTheme="majorBidi" w:cstheme="majorBidi"/>
          <w:color w:val="000000"/>
          <w:szCs w:val="24"/>
          <w:lang w:val="fr-CH"/>
        </w:rPr>
        <w:t xml:space="preserve">Je saisis cette occasion pour remercier à nouveau les parrains </w:t>
      </w:r>
      <w:r w:rsidR="00BD3935" w:rsidRPr="00D41EF9">
        <w:rPr>
          <w:rFonts w:asciiTheme="majorBidi" w:hAnsiTheme="majorBidi" w:cstheme="majorBidi"/>
          <w:color w:val="000000"/>
          <w:szCs w:val="24"/>
          <w:lang w:val="fr-CH"/>
        </w:rPr>
        <w:t xml:space="preserve">qui nous ont </w:t>
      </w:r>
      <w:r w:rsidR="00432084" w:rsidRPr="00D41EF9">
        <w:rPr>
          <w:rFonts w:asciiTheme="majorBidi" w:hAnsiTheme="majorBidi" w:cstheme="majorBidi"/>
          <w:color w:val="000000"/>
          <w:szCs w:val="24"/>
          <w:lang w:val="fr-CH"/>
        </w:rPr>
        <w:t xml:space="preserve">apporté leur soutien </w:t>
      </w:r>
      <w:r w:rsidR="00BD3935" w:rsidRPr="00D41EF9">
        <w:rPr>
          <w:rFonts w:asciiTheme="majorBidi" w:hAnsiTheme="majorBidi" w:cstheme="majorBidi"/>
          <w:color w:val="000000"/>
          <w:szCs w:val="24"/>
          <w:lang w:val="fr-CH"/>
        </w:rPr>
        <w:t>par le passé</w:t>
      </w:r>
      <w:r w:rsidR="00394C4E" w:rsidRPr="00D41EF9">
        <w:rPr>
          <w:rFonts w:asciiTheme="majorBidi" w:hAnsiTheme="majorBidi" w:cstheme="majorBidi"/>
          <w:color w:val="000000"/>
          <w:szCs w:val="24"/>
          <w:lang w:val="fr-CH"/>
        </w:rPr>
        <w:t xml:space="preserve">, </w:t>
      </w:r>
      <w:r w:rsidR="00834295" w:rsidRPr="00D41EF9">
        <w:rPr>
          <w:rFonts w:asciiTheme="majorBidi" w:hAnsiTheme="majorBidi" w:cstheme="majorBidi"/>
          <w:color w:val="000000"/>
          <w:szCs w:val="24"/>
          <w:lang w:val="fr-CH"/>
        </w:rPr>
        <w:t xml:space="preserve">en particulier </w:t>
      </w:r>
      <w:r w:rsidR="00394C4E" w:rsidRPr="00D41EF9">
        <w:rPr>
          <w:rFonts w:asciiTheme="majorBidi" w:hAnsiTheme="majorBidi" w:cstheme="majorBidi"/>
          <w:color w:val="000000"/>
          <w:szCs w:val="24"/>
          <w:lang w:val="fr-CH"/>
        </w:rPr>
        <w:t xml:space="preserve">Microsoft, Cisco, NSN </w:t>
      </w:r>
      <w:r w:rsidR="00834295" w:rsidRPr="00D41EF9">
        <w:rPr>
          <w:rFonts w:asciiTheme="majorBidi" w:hAnsiTheme="majorBidi" w:cstheme="majorBidi"/>
          <w:color w:val="000000"/>
          <w:szCs w:val="24"/>
          <w:lang w:val="fr-CH"/>
        </w:rPr>
        <w:t xml:space="preserve">et la </w:t>
      </w:r>
      <w:proofErr w:type="spellStart"/>
      <w:r w:rsidR="00394C4E" w:rsidRPr="00D41EF9">
        <w:rPr>
          <w:rFonts w:asciiTheme="majorBidi" w:hAnsiTheme="majorBidi" w:cstheme="majorBidi"/>
          <w:color w:val="000000"/>
          <w:szCs w:val="24"/>
          <w:lang w:val="fr-CH"/>
        </w:rPr>
        <w:t>Korean</w:t>
      </w:r>
      <w:proofErr w:type="spellEnd"/>
      <w:r w:rsidR="00394C4E" w:rsidRPr="00D41EF9">
        <w:rPr>
          <w:rFonts w:asciiTheme="majorBidi" w:hAnsiTheme="majorBidi" w:cstheme="majorBidi"/>
          <w:color w:val="000000"/>
          <w:szCs w:val="24"/>
          <w:lang w:val="fr-CH"/>
        </w:rPr>
        <w:t xml:space="preserve"> Communications Commission </w:t>
      </w:r>
      <w:r w:rsidR="00834295" w:rsidRPr="00D41EF9">
        <w:rPr>
          <w:rFonts w:asciiTheme="majorBidi" w:hAnsiTheme="majorBidi" w:cstheme="majorBidi"/>
          <w:color w:val="000000"/>
          <w:szCs w:val="24"/>
          <w:lang w:val="fr-CH"/>
        </w:rPr>
        <w:t>qui ont contribué au fonds mis en place pour réduire l'écart en matière de normalisation</w:t>
      </w:r>
      <w:r w:rsidR="00394C4E" w:rsidRPr="00D41EF9">
        <w:rPr>
          <w:rFonts w:asciiTheme="majorBidi" w:hAnsiTheme="majorBidi" w:cstheme="majorBidi"/>
          <w:color w:val="000000"/>
          <w:szCs w:val="24"/>
          <w:lang w:val="fr-CH"/>
        </w:rPr>
        <w:t xml:space="preserve">. </w:t>
      </w:r>
    </w:p>
    <w:p w:rsidR="00394C4E" w:rsidRPr="00D41EF9" w:rsidRDefault="00BD3935" w:rsidP="006C1F9C">
      <w:pPr>
        <w:spacing w:after="120"/>
        <w:rPr>
          <w:color w:val="000000"/>
          <w:lang w:val="fr-CH"/>
        </w:rPr>
      </w:pPr>
      <w:r w:rsidRPr="00D41EF9">
        <w:rPr>
          <w:rFonts w:asciiTheme="majorBidi" w:hAnsiTheme="majorBidi" w:cstheme="majorBidi"/>
          <w:color w:val="000000"/>
          <w:szCs w:val="24"/>
          <w:lang w:val="fr-CH"/>
        </w:rPr>
        <w:t xml:space="preserve">Je vous prie de bien vouloir accorder une attention particulière à la présente afin </w:t>
      </w:r>
      <w:r w:rsidR="00432084" w:rsidRPr="00D41EF9">
        <w:rPr>
          <w:rFonts w:asciiTheme="majorBidi" w:hAnsiTheme="majorBidi" w:cstheme="majorBidi"/>
          <w:color w:val="000000"/>
          <w:szCs w:val="24"/>
          <w:lang w:val="fr-CH"/>
        </w:rPr>
        <w:t xml:space="preserve">de permettre à </w:t>
      </w:r>
      <w:r w:rsidRPr="00D41EF9">
        <w:rPr>
          <w:rFonts w:asciiTheme="majorBidi" w:hAnsiTheme="majorBidi" w:cstheme="majorBidi"/>
          <w:color w:val="000000"/>
          <w:szCs w:val="24"/>
          <w:lang w:val="fr-CH"/>
        </w:rPr>
        <w:t>l'UIT</w:t>
      </w:r>
      <w:r w:rsidR="00394C4E" w:rsidRPr="00D41EF9">
        <w:rPr>
          <w:rFonts w:asciiTheme="majorBidi" w:hAnsiTheme="majorBidi" w:cstheme="majorBidi"/>
          <w:color w:val="000000"/>
          <w:szCs w:val="24"/>
          <w:lang w:val="fr-CH"/>
        </w:rPr>
        <w:t xml:space="preserve">-T </w:t>
      </w:r>
      <w:r w:rsidR="00432084" w:rsidRPr="00D41EF9">
        <w:rPr>
          <w:rFonts w:asciiTheme="majorBidi" w:hAnsiTheme="majorBidi" w:cstheme="majorBidi"/>
          <w:color w:val="000000"/>
          <w:szCs w:val="24"/>
          <w:lang w:val="fr-CH"/>
        </w:rPr>
        <w:t xml:space="preserve">de </w:t>
      </w:r>
      <w:r w:rsidRPr="00D41EF9">
        <w:rPr>
          <w:rFonts w:asciiTheme="majorBidi" w:hAnsiTheme="majorBidi" w:cstheme="majorBidi"/>
          <w:color w:val="000000"/>
          <w:szCs w:val="24"/>
          <w:lang w:val="fr-CH"/>
        </w:rPr>
        <w:t xml:space="preserve">réaliser le </w:t>
      </w:r>
      <w:r w:rsidR="00394C4E" w:rsidRPr="00D41EF9">
        <w:rPr>
          <w:rFonts w:asciiTheme="majorBidi" w:hAnsiTheme="majorBidi" w:cstheme="majorBidi"/>
          <w:color w:val="000000"/>
          <w:szCs w:val="24"/>
          <w:lang w:val="fr-CH"/>
        </w:rPr>
        <w:t xml:space="preserve">programme </w:t>
      </w:r>
      <w:r w:rsidRPr="00D41EF9">
        <w:rPr>
          <w:rFonts w:asciiTheme="majorBidi" w:hAnsiTheme="majorBidi" w:cstheme="majorBidi"/>
          <w:color w:val="000000"/>
          <w:szCs w:val="24"/>
          <w:lang w:val="fr-CH"/>
        </w:rPr>
        <w:t>ambitieux adopté par l'AMNT</w:t>
      </w:r>
      <w:r w:rsidR="00394C4E" w:rsidRPr="00D41EF9">
        <w:rPr>
          <w:rFonts w:asciiTheme="majorBidi" w:hAnsiTheme="majorBidi" w:cstheme="majorBidi"/>
          <w:color w:val="000000"/>
          <w:szCs w:val="24"/>
          <w:lang w:val="fr-CH"/>
        </w:rPr>
        <w:t xml:space="preserve">-12 </w:t>
      </w:r>
      <w:r w:rsidRPr="00D41EF9">
        <w:rPr>
          <w:rFonts w:asciiTheme="majorBidi" w:hAnsiTheme="majorBidi" w:cstheme="majorBidi"/>
          <w:color w:val="000000"/>
          <w:szCs w:val="24"/>
          <w:lang w:val="fr-CH"/>
        </w:rPr>
        <w:t xml:space="preserve">pour la nouvelle période d'études </w:t>
      </w:r>
      <w:r w:rsidR="00394C4E" w:rsidRPr="00D41EF9">
        <w:rPr>
          <w:rFonts w:asciiTheme="majorBidi" w:hAnsiTheme="majorBidi" w:cstheme="majorBidi"/>
          <w:color w:val="000000"/>
          <w:szCs w:val="24"/>
          <w:lang w:val="fr-CH"/>
        </w:rPr>
        <w:t>2013</w:t>
      </w:r>
      <w:r w:rsidR="006C1F9C" w:rsidRPr="00D41EF9">
        <w:rPr>
          <w:rFonts w:asciiTheme="majorBidi" w:hAnsiTheme="majorBidi" w:cstheme="majorBidi"/>
          <w:color w:val="000000"/>
          <w:szCs w:val="24"/>
          <w:lang w:val="fr-CH"/>
        </w:rPr>
        <w:noBreakHyphen/>
      </w:r>
      <w:r w:rsidR="00394C4E" w:rsidRPr="00D41EF9">
        <w:rPr>
          <w:rFonts w:asciiTheme="majorBidi" w:hAnsiTheme="majorBidi" w:cstheme="majorBidi"/>
          <w:color w:val="000000"/>
          <w:szCs w:val="24"/>
          <w:lang w:val="fr-CH"/>
        </w:rPr>
        <w:t>2016</w:t>
      </w:r>
      <w:r w:rsidRPr="00D41EF9">
        <w:rPr>
          <w:rFonts w:asciiTheme="majorBidi" w:hAnsiTheme="majorBidi" w:cstheme="majorBidi"/>
          <w:color w:val="000000"/>
          <w:szCs w:val="24"/>
          <w:lang w:val="fr-CH"/>
        </w:rPr>
        <w:t>.</w:t>
      </w:r>
      <w:r w:rsidR="00394C4E" w:rsidRPr="00D41EF9">
        <w:rPr>
          <w:rFonts w:asciiTheme="majorBidi" w:hAnsiTheme="majorBidi" w:cstheme="majorBidi"/>
          <w:color w:val="000000"/>
          <w:szCs w:val="24"/>
          <w:lang w:val="fr-CH"/>
        </w:rPr>
        <w:t xml:space="preserve"> </w:t>
      </w:r>
      <w:r w:rsidRPr="00D41EF9">
        <w:rPr>
          <w:rFonts w:asciiTheme="majorBidi" w:hAnsiTheme="majorBidi" w:cstheme="majorBidi"/>
          <w:color w:val="000000"/>
          <w:szCs w:val="24"/>
          <w:lang w:val="fr-CH"/>
        </w:rPr>
        <w:t>N'hésitez pas à me contacter si vous souhaitez de plus amples détails</w:t>
      </w:r>
      <w:r w:rsidR="00394C4E" w:rsidRPr="00D41EF9">
        <w:rPr>
          <w:rFonts w:asciiTheme="majorBidi" w:hAnsiTheme="majorBidi" w:cstheme="majorBidi"/>
          <w:color w:val="000000"/>
          <w:szCs w:val="24"/>
          <w:lang w:val="fr-CH"/>
        </w:rPr>
        <w:t>.</w:t>
      </w:r>
    </w:p>
    <w:p w:rsidR="000605CB" w:rsidRDefault="00394C4E" w:rsidP="000605CB">
      <w:pPr>
        <w:rPr>
          <w:szCs w:val="24"/>
          <w:lang w:val="fr-CH"/>
        </w:rPr>
      </w:pPr>
      <w:bookmarkStart w:id="3" w:name="_GoBack"/>
      <w:bookmarkEnd w:id="3"/>
      <w:r w:rsidRPr="00D41EF9">
        <w:rPr>
          <w:szCs w:val="24"/>
          <w:lang w:val="fr-CH"/>
        </w:rPr>
        <w:t>Veuillez agréer, Madame, Monsieur, l'assurance de ma considération distinguée.</w:t>
      </w:r>
    </w:p>
    <w:p w:rsidR="000605CB" w:rsidRDefault="000605CB" w:rsidP="000605CB">
      <w:pPr>
        <w:rPr>
          <w:szCs w:val="24"/>
          <w:lang w:val="fr-CH"/>
        </w:rPr>
      </w:pPr>
    </w:p>
    <w:p w:rsidR="000605CB" w:rsidRDefault="000605CB" w:rsidP="000605CB">
      <w:pPr>
        <w:rPr>
          <w:szCs w:val="24"/>
          <w:lang w:val="fr-CH"/>
        </w:rPr>
      </w:pPr>
    </w:p>
    <w:p w:rsidR="000605CB" w:rsidRDefault="000605CB" w:rsidP="000605CB">
      <w:pPr>
        <w:rPr>
          <w:szCs w:val="24"/>
          <w:lang w:val="fr-CH"/>
        </w:rPr>
      </w:pPr>
    </w:p>
    <w:p w:rsidR="00394C4E" w:rsidRPr="00D41EF9" w:rsidRDefault="00394C4E" w:rsidP="000605CB">
      <w:pPr>
        <w:rPr>
          <w:szCs w:val="24"/>
          <w:lang w:val="fr-CH"/>
        </w:rPr>
      </w:pPr>
      <w:r w:rsidRPr="00D41EF9">
        <w:rPr>
          <w:szCs w:val="24"/>
          <w:lang w:val="fr-CH"/>
        </w:rPr>
        <w:t>Malcolm Johnson</w:t>
      </w:r>
      <w:r w:rsidRPr="00D41EF9">
        <w:rPr>
          <w:szCs w:val="24"/>
          <w:lang w:val="fr-CH"/>
        </w:rPr>
        <w:br/>
        <w:t>Directeur du Bureau de la</w:t>
      </w:r>
      <w:r w:rsidRPr="00D41EF9">
        <w:rPr>
          <w:szCs w:val="24"/>
          <w:lang w:val="fr-CH"/>
        </w:rPr>
        <w:br/>
        <w:t>normalisation des télécommunications</w:t>
      </w: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rPr>
          <w:lang w:val="fr-CH"/>
        </w:rPr>
      </w:pPr>
    </w:p>
    <w:p w:rsidR="00394C4E" w:rsidRPr="00D41EF9" w:rsidRDefault="00394C4E" w:rsidP="00AC7C9B">
      <w:pPr>
        <w:spacing w:before="600"/>
        <w:rPr>
          <w:bCs/>
          <w:szCs w:val="24"/>
          <w:lang w:val="fr-CH"/>
        </w:rPr>
      </w:pPr>
      <w:r w:rsidRPr="00D41EF9">
        <w:rPr>
          <w:b/>
          <w:szCs w:val="24"/>
          <w:lang w:val="fr-CH"/>
        </w:rPr>
        <w:t>Annexe</w:t>
      </w:r>
      <w:r w:rsidRPr="00D41EF9">
        <w:rPr>
          <w:bCs/>
          <w:szCs w:val="24"/>
          <w:lang w:val="fr-CH"/>
        </w:rPr>
        <w:t xml:space="preserve">: </w:t>
      </w:r>
      <w:bookmarkStart w:id="4" w:name="Duties"/>
      <w:bookmarkEnd w:id="4"/>
      <w:r w:rsidRPr="00D41EF9">
        <w:rPr>
          <w:bCs/>
          <w:szCs w:val="24"/>
          <w:lang w:val="fr-CH"/>
        </w:rPr>
        <w:t>1</w:t>
      </w:r>
    </w:p>
    <w:p w:rsidR="00394C4E" w:rsidRPr="00D41EF9" w:rsidRDefault="00394C4E" w:rsidP="00AC7C9B">
      <w:pPr>
        <w:rPr>
          <w:lang w:val="fr-CH"/>
        </w:rPr>
      </w:pPr>
    </w:p>
    <w:p w:rsidR="00394C4E" w:rsidRPr="00D41EF9" w:rsidRDefault="00394C4E" w:rsidP="00AC7C9B">
      <w:pPr>
        <w:rPr>
          <w:lang w:val="fr-CH"/>
        </w:rPr>
        <w:sectPr w:rsidR="00394C4E" w:rsidRPr="00D41EF9" w:rsidSect="00217020">
          <w:headerReference w:type="default" r:id="rId10"/>
          <w:footerReference w:type="default" r:id="rId11"/>
          <w:footerReference w:type="first" r:id="rId12"/>
          <w:pgSz w:w="11907" w:h="16840" w:code="9"/>
          <w:pgMar w:top="567" w:right="1089" w:bottom="567" w:left="1089" w:header="567" w:footer="567" w:gutter="0"/>
          <w:paperSrc w:first="7" w:other="7"/>
          <w:cols w:space="720"/>
          <w:titlePg/>
          <w:docGrid w:linePitch="326"/>
        </w:sectPr>
      </w:pPr>
    </w:p>
    <w:p w:rsidR="00DC5B23" w:rsidRPr="00D41EF9" w:rsidRDefault="00DC5B23" w:rsidP="00B94120">
      <w:pPr>
        <w:pStyle w:val="Annex"/>
        <w:spacing w:after="480"/>
        <w:rPr>
          <w:lang w:val="fr-CH"/>
        </w:rPr>
      </w:pPr>
      <w:r w:rsidRPr="00D41EF9">
        <w:rPr>
          <w:lang w:val="fr-CH"/>
        </w:rPr>
        <w:lastRenderedPageBreak/>
        <w:t>ANNEXE 1</w:t>
      </w:r>
    </w:p>
    <w:p w:rsidR="00D87B34" w:rsidRPr="00D41EF9" w:rsidRDefault="00D87B34" w:rsidP="00B94120">
      <w:pPr>
        <w:pStyle w:val="ResNo"/>
        <w:rPr>
          <w:lang w:val="fr-CH"/>
        </w:rPr>
      </w:pPr>
      <w:r w:rsidRPr="00D41EF9">
        <w:rPr>
          <w:lang w:val="fr-CH"/>
        </w:rPr>
        <w:t xml:space="preserve">RÉSOLUTION </w:t>
      </w:r>
      <w:r w:rsidRPr="00D41EF9">
        <w:rPr>
          <w:rStyle w:val="href"/>
          <w:lang w:val="fr-CH"/>
        </w:rPr>
        <w:t>34</w:t>
      </w:r>
      <w:r w:rsidRPr="00D41EF9">
        <w:rPr>
          <w:lang w:val="fr-CH"/>
        </w:rPr>
        <w:t xml:space="preserve"> (</w:t>
      </w:r>
      <w:proofErr w:type="spellStart"/>
      <w:r w:rsidRPr="00D41EF9">
        <w:rPr>
          <w:caps w:val="0"/>
          <w:lang w:val="fr-CH"/>
        </w:rPr>
        <w:t>Rév.Dubaï</w:t>
      </w:r>
      <w:proofErr w:type="spellEnd"/>
      <w:r w:rsidRPr="00D41EF9">
        <w:rPr>
          <w:caps w:val="0"/>
          <w:lang w:val="fr-CH"/>
        </w:rPr>
        <w:t>, 2012</w:t>
      </w:r>
      <w:r w:rsidRPr="00D41EF9">
        <w:rPr>
          <w:lang w:val="fr-CH"/>
        </w:rPr>
        <w:t>)</w:t>
      </w:r>
    </w:p>
    <w:p w:rsidR="00D87B34" w:rsidRPr="00D41EF9" w:rsidRDefault="00D87B34" w:rsidP="00AC7C9B">
      <w:pPr>
        <w:pStyle w:val="Restitle"/>
        <w:rPr>
          <w:lang w:val="fr-CH"/>
        </w:rPr>
      </w:pPr>
      <w:r w:rsidRPr="00D41EF9">
        <w:rPr>
          <w:lang w:val="fr-CH"/>
        </w:rPr>
        <w:t>Contributions volontaires</w:t>
      </w:r>
    </w:p>
    <w:p w:rsidR="00D87B34" w:rsidRPr="00D41EF9" w:rsidRDefault="00D87B34" w:rsidP="00AC7C9B">
      <w:pPr>
        <w:pStyle w:val="Resref"/>
        <w:spacing w:line="240" w:lineRule="auto"/>
        <w:rPr>
          <w:lang w:val="fr-CH"/>
        </w:rPr>
      </w:pPr>
      <w:r w:rsidRPr="00D41EF9">
        <w:rPr>
          <w:lang w:val="fr-CH"/>
        </w:rPr>
        <w:t>(Montréal, 2000; Florianópolis, 2004, Johannesburg, 2008; Dubaï, 2012)</w:t>
      </w:r>
    </w:p>
    <w:p w:rsidR="00D87B34" w:rsidRPr="00D41EF9" w:rsidRDefault="00D87B34" w:rsidP="00AC7C9B">
      <w:pPr>
        <w:pStyle w:val="Normalaftertitle"/>
        <w:rPr>
          <w:lang w:val="fr-CH"/>
        </w:rPr>
      </w:pPr>
      <w:r w:rsidRPr="00D41EF9">
        <w:rPr>
          <w:lang w:val="fr-CH"/>
        </w:rPr>
        <w:t>L'Assemblée mondiale de normalisation des télécommunications (Dubaï, 2012),</w:t>
      </w:r>
    </w:p>
    <w:p w:rsidR="00D87B34" w:rsidRPr="00D41EF9" w:rsidRDefault="00D87B34" w:rsidP="00D41EF9">
      <w:pPr>
        <w:pStyle w:val="Call0"/>
      </w:pPr>
      <w:proofErr w:type="gramStart"/>
      <w:r w:rsidRPr="00D41EF9">
        <w:t>considérant</w:t>
      </w:r>
      <w:proofErr w:type="gramEnd"/>
    </w:p>
    <w:p w:rsidR="00D87B34" w:rsidRPr="00D41EF9" w:rsidRDefault="00D87B34" w:rsidP="00AC7C9B">
      <w:pPr>
        <w:rPr>
          <w:lang w:val="fr-CH"/>
        </w:rPr>
      </w:pPr>
      <w:r w:rsidRPr="00D41EF9">
        <w:rPr>
          <w:i/>
          <w:iCs/>
          <w:lang w:val="fr-CH"/>
        </w:rPr>
        <w:t>a)</w:t>
      </w:r>
      <w:r w:rsidRPr="00D41EF9">
        <w:rPr>
          <w:lang w:val="fr-CH"/>
        </w:rPr>
        <w:tab/>
        <w:t>la Résolution 71 (</w:t>
      </w:r>
      <w:proofErr w:type="spellStart"/>
      <w:r w:rsidRPr="00D41EF9">
        <w:rPr>
          <w:lang w:val="fr-CH"/>
        </w:rPr>
        <w:t>Rév</w:t>
      </w:r>
      <w:proofErr w:type="spellEnd"/>
      <w:r w:rsidRPr="00D41EF9">
        <w:rPr>
          <w:lang w:val="fr-CH"/>
        </w:rPr>
        <w:t>. Guadalajara, 2010) de la Conférence de plénipotentiaires, relative au Plan stratégique de l'Union pour la période 2012-2015, qui fixe des objectifs stratégiques ambitieux dans les activités du Secteur de la normalisation des télécommunications de l'UIT (UIT</w:t>
      </w:r>
      <w:r w:rsidRPr="00D41EF9">
        <w:rPr>
          <w:lang w:val="fr-CH"/>
        </w:rPr>
        <w:noBreakHyphen/>
        <w:t>T);</w:t>
      </w:r>
    </w:p>
    <w:p w:rsidR="00D87B34" w:rsidRPr="00D41EF9" w:rsidRDefault="00D87B34" w:rsidP="00AC7C9B">
      <w:pPr>
        <w:rPr>
          <w:lang w:val="fr-CH"/>
        </w:rPr>
      </w:pPr>
      <w:r w:rsidRPr="00D41EF9">
        <w:rPr>
          <w:i/>
          <w:iCs/>
          <w:lang w:val="fr-CH"/>
        </w:rPr>
        <w:t>b)</w:t>
      </w:r>
      <w:r w:rsidRPr="00D41EF9">
        <w:rPr>
          <w:lang w:val="fr-CH"/>
        </w:rPr>
        <w:tab/>
        <w:t>la Résolution 123 (</w:t>
      </w:r>
      <w:proofErr w:type="spellStart"/>
      <w:r w:rsidRPr="00D41EF9">
        <w:rPr>
          <w:lang w:val="fr-CH"/>
        </w:rPr>
        <w:t>Rév</w:t>
      </w:r>
      <w:proofErr w:type="spellEnd"/>
      <w:r w:rsidRPr="00D41EF9">
        <w:rPr>
          <w:lang w:val="fr-CH"/>
        </w:rPr>
        <w:t>. Guadalajara, 2010) de la Conférence de plénipotentiaires, par laquelle les Etats Membres et les Membres des Secteurs sont invités à alimenter par des contributions volontaires le fonds destiné à réduire l'écart en matière de normalisation;</w:t>
      </w:r>
    </w:p>
    <w:p w:rsidR="00D87B34" w:rsidRPr="00D41EF9" w:rsidRDefault="00D87B34" w:rsidP="00AC7C9B">
      <w:pPr>
        <w:rPr>
          <w:lang w:val="fr-CH"/>
        </w:rPr>
      </w:pPr>
      <w:r w:rsidRPr="00D41EF9">
        <w:rPr>
          <w:i/>
          <w:iCs/>
          <w:lang w:val="fr-CH"/>
        </w:rPr>
        <w:t>c)</w:t>
      </w:r>
      <w:r w:rsidRPr="00D41EF9">
        <w:rPr>
          <w:lang w:val="fr-CH"/>
        </w:rPr>
        <w:tab/>
        <w:t>la Décision 5 (</w:t>
      </w:r>
      <w:proofErr w:type="spellStart"/>
      <w:r w:rsidRPr="00D41EF9">
        <w:rPr>
          <w:lang w:val="fr-CH"/>
        </w:rPr>
        <w:t>Rév</w:t>
      </w:r>
      <w:proofErr w:type="spellEnd"/>
      <w:r w:rsidRPr="00D41EF9">
        <w:rPr>
          <w:lang w:val="fr-CH"/>
        </w:rPr>
        <w:t>. Guadalajara, 2010) de la Conférence de plénipotentiaires, et ses annexes, limitant les dépenses de l'Union pour la période comprise entre 2012 et 2015;</w:t>
      </w:r>
    </w:p>
    <w:p w:rsidR="00D87B34" w:rsidRPr="00D41EF9" w:rsidRDefault="00D87B34" w:rsidP="009F02B6">
      <w:pPr>
        <w:rPr>
          <w:lang w:val="fr-CH"/>
        </w:rPr>
      </w:pPr>
      <w:r w:rsidRPr="00D41EF9">
        <w:rPr>
          <w:i/>
          <w:iCs/>
          <w:lang w:val="fr-CH"/>
        </w:rPr>
        <w:t>d)</w:t>
      </w:r>
      <w:r w:rsidRPr="00D41EF9">
        <w:rPr>
          <w:lang w:val="fr-CH"/>
        </w:rPr>
        <w:tab/>
        <w:t>la Résolution 44 (</w:t>
      </w:r>
      <w:proofErr w:type="spellStart"/>
      <w:r w:rsidRPr="00D41EF9">
        <w:rPr>
          <w:lang w:val="fr-CH"/>
        </w:rPr>
        <w:t>Rév.Dubaï</w:t>
      </w:r>
      <w:proofErr w:type="spellEnd"/>
      <w:r w:rsidRPr="00D41EF9">
        <w:rPr>
          <w:lang w:val="fr-CH"/>
        </w:rPr>
        <w:t>, 2012) de la présente Assemblée, sur la réduction de l'écart en matière de normalisation entre pays en développement</w:t>
      </w:r>
      <w:r w:rsidRPr="00D41EF9">
        <w:rPr>
          <w:vertAlign w:val="superscript"/>
          <w:lang w:val="fr-CH"/>
        </w:rPr>
        <w:footnoteReference w:customMarkFollows="1" w:id="1"/>
        <w:t>1</w:t>
      </w:r>
      <w:r w:rsidRPr="00D41EF9">
        <w:rPr>
          <w:lang w:val="fr-CH"/>
        </w:rPr>
        <w:t xml:space="preserve"> et pays développés, qui décrit les sources auprès desquelles des fonds seront mobilisés pour réduire l'écart en matière de normalisation,</w:t>
      </w:r>
    </w:p>
    <w:p w:rsidR="00D87B34" w:rsidRPr="00D41EF9" w:rsidRDefault="00D87B34" w:rsidP="00D41EF9">
      <w:pPr>
        <w:pStyle w:val="Call0"/>
      </w:pPr>
      <w:proofErr w:type="gramStart"/>
      <w:r w:rsidRPr="00D41EF9">
        <w:t>rappelant</w:t>
      </w:r>
      <w:proofErr w:type="gramEnd"/>
    </w:p>
    <w:p w:rsidR="00D87B34" w:rsidRPr="00D41EF9" w:rsidRDefault="00D87B34" w:rsidP="00AC7C9B">
      <w:pPr>
        <w:rPr>
          <w:lang w:val="fr-CH"/>
        </w:rPr>
      </w:pPr>
      <w:r w:rsidRPr="00D41EF9">
        <w:rPr>
          <w:i/>
          <w:iCs/>
          <w:lang w:val="fr-CH"/>
        </w:rPr>
        <w:t>a)</w:t>
      </w:r>
      <w:r w:rsidRPr="00D41EF9">
        <w:rPr>
          <w:lang w:val="fr-CH"/>
        </w:rPr>
        <w:tab/>
        <w:t>que la Constitution, la Convention et le Règlement financier de l'UIT disposent que le Secrétaire général peut accepter des contributions financières volontaires en nature ou en espèces, en plus des contributions ordinaires des Etats Membres, des Membres de Secteur et des Associés;</w:t>
      </w:r>
    </w:p>
    <w:p w:rsidR="00D87B34" w:rsidRPr="00D41EF9" w:rsidRDefault="00D87B34" w:rsidP="00AC7C9B">
      <w:pPr>
        <w:rPr>
          <w:lang w:val="fr-CH"/>
        </w:rPr>
      </w:pPr>
      <w:r w:rsidRPr="00D41EF9">
        <w:rPr>
          <w:i/>
          <w:iCs/>
          <w:lang w:val="fr-CH"/>
        </w:rPr>
        <w:t>b)</w:t>
      </w:r>
      <w:r w:rsidRPr="00D41EF9">
        <w:rPr>
          <w:lang w:val="fr-CH"/>
        </w:rPr>
        <w:tab/>
        <w:t>que les dépenses financées par des contributions volontaires ne sont pas visées par les limites des dépenses fixées par les conférences de plénipotentiaires de l'UIT;</w:t>
      </w:r>
    </w:p>
    <w:p w:rsidR="00D87B34" w:rsidRPr="00D41EF9" w:rsidRDefault="00D87B34" w:rsidP="00AC7C9B">
      <w:pPr>
        <w:rPr>
          <w:lang w:val="fr-CH"/>
        </w:rPr>
      </w:pPr>
      <w:r w:rsidRPr="00D41EF9">
        <w:rPr>
          <w:i/>
          <w:iCs/>
          <w:lang w:val="fr-CH"/>
        </w:rPr>
        <w:t>c)</w:t>
      </w:r>
      <w:r w:rsidRPr="00D41EF9">
        <w:rPr>
          <w:lang w:val="fr-CH"/>
        </w:rPr>
        <w:tab/>
        <w:t>que d'importantes contributions volontaires versées à l'UIT-T par le passé ont permis à ce Secteur de progresser sensiblement dans ses travaux,</w:t>
      </w:r>
    </w:p>
    <w:p w:rsidR="00D87B34" w:rsidRPr="00D41EF9" w:rsidRDefault="00D87B34" w:rsidP="00D41EF9">
      <w:pPr>
        <w:pStyle w:val="Call0"/>
      </w:pPr>
      <w:proofErr w:type="gramStart"/>
      <w:r w:rsidRPr="00D41EF9">
        <w:t>considérant</w:t>
      </w:r>
      <w:proofErr w:type="gramEnd"/>
      <w:r w:rsidRPr="00D41EF9">
        <w:t xml:space="preserve"> en outre</w:t>
      </w:r>
    </w:p>
    <w:p w:rsidR="00D87B34" w:rsidRPr="00D41EF9" w:rsidRDefault="00D87B34" w:rsidP="00AC7C9B">
      <w:pPr>
        <w:rPr>
          <w:lang w:val="fr-CH"/>
        </w:rPr>
      </w:pPr>
      <w:proofErr w:type="gramStart"/>
      <w:r w:rsidRPr="00D41EF9">
        <w:rPr>
          <w:lang w:val="fr-CH"/>
        </w:rPr>
        <w:t>que</w:t>
      </w:r>
      <w:proofErr w:type="gramEnd"/>
      <w:r w:rsidRPr="00D41EF9">
        <w:rPr>
          <w:lang w:val="fr-CH"/>
        </w:rPr>
        <w:t xml:space="preserve"> les contributions volontaires constituent un moyen utile, rapide et efficace de financement des activités supplémentaires du Secteur,</w:t>
      </w:r>
    </w:p>
    <w:p w:rsidR="00D87B34" w:rsidRPr="00D41EF9" w:rsidRDefault="00D87B34" w:rsidP="00D41EF9">
      <w:pPr>
        <w:pStyle w:val="Call0"/>
      </w:pPr>
      <w:proofErr w:type="gramStart"/>
      <w:r w:rsidRPr="00D41EF9">
        <w:t>décide</w:t>
      </w:r>
      <w:proofErr w:type="gramEnd"/>
    </w:p>
    <w:p w:rsidR="00D87B34" w:rsidRPr="00D41EF9" w:rsidRDefault="00D87B34" w:rsidP="00D41EF9">
      <w:pPr>
        <w:rPr>
          <w:lang w:val="fr-CH"/>
        </w:rPr>
      </w:pPr>
      <w:r w:rsidRPr="00D41EF9">
        <w:rPr>
          <w:lang w:val="fr-CH"/>
        </w:rPr>
        <w:t>1</w:t>
      </w:r>
      <w:r w:rsidRPr="00D41EF9">
        <w:rPr>
          <w:lang w:val="fr-CH"/>
        </w:rPr>
        <w:tab/>
        <w:t>d'encourager le financement de projets spécifiques, de groupes spécialisés ou d'autres nouvelles initiatives, y compris toutes activités propres à contribuer à la réalisation des objectifs de la Résolution 44 (</w:t>
      </w:r>
      <w:proofErr w:type="spellStart"/>
      <w:r w:rsidRPr="00D41EF9">
        <w:rPr>
          <w:lang w:val="fr-CH"/>
        </w:rPr>
        <w:t>Rév.Dubaï</w:t>
      </w:r>
      <w:proofErr w:type="spellEnd"/>
      <w:r w:rsidRPr="00D41EF9">
        <w:rPr>
          <w:lang w:val="fr-CH"/>
        </w:rPr>
        <w:t>, 2012) de la présente Assemblée sur la réduction de l'écart en matière de normalisation, par des contributions volontaires;</w:t>
      </w:r>
    </w:p>
    <w:p w:rsidR="00D87B34" w:rsidRPr="00D41EF9" w:rsidRDefault="00D87B34" w:rsidP="00AC7C9B">
      <w:pPr>
        <w:rPr>
          <w:lang w:val="fr-CH"/>
        </w:rPr>
      </w:pPr>
      <w:r w:rsidRPr="00D41EF9">
        <w:rPr>
          <w:lang w:val="fr-CH"/>
        </w:rPr>
        <w:lastRenderedPageBreak/>
        <w:t>2</w:t>
      </w:r>
      <w:r w:rsidRPr="00D41EF9">
        <w:rPr>
          <w:lang w:val="fr-CH"/>
        </w:rPr>
        <w:tab/>
        <w:t>d'inviter les Membres de Secteur et les Associés à financer, à titre volontaire, la participation des pays en développement et, en particulier, la participation à distance aux réunions et ateliers de l'UIT-T au moyen de méthodes de travail électroniques;</w:t>
      </w:r>
    </w:p>
    <w:p w:rsidR="00D87B34" w:rsidRPr="00D41EF9" w:rsidRDefault="00D87B34" w:rsidP="00AC7C9B">
      <w:pPr>
        <w:rPr>
          <w:lang w:val="fr-CH"/>
        </w:rPr>
      </w:pPr>
      <w:r w:rsidRPr="00D41EF9">
        <w:rPr>
          <w:lang w:val="fr-CH"/>
        </w:rPr>
        <w:t>3</w:t>
      </w:r>
      <w:r w:rsidRPr="00D41EF9">
        <w:rPr>
          <w:lang w:val="fr-CH"/>
        </w:rPr>
        <w:tab/>
        <w:t>d'inviter les Etats Membres, les Membres de Secteur et les Associés, tant des pays développés que des pays en développement, à soumettre au Directeur du Bureau de la normalisation des télécommunications des projets et autres initiatives présentant un intérêt pour l'UIT</w:t>
      </w:r>
      <w:r w:rsidRPr="00D41EF9">
        <w:rPr>
          <w:lang w:val="fr-CH"/>
        </w:rPr>
        <w:noBreakHyphen/>
        <w:t>T et susceptibles d'être financés par des contributions volontaires.</w:t>
      </w:r>
    </w:p>
    <w:p w:rsidR="00F02AF0" w:rsidRPr="00D41EF9" w:rsidRDefault="00F02AF0" w:rsidP="00AC7C9B">
      <w:pPr>
        <w:pStyle w:val="Reasons"/>
        <w:rPr>
          <w:lang w:val="fr-CH"/>
        </w:rPr>
      </w:pPr>
    </w:p>
    <w:p w:rsidR="00E55515" w:rsidRPr="00D41EF9" w:rsidRDefault="00E55515" w:rsidP="00AC7C9B">
      <w:pPr>
        <w:pStyle w:val="Reasons"/>
        <w:rPr>
          <w:lang w:val="fr-CH"/>
        </w:rPr>
      </w:pPr>
    </w:p>
    <w:p w:rsidR="00F02AF0" w:rsidRPr="00D41EF9" w:rsidRDefault="00F02AF0" w:rsidP="00AC7C9B">
      <w:pPr>
        <w:jc w:val="center"/>
        <w:rPr>
          <w:bCs/>
          <w:lang w:val="fr-CH"/>
        </w:rPr>
      </w:pPr>
      <w:r w:rsidRPr="00D41EF9">
        <w:rPr>
          <w:lang w:val="fr-CH"/>
        </w:rPr>
        <w:t>______________</w:t>
      </w:r>
    </w:p>
    <w:sectPr w:rsidR="00F02AF0" w:rsidRPr="00D41EF9" w:rsidSect="00A15179">
      <w:footerReference w:type="default" r:id="rId13"/>
      <w:headerReference w:type="firs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B0" w:rsidRDefault="00EE60B0">
      <w:r>
        <w:separator/>
      </w:r>
    </w:p>
  </w:endnote>
  <w:endnote w:type="continuationSeparator" w:id="0">
    <w:p w:rsidR="00EE60B0" w:rsidRDefault="00EE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B" w:rsidRPr="00387478" w:rsidRDefault="000605CB" w:rsidP="000605CB">
    <w:pPr>
      <w:pStyle w:val="Footer"/>
      <w:rPr>
        <w:szCs w:val="18"/>
        <w:lang w:val="fr-CH"/>
      </w:rPr>
    </w:pPr>
    <w:r w:rsidRPr="00387478">
      <w:rPr>
        <w:szCs w:val="18"/>
        <w:lang w:val="fr-CH"/>
      </w:rPr>
      <w:t>ITU-T\BUREAU\CIRC\01</w:t>
    </w:r>
    <w:r>
      <w:rPr>
        <w:szCs w:val="18"/>
        <w:lang w:val="fr-CH"/>
      </w:rPr>
      <w:t>9</w:t>
    </w:r>
    <w:r>
      <w:rPr>
        <w:szCs w:val="18"/>
        <w:lang w:val="fr-CH"/>
      </w:rPr>
      <w:t>F</w:t>
    </w:r>
    <w:r w:rsidRPr="00387478">
      <w:rPr>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217020" w:rsidRPr="000605CB">
      <w:trPr>
        <w:cantSplit/>
      </w:trPr>
      <w:tc>
        <w:tcPr>
          <w:tcW w:w="1062" w:type="pct"/>
          <w:tcBorders>
            <w:top w:val="single" w:sz="6" w:space="0" w:color="auto"/>
          </w:tcBorders>
          <w:tcMar>
            <w:top w:w="57" w:type="dxa"/>
          </w:tcMar>
        </w:tcPr>
        <w:p w:rsidR="00217020" w:rsidRDefault="00217020">
          <w:pPr>
            <w:pStyle w:val="itu"/>
          </w:pPr>
          <w:r>
            <w:t>Place des Nations</w:t>
          </w:r>
        </w:p>
      </w:tc>
      <w:tc>
        <w:tcPr>
          <w:tcW w:w="1584" w:type="pct"/>
          <w:tcBorders>
            <w:top w:val="single" w:sz="6" w:space="0" w:color="auto"/>
          </w:tcBorders>
          <w:tcMar>
            <w:top w:w="57" w:type="dxa"/>
          </w:tcMar>
        </w:tcPr>
        <w:p w:rsidR="00217020" w:rsidRDefault="00217020">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217020" w:rsidRDefault="00217020">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17020" w:rsidRDefault="00217020">
          <w:pPr>
            <w:pStyle w:val="itu"/>
          </w:pPr>
          <w:r>
            <w:t>E-mail:</w:t>
          </w:r>
          <w:r>
            <w:tab/>
            <w:t>itumail@itu.int</w:t>
          </w:r>
        </w:p>
      </w:tc>
    </w:tr>
    <w:tr w:rsidR="00217020">
      <w:trPr>
        <w:cantSplit/>
      </w:trPr>
      <w:tc>
        <w:tcPr>
          <w:tcW w:w="1062" w:type="pct"/>
        </w:tcPr>
        <w:p w:rsidR="00217020" w:rsidRDefault="00217020">
          <w:pPr>
            <w:pStyle w:val="itu"/>
          </w:pPr>
          <w:r>
            <w:t>CH-1211 Genève 20</w:t>
          </w:r>
        </w:p>
      </w:tc>
      <w:tc>
        <w:tcPr>
          <w:tcW w:w="1584" w:type="pct"/>
        </w:tcPr>
        <w:p w:rsidR="00217020" w:rsidRDefault="00217020">
          <w:pPr>
            <w:pStyle w:val="itu"/>
          </w:pPr>
          <w:proofErr w:type="spellStart"/>
          <w:r>
            <w:t>Téléfax</w:t>
          </w:r>
          <w:proofErr w:type="spellEnd"/>
          <w:r>
            <w:tab/>
            <w:t>Gr3:</w:t>
          </w:r>
          <w:r>
            <w:tab/>
            <w:t>+41 22 733 72 56</w:t>
          </w:r>
        </w:p>
      </w:tc>
      <w:tc>
        <w:tcPr>
          <w:tcW w:w="1223" w:type="pct"/>
        </w:tcPr>
        <w:p w:rsidR="00217020" w:rsidRDefault="00217020">
          <w:pPr>
            <w:pStyle w:val="itu"/>
          </w:pPr>
          <w:proofErr w:type="spellStart"/>
          <w:r>
            <w:t>Télégramme</w:t>
          </w:r>
          <w:proofErr w:type="spellEnd"/>
          <w:r>
            <w:t xml:space="preserve"> ITU GENEVE</w:t>
          </w:r>
        </w:p>
      </w:tc>
      <w:tc>
        <w:tcPr>
          <w:tcW w:w="1131" w:type="pct"/>
        </w:tcPr>
        <w:p w:rsidR="00217020" w:rsidRDefault="00217020">
          <w:pPr>
            <w:pStyle w:val="itu"/>
          </w:pPr>
          <w:r>
            <w:tab/>
            <w:t>www.itu.int</w:t>
          </w:r>
        </w:p>
      </w:tc>
    </w:tr>
    <w:tr w:rsidR="00217020">
      <w:trPr>
        <w:cantSplit/>
      </w:trPr>
      <w:tc>
        <w:tcPr>
          <w:tcW w:w="1062" w:type="pct"/>
        </w:tcPr>
        <w:p w:rsidR="00217020" w:rsidRDefault="00217020">
          <w:pPr>
            <w:pStyle w:val="itu"/>
          </w:pPr>
          <w:r>
            <w:t>Suisse</w:t>
          </w:r>
        </w:p>
      </w:tc>
      <w:tc>
        <w:tcPr>
          <w:tcW w:w="1584" w:type="pct"/>
        </w:tcPr>
        <w:p w:rsidR="00217020" w:rsidRDefault="00217020">
          <w:pPr>
            <w:pStyle w:val="itu"/>
          </w:pPr>
          <w:r>
            <w:tab/>
            <w:t>Gr4:</w:t>
          </w:r>
          <w:r>
            <w:tab/>
            <w:t>+41 22 730 65 00</w:t>
          </w:r>
        </w:p>
      </w:tc>
      <w:tc>
        <w:tcPr>
          <w:tcW w:w="1223" w:type="pct"/>
        </w:tcPr>
        <w:p w:rsidR="00217020" w:rsidRDefault="00217020">
          <w:pPr>
            <w:pStyle w:val="itu"/>
          </w:pPr>
        </w:p>
      </w:tc>
      <w:tc>
        <w:tcPr>
          <w:tcW w:w="1131" w:type="pct"/>
        </w:tcPr>
        <w:p w:rsidR="00217020" w:rsidRDefault="00217020">
          <w:pPr>
            <w:pStyle w:val="itu"/>
          </w:pPr>
        </w:p>
      </w:tc>
    </w:tr>
  </w:tbl>
  <w:p w:rsidR="00217020" w:rsidRPr="00AC7C9B" w:rsidRDefault="00217020" w:rsidP="00AC7C9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B" w:rsidRPr="00387478" w:rsidRDefault="000605CB" w:rsidP="000605CB">
    <w:pPr>
      <w:pStyle w:val="Footer"/>
      <w:rPr>
        <w:szCs w:val="18"/>
        <w:lang w:val="fr-CH"/>
      </w:rPr>
    </w:pPr>
    <w:r w:rsidRPr="00387478">
      <w:rPr>
        <w:szCs w:val="18"/>
        <w:lang w:val="fr-CH"/>
      </w:rPr>
      <w:t>ITU-T\BUREAU\CIRC\01</w:t>
    </w:r>
    <w:r>
      <w:rPr>
        <w:szCs w:val="18"/>
        <w:lang w:val="fr-CH"/>
      </w:rPr>
      <w:t>9F</w:t>
    </w:r>
    <w:r w:rsidRPr="00387478">
      <w:rPr>
        <w:szCs w:val="18"/>
        <w:lang w:val="fr-CH"/>
      </w:rPr>
      <w:t>.DOC</w:t>
    </w:r>
  </w:p>
  <w:p w:rsidR="00B94120" w:rsidRPr="000605CB" w:rsidRDefault="00B94120" w:rsidP="000605CB">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CB" w:rsidRPr="00387478" w:rsidRDefault="000605CB" w:rsidP="000605CB">
    <w:pPr>
      <w:pStyle w:val="Footer"/>
      <w:rPr>
        <w:szCs w:val="18"/>
        <w:lang w:val="fr-CH"/>
      </w:rPr>
    </w:pPr>
    <w:r w:rsidRPr="00387478">
      <w:rPr>
        <w:szCs w:val="18"/>
        <w:lang w:val="fr-CH"/>
      </w:rPr>
      <w:t>ITU-T\BUREAU\CIRC\01</w:t>
    </w:r>
    <w:r>
      <w:rPr>
        <w:szCs w:val="18"/>
        <w:lang w:val="fr-CH"/>
      </w:rPr>
      <w:t>9F</w:t>
    </w:r>
    <w:r w:rsidRPr="00387478">
      <w:rPr>
        <w:szCs w:val="18"/>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B0" w:rsidRDefault="00EE60B0">
      <w:r>
        <w:t>____________________</w:t>
      </w:r>
    </w:p>
  </w:footnote>
  <w:footnote w:type="continuationSeparator" w:id="0">
    <w:p w:rsidR="00EE60B0" w:rsidRDefault="00EE60B0">
      <w:r>
        <w:continuationSeparator/>
      </w:r>
    </w:p>
  </w:footnote>
  <w:footnote w:id="1">
    <w:p w:rsidR="00D87B34" w:rsidRPr="008A200F" w:rsidRDefault="00D87B34" w:rsidP="00D87B34">
      <w:pPr>
        <w:pStyle w:val="FootnoteText"/>
        <w:rPr>
          <w:lang w:val="fr-CH"/>
        </w:rPr>
      </w:pPr>
      <w:r w:rsidRPr="008A200F">
        <w:rPr>
          <w:rStyle w:val="FootnoteReference"/>
          <w:szCs w:val="16"/>
          <w:lang w:val="fr-CH"/>
        </w:rPr>
        <w:t>1</w:t>
      </w:r>
      <w:r w:rsidRPr="008A200F">
        <w:rPr>
          <w:lang w:val="fr-CH"/>
        </w:rPr>
        <w:t xml:space="preserve"> </w:t>
      </w:r>
      <w:r w:rsidRPr="008A200F">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74455"/>
      <w:docPartObj>
        <w:docPartGallery w:val="Page Numbers (Top of Page)"/>
        <w:docPartUnique/>
      </w:docPartObj>
    </w:sdtPr>
    <w:sdtEndPr>
      <w:rPr>
        <w:noProof/>
      </w:rPr>
    </w:sdtEndPr>
    <w:sdtContent>
      <w:p w:rsidR="00217020" w:rsidRDefault="00217020">
        <w:pPr>
          <w:pStyle w:val="Header"/>
        </w:pPr>
        <w:r w:rsidRPr="00B94120">
          <w:rPr>
            <w:sz w:val="18"/>
            <w:szCs w:val="18"/>
          </w:rPr>
          <w:fldChar w:fldCharType="begin"/>
        </w:r>
        <w:r w:rsidRPr="00B94120">
          <w:rPr>
            <w:sz w:val="18"/>
            <w:szCs w:val="18"/>
          </w:rPr>
          <w:instrText xml:space="preserve"> PAGE   \* MERGEFORMAT </w:instrText>
        </w:r>
        <w:r w:rsidRPr="00B94120">
          <w:rPr>
            <w:sz w:val="18"/>
            <w:szCs w:val="18"/>
          </w:rPr>
          <w:fldChar w:fldCharType="separate"/>
        </w:r>
        <w:r w:rsidR="000605CB">
          <w:rPr>
            <w:noProof/>
            <w:sz w:val="18"/>
            <w:szCs w:val="18"/>
          </w:rPr>
          <w:t>3</w:t>
        </w:r>
        <w:r w:rsidRPr="00B94120">
          <w:rPr>
            <w:noProof/>
            <w:sz w:val="18"/>
            <w:szCs w:val="18"/>
          </w:rPr>
          <w:fldChar w:fldCharType="end"/>
        </w:r>
      </w:p>
    </w:sdtContent>
  </w:sdt>
  <w:p w:rsidR="00217020" w:rsidRDefault="00217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277905"/>
      <w:docPartObj>
        <w:docPartGallery w:val="Page Numbers (Top of Page)"/>
        <w:docPartUnique/>
      </w:docPartObj>
    </w:sdtPr>
    <w:sdtEndPr>
      <w:rPr>
        <w:noProof/>
        <w:sz w:val="18"/>
        <w:szCs w:val="18"/>
      </w:rPr>
    </w:sdtEndPr>
    <w:sdtContent>
      <w:p w:rsidR="00217020" w:rsidRPr="006427A1" w:rsidRDefault="00217020" w:rsidP="00C31694">
        <w:pPr>
          <w:pStyle w:val="Header"/>
          <w:rPr>
            <w:sz w:val="18"/>
            <w:szCs w:val="18"/>
          </w:rPr>
        </w:pPr>
        <w:r w:rsidRPr="006427A1">
          <w:rPr>
            <w:sz w:val="18"/>
            <w:szCs w:val="18"/>
          </w:rPr>
          <w:fldChar w:fldCharType="begin"/>
        </w:r>
        <w:r w:rsidRPr="006427A1">
          <w:rPr>
            <w:sz w:val="18"/>
            <w:szCs w:val="18"/>
          </w:rPr>
          <w:instrText xml:space="preserve"> PAGE   \* MERGEFORMAT </w:instrText>
        </w:r>
        <w:r w:rsidRPr="006427A1">
          <w:rPr>
            <w:sz w:val="18"/>
            <w:szCs w:val="18"/>
          </w:rPr>
          <w:fldChar w:fldCharType="separate"/>
        </w:r>
        <w:r w:rsidR="000605CB">
          <w:rPr>
            <w:noProof/>
            <w:sz w:val="18"/>
            <w:szCs w:val="18"/>
          </w:rPr>
          <w:t>4</w:t>
        </w:r>
        <w:r w:rsidRPr="006427A1">
          <w:rPr>
            <w:noProof/>
            <w:sz w:val="18"/>
            <w:szCs w:val="18"/>
          </w:rPr>
          <w:fldChar w:fldCharType="end"/>
        </w:r>
      </w:p>
    </w:sdtContent>
  </w:sdt>
  <w:p w:rsidR="00217020" w:rsidRPr="006427A1" w:rsidRDefault="0021702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9BE115D"/>
    <w:multiLevelType w:val="hybridMultilevel"/>
    <w:tmpl w:val="5D0E529C"/>
    <w:lvl w:ilvl="0" w:tplc="55C4D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B037A5"/>
    <w:multiLevelType w:val="hybridMultilevel"/>
    <w:tmpl w:val="936AEFD8"/>
    <w:lvl w:ilvl="0" w:tplc="5900F112">
      <w:start w:val="5"/>
      <w:numFmt w:val="bullet"/>
      <w:lvlText w:val="-"/>
      <w:lvlJc w:val="left"/>
      <w:pPr>
        <w:ind w:left="720" w:hanging="360"/>
      </w:pPr>
      <w:rPr>
        <w:rFonts w:ascii="Times New Roman" w:eastAsia="Times New Roman" w:hAnsi="Times New Roman" w:cs="Times New Roman" w:hint="default"/>
      </w:rPr>
    </w:lvl>
    <w:lvl w:ilvl="1" w:tplc="DFE29E08">
      <w:start w:val="1"/>
      <w:numFmt w:val="bullet"/>
      <w:lvlText w:val="o"/>
      <w:lvlJc w:val="left"/>
      <w:pPr>
        <w:ind w:left="1440" w:hanging="360"/>
      </w:pPr>
      <w:rPr>
        <w:rFonts w:ascii="Courier New" w:hAnsi="Courier New" w:cs="Courier New" w:hint="default"/>
        <w:lang w:val="fr-CH"/>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5"/>
    <w:rsid w:val="000039EE"/>
    <w:rsid w:val="00005622"/>
    <w:rsid w:val="0002519E"/>
    <w:rsid w:val="00035B43"/>
    <w:rsid w:val="000605CB"/>
    <w:rsid w:val="000758B3"/>
    <w:rsid w:val="000B0D96"/>
    <w:rsid w:val="000B59D8"/>
    <w:rsid w:val="000C56BE"/>
    <w:rsid w:val="001026FD"/>
    <w:rsid w:val="00115DD7"/>
    <w:rsid w:val="00167472"/>
    <w:rsid w:val="00167F92"/>
    <w:rsid w:val="00173738"/>
    <w:rsid w:val="001807D0"/>
    <w:rsid w:val="001936E8"/>
    <w:rsid w:val="001B79A3"/>
    <w:rsid w:val="001F2504"/>
    <w:rsid w:val="00212144"/>
    <w:rsid w:val="002152A3"/>
    <w:rsid w:val="00217020"/>
    <w:rsid w:val="002304AD"/>
    <w:rsid w:val="00267151"/>
    <w:rsid w:val="002872A7"/>
    <w:rsid w:val="00313578"/>
    <w:rsid w:val="00333A80"/>
    <w:rsid w:val="00336E2F"/>
    <w:rsid w:val="00364E95"/>
    <w:rsid w:val="00372875"/>
    <w:rsid w:val="00394C4E"/>
    <w:rsid w:val="003B1E80"/>
    <w:rsid w:val="003B66E8"/>
    <w:rsid w:val="003C4A45"/>
    <w:rsid w:val="004033F1"/>
    <w:rsid w:val="00414B0C"/>
    <w:rsid w:val="004257AC"/>
    <w:rsid w:val="00430A23"/>
    <w:rsid w:val="00432084"/>
    <w:rsid w:val="0043711B"/>
    <w:rsid w:val="004B732E"/>
    <w:rsid w:val="004D51F4"/>
    <w:rsid w:val="004D64E0"/>
    <w:rsid w:val="0051210D"/>
    <w:rsid w:val="005136D2"/>
    <w:rsid w:val="00517A03"/>
    <w:rsid w:val="005A3DD9"/>
    <w:rsid w:val="005B1DFC"/>
    <w:rsid w:val="00601682"/>
    <w:rsid w:val="0061539D"/>
    <w:rsid w:val="006333F7"/>
    <w:rsid w:val="006427A1"/>
    <w:rsid w:val="00644741"/>
    <w:rsid w:val="0067336B"/>
    <w:rsid w:val="00681280"/>
    <w:rsid w:val="00681E50"/>
    <w:rsid w:val="00696EE4"/>
    <w:rsid w:val="006A6FFE"/>
    <w:rsid w:val="006C1F9C"/>
    <w:rsid w:val="006C5A91"/>
    <w:rsid w:val="006D6124"/>
    <w:rsid w:val="006F591E"/>
    <w:rsid w:val="007164F1"/>
    <w:rsid w:val="00716BBC"/>
    <w:rsid w:val="007321BC"/>
    <w:rsid w:val="00760063"/>
    <w:rsid w:val="00775E4B"/>
    <w:rsid w:val="007823DC"/>
    <w:rsid w:val="0079553B"/>
    <w:rsid w:val="007A40FE"/>
    <w:rsid w:val="007B78AF"/>
    <w:rsid w:val="008047E6"/>
    <w:rsid w:val="00810105"/>
    <w:rsid w:val="008157E0"/>
    <w:rsid w:val="00834295"/>
    <w:rsid w:val="00834541"/>
    <w:rsid w:val="00854E1D"/>
    <w:rsid w:val="00861883"/>
    <w:rsid w:val="00887FA6"/>
    <w:rsid w:val="0089369E"/>
    <w:rsid w:val="008C4397"/>
    <w:rsid w:val="008C465A"/>
    <w:rsid w:val="008F2C9B"/>
    <w:rsid w:val="00911650"/>
    <w:rsid w:val="00923CD6"/>
    <w:rsid w:val="00935AA8"/>
    <w:rsid w:val="009413E8"/>
    <w:rsid w:val="00955283"/>
    <w:rsid w:val="00971C9A"/>
    <w:rsid w:val="00983C24"/>
    <w:rsid w:val="00993019"/>
    <w:rsid w:val="009D51FA"/>
    <w:rsid w:val="009F02B6"/>
    <w:rsid w:val="009F1E23"/>
    <w:rsid w:val="00A15179"/>
    <w:rsid w:val="00A51537"/>
    <w:rsid w:val="00A5280F"/>
    <w:rsid w:val="00A60FC1"/>
    <w:rsid w:val="00A92DDC"/>
    <w:rsid w:val="00A97C37"/>
    <w:rsid w:val="00AC37B5"/>
    <w:rsid w:val="00AC7C9B"/>
    <w:rsid w:val="00AD752F"/>
    <w:rsid w:val="00B27B41"/>
    <w:rsid w:val="00B8573E"/>
    <w:rsid w:val="00B94120"/>
    <w:rsid w:val="00BB24C0"/>
    <w:rsid w:val="00BD3935"/>
    <w:rsid w:val="00BF40F9"/>
    <w:rsid w:val="00C26F2E"/>
    <w:rsid w:val="00C31694"/>
    <w:rsid w:val="00C45376"/>
    <w:rsid w:val="00C72C94"/>
    <w:rsid w:val="00C9028F"/>
    <w:rsid w:val="00CA0416"/>
    <w:rsid w:val="00CB03EC"/>
    <w:rsid w:val="00CB1125"/>
    <w:rsid w:val="00CD042E"/>
    <w:rsid w:val="00CF2560"/>
    <w:rsid w:val="00CF5B46"/>
    <w:rsid w:val="00D41EF9"/>
    <w:rsid w:val="00D46B68"/>
    <w:rsid w:val="00D542A5"/>
    <w:rsid w:val="00D87B34"/>
    <w:rsid w:val="00DC3D47"/>
    <w:rsid w:val="00DC5B23"/>
    <w:rsid w:val="00DD77DA"/>
    <w:rsid w:val="00E06C61"/>
    <w:rsid w:val="00E13DB3"/>
    <w:rsid w:val="00E2408B"/>
    <w:rsid w:val="00E55515"/>
    <w:rsid w:val="00E716E9"/>
    <w:rsid w:val="00E72AE1"/>
    <w:rsid w:val="00ED6A7A"/>
    <w:rsid w:val="00EE60B0"/>
    <w:rsid w:val="00F02AF0"/>
    <w:rsid w:val="00F166CD"/>
    <w:rsid w:val="00F346CE"/>
    <w:rsid w:val="00F34F98"/>
    <w:rsid w:val="00F40540"/>
    <w:rsid w:val="00F72BA5"/>
    <w:rsid w:val="00F80DDD"/>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D87B34"/>
    <w:rPr>
      <w:rFonts w:ascii="Times New Roman" w:hAnsi="Times New Roman"/>
      <w:sz w:val="24"/>
      <w:lang w:val="fr-FR" w:eastAsia="en-US"/>
    </w:rPr>
  </w:style>
  <w:style w:type="paragraph" w:customStyle="1" w:styleId="Call0">
    <w:name w:val="Call"/>
    <w:basedOn w:val="Normal"/>
    <w:next w:val="Normal"/>
    <w:link w:val="CallChar"/>
    <w:rsid w:val="00D41EF9"/>
    <w:pPr>
      <w:keepNext/>
      <w:keepLines/>
      <w:spacing w:before="240" w:line="280" w:lineRule="exact"/>
      <w:ind w:left="794"/>
    </w:pPr>
    <w:rPr>
      <w:i/>
    </w:rPr>
  </w:style>
  <w:style w:type="character" w:customStyle="1" w:styleId="CallChar">
    <w:name w:val="Call Char"/>
    <w:link w:val="Call0"/>
    <w:rsid w:val="00D41EF9"/>
    <w:rPr>
      <w:rFonts w:ascii="Times New Roman" w:hAnsi="Times New Roman"/>
      <w:i/>
      <w:sz w:val="24"/>
      <w:lang w:val="fr-FR" w:eastAsia="en-US"/>
    </w:rPr>
  </w:style>
  <w:style w:type="paragraph" w:customStyle="1" w:styleId="ResNo">
    <w:name w:val="Res_No"/>
    <w:basedOn w:val="Normal"/>
    <w:next w:val="Restitle"/>
    <w:link w:val="ResNoChar"/>
    <w:rsid w:val="00D87B34"/>
    <w:pPr>
      <w:keepNext/>
      <w:keepLines/>
      <w:tabs>
        <w:tab w:val="clear" w:pos="794"/>
        <w:tab w:val="clear" w:pos="1191"/>
        <w:tab w:val="clear" w:pos="1588"/>
        <w:tab w:val="clear" w:pos="1985"/>
      </w:tabs>
      <w:spacing w:before="0" w:line="280" w:lineRule="exact"/>
      <w:jc w:val="center"/>
    </w:pPr>
    <w:rPr>
      <w:caps/>
      <w:sz w:val="28"/>
    </w:rPr>
  </w:style>
  <w:style w:type="paragraph" w:customStyle="1" w:styleId="Restitle">
    <w:name w:val="Res_title"/>
    <w:basedOn w:val="RecTitle"/>
    <w:next w:val="Resref"/>
    <w:link w:val="RestitleChar"/>
    <w:rsid w:val="00D87B34"/>
    <w:pPr>
      <w:spacing w:before="360"/>
    </w:pPr>
    <w:rPr>
      <w:caps w:val="0"/>
      <w:sz w:val="28"/>
    </w:rPr>
  </w:style>
  <w:style w:type="paragraph" w:customStyle="1" w:styleId="Resref">
    <w:name w:val="Res_ref"/>
    <w:basedOn w:val="Normal"/>
    <w:next w:val="Normal"/>
    <w:uiPriority w:val="99"/>
    <w:qFormat/>
    <w:rsid w:val="00D87B34"/>
    <w:pPr>
      <w:keepNext/>
      <w:keepLines/>
      <w:tabs>
        <w:tab w:val="clear" w:pos="794"/>
        <w:tab w:val="clear" w:pos="1191"/>
        <w:tab w:val="clear" w:pos="1588"/>
        <w:tab w:val="clear" w:pos="1985"/>
      </w:tabs>
      <w:spacing w:before="160" w:line="280" w:lineRule="exact"/>
      <w:jc w:val="center"/>
    </w:pPr>
    <w:rPr>
      <w:i/>
      <w:sz w:val="22"/>
    </w:rPr>
  </w:style>
  <w:style w:type="character" w:customStyle="1" w:styleId="RestitleChar">
    <w:name w:val="Res_title Char"/>
    <w:link w:val="Restitle"/>
    <w:rsid w:val="00D87B34"/>
    <w:rPr>
      <w:rFonts w:ascii="Times New Roman" w:hAnsi="Times New Roman"/>
      <w:b/>
      <w:sz w:val="28"/>
      <w:lang w:val="fr-FR" w:eastAsia="en-US"/>
    </w:rPr>
  </w:style>
  <w:style w:type="character" w:customStyle="1" w:styleId="ResNoChar">
    <w:name w:val="Res_No Char"/>
    <w:link w:val="ResNo"/>
    <w:rsid w:val="00D87B34"/>
    <w:rPr>
      <w:rFonts w:ascii="Times New Roman" w:hAnsi="Times New Roman"/>
      <w:caps/>
      <w:sz w:val="28"/>
      <w:lang w:val="fr-FR" w:eastAsia="en-US"/>
    </w:rPr>
  </w:style>
  <w:style w:type="character" w:customStyle="1" w:styleId="href">
    <w:name w:val="href"/>
    <w:basedOn w:val="DefaultParagraphFont"/>
    <w:rsid w:val="00D87B34"/>
  </w:style>
  <w:style w:type="character" w:customStyle="1" w:styleId="NormalaftertitleChar">
    <w:name w:val="Normal after title Char"/>
    <w:link w:val="Normalaftertitle"/>
    <w:locked/>
    <w:rsid w:val="00D87B34"/>
    <w:rPr>
      <w:rFonts w:ascii="Times New Roman" w:hAnsi="Times New Roman"/>
      <w:sz w:val="24"/>
      <w:lang w:val="fr-FR" w:eastAsia="en-US"/>
    </w:rPr>
  </w:style>
  <w:style w:type="paragraph" w:styleId="BalloonText">
    <w:name w:val="Balloon Text"/>
    <w:basedOn w:val="Normal"/>
    <w:link w:val="BalloonTextChar"/>
    <w:rsid w:val="000605CB"/>
    <w:pPr>
      <w:spacing w:before="0"/>
    </w:pPr>
    <w:rPr>
      <w:rFonts w:ascii="Tahoma" w:hAnsi="Tahoma" w:cs="Tahoma"/>
      <w:sz w:val="16"/>
      <w:szCs w:val="16"/>
    </w:rPr>
  </w:style>
  <w:style w:type="character" w:customStyle="1" w:styleId="BalloonTextChar">
    <w:name w:val="Balloon Text Char"/>
    <w:basedOn w:val="DefaultParagraphFont"/>
    <w:link w:val="BalloonText"/>
    <w:rsid w:val="000605CB"/>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C9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A3DD9"/>
    <w:rPr>
      <w:rFonts w:ascii="Times New Roman" w:hAnsi="Times New Roman"/>
      <w:caps/>
      <w:sz w:val="18"/>
      <w:lang w:val="fr-FR" w:eastAsia="en-US"/>
    </w:rPr>
  </w:style>
  <w:style w:type="character" w:customStyle="1" w:styleId="Heading3Char">
    <w:name w:val="Heading 3 Char"/>
    <w:aliases w:val="H3 Char,Underrubrik2 Char"/>
    <w:basedOn w:val="DefaultParagraphFont"/>
    <w:link w:val="Heading3"/>
    <w:rsid w:val="00DC5B23"/>
    <w:rPr>
      <w:rFonts w:ascii="Times New Roman" w:hAnsi="Times New Roman"/>
      <w:b/>
      <w:sz w:val="24"/>
      <w:lang w:val="fr-FR" w:eastAsia="en-US"/>
    </w:rPr>
  </w:style>
  <w:style w:type="table" w:styleId="TableGrid">
    <w:name w:val="Table Grid"/>
    <w:basedOn w:val="TableNormal"/>
    <w:rsid w:val="00DC5B23"/>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B23"/>
    <w:pPr>
      <w:ind w:left="720"/>
      <w:contextualSpacing/>
    </w:pPr>
  </w:style>
  <w:style w:type="paragraph" w:customStyle="1" w:styleId="Reasons">
    <w:name w:val="Reasons"/>
    <w:basedOn w:val="Normal"/>
    <w:qFormat/>
    <w:rsid w:val="00F02AF0"/>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rsid w:val="00C72C94"/>
    <w:rPr>
      <w:color w:val="800080" w:themeColor="followedHyperlink"/>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D87B34"/>
    <w:rPr>
      <w:rFonts w:ascii="Times New Roman" w:hAnsi="Times New Roman"/>
      <w:sz w:val="24"/>
      <w:lang w:val="fr-FR" w:eastAsia="en-US"/>
    </w:rPr>
  </w:style>
  <w:style w:type="paragraph" w:customStyle="1" w:styleId="Call0">
    <w:name w:val="Call"/>
    <w:basedOn w:val="Normal"/>
    <w:next w:val="Normal"/>
    <w:link w:val="CallChar"/>
    <w:rsid w:val="00D41EF9"/>
    <w:pPr>
      <w:keepNext/>
      <w:keepLines/>
      <w:spacing w:before="240" w:line="280" w:lineRule="exact"/>
      <w:ind w:left="794"/>
    </w:pPr>
    <w:rPr>
      <w:i/>
    </w:rPr>
  </w:style>
  <w:style w:type="character" w:customStyle="1" w:styleId="CallChar">
    <w:name w:val="Call Char"/>
    <w:link w:val="Call0"/>
    <w:rsid w:val="00D41EF9"/>
    <w:rPr>
      <w:rFonts w:ascii="Times New Roman" w:hAnsi="Times New Roman"/>
      <w:i/>
      <w:sz w:val="24"/>
      <w:lang w:val="fr-FR" w:eastAsia="en-US"/>
    </w:rPr>
  </w:style>
  <w:style w:type="paragraph" w:customStyle="1" w:styleId="ResNo">
    <w:name w:val="Res_No"/>
    <w:basedOn w:val="Normal"/>
    <w:next w:val="Restitle"/>
    <w:link w:val="ResNoChar"/>
    <w:rsid w:val="00D87B34"/>
    <w:pPr>
      <w:keepNext/>
      <w:keepLines/>
      <w:tabs>
        <w:tab w:val="clear" w:pos="794"/>
        <w:tab w:val="clear" w:pos="1191"/>
        <w:tab w:val="clear" w:pos="1588"/>
        <w:tab w:val="clear" w:pos="1985"/>
      </w:tabs>
      <w:spacing w:before="0" w:line="280" w:lineRule="exact"/>
      <w:jc w:val="center"/>
    </w:pPr>
    <w:rPr>
      <w:caps/>
      <w:sz w:val="28"/>
    </w:rPr>
  </w:style>
  <w:style w:type="paragraph" w:customStyle="1" w:styleId="Restitle">
    <w:name w:val="Res_title"/>
    <w:basedOn w:val="RecTitle"/>
    <w:next w:val="Resref"/>
    <w:link w:val="RestitleChar"/>
    <w:rsid w:val="00D87B34"/>
    <w:pPr>
      <w:spacing w:before="360"/>
    </w:pPr>
    <w:rPr>
      <w:caps w:val="0"/>
      <w:sz w:val="28"/>
    </w:rPr>
  </w:style>
  <w:style w:type="paragraph" w:customStyle="1" w:styleId="Resref">
    <w:name w:val="Res_ref"/>
    <w:basedOn w:val="Normal"/>
    <w:next w:val="Normal"/>
    <w:uiPriority w:val="99"/>
    <w:qFormat/>
    <w:rsid w:val="00D87B34"/>
    <w:pPr>
      <w:keepNext/>
      <w:keepLines/>
      <w:tabs>
        <w:tab w:val="clear" w:pos="794"/>
        <w:tab w:val="clear" w:pos="1191"/>
        <w:tab w:val="clear" w:pos="1588"/>
        <w:tab w:val="clear" w:pos="1985"/>
      </w:tabs>
      <w:spacing w:before="160" w:line="280" w:lineRule="exact"/>
      <w:jc w:val="center"/>
    </w:pPr>
    <w:rPr>
      <w:i/>
      <w:sz w:val="22"/>
    </w:rPr>
  </w:style>
  <w:style w:type="character" w:customStyle="1" w:styleId="RestitleChar">
    <w:name w:val="Res_title Char"/>
    <w:link w:val="Restitle"/>
    <w:rsid w:val="00D87B34"/>
    <w:rPr>
      <w:rFonts w:ascii="Times New Roman" w:hAnsi="Times New Roman"/>
      <w:b/>
      <w:sz w:val="28"/>
      <w:lang w:val="fr-FR" w:eastAsia="en-US"/>
    </w:rPr>
  </w:style>
  <w:style w:type="character" w:customStyle="1" w:styleId="ResNoChar">
    <w:name w:val="Res_No Char"/>
    <w:link w:val="ResNo"/>
    <w:rsid w:val="00D87B34"/>
    <w:rPr>
      <w:rFonts w:ascii="Times New Roman" w:hAnsi="Times New Roman"/>
      <w:caps/>
      <w:sz w:val="28"/>
      <w:lang w:val="fr-FR" w:eastAsia="en-US"/>
    </w:rPr>
  </w:style>
  <w:style w:type="character" w:customStyle="1" w:styleId="href">
    <w:name w:val="href"/>
    <w:basedOn w:val="DefaultParagraphFont"/>
    <w:rsid w:val="00D87B34"/>
  </w:style>
  <w:style w:type="character" w:customStyle="1" w:styleId="NormalaftertitleChar">
    <w:name w:val="Normal after title Char"/>
    <w:link w:val="Normalaftertitle"/>
    <w:locked/>
    <w:rsid w:val="00D87B34"/>
    <w:rPr>
      <w:rFonts w:ascii="Times New Roman" w:hAnsi="Times New Roman"/>
      <w:sz w:val="24"/>
      <w:lang w:val="fr-FR" w:eastAsia="en-US"/>
    </w:rPr>
  </w:style>
  <w:style w:type="paragraph" w:styleId="BalloonText">
    <w:name w:val="Balloon Text"/>
    <w:basedOn w:val="Normal"/>
    <w:link w:val="BalloonTextChar"/>
    <w:rsid w:val="000605CB"/>
    <w:pPr>
      <w:spacing w:before="0"/>
    </w:pPr>
    <w:rPr>
      <w:rFonts w:ascii="Tahoma" w:hAnsi="Tahoma" w:cs="Tahoma"/>
      <w:sz w:val="16"/>
      <w:szCs w:val="16"/>
    </w:rPr>
  </w:style>
  <w:style w:type="character" w:customStyle="1" w:styleId="BalloonTextChar">
    <w:name w:val="Balloon Text Char"/>
    <w:basedOn w:val="DefaultParagraphFont"/>
    <w:link w:val="BalloonText"/>
    <w:rsid w:val="000605C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5DFF-C472-484B-83CD-7F343CD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22</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9419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Andriamanerasoa, Tsiory</cp:lastModifiedBy>
  <cp:revision>14</cp:revision>
  <cp:lastPrinted>2013-04-17T13:53:00Z</cp:lastPrinted>
  <dcterms:created xsi:type="dcterms:W3CDTF">2013-04-09T08:47:00Z</dcterms:created>
  <dcterms:modified xsi:type="dcterms:W3CDTF">2013-04-17T14:00:00Z</dcterms:modified>
</cp:coreProperties>
</file>