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137E5D" w:rsidRDefault="004556D7" w:rsidP="00C6404B">
      <w:pPr>
        <w:pStyle w:val="Index1"/>
        <w:tabs>
          <w:tab w:val="clear" w:pos="794"/>
          <w:tab w:val="clear" w:pos="1191"/>
          <w:tab w:val="clear" w:pos="1588"/>
          <w:tab w:val="clear" w:pos="1985"/>
          <w:tab w:val="left" w:pos="5387"/>
        </w:tabs>
        <w:rPr>
          <w:lang w:val="en-US"/>
        </w:rPr>
      </w:pPr>
      <w:r w:rsidRPr="005D0E19">
        <w:rPr>
          <w:lang w:val="en-US"/>
        </w:rPr>
        <w:tab/>
      </w:r>
      <w:r w:rsidR="00D27786" w:rsidRPr="00137E5D">
        <w:rPr>
          <w:lang w:val="en-US"/>
        </w:rPr>
        <w:t>Geneva,</w:t>
      </w:r>
      <w:r w:rsidR="003418D2" w:rsidRPr="00137E5D">
        <w:rPr>
          <w:lang w:val="en-US"/>
        </w:rPr>
        <w:t xml:space="preserve"> </w:t>
      </w:r>
      <w:r w:rsidR="00E97170">
        <w:rPr>
          <w:lang w:val="en-US"/>
        </w:rPr>
        <w:t>27</w:t>
      </w:r>
      <w:bookmarkStart w:id="0" w:name="_GoBack"/>
      <w:bookmarkEnd w:id="0"/>
      <w:r w:rsidR="005A619A" w:rsidRPr="00137E5D">
        <w:rPr>
          <w:lang w:val="en-US"/>
        </w:rPr>
        <w:t xml:space="preserve"> September</w:t>
      </w:r>
      <w:r w:rsidR="000D4E75" w:rsidRPr="00137E5D">
        <w:rPr>
          <w:lang w:val="en-US"/>
        </w:rPr>
        <w:t xml:space="preserve"> 201</w:t>
      </w:r>
      <w:r w:rsidR="004841CD" w:rsidRPr="00137E5D">
        <w:rPr>
          <w:lang w:val="en-US"/>
        </w:rPr>
        <w:t>2</w:t>
      </w:r>
    </w:p>
    <w:p w:rsidR="00D27786" w:rsidRPr="00137E5D" w:rsidRDefault="00D27786" w:rsidP="00D27786">
      <w:pPr>
        <w:rPr>
          <w:lang w:val="en-US"/>
        </w:rPr>
      </w:pPr>
    </w:p>
    <w:p w:rsidR="00D27786" w:rsidRPr="00137E5D"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color w:val="FFFFFF"/>
                <w:sz w:val="26"/>
                <w:szCs w:val="26"/>
                <w:lang w:val="en-US"/>
              </w:rPr>
            </w:pPr>
            <w:r w:rsidRPr="00137E5D">
              <w:rPr>
                <w:rFonts w:ascii="Verdana" w:hAnsi="Verdana"/>
                <w:b/>
                <w:bCs/>
                <w:iCs/>
                <w:sz w:val="26"/>
                <w:szCs w:val="26"/>
                <w:lang w:val="en-US"/>
              </w:rPr>
              <w:t>Telecommunication Standardization</w:t>
            </w:r>
            <w:r w:rsidRPr="00137E5D">
              <w:rPr>
                <w:rFonts w:ascii="Verdana" w:hAnsi="Verdana"/>
                <w:b/>
                <w:bCs/>
                <w:iCs/>
                <w:sz w:val="26"/>
                <w:szCs w:val="26"/>
                <w:lang w:val="en-US"/>
              </w:rPr>
              <w:br/>
              <w:t>Bureau</w:t>
            </w:r>
          </w:p>
        </w:tc>
        <w:tc>
          <w:tcPr>
            <w:tcW w:w="3355" w:type="dxa"/>
            <w:vAlign w:val="center"/>
          </w:tcPr>
          <w:p w:rsidR="00D27786" w:rsidRPr="00137E5D" w:rsidRDefault="00706482" w:rsidP="00D27786">
            <w:pPr>
              <w:spacing w:before="0"/>
              <w:jc w:val="right"/>
              <w:rPr>
                <w:rFonts w:ascii="Verdana" w:hAnsi="Verdana"/>
                <w:color w:val="FFFFFF"/>
                <w:sz w:val="26"/>
                <w:szCs w:val="26"/>
                <w:lang w:val="en-US"/>
              </w:rPr>
            </w:pPr>
            <w:bookmarkStart w:id="1" w:name="ditulogo"/>
            <w:bookmarkEnd w:id="1"/>
            <w:r w:rsidRPr="00137E5D">
              <w:rPr>
                <w:rFonts w:ascii="Verdana" w:hAnsi="Verdana"/>
                <w:noProof/>
                <w:color w:val="FFFFFF"/>
                <w:sz w:val="26"/>
                <w:szCs w:val="26"/>
                <w:lang w:val="en-US" w:eastAsia="zh-CN"/>
              </w:rPr>
              <w:drawing>
                <wp:inline distT="0" distB="0" distL="0" distR="0" wp14:anchorId="22396665" wp14:editId="0F1A06A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137E5D"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137E5D">
        <w:trPr>
          <w:cantSplit/>
        </w:trPr>
        <w:tc>
          <w:tcPr>
            <w:tcW w:w="993" w:type="dxa"/>
          </w:tcPr>
          <w:p w:rsidR="004556D7" w:rsidRPr="00137E5D" w:rsidRDefault="004556D7">
            <w:pPr>
              <w:tabs>
                <w:tab w:val="left" w:pos="4111"/>
              </w:tabs>
              <w:spacing w:before="10"/>
              <w:rPr>
                <w:sz w:val="22"/>
                <w:lang w:val="en-US"/>
              </w:rPr>
            </w:pPr>
            <w:r w:rsidRPr="00137E5D">
              <w:rPr>
                <w:sz w:val="22"/>
                <w:lang w:val="en-US"/>
              </w:rPr>
              <w:t>Ref:</w:t>
            </w:r>
          </w:p>
          <w:p w:rsidR="004556D7" w:rsidRPr="00137E5D" w:rsidRDefault="004556D7">
            <w:pPr>
              <w:tabs>
                <w:tab w:val="left" w:pos="4111"/>
              </w:tabs>
              <w:spacing w:before="10"/>
              <w:rPr>
                <w:sz w:val="22"/>
                <w:lang w:val="en-US"/>
              </w:rPr>
            </w:pPr>
          </w:p>
          <w:p w:rsidR="004556D7" w:rsidRPr="00137E5D" w:rsidRDefault="004556D7">
            <w:pPr>
              <w:tabs>
                <w:tab w:val="left" w:pos="4111"/>
              </w:tabs>
              <w:spacing w:before="10"/>
              <w:rPr>
                <w:sz w:val="22"/>
                <w:lang w:val="en-US"/>
              </w:rPr>
            </w:pPr>
            <w:r w:rsidRPr="00137E5D">
              <w:rPr>
                <w:sz w:val="22"/>
                <w:lang w:val="en-US"/>
              </w:rPr>
              <w:br/>
              <w:t>Tel:</w:t>
            </w:r>
          </w:p>
          <w:p w:rsidR="004556D7" w:rsidRPr="00137E5D" w:rsidRDefault="004556D7">
            <w:pPr>
              <w:tabs>
                <w:tab w:val="left" w:pos="4111"/>
              </w:tabs>
              <w:spacing w:before="10"/>
              <w:rPr>
                <w:rFonts w:ascii="Futura Lt BT" w:hAnsi="Futura Lt BT"/>
                <w:sz w:val="20"/>
                <w:lang w:val="en-US"/>
              </w:rPr>
            </w:pPr>
            <w:r w:rsidRPr="00137E5D">
              <w:rPr>
                <w:sz w:val="22"/>
                <w:lang w:val="en-US"/>
              </w:rPr>
              <w:t>Fax:</w:t>
            </w:r>
          </w:p>
        </w:tc>
        <w:tc>
          <w:tcPr>
            <w:tcW w:w="4436" w:type="dxa"/>
          </w:tcPr>
          <w:p w:rsidR="004556D7" w:rsidRPr="00137E5D" w:rsidRDefault="000D4E75" w:rsidP="005A619A">
            <w:pPr>
              <w:tabs>
                <w:tab w:val="left" w:pos="4111"/>
              </w:tabs>
              <w:spacing w:before="0"/>
              <w:rPr>
                <w:b/>
                <w:lang w:val="en-US"/>
              </w:rPr>
            </w:pPr>
            <w:r w:rsidRPr="00137E5D">
              <w:rPr>
                <w:b/>
                <w:lang w:val="en-US"/>
              </w:rPr>
              <w:t xml:space="preserve">TSB Circular </w:t>
            </w:r>
            <w:r w:rsidR="005A619A" w:rsidRPr="00137E5D">
              <w:rPr>
                <w:b/>
                <w:lang w:val="en-US"/>
              </w:rPr>
              <w:t>311</w:t>
            </w:r>
          </w:p>
          <w:p w:rsidR="004556D7" w:rsidRPr="00137E5D" w:rsidRDefault="004556D7" w:rsidP="002E5AC3">
            <w:pPr>
              <w:tabs>
                <w:tab w:val="left" w:pos="4111"/>
              </w:tabs>
              <w:spacing w:before="0"/>
              <w:rPr>
                <w:b/>
                <w:lang w:val="en-US"/>
              </w:rPr>
            </w:pPr>
            <w:r w:rsidRPr="00137E5D">
              <w:rPr>
                <w:lang w:val="en-US"/>
              </w:rPr>
              <w:t xml:space="preserve">COM </w:t>
            </w:r>
            <w:r w:rsidR="000D4E75" w:rsidRPr="00137E5D">
              <w:rPr>
                <w:lang w:val="en-US"/>
              </w:rPr>
              <w:t>17</w:t>
            </w:r>
            <w:r w:rsidRPr="00137E5D">
              <w:rPr>
                <w:lang w:val="en-US"/>
              </w:rPr>
              <w:t>/</w:t>
            </w:r>
            <w:r w:rsidR="002E5AC3" w:rsidRPr="00137E5D">
              <w:rPr>
                <w:lang w:val="en-US"/>
              </w:rPr>
              <w:t>MEU</w:t>
            </w:r>
          </w:p>
          <w:p w:rsidR="004556D7" w:rsidRPr="00137E5D" w:rsidRDefault="004556D7">
            <w:pPr>
              <w:tabs>
                <w:tab w:val="left" w:pos="4111"/>
              </w:tabs>
              <w:spacing w:before="0"/>
              <w:rPr>
                <w:lang w:val="en-US"/>
              </w:rPr>
            </w:pPr>
            <w:r w:rsidRPr="00137E5D">
              <w:rPr>
                <w:lang w:val="en-US"/>
              </w:rPr>
              <w:br/>
              <w:t xml:space="preserve">+41 22 730 </w:t>
            </w:r>
            <w:r w:rsidR="002E5AC3" w:rsidRPr="00137E5D">
              <w:rPr>
                <w:lang w:val="en-US"/>
              </w:rPr>
              <w:t>5866</w:t>
            </w:r>
            <w:r w:rsidRPr="00137E5D">
              <w:rPr>
                <w:lang w:val="en-US"/>
              </w:rPr>
              <w:br/>
              <w:t>+41 22 730 5853</w:t>
            </w:r>
          </w:p>
        </w:tc>
        <w:tc>
          <w:tcPr>
            <w:tcW w:w="4436" w:type="dxa"/>
          </w:tcPr>
          <w:p w:rsidR="004556D7" w:rsidRPr="00137E5D" w:rsidRDefault="004556D7">
            <w:pPr>
              <w:tabs>
                <w:tab w:val="clear" w:pos="794"/>
                <w:tab w:val="clear" w:pos="1191"/>
                <w:tab w:val="clear" w:pos="1588"/>
                <w:tab w:val="clear" w:pos="1985"/>
                <w:tab w:val="left" w:pos="284"/>
              </w:tabs>
              <w:spacing w:before="0"/>
              <w:ind w:left="284" w:hanging="284"/>
              <w:rPr>
                <w:lang w:val="en-US"/>
              </w:rPr>
            </w:pPr>
            <w:bookmarkStart w:id="2" w:name="Addressee_E"/>
            <w:bookmarkEnd w:id="2"/>
            <w:r w:rsidRPr="00137E5D">
              <w:rPr>
                <w:lang w:val="en-US"/>
              </w:rPr>
              <w:t>-</w:t>
            </w:r>
            <w:r w:rsidRPr="00137E5D">
              <w:rPr>
                <w:lang w:val="en-US"/>
              </w:rPr>
              <w:tab/>
              <w:t>To Administrations of Member States of the Union</w:t>
            </w:r>
          </w:p>
        </w:tc>
      </w:tr>
      <w:tr w:rsidR="004556D7" w:rsidRPr="00137E5D">
        <w:trPr>
          <w:cantSplit/>
        </w:trPr>
        <w:tc>
          <w:tcPr>
            <w:tcW w:w="993" w:type="dxa"/>
          </w:tcPr>
          <w:p w:rsidR="004556D7" w:rsidRPr="00137E5D" w:rsidRDefault="004556D7">
            <w:pPr>
              <w:spacing w:before="10"/>
              <w:rPr>
                <w:lang w:val="en-US"/>
              </w:rPr>
            </w:pPr>
            <w:r w:rsidRPr="00137E5D">
              <w:rPr>
                <w:lang w:val="en-US"/>
              </w:rPr>
              <w:t>E-mail:</w:t>
            </w:r>
          </w:p>
        </w:tc>
        <w:tc>
          <w:tcPr>
            <w:tcW w:w="4436" w:type="dxa"/>
          </w:tcPr>
          <w:p w:rsidR="004556D7" w:rsidRPr="00137E5D" w:rsidRDefault="00E97170" w:rsidP="000D4E75">
            <w:pPr>
              <w:tabs>
                <w:tab w:val="left" w:pos="4111"/>
              </w:tabs>
              <w:spacing w:before="0"/>
              <w:rPr>
                <w:lang w:val="en-US"/>
              </w:rPr>
            </w:pPr>
            <w:hyperlink r:id="rId10" w:history="1">
              <w:r w:rsidR="000D4E75" w:rsidRPr="00137E5D">
                <w:rPr>
                  <w:rStyle w:val="Hyperlink"/>
                  <w:lang w:val="en-US"/>
                </w:rPr>
                <w:t>tsbsg17@itu.int</w:t>
              </w:r>
            </w:hyperlink>
            <w:r w:rsidR="005C7BD2" w:rsidRPr="00137E5D">
              <w:rPr>
                <w:lang w:val="en-US"/>
              </w:rPr>
              <w:t xml:space="preserve"> </w:t>
            </w:r>
          </w:p>
        </w:tc>
        <w:tc>
          <w:tcPr>
            <w:tcW w:w="4436" w:type="dxa"/>
          </w:tcPr>
          <w:p w:rsidR="004556D7" w:rsidRPr="00137E5D" w:rsidRDefault="004556D7">
            <w:pPr>
              <w:tabs>
                <w:tab w:val="left" w:pos="4111"/>
              </w:tabs>
              <w:spacing w:before="0"/>
              <w:rPr>
                <w:b/>
                <w:lang w:val="en-US"/>
              </w:rPr>
            </w:pPr>
            <w:r w:rsidRPr="00137E5D">
              <w:rPr>
                <w:b/>
                <w:lang w:val="en-US"/>
              </w:rPr>
              <w:t>Copy:</w:t>
            </w:r>
          </w:p>
          <w:p w:rsidR="004556D7" w:rsidRPr="00137E5D" w:rsidRDefault="004556D7">
            <w:pPr>
              <w:tabs>
                <w:tab w:val="clear" w:pos="794"/>
                <w:tab w:val="left" w:pos="141"/>
                <w:tab w:val="left" w:pos="4111"/>
              </w:tabs>
              <w:spacing w:before="0"/>
              <w:rPr>
                <w:lang w:val="en-US"/>
              </w:rPr>
            </w:pPr>
            <w:r w:rsidRPr="00137E5D">
              <w:rPr>
                <w:lang w:val="en-US"/>
              </w:rPr>
              <w:t>-</w:t>
            </w:r>
            <w:r w:rsidRPr="00137E5D">
              <w:rPr>
                <w:lang w:val="en-US"/>
              </w:rPr>
              <w:tab/>
              <w:t>To ITU-T Sector Members;</w:t>
            </w:r>
          </w:p>
          <w:p w:rsidR="004556D7" w:rsidRPr="00137E5D" w:rsidRDefault="004556D7">
            <w:pPr>
              <w:tabs>
                <w:tab w:val="clear" w:pos="794"/>
                <w:tab w:val="left" w:pos="141"/>
                <w:tab w:val="left" w:pos="4111"/>
              </w:tabs>
              <w:spacing w:before="0"/>
              <w:rPr>
                <w:lang w:val="en-US"/>
              </w:rPr>
            </w:pPr>
            <w:r w:rsidRPr="00137E5D">
              <w:rPr>
                <w:lang w:val="en-US"/>
              </w:rPr>
              <w:t>- To ITU-T Associates;</w:t>
            </w:r>
          </w:p>
          <w:p w:rsidR="003B4D2F" w:rsidRPr="00137E5D" w:rsidRDefault="003B4D2F" w:rsidP="003B4D2F">
            <w:pPr>
              <w:tabs>
                <w:tab w:val="clear" w:pos="794"/>
                <w:tab w:val="left" w:pos="141"/>
                <w:tab w:val="left" w:pos="4111"/>
              </w:tabs>
              <w:spacing w:before="0"/>
            </w:pPr>
            <w:r w:rsidRPr="00137E5D">
              <w:rPr>
                <w:lang w:val="en-US"/>
              </w:rPr>
              <w:t xml:space="preserve">- </w:t>
            </w:r>
            <w:r w:rsidRPr="00137E5D">
              <w:t>To ITU-T Academia;</w:t>
            </w:r>
          </w:p>
          <w:p w:rsidR="004556D7" w:rsidRPr="00137E5D" w:rsidRDefault="004556D7" w:rsidP="000D4E75">
            <w:pPr>
              <w:tabs>
                <w:tab w:val="clear" w:pos="794"/>
                <w:tab w:val="left" w:pos="141"/>
                <w:tab w:val="left" w:pos="4111"/>
              </w:tabs>
              <w:spacing w:before="0"/>
              <w:ind w:left="141" w:hanging="141"/>
              <w:rPr>
                <w:lang w:val="en-US"/>
              </w:rPr>
            </w:pPr>
            <w:r w:rsidRPr="00137E5D">
              <w:rPr>
                <w:lang w:val="en-US"/>
              </w:rPr>
              <w:t>-</w:t>
            </w:r>
            <w:r w:rsidRPr="00137E5D">
              <w:rPr>
                <w:lang w:val="en-US"/>
              </w:rPr>
              <w:tab/>
              <w:t>To the Chairman and Vice-Chairm</w:t>
            </w:r>
            <w:r w:rsidR="005C7BD2" w:rsidRPr="00137E5D">
              <w:rPr>
                <w:lang w:val="en-US"/>
              </w:rPr>
              <w:t>e</w:t>
            </w:r>
            <w:r w:rsidRPr="00137E5D">
              <w:rPr>
                <w:lang w:val="en-US"/>
              </w:rPr>
              <w:t xml:space="preserve">n of Study Group </w:t>
            </w:r>
            <w:r w:rsidR="000D4E75" w:rsidRPr="00137E5D">
              <w:rPr>
                <w:lang w:val="en-US"/>
              </w:rPr>
              <w:t>17</w:t>
            </w:r>
            <w:r w:rsidRPr="00137E5D">
              <w:rPr>
                <w:lang w:val="en-US"/>
              </w:rPr>
              <w:t>;</w:t>
            </w:r>
          </w:p>
          <w:p w:rsidR="004556D7" w:rsidRPr="00137E5D" w:rsidRDefault="004556D7">
            <w:pPr>
              <w:tabs>
                <w:tab w:val="clear" w:pos="794"/>
                <w:tab w:val="left" w:pos="141"/>
                <w:tab w:val="left" w:pos="4111"/>
              </w:tabs>
              <w:spacing w:before="0"/>
              <w:ind w:left="141" w:hanging="141"/>
              <w:rPr>
                <w:lang w:val="en-US"/>
              </w:rPr>
            </w:pPr>
            <w:r w:rsidRPr="00137E5D">
              <w:rPr>
                <w:lang w:val="en-US"/>
              </w:rPr>
              <w:t>-</w:t>
            </w:r>
            <w:r w:rsidRPr="00137E5D">
              <w:rPr>
                <w:lang w:val="en-US"/>
              </w:rPr>
              <w:tab/>
              <w:t>To the Director of the Telecommunication Development Bureau;</w:t>
            </w:r>
          </w:p>
          <w:p w:rsidR="004556D7" w:rsidRPr="00137E5D" w:rsidRDefault="004556D7">
            <w:pPr>
              <w:tabs>
                <w:tab w:val="clear" w:pos="794"/>
                <w:tab w:val="clear" w:pos="1191"/>
                <w:tab w:val="clear" w:pos="1588"/>
                <w:tab w:val="clear" w:pos="1985"/>
                <w:tab w:val="left" w:pos="141"/>
              </w:tabs>
              <w:spacing w:before="0"/>
              <w:ind w:left="141" w:hanging="141"/>
              <w:rPr>
                <w:lang w:val="en-US"/>
              </w:rPr>
            </w:pPr>
            <w:r w:rsidRPr="00137E5D">
              <w:rPr>
                <w:lang w:val="en-US"/>
              </w:rPr>
              <w:t>-</w:t>
            </w:r>
            <w:r w:rsidRPr="00137E5D">
              <w:rPr>
                <w:lang w:val="en-US"/>
              </w:rPr>
              <w:tab/>
              <w:t xml:space="preserve">To the Director of the </w:t>
            </w:r>
            <w:proofErr w:type="spellStart"/>
            <w:r w:rsidRPr="00137E5D">
              <w:rPr>
                <w:lang w:val="en-US"/>
              </w:rPr>
              <w:t>Radiocommunication</w:t>
            </w:r>
            <w:proofErr w:type="spellEnd"/>
            <w:r w:rsidRPr="00137E5D">
              <w:rPr>
                <w:lang w:val="en-US"/>
              </w:rPr>
              <w:t xml:space="preserve"> Bureau</w:t>
            </w:r>
          </w:p>
          <w:p w:rsidR="004556D7" w:rsidRPr="00137E5D" w:rsidRDefault="004556D7">
            <w:pPr>
              <w:tabs>
                <w:tab w:val="clear" w:pos="794"/>
                <w:tab w:val="clear" w:pos="1191"/>
                <w:tab w:val="clear" w:pos="1588"/>
                <w:tab w:val="clear" w:pos="1985"/>
                <w:tab w:val="left" w:pos="284"/>
              </w:tabs>
              <w:spacing w:before="0"/>
              <w:ind w:left="284" w:hanging="284"/>
              <w:rPr>
                <w:lang w:val="en-US"/>
              </w:rPr>
            </w:pPr>
          </w:p>
        </w:tc>
      </w:tr>
    </w:tbl>
    <w:p w:rsidR="004556D7" w:rsidRPr="00137E5D" w:rsidRDefault="004556D7">
      <w:pPr>
        <w:spacing w:before="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4556D7" w:rsidRPr="00137E5D" w:rsidTr="00DD47A3">
        <w:trPr>
          <w:cantSplit/>
        </w:trPr>
        <w:tc>
          <w:tcPr>
            <w:tcW w:w="1100" w:type="dxa"/>
          </w:tcPr>
          <w:p w:rsidR="004556D7" w:rsidRPr="00137E5D" w:rsidRDefault="004556D7">
            <w:pPr>
              <w:tabs>
                <w:tab w:val="left" w:pos="4111"/>
              </w:tabs>
              <w:spacing w:before="10"/>
              <w:ind w:left="57"/>
              <w:rPr>
                <w:sz w:val="22"/>
                <w:lang w:val="en-US"/>
              </w:rPr>
            </w:pPr>
            <w:r w:rsidRPr="00137E5D">
              <w:rPr>
                <w:sz w:val="22"/>
                <w:lang w:val="en-US"/>
              </w:rPr>
              <w:t>Subject:</w:t>
            </w:r>
          </w:p>
        </w:tc>
        <w:tc>
          <w:tcPr>
            <w:tcW w:w="7087" w:type="dxa"/>
          </w:tcPr>
          <w:p w:rsidR="004556D7" w:rsidRPr="00137E5D" w:rsidRDefault="004556D7" w:rsidP="00437720">
            <w:pPr>
              <w:tabs>
                <w:tab w:val="left" w:pos="4111"/>
              </w:tabs>
              <w:spacing w:before="0"/>
              <w:ind w:left="57" w:right="-284"/>
              <w:rPr>
                <w:lang w:val="en-US"/>
              </w:rPr>
            </w:pPr>
            <w:r w:rsidRPr="00137E5D">
              <w:rPr>
                <w:b/>
                <w:lang w:val="en-US"/>
              </w:rPr>
              <w:t xml:space="preserve">Meeting of Study Group </w:t>
            </w:r>
            <w:r w:rsidR="000D4E75" w:rsidRPr="00137E5D">
              <w:rPr>
                <w:b/>
                <w:lang w:val="en-US"/>
              </w:rPr>
              <w:t>17</w:t>
            </w:r>
            <w:r w:rsidRPr="00137E5D">
              <w:rPr>
                <w:b/>
                <w:lang w:val="en-US"/>
              </w:rPr>
              <w:t xml:space="preserve"> with a view to approving </w:t>
            </w:r>
            <w:r w:rsidR="000D4E75" w:rsidRPr="00137E5D">
              <w:rPr>
                <w:b/>
                <w:lang w:val="en-US"/>
              </w:rPr>
              <w:t>draft new Recommendation</w:t>
            </w:r>
            <w:r w:rsidRPr="00137E5D">
              <w:rPr>
                <w:b/>
                <w:lang w:val="en-US"/>
              </w:rPr>
              <w:t>s</w:t>
            </w:r>
            <w:r w:rsidR="00FB4C63" w:rsidRPr="00137E5D">
              <w:rPr>
                <w:b/>
                <w:lang w:val="en-US"/>
              </w:rPr>
              <w:t xml:space="preserve"> ITU-T </w:t>
            </w:r>
            <w:r w:rsidR="003E71DE" w:rsidRPr="00137E5D">
              <w:rPr>
                <w:b/>
                <w:lang w:val="en-US"/>
              </w:rPr>
              <w:t>X.1</w:t>
            </w:r>
            <w:r w:rsidR="00250DC2" w:rsidRPr="00137E5D">
              <w:rPr>
                <w:b/>
                <w:lang w:val="en-US"/>
              </w:rPr>
              <w:t>126</w:t>
            </w:r>
            <w:r w:rsidR="003B5DA6" w:rsidRPr="00137E5D">
              <w:rPr>
                <w:b/>
                <w:lang w:val="en-US"/>
              </w:rPr>
              <w:t xml:space="preserve">, </w:t>
            </w:r>
            <w:r w:rsidR="009C7059" w:rsidRPr="00137E5D">
              <w:rPr>
                <w:b/>
                <w:lang w:val="en-US"/>
              </w:rPr>
              <w:t>X.1</w:t>
            </w:r>
            <w:r w:rsidR="00250DC2" w:rsidRPr="00137E5D">
              <w:rPr>
                <w:b/>
                <w:lang w:val="en-US"/>
              </w:rPr>
              <w:t>154</w:t>
            </w:r>
            <w:r w:rsidR="009C7059" w:rsidRPr="00137E5D">
              <w:rPr>
                <w:b/>
                <w:lang w:val="en-US"/>
              </w:rPr>
              <w:t xml:space="preserve">, </w:t>
            </w:r>
            <w:r w:rsidR="003E71DE" w:rsidRPr="00137E5D">
              <w:rPr>
                <w:b/>
                <w:lang w:val="en-US"/>
              </w:rPr>
              <w:t>X.152</w:t>
            </w:r>
            <w:r w:rsidR="00250DC2" w:rsidRPr="00137E5D">
              <w:rPr>
                <w:b/>
                <w:lang w:val="en-US"/>
              </w:rPr>
              <w:t>6</w:t>
            </w:r>
            <w:r w:rsidR="009C7059" w:rsidRPr="00137E5D">
              <w:rPr>
                <w:b/>
                <w:lang w:val="en-US"/>
              </w:rPr>
              <w:t xml:space="preserve"> and X.15</w:t>
            </w:r>
            <w:r w:rsidR="00250DC2" w:rsidRPr="00137E5D">
              <w:rPr>
                <w:b/>
                <w:lang w:val="en-US"/>
              </w:rPr>
              <w:t>44</w:t>
            </w:r>
            <w:r w:rsidR="0003331E" w:rsidRPr="00137E5D">
              <w:rPr>
                <w:b/>
                <w:lang w:val="en-US"/>
              </w:rPr>
              <w:t xml:space="preserve"> </w:t>
            </w:r>
            <w:r w:rsidRPr="00137E5D">
              <w:rPr>
                <w:b/>
                <w:lang w:val="en-US"/>
              </w:rPr>
              <w:t>in accordance with the provisions of Resolution 1, Section 9, of WTSA (</w:t>
            </w:r>
            <w:r w:rsidR="005C7BD2" w:rsidRPr="00137E5D">
              <w:rPr>
                <w:b/>
                <w:lang w:val="en-US"/>
              </w:rPr>
              <w:t>Johannesburg, 2008</w:t>
            </w:r>
            <w:r w:rsidRPr="00137E5D">
              <w:rPr>
                <w:b/>
                <w:lang w:val="en-US"/>
              </w:rPr>
              <w:t>)</w:t>
            </w:r>
            <w:r w:rsidR="005D0EE8" w:rsidRPr="00137E5D">
              <w:rPr>
                <w:b/>
                <w:lang w:val="en-US"/>
              </w:rPr>
              <w:t>,</w:t>
            </w:r>
            <w:r w:rsidR="005D0EE8" w:rsidRPr="00137E5D">
              <w:rPr>
                <w:b/>
                <w:lang w:val="en-US"/>
              </w:rPr>
              <w:br/>
            </w:r>
            <w:r w:rsidRPr="00137E5D">
              <w:rPr>
                <w:b/>
                <w:lang w:val="en-US"/>
              </w:rPr>
              <w:t xml:space="preserve">Geneva, </w:t>
            </w:r>
            <w:r w:rsidR="00250DC2" w:rsidRPr="00137E5D">
              <w:rPr>
                <w:b/>
                <w:lang w:val="en-US"/>
              </w:rPr>
              <w:t>26 April</w:t>
            </w:r>
            <w:r w:rsidR="000D4E75" w:rsidRPr="00137E5D">
              <w:rPr>
                <w:b/>
                <w:lang w:val="en-US"/>
              </w:rPr>
              <w:t xml:space="preserve"> 201</w:t>
            </w:r>
            <w:r w:rsidR="00250DC2" w:rsidRPr="00137E5D">
              <w:rPr>
                <w:b/>
                <w:lang w:val="en-US"/>
              </w:rPr>
              <w:t>3</w:t>
            </w:r>
          </w:p>
        </w:tc>
      </w:tr>
    </w:tbl>
    <w:p w:rsidR="004556D7" w:rsidRPr="00137E5D" w:rsidRDefault="004556D7">
      <w:pPr>
        <w:rPr>
          <w:lang w:val="en-US"/>
        </w:rPr>
      </w:pPr>
      <w:bookmarkStart w:id="3" w:name="StartTyping_E"/>
      <w:bookmarkEnd w:id="3"/>
    </w:p>
    <w:p w:rsidR="004556D7" w:rsidRPr="00137E5D" w:rsidRDefault="004556D7">
      <w:pPr>
        <w:rPr>
          <w:lang w:val="en-US"/>
        </w:rPr>
      </w:pPr>
    </w:p>
    <w:p w:rsidR="004556D7" w:rsidRPr="00137E5D" w:rsidRDefault="004556D7">
      <w:pPr>
        <w:rPr>
          <w:lang w:val="en-US"/>
        </w:rPr>
      </w:pPr>
      <w:r w:rsidRPr="00137E5D">
        <w:rPr>
          <w:lang w:val="en-US"/>
        </w:rPr>
        <w:t>Dear Sir/Madam,</w:t>
      </w:r>
    </w:p>
    <w:p w:rsidR="005C4DF9" w:rsidRPr="00137E5D" w:rsidRDefault="004556D7" w:rsidP="005A36D0">
      <w:pPr>
        <w:rPr>
          <w:lang w:val="en-US"/>
        </w:rPr>
      </w:pPr>
      <w:r w:rsidRPr="00137E5D">
        <w:rPr>
          <w:bCs/>
          <w:lang w:val="en-US"/>
        </w:rPr>
        <w:t>1</w:t>
      </w:r>
      <w:r w:rsidRPr="00137E5D">
        <w:rPr>
          <w:lang w:val="en-US"/>
        </w:rPr>
        <w:tab/>
        <w:t xml:space="preserve">At the request of the Chairman of Study Group </w:t>
      </w:r>
      <w:r w:rsidR="000D4E75" w:rsidRPr="00137E5D">
        <w:rPr>
          <w:lang w:val="en-US"/>
        </w:rPr>
        <w:t>17</w:t>
      </w:r>
      <w:r w:rsidRPr="00137E5D">
        <w:rPr>
          <w:lang w:val="en-US"/>
        </w:rPr>
        <w:t xml:space="preserve">, </w:t>
      </w:r>
      <w:r w:rsidR="000D4E75" w:rsidRPr="00137E5D">
        <w:rPr>
          <w:i/>
          <w:iCs/>
          <w:szCs w:val="24"/>
          <w:lang w:val="en-US"/>
        </w:rPr>
        <w:t>Security</w:t>
      </w:r>
      <w:r w:rsidRPr="00137E5D">
        <w:rPr>
          <w:lang w:val="en-US"/>
        </w:rPr>
        <w:t xml:space="preserve">, I have the </w:t>
      </w:r>
      <w:proofErr w:type="spellStart"/>
      <w:r w:rsidRPr="00137E5D">
        <w:rPr>
          <w:lang w:val="en-US"/>
        </w:rPr>
        <w:t>honour</w:t>
      </w:r>
      <w:proofErr w:type="spellEnd"/>
      <w:r w:rsidRPr="00137E5D">
        <w:rPr>
          <w:lang w:val="en-US"/>
        </w:rPr>
        <w:t xml:space="preserve"> to inform you that this </w:t>
      </w:r>
      <w:r w:rsidR="00F33EDB" w:rsidRPr="00137E5D">
        <w:rPr>
          <w:lang w:val="en-US"/>
        </w:rPr>
        <w:t>S</w:t>
      </w:r>
      <w:r w:rsidRPr="00137E5D">
        <w:rPr>
          <w:lang w:val="en-US"/>
        </w:rPr>
        <w:t xml:space="preserve">tudy </w:t>
      </w:r>
      <w:r w:rsidR="00F33EDB" w:rsidRPr="00137E5D">
        <w:rPr>
          <w:lang w:val="en-US"/>
        </w:rPr>
        <w:t>G</w:t>
      </w:r>
      <w:r w:rsidR="00D36174" w:rsidRPr="00137E5D">
        <w:rPr>
          <w:lang w:val="en-US"/>
        </w:rPr>
        <w:t>roup, which will meet from</w:t>
      </w:r>
      <w:r w:rsidR="00233178" w:rsidRPr="00137E5D">
        <w:rPr>
          <w:lang w:val="en-US"/>
        </w:rPr>
        <w:t xml:space="preserve"> </w:t>
      </w:r>
      <w:r w:rsidR="005A619A" w:rsidRPr="00137E5D">
        <w:rPr>
          <w:lang w:val="en-US"/>
        </w:rPr>
        <w:t>17 to 26 April</w:t>
      </w:r>
      <w:r w:rsidR="00946AAE" w:rsidRPr="00137E5D">
        <w:rPr>
          <w:lang w:val="en-US"/>
        </w:rPr>
        <w:t xml:space="preserve"> 201</w:t>
      </w:r>
      <w:r w:rsidR="005A36D0" w:rsidRPr="00137E5D">
        <w:rPr>
          <w:lang w:val="en-US"/>
        </w:rPr>
        <w:t>3</w:t>
      </w:r>
      <w:r w:rsidRPr="00137E5D">
        <w:rPr>
          <w:lang w:val="en-US"/>
        </w:rPr>
        <w:t>, intends to apply the procedure described in Resolution 1, Section </w:t>
      </w:r>
      <w:proofErr w:type="gramStart"/>
      <w:r w:rsidRPr="00137E5D">
        <w:rPr>
          <w:lang w:val="en-US"/>
        </w:rPr>
        <w:t>9,</w:t>
      </w:r>
      <w:proofErr w:type="gramEnd"/>
      <w:r w:rsidRPr="00137E5D">
        <w:rPr>
          <w:lang w:val="en-US"/>
        </w:rPr>
        <w:t xml:space="preserve"> of WTSA (</w:t>
      </w:r>
      <w:r w:rsidR="005C7BD2" w:rsidRPr="00137E5D">
        <w:rPr>
          <w:lang w:val="en-US"/>
        </w:rPr>
        <w:t>Johannesburg, 2008</w:t>
      </w:r>
      <w:r w:rsidRPr="00137E5D">
        <w:rPr>
          <w:lang w:val="en-US"/>
        </w:rPr>
        <w:t xml:space="preserve">) for the approval of </w:t>
      </w:r>
      <w:r w:rsidR="00EE6D69" w:rsidRPr="00137E5D">
        <w:rPr>
          <w:lang w:val="en-US"/>
        </w:rPr>
        <w:t xml:space="preserve">the above-mentioned draft </w:t>
      </w:r>
      <w:r w:rsidRPr="00137E5D">
        <w:rPr>
          <w:lang w:val="en-US"/>
        </w:rPr>
        <w:t>new Recommendations.</w:t>
      </w:r>
    </w:p>
    <w:p w:rsidR="004556D7" w:rsidRPr="00137E5D" w:rsidRDefault="004556D7" w:rsidP="000D4E75">
      <w:pPr>
        <w:rPr>
          <w:lang w:val="en-US"/>
        </w:rPr>
      </w:pPr>
      <w:r w:rsidRPr="00137E5D">
        <w:rPr>
          <w:bCs/>
          <w:lang w:val="en-US"/>
        </w:rPr>
        <w:t>2</w:t>
      </w:r>
      <w:r w:rsidRPr="00137E5D">
        <w:rPr>
          <w:lang w:val="en-US"/>
        </w:rPr>
        <w:tab/>
        <w:t xml:space="preserve">The </w:t>
      </w:r>
      <w:r w:rsidR="000D4E75" w:rsidRPr="00137E5D">
        <w:rPr>
          <w:lang w:val="en-US"/>
        </w:rPr>
        <w:t>title</w:t>
      </w:r>
      <w:r w:rsidR="00EE6D69" w:rsidRPr="00137E5D">
        <w:rPr>
          <w:lang w:val="en-US"/>
        </w:rPr>
        <w:t xml:space="preserve">s, </w:t>
      </w:r>
      <w:r w:rsidRPr="00137E5D">
        <w:rPr>
          <w:lang w:val="en-US"/>
        </w:rPr>
        <w:t>summaries and location of the dra</w:t>
      </w:r>
      <w:r w:rsidR="000D4E75" w:rsidRPr="00137E5D">
        <w:rPr>
          <w:lang w:val="en-US"/>
        </w:rPr>
        <w:t xml:space="preserve">ft </w:t>
      </w:r>
      <w:r w:rsidRPr="00137E5D">
        <w:rPr>
          <w:lang w:val="en-US"/>
        </w:rPr>
        <w:t xml:space="preserve">new ITU-T Recommendations proposed for approval will be found in </w:t>
      </w:r>
      <w:r w:rsidRPr="00137E5D">
        <w:rPr>
          <w:b/>
          <w:lang w:val="en-US"/>
        </w:rPr>
        <w:t>Annex 1</w:t>
      </w:r>
      <w:r w:rsidRPr="00137E5D">
        <w:rPr>
          <w:lang w:val="en-US"/>
        </w:rPr>
        <w:t>.</w:t>
      </w:r>
    </w:p>
    <w:p w:rsidR="003E620E" w:rsidRPr="00137E5D" w:rsidRDefault="004556D7" w:rsidP="005D0EE8">
      <w:pPr>
        <w:rPr>
          <w:lang w:val="en-US"/>
        </w:rPr>
      </w:pPr>
      <w:r w:rsidRPr="00137E5D">
        <w:rPr>
          <w:bCs/>
          <w:lang w:val="en-US"/>
        </w:rPr>
        <w:t>3</w:t>
      </w:r>
      <w:r w:rsidRPr="00137E5D">
        <w:rPr>
          <w:lang w:val="en-US"/>
        </w:rPr>
        <w:tab/>
        <w:t>Any ITU Member State, Sector Member</w:t>
      </w:r>
      <w:r w:rsidR="005D0EE8" w:rsidRPr="00137E5D">
        <w:rPr>
          <w:lang w:val="en-US"/>
        </w:rPr>
        <w:t>,</w:t>
      </w:r>
      <w:r w:rsidRPr="00137E5D">
        <w:rPr>
          <w:lang w:val="en-US"/>
        </w:rPr>
        <w:t xml:space="preserve"> Associate </w:t>
      </w:r>
      <w:r w:rsidR="005D0EE8" w:rsidRPr="00137E5D">
        <w:rPr>
          <w:lang w:val="en-US"/>
        </w:rPr>
        <w:t>or Academic</w:t>
      </w:r>
      <w:r w:rsidR="000A3957" w:rsidRPr="00137E5D">
        <w:rPr>
          <w:lang w:val="en-US"/>
        </w:rPr>
        <w:t xml:space="preserve"> Institution </w:t>
      </w:r>
      <w:r w:rsidRPr="00137E5D">
        <w:rPr>
          <w:lang w:val="en-US"/>
        </w:rPr>
        <w:t xml:space="preserve">aware of a patent held by </w:t>
      </w:r>
      <w:proofErr w:type="gramStart"/>
      <w:r w:rsidRPr="00137E5D">
        <w:rPr>
          <w:lang w:val="en-US"/>
        </w:rPr>
        <w:t>itself</w:t>
      </w:r>
      <w:proofErr w:type="gramEnd"/>
      <w:r w:rsidRPr="00137E5D">
        <w:rPr>
          <w:lang w:val="en-US"/>
        </w:rPr>
        <w:t xml:space="preserve"> or others which may fully or partly cover elements of the draft Recommendations proposed for approval is requested to disclose such information to TSB, </w:t>
      </w:r>
      <w:r w:rsidR="003E620E" w:rsidRPr="00137E5D">
        <w:rPr>
          <w:lang w:val="en-US"/>
        </w:rPr>
        <w:t>in accordance with the Common Patent Policy for ITU-T/ITU-R/ISO/IEC.</w:t>
      </w:r>
    </w:p>
    <w:p w:rsidR="004556D7" w:rsidRPr="00137E5D" w:rsidRDefault="003E620E" w:rsidP="003E620E">
      <w:pPr>
        <w:ind w:right="-426"/>
        <w:rPr>
          <w:lang w:val="en-US"/>
        </w:rPr>
      </w:pPr>
      <w:r w:rsidRPr="00137E5D">
        <w:rPr>
          <w:lang w:val="en-US"/>
        </w:rPr>
        <w:t>Available patent information can be accessed on</w:t>
      </w:r>
      <w:r w:rsidRPr="00137E5D">
        <w:rPr>
          <w:lang w:val="en-US"/>
        </w:rPr>
        <w:noBreakHyphen/>
        <w:t>line via the ITU</w:t>
      </w:r>
      <w:r w:rsidRPr="00137E5D">
        <w:rPr>
          <w:lang w:val="en-US"/>
        </w:rPr>
        <w:noBreakHyphen/>
        <w:t>T website (</w:t>
      </w:r>
      <w:hyperlink r:id="rId11" w:history="1">
        <w:r w:rsidRPr="00137E5D">
          <w:rPr>
            <w:rStyle w:val="Hyperlink"/>
            <w:lang w:val="en-US"/>
          </w:rPr>
          <w:t>www.itu.int/ITU-T/ipr/</w:t>
        </w:r>
      </w:hyperlink>
      <w:r w:rsidRPr="00137E5D">
        <w:rPr>
          <w:lang w:val="en-US"/>
        </w:rPr>
        <w:t>).</w:t>
      </w:r>
    </w:p>
    <w:p w:rsidR="005C4DF9" w:rsidRPr="00137E5D" w:rsidRDefault="004556D7" w:rsidP="005866D2">
      <w:pPr>
        <w:rPr>
          <w:lang w:val="en-US"/>
        </w:rPr>
      </w:pPr>
      <w:r w:rsidRPr="00137E5D">
        <w:rPr>
          <w:bCs/>
          <w:lang w:val="en-US"/>
        </w:rPr>
        <w:br w:type="page"/>
      </w:r>
      <w:r w:rsidRPr="00137E5D">
        <w:rPr>
          <w:bCs/>
          <w:lang w:val="en-US"/>
        </w:rPr>
        <w:lastRenderedPageBreak/>
        <w:t>4</w:t>
      </w:r>
      <w:r w:rsidRPr="00137E5D">
        <w:rPr>
          <w:lang w:val="en-US"/>
        </w:rPr>
        <w:tab/>
        <w:t xml:space="preserve">Having regard to the provisions of Resolution 1, Section 9, I should be grateful if you would inform me by 2400 hours UTC </w:t>
      </w:r>
      <w:r w:rsidRPr="00137E5D">
        <w:rPr>
          <w:b/>
          <w:lang w:val="en-US"/>
        </w:rPr>
        <w:t xml:space="preserve">on </w:t>
      </w:r>
      <w:r w:rsidR="005866D2" w:rsidRPr="00137E5D">
        <w:rPr>
          <w:b/>
          <w:lang w:val="en-US"/>
        </w:rPr>
        <w:t>5 April</w:t>
      </w:r>
      <w:r w:rsidR="00B839AF" w:rsidRPr="00137E5D">
        <w:rPr>
          <w:b/>
          <w:lang w:val="en-US"/>
        </w:rPr>
        <w:t xml:space="preserve"> 201</w:t>
      </w:r>
      <w:r w:rsidR="00F930F6" w:rsidRPr="00137E5D">
        <w:rPr>
          <w:b/>
          <w:lang w:val="en-US"/>
        </w:rPr>
        <w:t>3</w:t>
      </w:r>
      <w:r w:rsidRPr="00137E5D">
        <w:rPr>
          <w:lang w:val="en-US"/>
        </w:rPr>
        <w:t xml:space="preserve"> whether your Administration assigns authority to Study Group </w:t>
      </w:r>
      <w:r w:rsidR="000D4E75" w:rsidRPr="00137E5D">
        <w:rPr>
          <w:lang w:val="en-US"/>
        </w:rPr>
        <w:t>17</w:t>
      </w:r>
      <w:r w:rsidRPr="00137E5D">
        <w:rPr>
          <w:lang w:val="en-US"/>
        </w:rPr>
        <w:t xml:space="preserve"> that these draft new Recommendations should be considered for approval at the Study Group meeting.</w:t>
      </w:r>
    </w:p>
    <w:p w:rsidR="004556D7" w:rsidRPr="00137E5D" w:rsidRDefault="004556D7" w:rsidP="000D4E75">
      <w:pPr>
        <w:rPr>
          <w:lang w:val="en-US"/>
        </w:rPr>
      </w:pPr>
      <w:r w:rsidRPr="00137E5D">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137E5D" w:rsidRDefault="004556D7" w:rsidP="005F15D5">
      <w:pPr>
        <w:rPr>
          <w:lang w:val="en-US"/>
        </w:rPr>
      </w:pPr>
      <w:r w:rsidRPr="00137E5D">
        <w:rPr>
          <w:bCs/>
          <w:lang w:val="en-US"/>
        </w:rPr>
        <w:t>5</w:t>
      </w:r>
      <w:r w:rsidRPr="00137E5D">
        <w:rPr>
          <w:lang w:val="en-US"/>
        </w:rPr>
        <w:tab/>
        <w:t xml:space="preserve">If 70% or more of the replies from Member States support consideration for approval of these draft new Recommendations at the Study Group meeting, one </w:t>
      </w:r>
      <w:proofErr w:type="gramStart"/>
      <w:r w:rsidRPr="00137E5D">
        <w:rPr>
          <w:lang w:val="en-US"/>
        </w:rPr>
        <w:t>Plenary</w:t>
      </w:r>
      <w:proofErr w:type="gramEnd"/>
      <w:r w:rsidRPr="00137E5D">
        <w:rPr>
          <w:lang w:val="en-US"/>
        </w:rPr>
        <w:t xml:space="preserve"> session will be devoted </w:t>
      </w:r>
      <w:r w:rsidRPr="00137E5D">
        <w:rPr>
          <w:b/>
          <w:lang w:val="en-US"/>
        </w:rPr>
        <w:t xml:space="preserve">on </w:t>
      </w:r>
      <w:r w:rsidR="005F15D5" w:rsidRPr="00137E5D">
        <w:rPr>
          <w:b/>
          <w:lang w:val="en-US"/>
        </w:rPr>
        <w:t>26 April</w:t>
      </w:r>
      <w:r w:rsidR="00946AAE" w:rsidRPr="00137E5D">
        <w:rPr>
          <w:b/>
          <w:lang w:val="en-US"/>
        </w:rPr>
        <w:t xml:space="preserve"> 201</w:t>
      </w:r>
      <w:r w:rsidR="005F15D5" w:rsidRPr="00137E5D">
        <w:rPr>
          <w:b/>
          <w:lang w:val="en-US"/>
        </w:rPr>
        <w:t>3</w:t>
      </w:r>
      <w:r w:rsidR="00946AAE" w:rsidRPr="00137E5D">
        <w:rPr>
          <w:b/>
          <w:lang w:val="en-US"/>
        </w:rPr>
        <w:t xml:space="preserve"> </w:t>
      </w:r>
      <w:r w:rsidRPr="00137E5D">
        <w:rPr>
          <w:lang w:val="en-US"/>
        </w:rPr>
        <w:t>to apply the approval procedure.</w:t>
      </w:r>
    </w:p>
    <w:p w:rsidR="004556D7" w:rsidRPr="00137E5D" w:rsidRDefault="004556D7">
      <w:pPr>
        <w:rPr>
          <w:lang w:val="en-US"/>
        </w:rPr>
      </w:pPr>
      <w:r w:rsidRPr="00137E5D">
        <w:rPr>
          <w:lang w:val="en-US"/>
        </w:rPr>
        <w:t xml:space="preserve">I accordingly invite your Administration to send a representative to the meeting. </w:t>
      </w:r>
      <w:r w:rsidRPr="00137E5D">
        <w:rPr>
          <w:b/>
          <w:lang w:val="en-US"/>
        </w:rPr>
        <w:t>The Administrations of Member States of the Union</w:t>
      </w:r>
      <w:r w:rsidRPr="00137E5D">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137E5D">
      <w:pPr>
        <w:rPr>
          <w:lang w:val="en-US"/>
        </w:rPr>
      </w:pPr>
      <w:r w:rsidRPr="00137E5D">
        <w:rPr>
          <w:bCs/>
          <w:lang w:val="en-US"/>
        </w:rPr>
        <w:t>6</w:t>
      </w:r>
      <w:r w:rsidRPr="00137E5D">
        <w:rPr>
          <w:lang w:val="en-US"/>
        </w:rPr>
        <w:tab/>
        <w:t>The agenda and all relevant information concerning the Study Group </w:t>
      </w:r>
      <w:r w:rsidR="000D4E75" w:rsidRPr="00137E5D">
        <w:rPr>
          <w:lang w:val="en-US"/>
        </w:rPr>
        <w:t>17</w:t>
      </w:r>
      <w:r w:rsidRPr="00137E5D">
        <w:rPr>
          <w:lang w:val="en-US"/>
        </w:rPr>
        <w:t xml:space="preserve"> meeting wi</w:t>
      </w:r>
      <w:r w:rsidR="000D0987" w:rsidRPr="00137E5D">
        <w:rPr>
          <w:lang w:val="en-US"/>
        </w:rPr>
        <w:t>ll be available from</w:t>
      </w:r>
      <w:r w:rsidR="00437720">
        <w:rPr>
          <w:lang w:val="en-US"/>
        </w:rPr>
        <w:t xml:space="preserve"> the</w:t>
      </w:r>
      <w:r w:rsidR="000D0987" w:rsidRPr="00137E5D">
        <w:rPr>
          <w:lang w:val="en-US"/>
        </w:rPr>
        <w:t xml:space="preserve"> Collective </w:t>
      </w:r>
      <w:r w:rsidR="000D4E75" w:rsidRPr="00137E5D">
        <w:rPr>
          <w:lang w:val="en-US"/>
        </w:rPr>
        <w:t xml:space="preserve">letter </w:t>
      </w:r>
      <w:r w:rsidR="00137E5D" w:rsidRPr="00137E5D">
        <w:t>to be issued in the future</w:t>
      </w:r>
      <w:r w:rsidR="000D4E75" w:rsidRPr="00137E5D">
        <w:rPr>
          <w:lang w:val="en-US"/>
        </w:rPr>
        <w:t>.</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F22759" w:rsidRDefault="000D4E75" w:rsidP="00437720">
      <w:pPr>
        <w:pStyle w:val="AppendixRef"/>
        <w:spacing w:before="0"/>
        <w:rPr>
          <w:b/>
          <w:bCs/>
          <w:lang w:val="en-US"/>
        </w:rPr>
      </w:pPr>
      <w:r w:rsidRPr="005D0E19">
        <w:rPr>
          <w:lang w:val="en-US"/>
        </w:rPr>
        <w:br w:type="page"/>
      </w:r>
      <w:r w:rsidRPr="00F22759">
        <w:rPr>
          <w:b/>
          <w:bCs/>
          <w:lang w:val="en-US"/>
        </w:rPr>
        <w:lastRenderedPageBreak/>
        <w:t>ANNEX 1</w:t>
      </w:r>
      <w:r w:rsidRPr="00F22759">
        <w:rPr>
          <w:b/>
          <w:bCs/>
          <w:lang w:val="en-US"/>
        </w:rPr>
        <w:br/>
        <w:t xml:space="preserve">(to TSB Circular </w:t>
      </w:r>
      <w:r w:rsidR="0076472D">
        <w:rPr>
          <w:b/>
          <w:bCs/>
          <w:lang w:val="en-US"/>
        </w:rPr>
        <w:t>311</w:t>
      </w:r>
      <w:r w:rsidRPr="00F22759">
        <w:rPr>
          <w:b/>
          <w:bCs/>
          <w:lang w:val="en-US"/>
        </w:rPr>
        <w:t>)</w:t>
      </w:r>
    </w:p>
    <w:p w:rsidR="000D4E75" w:rsidRPr="005D0E19" w:rsidRDefault="000D4E75" w:rsidP="000D4E75">
      <w:pPr>
        <w:spacing w:before="240"/>
        <w:jc w:val="center"/>
        <w:rPr>
          <w:szCs w:val="24"/>
          <w:lang w:val="en-US"/>
        </w:rPr>
      </w:pPr>
      <w:r w:rsidRPr="005D0E19">
        <w:rPr>
          <w:b/>
          <w:bCs/>
          <w:szCs w:val="24"/>
          <w:lang w:val="en-US"/>
        </w:rPr>
        <w:t>Summary and location of the texts</w:t>
      </w:r>
    </w:p>
    <w:p w:rsidR="007E46BB" w:rsidRPr="005D0E19" w:rsidRDefault="0047521D" w:rsidP="003643B7">
      <w:pPr>
        <w:spacing w:before="360"/>
        <w:rPr>
          <w:b/>
          <w:bCs/>
          <w:sz w:val="28"/>
          <w:szCs w:val="28"/>
          <w:lang w:val="en-US"/>
        </w:rPr>
      </w:pPr>
      <w:r w:rsidRPr="0047521D">
        <w:rPr>
          <w:b/>
          <w:bCs/>
          <w:lang w:val="en-US"/>
        </w:rPr>
        <w:t>Draft new Recommendation ITU-T X.1126 (X.msec-6)</w:t>
      </w:r>
      <w:r w:rsidR="00946AAE" w:rsidRPr="005D0E19">
        <w:rPr>
          <w:b/>
          <w:bCs/>
          <w:lang w:val="en-US"/>
        </w:rPr>
        <w:t xml:space="preserve">, </w:t>
      </w:r>
      <w:r w:rsidRPr="0047521D">
        <w:rPr>
          <w:b/>
          <w:bCs/>
          <w:lang w:val="en-US"/>
        </w:rPr>
        <w:t>Security aspects of smartphones</w:t>
      </w:r>
      <w:r w:rsidR="007E46BB" w:rsidRPr="005D0E19">
        <w:rPr>
          <w:b/>
          <w:bCs/>
          <w:lang w:val="en-US"/>
        </w:rPr>
        <w:br/>
      </w:r>
      <w:r w:rsidR="00BF5286" w:rsidRPr="00BF5286">
        <w:rPr>
          <w:b/>
          <w:bCs/>
          <w:szCs w:val="24"/>
          <w:lang w:val="en-US"/>
        </w:rPr>
        <w:t>COM 17 – R 67</w:t>
      </w:r>
    </w:p>
    <w:p w:rsidR="007E46BB" w:rsidRPr="005D0E19" w:rsidRDefault="007E46BB" w:rsidP="007E46BB">
      <w:pPr>
        <w:rPr>
          <w:b/>
          <w:lang w:val="en-US"/>
        </w:rPr>
      </w:pPr>
      <w:r w:rsidRPr="005D0E19">
        <w:rPr>
          <w:b/>
          <w:lang w:val="en-US"/>
        </w:rPr>
        <w:t>Summary</w:t>
      </w:r>
    </w:p>
    <w:p w:rsidR="00A8115F" w:rsidRPr="00D51292" w:rsidRDefault="00A8115F" w:rsidP="00A8115F">
      <w:pPr>
        <w:rPr>
          <w:lang w:eastAsia="zh-CN"/>
        </w:rPr>
      </w:pPr>
      <w:r w:rsidRPr="0072428C">
        <w:rPr>
          <w:lang w:eastAsia="zh-CN"/>
        </w:rPr>
        <w:t xml:space="preserve">With </w:t>
      </w:r>
      <w:r w:rsidR="00980F62">
        <w:rPr>
          <w:lang w:eastAsia="zh-CN"/>
        </w:rPr>
        <w:t xml:space="preserve">the </w:t>
      </w:r>
      <w:r w:rsidRPr="0072428C">
        <w:rPr>
          <w:lang w:eastAsia="zh-CN"/>
        </w:rPr>
        <w:t>continuous development of functionalities and expansion of applications, smartphones are facing many security threats, which can cause serious social and economic problems. The</w:t>
      </w:r>
      <w:r w:rsidRPr="00D51292">
        <w:rPr>
          <w:lang w:eastAsia="zh-CN"/>
        </w:rPr>
        <w:t xml:space="preserve"> objectives of Recommendation ITU-T X.1126 are to protect the personal privacy of users and to improve information security of smartphones.</w:t>
      </w:r>
    </w:p>
    <w:p w:rsidR="00A8115F" w:rsidRPr="00D51292" w:rsidRDefault="00A8115F" w:rsidP="00A8115F">
      <w:pPr>
        <w:rPr>
          <w:lang w:eastAsia="zh-CN"/>
        </w:rPr>
      </w:pPr>
      <w:r w:rsidRPr="00D51292">
        <w:rPr>
          <w:lang w:eastAsia="zh-CN"/>
        </w:rPr>
        <w:t>This Recommendation identifies smartphone threats which are categorized into vulnerabilities and attacks. In order to satisfy such security objectives, this Recommendation specifies a hierarchical security framework and relevant security requirements for smartphones. With regard to the security framework, this Recommendation provides necessary security solutions through system improvements and security tools.</w:t>
      </w:r>
    </w:p>
    <w:p w:rsidR="00950E07" w:rsidRPr="005D0E19" w:rsidRDefault="00950E07" w:rsidP="00C540DD">
      <w:pPr>
        <w:spacing w:before="360"/>
        <w:rPr>
          <w:b/>
          <w:bCs/>
          <w:sz w:val="28"/>
          <w:szCs w:val="28"/>
          <w:lang w:val="en-US"/>
        </w:rPr>
      </w:pPr>
      <w:r w:rsidRPr="005D0E19">
        <w:rPr>
          <w:b/>
          <w:bCs/>
          <w:lang w:val="en-US"/>
        </w:rPr>
        <w:t xml:space="preserve">Draft new Recommendation </w:t>
      </w:r>
      <w:r w:rsidR="00C540DD">
        <w:rPr>
          <w:b/>
          <w:bCs/>
          <w:lang w:val="en-US"/>
        </w:rPr>
        <w:t xml:space="preserve">ITU-T </w:t>
      </w:r>
      <w:r w:rsidR="00584D41" w:rsidRPr="00584D41">
        <w:rPr>
          <w:b/>
          <w:bCs/>
          <w:lang w:val="en-US"/>
        </w:rPr>
        <w:t>X.1154 (X.sap-4)</w:t>
      </w:r>
      <w:r w:rsidRPr="00950E07">
        <w:rPr>
          <w:b/>
          <w:bCs/>
          <w:lang w:val="en-US"/>
        </w:rPr>
        <w:t xml:space="preserve">, </w:t>
      </w:r>
      <w:r w:rsidR="00C540DD" w:rsidRPr="00C540DD">
        <w:rPr>
          <w:b/>
          <w:bCs/>
          <w:lang w:val="en-US"/>
        </w:rPr>
        <w:t>General framework of combined authentication on multiple identity service provider environments</w:t>
      </w:r>
      <w:r w:rsidRPr="005D0E19">
        <w:rPr>
          <w:b/>
          <w:bCs/>
          <w:lang w:val="en-US"/>
        </w:rPr>
        <w:br/>
      </w:r>
      <w:r w:rsidR="00C540DD" w:rsidRPr="00C540DD">
        <w:rPr>
          <w:b/>
          <w:bCs/>
          <w:szCs w:val="24"/>
          <w:lang w:val="en-US"/>
        </w:rPr>
        <w:t>COM 17 – R 68</w:t>
      </w:r>
    </w:p>
    <w:p w:rsidR="00950E07" w:rsidRPr="005D0E19" w:rsidRDefault="00950E07" w:rsidP="00950E07">
      <w:pPr>
        <w:rPr>
          <w:b/>
          <w:lang w:val="en-US"/>
        </w:rPr>
      </w:pPr>
      <w:r w:rsidRPr="005D0E19">
        <w:rPr>
          <w:b/>
          <w:lang w:val="en-US"/>
        </w:rPr>
        <w:t>Summary</w:t>
      </w:r>
    </w:p>
    <w:p w:rsidR="00C540DD" w:rsidRPr="00556A72" w:rsidRDefault="00C540DD" w:rsidP="00C540DD">
      <w:pPr>
        <w:rPr>
          <w:rFonts w:eastAsiaTheme="minorEastAsia"/>
          <w:lang w:eastAsia="zh-CN"/>
        </w:rPr>
      </w:pPr>
      <w:r w:rsidRPr="00556A72">
        <w:rPr>
          <w:rFonts w:eastAsiaTheme="minorEastAsia"/>
          <w:lang w:eastAsia="zh-CN"/>
        </w:rPr>
        <w:t>Recently, many application services, especially financial services, require more reliable or combined authentication methods such as multifactor authentication due to the increase in identity (ID) theft. For example, one-time password authentication and other new authentication methods are used instead of the traditional password-based authentication.</w:t>
      </w:r>
    </w:p>
    <w:p w:rsidR="00C540DD" w:rsidRPr="00556A72" w:rsidRDefault="00C540DD" w:rsidP="00C540DD">
      <w:pPr>
        <w:rPr>
          <w:rFonts w:eastAsiaTheme="minorEastAsia"/>
          <w:lang w:eastAsia="zh-CN"/>
        </w:rPr>
      </w:pPr>
      <w:r w:rsidRPr="00556A72">
        <w:rPr>
          <w:rFonts w:eastAsiaTheme="minorEastAsia"/>
          <w:lang w:eastAsia="zh-CN"/>
        </w:rPr>
        <w:t>The combinations of authentication methods provide multiple identity service providers (</w:t>
      </w:r>
      <w:proofErr w:type="spellStart"/>
      <w:r w:rsidRPr="00556A72">
        <w:rPr>
          <w:rFonts w:eastAsiaTheme="minorEastAsia"/>
          <w:lang w:eastAsia="zh-CN"/>
        </w:rPr>
        <w:t>IdSPs</w:t>
      </w:r>
      <w:proofErr w:type="spellEnd"/>
      <w:r w:rsidRPr="00556A72">
        <w:rPr>
          <w:rFonts w:eastAsiaTheme="minorEastAsia"/>
          <w:lang w:eastAsia="zh-CN"/>
        </w:rPr>
        <w:t>) the ability to enhance the assurance of authentication. Recommendation ITU-T X.</w:t>
      </w:r>
      <w:r>
        <w:rPr>
          <w:rFonts w:eastAsiaTheme="minorEastAsia"/>
          <w:lang w:eastAsia="zh-CN"/>
        </w:rPr>
        <w:t xml:space="preserve">1154 </w:t>
      </w:r>
      <w:r w:rsidRPr="00556A72">
        <w:rPr>
          <w:rFonts w:eastAsiaTheme="minorEastAsia"/>
          <w:lang w:eastAsia="zh-CN"/>
        </w:rPr>
        <w:t xml:space="preserve">provides the general framework of combined authentication in multiple </w:t>
      </w:r>
      <w:proofErr w:type="spellStart"/>
      <w:r w:rsidRPr="00556A72">
        <w:rPr>
          <w:rFonts w:eastAsiaTheme="minorEastAsia"/>
          <w:lang w:eastAsia="zh-CN"/>
        </w:rPr>
        <w:t>IdSP</w:t>
      </w:r>
      <w:proofErr w:type="spellEnd"/>
      <w:r w:rsidRPr="00556A72">
        <w:rPr>
          <w:rFonts w:eastAsiaTheme="minorEastAsia"/>
          <w:lang w:eastAsia="zh-CN"/>
        </w:rPr>
        <w:t xml:space="preserve"> environments for a service provider. In this Recommendation, three types of combined authentication methods are considered: multifactor authentication, multi-method authentication and multiple authentications.</w:t>
      </w:r>
    </w:p>
    <w:p w:rsidR="00C540DD" w:rsidRPr="00556A72" w:rsidRDefault="00C540DD" w:rsidP="00C540DD">
      <w:pPr>
        <w:rPr>
          <w:rFonts w:eastAsiaTheme="minorEastAsia"/>
          <w:lang w:eastAsia="zh-CN"/>
        </w:rPr>
      </w:pPr>
      <w:r w:rsidRPr="00556A72">
        <w:rPr>
          <w:rFonts w:eastAsiaTheme="minorEastAsia"/>
          <w:lang w:eastAsia="zh-CN"/>
        </w:rPr>
        <w:t xml:space="preserve">The framework in this Recommendation describes models, basic operations and security requirements for each model component and each message between the model components to maintain an overall level of authentication assurance in situations of a combination of multiple </w:t>
      </w:r>
      <w:proofErr w:type="spellStart"/>
      <w:r w:rsidRPr="00556A72">
        <w:rPr>
          <w:rFonts w:eastAsiaTheme="minorEastAsia"/>
          <w:lang w:eastAsia="zh-CN"/>
        </w:rPr>
        <w:t>IdSPs</w:t>
      </w:r>
      <w:proofErr w:type="spellEnd"/>
      <w:r w:rsidRPr="00556A72">
        <w:rPr>
          <w:rFonts w:eastAsiaTheme="minorEastAsia"/>
          <w:lang w:eastAsia="zh-CN"/>
        </w:rPr>
        <w:t>.</w:t>
      </w:r>
    </w:p>
    <w:p w:rsidR="00950E07" w:rsidRPr="001A3527" w:rsidRDefault="00C540DD" w:rsidP="001A3527">
      <w:pPr>
        <w:rPr>
          <w:lang w:val="en-US"/>
        </w:rPr>
      </w:pPr>
      <w:r w:rsidRPr="001A3527">
        <w:rPr>
          <w:rFonts w:eastAsiaTheme="minorEastAsia"/>
          <w:lang w:eastAsia="zh-CN"/>
        </w:rPr>
        <w:t xml:space="preserve">In addition, the framework also describes models, basic operations and security requirements to support the authentication service that manages a combination of multiple </w:t>
      </w:r>
      <w:proofErr w:type="spellStart"/>
      <w:r w:rsidRPr="001A3527">
        <w:rPr>
          <w:rFonts w:eastAsiaTheme="minorEastAsia"/>
          <w:lang w:eastAsia="zh-CN"/>
        </w:rPr>
        <w:t>IdSPs</w:t>
      </w:r>
      <w:proofErr w:type="spellEnd"/>
      <w:r w:rsidRPr="001A3527">
        <w:rPr>
          <w:rFonts w:eastAsiaTheme="minorEastAsia"/>
          <w:lang w:eastAsia="zh-CN"/>
        </w:rPr>
        <w:t>.</w:t>
      </w:r>
    </w:p>
    <w:p w:rsidR="004556D7" w:rsidRPr="005D0E19" w:rsidRDefault="00725E00" w:rsidP="00A10FB7">
      <w:pPr>
        <w:spacing w:before="240"/>
        <w:rPr>
          <w:b/>
          <w:bCs/>
          <w:sz w:val="28"/>
          <w:szCs w:val="28"/>
          <w:lang w:val="en-US"/>
        </w:rPr>
      </w:pPr>
      <w:r w:rsidRPr="005D0E19">
        <w:rPr>
          <w:b/>
          <w:bCs/>
          <w:lang w:val="en-US"/>
        </w:rPr>
        <w:t xml:space="preserve">Draft new Recommendation ITU-T </w:t>
      </w:r>
      <w:r w:rsidR="00A10FB7" w:rsidRPr="00B25577">
        <w:rPr>
          <w:b/>
          <w:bCs/>
        </w:rPr>
        <w:t>X.1526 (</w:t>
      </w:r>
      <w:proofErr w:type="spellStart"/>
      <w:r w:rsidR="00A10FB7" w:rsidRPr="00B25577">
        <w:rPr>
          <w:rFonts w:eastAsia="MS Mincho"/>
          <w:b/>
          <w:bCs/>
          <w:lang w:eastAsia="zh-CN"/>
        </w:rPr>
        <w:t>X.oval</w:t>
      </w:r>
      <w:proofErr w:type="spellEnd"/>
      <w:r w:rsidR="00A10FB7" w:rsidRPr="00B25577">
        <w:rPr>
          <w:rFonts w:eastAsia="MS Mincho"/>
          <w:b/>
          <w:bCs/>
          <w:lang w:eastAsia="zh-CN"/>
        </w:rPr>
        <w:t>)</w:t>
      </w:r>
      <w:r w:rsidR="00424E71" w:rsidRPr="005D0E19">
        <w:rPr>
          <w:b/>
          <w:bCs/>
          <w:lang w:val="en-US"/>
        </w:rPr>
        <w:t xml:space="preserve">, </w:t>
      </w:r>
      <w:r w:rsidR="00A10FB7" w:rsidRPr="00B25577">
        <w:rPr>
          <w:b/>
          <w:bCs/>
        </w:rPr>
        <w:t>Open vulnerability and assessment language</w:t>
      </w:r>
      <w:r w:rsidR="000D4E75" w:rsidRPr="005D0E19">
        <w:rPr>
          <w:b/>
          <w:bCs/>
          <w:lang w:val="en-US"/>
        </w:rPr>
        <w:br/>
      </w:r>
      <w:r w:rsidR="00A10FB7" w:rsidRPr="00A10FB7">
        <w:rPr>
          <w:b/>
          <w:bCs/>
          <w:szCs w:val="24"/>
          <w:lang w:val="en-US"/>
        </w:rPr>
        <w:t>COM 17 – R 64</w:t>
      </w:r>
    </w:p>
    <w:p w:rsidR="000D4E75" w:rsidRPr="005D0E19" w:rsidRDefault="000D4E75" w:rsidP="000D4E75">
      <w:pPr>
        <w:rPr>
          <w:b/>
          <w:lang w:val="en-US"/>
        </w:rPr>
      </w:pPr>
      <w:r w:rsidRPr="005D0E19">
        <w:rPr>
          <w:b/>
          <w:lang w:val="en-US"/>
        </w:rPr>
        <w:t>Summary</w:t>
      </w:r>
    </w:p>
    <w:p w:rsidR="007B284B" w:rsidRPr="00B25577" w:rsidRDefault="007B284B" w:rsidP="007B284B">
      <w:pPr>
        <w:rPr>
          <w:rFonts w:eastAsia="SimSun"/>
        </w:rPr>
      </w:pPr>
      <w:r w:rsidRPr="00B25577">
        <w:rPr>
          <w:rFonts w:eastAsia="SimSun"/>
          <w:lang w:eastAsia="zh-CN"/>
        </w:rPr>
        <w:t>This Recommendation on t</w:t>
      </w:r>
      <w:r w:rsidRPr="00B25577">
        <w:rPr>
          <w:rFonts w:eastAsia="Calibri"/>
          <w:lang w:eastAsia="zh-CN"/>
        </w:rPr>
        <w:t xml:space="preserve">he use of the Open Vulnerability and Assessment Language (OVAL), </w:t>
      </w:r>
      <w:r w:rsidRPr="00B25577">
        <w:rPr>
          <w:rFonts w:eastAsia="SimSun"/>
        </w:rPr>
        <w:t xml:space="preserve">an international, information security, community standard to promote open and publicly available security content, and to standardize the transfer of this information across the entire spectrum of security tools and services. OVAL includes a language used to encode system details, and an assortment of content repositories held throughout the community. The language standardizes the three main steps of the assessment process: representing configuration information of systems for </w:t>
      </w:r>
      <w:r w:rsidRPr="00B25577">
        <w:rPr>
          <w:rFonts w:eastAsia="SimSun"/>
        </w:rPr>
        <w:lastRenderedPageBreak/>
        <w:t>testing; analysing the system for the presence of the specified machine state (vulnerability, configuration, patch state, etc.); and reporting the results of this assessment. The repositories are collections of publicly available and open content that utilize the language.</w:t>
      </w:r>
    </w:p>
    <w:p w:rsidR="007B284B" w:rsidRPr="00B25577" w:rsidRDefault="007B284B" w:rsidP="007B284B">
      <w:pPr>
        <w:rPr>
          <w:rFonts w:eastAsia="SimSun"/>
        </w:rPr>
      </w:pPr>
      <w:r w:rsidRPr="00B25577">
        <w:rPr>
          <w:rFonts w:eastAsia="SimSun"/>
        </w:rPr>
        <w:t xml:space="preserve">The OVAL community has developed three schemas written in Extensible </w:t>
      </w:r>
      <w:proofErr w:type="spellStart"/>
      <w:r w:rsidRPr="00B25577">
        <w:rPr>
          <w:rFonts w:eastAsia="SimSun"/>
        </w:rPr>
        <w:t>Markup</w:t>
      </w:r>
      <w:proofErr w:type="spellEnd"/>
      <w:r w:rsidRPr="00B25577">
        <w:rPr>
          <w:rFonts w:eastAsia="SimSun"/>
        </w:rPr>
        <w:t xml:space="preserve"> Language (XML) to serve as the framework and vocabulary of the OVAL Language. These schemas correspond to the three steps of the assessment process: an OVAL System Characteristics schema for representing system information, an OVAL Definition schema for expressing a specific machine state, and an OVAL Results schema for reporting the results of an assessment.</w:t>
      </w:r>
    </w:p>
    <w:p w:rsidR="007B284B" w:rsidRPr="00B25577" w:rsidRDefault="007B284B" w:rsidP="007B284B">
      <w:pPr>
        <w:rPr>
          <w:rFonts w:eastAsia="SimSun"/>
        </w:rPr>
      </w:pPr>
      <w:r w:rsidRPr="00B25577">
        <w:rPr>
          <w:rFonts w:eastAsia="SimSun"/>
        </w:rPr>
        <w:t>Content written in the OVAL Language is located in one of the many repositories found within the community. One such repository is known as the OVAL Repository. It is the central meeting place for the OVAL Community to discuss, analyse, store, and disseminate OVAL Definitions. Each definition in the OVAL Repository determines whether a specified software vulnerability, configuration issue, program, or patch is present on a system.</w:t>
      </w:r>
    </w:p>
    <w:p w:rsidR="000D4E75" w:rsidRPr="005D0E19" w:rsidRDefault="007B284B" w:rsidP="007B284B">
      <w:pPr>
        <w:rPr>
          <w:lang w:val="en-US"/>
        </w:rPr>
      </w:pPr>
      <w:r w:rsidRPr="00B25577">
        <w:rPr>
          <w:rFonts w:eastAsia="SimSun"/>
        </w:rPr>
        <w:t>The information security community contributes to the development of OVAL by participating in the creation of the OVAL Language on the OVAL Developers Forum and by writing definitions for the OVAL Repository through the OVAL Community Forum. An OVAL Board consisting of representatives from a broad spectrum of industry, academia, and government organizations from around the world oversees and approves the OVAL Language and monitors the posting of the definitions hosted on the OVAL Web site. This means that OVAL reflects the insights and combined expertise of the broadest possible collection of security and system administration professionals worldwide.</w:t>
      </w:r>
    </w:p>
    <w:p w:rsidR="000D4E75" w:rsidRPr="005D0E19" w:rsidRDefault="00EC7115" w:rsidP="000C6F06">
      <w:pPr>
        <w:spacing w:before="240"/>
        <w:rPr>
          <w:b/>
          <w:bCs/>
          <w:szCs w:val="24"/>
          <w:lang w:val="en-US"/>
        </w:rPr>
      </w:pPr>
      <w:r w:rsidRPr="00EC7115">
        <w:rPr>
          <w:b/>
          <w:bCs/>
          <w:lang w:val="en-US"/>
        </w:rPr>
        <w:t>Draft new Recommendation ITU-T X.1544 (</w:t>
      </w:r>
      <w:proofErr w:type="spellStart"/>
      <w:r w:rsidRPr="00EC7115">
        <w:rPr>
          <w:b/>
          <w:bCs/>
          <w:lang w:val="en-US"/>
        </w:rPr>
        <w:t>X.capec</w:t>
      </w:r>
      <w:proofErr w:type="spellEnd"/>
      <w:r w:rsidRPr="00EC7115">
        <w:rPr>
          <w:b/>
          <w:bCs/>
          <w:lang w:val="en-US"/>
        </w:rPr>
        <w:t>), Common attack pattern enumeration and classification</w:t>
      </w:r>
      <w:r w:rsidR="008728E0" w:rsidRPr="005D0E19">
        <w:rPr>
          <w:b/>
          <w:bCs/>
          <w:lang w:val="en-US"/>
        </w:rPr>
        <w:br/>
      </w:r>
      <w:r w:rsidR="008728E0" w:rsidRPr="005D0E19">
        <w:rPr>
          <w:b/>
          <w:bCs/>
          <w:szCs w:val="24"/>
          <w:lang w:val="en-US"/>
        </w:rPr>
        <w:t xml:space="preserve">COM 17 – R </w:t>
      </w:r>
      <w:r w:rsidR="00B818C2">
        <w:rPr>
          <w:b/>
          <w:bCs/>
          <w:szCs w:val="24"/>
          <w:lang w:val="en-US"/>
        </w:rPr>
        <w:t>65</w:t>
      </w:r>
    </w:p>
    <w:p w:rsidR="008728E0" w:rsidRPr="005D0E19" w:rsidRDefault="008728E0" w:rsidP="008728E0">
      <w:pPr>
        <w:rPr>
          <w:rFonts w:eastAsia="MS Mincho"/>
          <w:b/>
          <w:lang w:val="en-US" w:eastAsia="ja-JP"/>
        </w:rPr>
      </w:pPr>
      <w:r w:rsidRPr="005D0E19">
        <w:rPr>
          <w:rFonts w:eastAsia="MS Mincho"/>
          <w:b/>
          <w:lang w:val="en-US"/>
        </w:rPr>
        <w:t>Summary</w:t>
      </w:r>
    </w:p>
    <w:p w:rsidR="00B818C2" w:rsidRPr="00576C2D" w:rsidRDefault="00B818C2" w:rsidP="00B818C2">
      <w:pPr>
        <w:rPr>
          <w:rFonts w:eastAsia="SimSun"/>
          <w:szCs w:val="24"/>
        </w:rPr>
      </w:pPr>
      <w:r w:rsidRPr="00576C2D">
        <w:rPr>
          <w:rFonts w:eastAsia="SimSun"/>
          <w:szCs w:val="24"/>
        </w:rPr>
        <w:t xml:space="preserve">The </w:t>
      </w:r>
      <w:r w:rsidRPr="00CE1D44">
        <w:rPr>
          <w:rFonts w:eastAsia="SimSun"/>
          <w:bCs/>
          <w:szCs w:val="24"/>
        </w:rPr>
        <w:t>common attack pattern enumeration and classification (CAPEC)</w:t>
      </w:r>
      <w:r w:rsidRPr="00576C2D">
        <w:rPr>
          <w:rFonts w:eastAsia="SimSun"/>
          <w:b/>
          <w:szCs w:val="24"/>
        </w:rPr>
        <w:t xml:space="preserve"> </w:t>
      </w:r>
      <w:r w:rsidRPr="00576C2D">
        <w:rPr>
          <w:rFonts w:eastAsia="SimSun"/>
          <w:szCs w:val="24"/>
        </w:rPr>
        <w:t>Recommendation is an XML/XSD based specification for the identification, description, and enumeration of attack patterns. Attack patterns are a powerful mechanism to capture and communicate the attacker’s perspective. They are descriptions of common methods for exploiting software. They derive from the concept of design patterns applied in a destructive rather than constructive context and are generated from in-depth analysis of specific real-world exploit examples. The objective of CAPEC is to provide a publicly available catalogue of attack patterns along with a comprehensive schema and classification taxonomy.</w:t>
      </w:r>
    </w:p>
    <w:p w:rsidR="00B818C2" w:rsidRPr="00576C2D" w:rsidRDefault="00B818C2" w:rsidP="00B818C2">
      <w:pPr>
        <w:rPr>
          <w:szCs w:val="24"/>
        </w:rPr>
      </w:pPr>
      <w:r w:rsidRPr="00576C2D">
        <w:rPr>
          <w:szCs w:val="24"/>
        </w:rPr>
        <w:t>CAPEC enables:</w:t>
      </w:r>
    </w:p>
    <w:p w:rsidR="00B818C2" w:rsidRPr="00576C2D" w:rsidRDefault="00B818C2" w:rsidP="00B818C2">
      <w:pPr>
        <w:numPr>
          <w:ilvl w:val="0"/>
          <w:numId w:val="5"/>
        </w:numPr>
        <w:tabs>
          <w:tab w:val="clear" w:pos="794"/>
          <w:tab w:val="clear" w:pos="1191"/>
          <w:tab w:val="clear" w:pos="1588"/>
          <w:tab w:val="clear" w:pos="1985"/>
        </w:tabs>
        <w:overflowPunct/>
        <w:autoSpaceDE/>
        <w:autoSpaceDN/>
        <w:adjustRightInd/>
        <w:spacing w:before="136"/>
        <w:jc w:val="both"/>
        <w:textAlignment w:val="auto"/>
        <w:rPr>
          <w:szCs w:val="24"/>
        </w:rPr>
      </w:pPr>
      <w:r w:rsidRPr="00576C2D">
        <w:rPr>
          <w:szCs w:val="24"/>
        </w:rPr>
        <w:t>Standardizing the capture and description of attack patterns</w:t>
      </w:r>
    </w:p>
    <w:p w:rsidR="00B818C2" w:rsidRPr="00576C2D" w:rsidRDefault="00B818C2" w:rsidP="00B818C2">
      <w:pPr>
        <w:numPr>
          <w:ilvl w:val="0"/>
          <w:numId w:val="5"/>
        </w:numPr>
        <w:tabs>
          <w:tab w:val="clear" w:pos="794"/>
          <w:tab w:val="clear" w:pos="1191"/>
          <w:tab w:val="clear" w:pos="1588"/>
          <w:tab w:val="clear" w:pos="1985"/>
        </w:tabs>
        <w:overflowPunct/>
        <w:autoSpaceDE/>
        <w:autoSpaceDN/>
        <w:adjustRightInd/>
        <w:spacing w:before="136"/>
        <w:jc w:val="both"/>
        <w:textAlignment w:val="auto"/>
        <w:rPr>
          <w:szCs w:val="24"/>
        </w:rPr>
      </w:pPr>
      <w:r w:rsidRPr="00576C2D">
        <w:rPr>
          <w:szCs w:val="24"/>
        </w:rPr>
        <w:t>Collecting known attack patterns into an integrated enumeration that can be consistently and effectively leveraged by the community</w:t>
      </w:r>
    </w:p>
    <w:p w:rsidR="00B818C2" w:rsidRPr="00576C2D" w:rsidRDefault="00B818C2" w:rsidP="00B818C2">
      <w:pPr>
        <w:numPr>
          <w:ilvl w:val="0"/>
          <w:numId w:val="5"/>
        </w:numPr>
        <w:tabs>
          <w:tab w:val="clear" w:pos="794"/>
          <w:tab w:val="clear" w:pos="1191"/>
          <w:tab w:val="clear" w:pos="1588"/>
          <w:tab w:val="clear" w:pos="1985"/>
        </w:tabs>
        <w:overflowPunct/>
        <w:autoSpaceDE/>
        <w:autoSpaceDN/>
        <w:adjustRightInd/>
        <w:spacing w:before="136"/>
        <w:jc w:val="both"/>
        <w:textAlignment w:val="auto"/>
        <w:rPr>
          <w:szCs w:val="24"/>
        </w:rPr>
      </w:pPr>
      <w:r w:rsidRPr="00576C2D">
        <w:rPr>
          <w:szCs w:val="24"/>
        </w:rPr>
        <w:t>Classifying attack patterns such that users can easily identify the subset of the entire enumeration that is appropriate for their context</w:t>
      </w:r>
    </w:p>
    <w:p w:rsidR="00B818C2" w:rsidRPr="00576C2D" w:rsidRDefault="00B818C2" w:rsidP="00B818C2">
      <w:pPr>
        <w:numPr>
          <w:ilvl w:val="0"/>
          <w:numId w:val="5"/>
        </w:numPr>
        <w:tabs>
          <w:tab w:val="clear" w:pos="794"/>
          <w:tab w:val="clear" w:pos="1191"/>
          <w:tab w:val="clear" w:pos="1588"/>
          <w:tab w:val="clear" w:pos="1985"/>
        </w:tabs>
        <w:overflowPunct/>
        <w:autoSpaceDE/>
        <w:autoSpaceDN/>
        <w:adjustRightInd/>
        <w:spacing w:before="136"/>
        <w:jc w:val="both"/>
        <w:textAlignment w:val="auto"/>
        <w:rPr>
          <w:szCs w:val="24"/>
        </w:rPr>
      </w:pPr>
      <w:r w:rsidRPr="00576C2D">
        <w:rPr>
          <w:szCs w:val="24"/>
        </w:rPr>
        <w:t>Linking the attack patterns and the weaknesses (CWEs) that they are effective against through explicit references.</w:t>
      </w:r>
    </w:p>
    <w:p w:rsidR="00E56F62" w:rsidRPr="00B818C2" w:rsidRDefault="00B818C2" w:rsidP="00B818C2">
      <w:pPr>
        <w:rPr>
          <w:szCs w:val="24"/>
        </w:rPr>
      </w:pPr>
      <w:r w:rsidRPr="00576C2D">
        <w:rPr>
          <w:szCs w:val="24"/>
        </w:rPr>
        <w:t>As many sources and examples as possible are leveraged from the CAPEC community and other interested parties, to develop the specific and succinct definitions of the CAPEC Dictionary elements and a variety of views and classification tree structures.</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E8" w:rsidRDefault="005D0EE8">
      <w:r>
        <w:separator/>
      </w:r>
    </w:p>
  </w:endnote>
  <w:endnote w:type="continuationSeparator" w:id="0">
    <w:p w:rsidR="005D0EE8" w:rsidRDefault="005D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0D4E75" w:rsidRDefault="005D0EE8" w:rsidP="0039477F">
    <w:pPr>
      <w:pStyle w:val="Footer"/>
      <w:rPr>
        <w:sz w:val="16"/>
        <w:lang w:val="fr-CH"/>
      </w:rPr>
    </w:pPr>
    <w:r>
      <w:rPr>
        <w:sz w:val="16"/>
        <w:lang w:val="fr-CH"/>
      </w:rPr>
      <w:t>ITU-T\BUREAU\CIRC\</w:t>
    </w:r>
    <w:r w:rsidR="0039477F">
      <w:rPr>
        <w:sz w:val="16"/>
        <w:lang w:val="fr-CH"/>
      </w:rPr>
      <w:t>311</w:t>
    </w:r>
    <w:r>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E8" w:rsidRDefault="005D0EE8">
      <w:r>
        <w:t>____________________</w:t>
      </w:r>
    </w:p>
  </w:footnote>
  <w:footnote w:type="continuationSeparator" w:id="0">
    <w:p w:rsidR="005D0EE8" w:rsidRDefault="005D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Header"/>
    </w:pPr>
    <w:r>
      <w:t xml:space="preserve">- </w:t>
    </w:r>
    <w:r w:rsidR="006820A7">
      <w:fldChar w:fldCharType="begin"/>
    </w:r>
    <w:r w:rsidR="006820A7">
      <w:instrText>PAGE</w:instrText>
    </w:r>
    <w:r w:rsidR="006820A7">
      <w:fldChar w:fldCharType="separate"/>
    </w:r>
    <w:r w:rsidR="00E97170">
      <w:rPr>
        <w:noProof/>
      </w:rPr>
      <w:t>4</w:t>
    </w:r>
    <w:r w:rsidR="006820A7">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7251D"/>
    <w:multiLevelType w:val="hybridMultilevel"/>
    <w:tmpl w:val="012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002E8"/>
    <w:rsid w:val="00000AEA"/>
    <w:rsid w:val="00013479"/>
    <w:rsid w:val="0001581D"/>
    <w:rsid w:val="0003331E"/>
    <w:rsid w:val="00036D9B"/>
    <w:rsid w:val="000428BB"/>
    <w:rsid w:val="0009124E"/>
    <w:rsid w:val="000A3957"/>
    <w:rsid w:val="000A74EB"/>
    <w:rsid w:val="000B4082"/>
    <w:rsid w:val="000B4C91"/>
    <w:rsid w:val="000C6F06"/>
    <w:rsid w:val="000D0987"/>
    <w:rsid w:val="000D237D"/>
    <w:rsid w:val="000D4E75"/>
    <w:rsid w:val="00132E06"/>
    <w:rsid w:val="00137E5D"/>
    <w:rsid w:val="00174053"/>
    <w:rsid w:val="00183340"/>
    <w:rsid w:val="001A153B"/>
    <w:rsid w:val="001A2BAA"/>
    <w:rsid w:val="001A3527"/>
    <w:rsid w:val="001B6AD7"/>
    <w:rsid w:val="001D7FD6"/>
    <w:rsid w:val="00223438"/>
    <w:rsid w:val="00233178"/>
    <w:rsid w:val="002378BD"/>
    <w:rsid w:val="00250DC2"/>
    <w:rsid w:val="00254FA0"/>
    <w:rsid w:val="00275BA1"/>
    <w:rsid w:val="00284516"/>
    <w:rsid w:val="00284A96"/>
    <w:rsid w:val="002C2A8C"/>
    <w:rsid w:val="002E5AC3"/>
    <w:rsid w:val="002F2CD9"/>
    <w:rsid w:val="00301BD3"/>
    <w:rsid w:val="0034129E"/>
    <w:rsid w:val="003418D2"/>
    <w:rsid w:val="003626E4"/>
    <w:rsid w:val="003643B7"/>
    <w:rsid w:val="00374A80"/>
    <w:rsid w:val="00386E4E"/>
    <w:rsid w:val="00390246"/>
    <w:rsid w:val="0039477F"/>
    <w:rsid w:val="003B4D2F"/>
    <w:rsid w:val="003B5DA6"/>
    <w:rsid w:val="003C0256"/>
    <w:rsid w:val="003E620E"/>
    <w:rsid w:val="003E71DE"/>
    <w:rsid w:val="00406FDB"/>
    <w:rsid w:val="00412516"/>
    <w:rsid w:val="004148AD"/>
    <w:rsid w:val="00414CBB"/>
    <w:rsid w:val="00424E71"/>
    <w:rsid w:val="004259C3"/>
    <w:rsid w:val="00437720"/>
    <w:rsid w:val="004419C6"/>
    <w:rsid w:val="0044349E"/>
    <w:rsid w:val="004556D7"/>
    <w:rsid w:val="0047521D"/>
    <w:rsid w:val="0048406A"/>
    <w:rsid w:val="004841CD"/>
    <w:rsid w:val="00492BF7"/>
    <w:rsid w:val="004A0A2E"/>
    <w:rsid w:val="004B75A3"/>
    <w:rsid w:val="004D37EC"/>
    <w:rsid w:val="005500A5"/>
    <w:rsid w:val="0055486A"/>
    <w:rsid w:val="00557349"/>
    <w:rsid w:val="00580F18"/>
    <w:rsid w:val="00584D41"/>
    <w:rsid w:val="005866D2"/>
    <w:rsid w:val="005A36D0"/>
    <w:rsid w:val="005A619A"/>
    <w:rsid w:val="005B53C7"/>
    <w:rsid w:val="005B6E1A"/>
    <w:rsid w:val="005C4DF9"/>
    <w:rsid w:val="005C5FEE"/>
    <w:rsid w:val="005C7BD2"/>
    <w:rsid w:val="005D0E19"/>
    <w:rsid w:val="005D0EE8"/>
    <w:rsid w:val="005F15D5"/>
    <w:rsid w:val="00634055"/>
    <w:rsid w:val="00642661"/>
    <w:rsid w:val="00660026"/>
    <w:rsid w:val="00661968"/>
    <w:rsid w:val="0066763E"/>
    <w:rsid w:val="006820A7"/>
    <w:rsid w:val="00684385"/>
    <w:rsid w:val="006D2FDF"/>
    <w:rsid w:val="006D619F"/>
    <w:rsid w:val="006E7C16"/>
    <w:rsid w:val="006F4771"/>
    <w:rsid w:val="006F5768"/>
    <w:rsid w:val="00703030"/>
    <w:rsid w:val="00706482"/>
    <w:rsid w:val="0070659A"/>
    <w:rsid w:val="00706A00"/>
    <w:rsid w:val="007212FB"/>
    <w:rsid w:val="0072428C"/>
    <w:rsid w:val="00725E00"/>
    <w:rsid w:val="0076472D"/>
    <w:rsid w:val="00773676"/>
    <w:rsid w:val="007B284B"/>
    <w:rsid w:val="007C7809"/>
    <w:rsid w:val="007D4D6C"/>
    <w:rsid w:val="007E0282"/>
    <w:rsid w:val="007E262B"/>
    <w:rsid w:val="007E450E"/>
    <w:rsid w:val="007E46BB"/>
    <w:rsid w:val="007E5665"/>
    <w:rsid w:val="008004F1"/>
    <w:rsid w:val="00814CB9"/>
    <w:rsid w:val="0085416F"/>
    <w:rsid w:val="008728E0"/>
    <w:rsid w:val="008914C8"/>
    <w:rsid w:val="008C41B2"/>
    <w:rsid w:val="008D10C6"/>
    <w:rsid w:val="008D2BEE"/>
    <w:rsid w:val="008E2966"/>
    <w:rsid w:val="008F768A"/>
    <w:rsid w:val="0090295A"/>
    <w:rsid w:val="00927650"/>
    <w:rsid w:val="0093352F"/>
    <w:rsid w:val="00944BF0"/>
    <w:rsid w:val="00946AAE"/>
    <w:rsid w:val="00950E07"/>
    <w:rsid w:val="009560C7"/>
    <w:rsid w:val="00980F62"/>
    <w:rsid w:val="00983187"/>
    <w:rsid w:val="00987BF8"/>
    <w:rsid w:val="009A5E03"/>
    <w:rsid w:val="009B0596"/>
    <w:rsid w:val="009B5421"/>
    <w:rsid w:val="009C7059"/>
    <w:rsid w:val="009F48A0"/>
    <w:rsid w:val="00A07FDA"/>
    <w:rsid w:val="00A10FB7"/>
    <w:rsid w:val="00A37EDA"/>
    <w:rsid w:val="00A661B0"/>
    <w:rsid w:val="00A8115F"/>
    <w:rsid w:val="00A8273E"/>
    <w:rsid w:val="00AA4AEF"/>
    <w:rsid w:val="00AC3528"/>
    <w:rsid w:val="00AD7E77"/>
    <w:rsid w:val="00AE216C"/>
    <w:rsid w:val="00B06115"/>
    <w:rsid w:val="00B37274"/>
    <w:rsid w:val="00B450FE"/>
    <w:rsid w:val="00B51197"/>
    <w:rsid w:val="00B53057"/>
    <w:rsid w:val="00B72303"/>
    <w:rsid w:val="00B74CDB"/>
    <w:rsid w:val="00B818C2"/>
    <w:rsid w:val="00B82F53"/>
    <w:rsid w:val="00B839AF"/>
    <w:rsid w:val="00BB074C"/>
    <w:rsid w:val="00BB11BA"/>
    <w:rsid w:val="00BC0A21"/>
    <w:rsid w:val="00BF5286"/>
    <w:rsid w:val="00C028D9"/>
    <w:rsid w:val="00C064C2"/>
    <w:rsid w:val="00C17506"/>
    <w:rsid w:val="00C4799F"/>
    <w:rsid w:val="00C540DD"/>
    <w:rsid w:val="00C60E22"/>
    <w:rsid w:val="00C6404B"/>
    <w:rsid w:val="00C75B39"/>
    <w:rsid w:val="00C83168"/>
    <w:rsid w:val="00CE1D44"/>
    <w:rsid w:val="00D00080"/>
    <w:rsid w:val="00D031E1"/>
    <w:rsid w:val="00D14388"/>
    <w:rsid w:val="00D156E1"/>
    <w:rsid w:val="00D27786"/>
    <w:rsid w:val="00D32475"/>
    <w:rsid w:val="00D342D1"/>
    <w:rsid w:val="00D36174"/>
    <w:rsid w:val="00D46AE2"/>
    <w:rsid w:val="00D729AB"/>
    <w:rsid w:val="00D73E4D"/>
    <w:rsid w:val="00D8627E"/>
    <w:rsid w:val="00DA6DB2"/>
    <w:rsid w:val="00DC0223"/>
    <w:rsid w:val="00DC1380"/>
    <w:rsid w:val="00DC3CDE"/>
    <w:rsid w:val="00DD47A3"/>
    <w:rsid w:val="00DF2348"/>
    <w:rsid w:val="00E06868"/>
    <w:rsid w:val="00E21F8A"/>
    <w:rsid w:val="00E43079"/>
    <w:rsid w:val="00E56F62"/>
    <w:rsid w:val="00E97170"/>
    <w:rsid w:val="00EA3324"/>
    <w:rsid w:val="00EB137D"/>
    <w:rsid w:val="00EC7115"/>
    <w:rsid w:val="00EE0654"/>
    <w:rsid w:val="00EE68AC"/>
    <w:rsid w:val="00EE6D69"/>
    <w:rsid w:val="00F06F81"/>
    <w:rsid w:val="00F11055"/>
    <w:rsid w:val="00F22759"/>
    <w:rsid w:val="00F33EDB"/>
    <w:rsid w:val="00F729A7"/>
    <w:rsid w:val="00F82C26"/>
    <w:rsid w:val="00F8692D"/>
    <w:rsid w:val="00F930F6"/>
    <w:rsid w:val="00FA6222"/>
    <w:rsid w:val="00FB1D91"/>
    <w:rsid w:val="00FB4C63"/>
    <w:rsid w:val="00FB7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F33B-46FC-4DAC-90D6-61236D5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7</TotalTime>
  <Pages>4</Pages>
  <Words>1416</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9797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4</cp:revision>
  <cp:lastPrinted>2012-03-08T10:50:00Z</cp:lastPrinted>
  <dcterms:created xsi:type="dcterms:W3CDTF">2012-09-11T14:05:00Z</dcterms:created>
  <dcterms:modified xsi:type="dcterms:W3CDTF">2012-09-27T07:53:00Z</dcterms:modified>
</cp:coreProperties>
</file>