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1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9C749B" w:rsidRPr="00F50108" w:rsidTr="001E3255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1E3255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CF4138" w:rsidP="001E325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4D1610C1" wp14:editId="628DA144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1E3255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1E325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1E325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9C749B" w:rsidRDefault="009C749B" w:rsidP="009C749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9C749B" w:rsidRPr="0033229B" w:rsidRDefault="009C749B" w:rsidP="0005722B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CB5EE7">
        <w:rPr>
          <w:rFonts w:hint="eastAsia"/>
          <w:szCs w:val="24"/>
          <w:lang w:eastAsia="zh-CN"/>
        </w:rPr>
        <w:t>2012</w:t>
      </w:r>
      <w:r w:rsidR="0005722B" w:rsidRPr="0005722B">
        <w:rPr>
          <w:rFonts w:hint="eastAsia"/>
          <w:szCs w:val="24"/>
          <w:lang w:eastAsia="zh-CN"/>
        </w:rPr>
        <w:t>年</w:t>
      </w:r>
      <w:r w:rsidR="00CB5EE7">
        <w:rPr>
          <w:rFonts w:hint="eastAsia"/>
          <w:szCs w:val="24"/>
          <w:lang w:eastAsia="zh-CN"/>
        </w:rPr>
        <w:t>7</w:t>
      </w:r>
      <w:r w:rsidR="0005722B" w:rsidRPr="0005722B">
        <w:rPr>
          <w:rFonts w:hint="eastAsia"/>
          <w:szCs w:val="24"/>
          <w:lang w:eastAsia="zh-CN"/>
        </w:rPr>
        <w:t>月</w:t>
      </w:r>
      <w:r w:rsidR="00CB5EE7">
        <w:rPr>
          <w:rFonts w:hint="eastAsia"/>
          <w:szCs w:val="24"/>
          <w:lang w:eastAsia="zh-CN"/>
        </w:rPr>
        <w:t>6</w:t>
      </w:r>
      <w:r w:rsidR="0005722B" w:rsidRPr="0005722B">
        <w:rPr>
          <w:rFonts w:hint="eastAsia"/>
          <w:szCs w:val="24"/>
          <w:lang w:eastAsia="zh-CN"/>
        </w:rPr>
        <w:t>日</w:t>
      </w:r>
      <w:r w:rsidRPr="0005722B">
        <w:rPr>
          <w:rFonts w:hint="eastAsia"/>
          <w:szCs w:val="24"/>
          <w:lang w:eastAsia="zh-CN"/>
        </w:rPr>
        <w:t>，</w:t>
      </w:r>
      <w:r w:rsidRPr="0033229B">
        <w:rPr>
          <w:rFonts w:hint="eastAsia"/>
          <w:szCs w:val="24"/>
          <w:lang w:eastAsia="zh-CN"/>
        </w:rPr>
        <w:t>日内瓦</w:t>
      </w:r>
    </w:p>
    <w:p w:rsidR="009C749B" w:rsidRDefault="009C749B" w:rsidP="009C749B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4260"/>
        <w:gridCol w:w="4536"/>
      </w:tblGrid>
      <w:tr w:rsidR="009C749B" w:rsidTr="001E3255">
        <w:trPr>
          <w:cantSplit/>
          <w:trHeight w:val="340"/>
        </w:trPr>
        <w:tc>
          <w:tcPr>
            <w:tcW w:w="1410" w:type="dxa"/>
          </w:tcPr>
          <w:p w:rsidR="009C749B" w:rsidRPr="0033229B" w:rsidRDefault="009C749B" w:rsidP="009C749B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260" w:type="dxa"/>
          </w:tcPr>
          <w:p w:rsidR="00095181" w:rsidRDefault="00095181" w:rsidP="0009518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CB5EE7">
              <w:rPr>
                <w:rFonts w:hint="eastAsia"/>
                <w:b/>
                <w:lang w:eastAsia="zh-CN"/>
              </w:rPr>
              <w:t>30</w:t>
            </w:r>
            <w:r w:rsidR="00CB5EE7">
              <w:rPr>
                <w:b/>
                <w:lang w:eastAsia="zh-CN"/>
              </w:rPr>
              <w:t>0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9C749B" w:rsidRDefault="00095181" w:rsidP="00095181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 w:rsidRPr="008847B5">
              <w:rPr>
                <w:bCs/>
                <w:iCs/>
                <w:lang w:eastAsia="zh-CN"/>
              </w:rPr>
              <w:t xml:space="preserve">COM </w:t>
            </w:r>
            <w:r w:rsidR="0005722B">
              <w:rPr>
                <w:bCs/>
                <w:lang w:eastAsia="zh-CN"/>
              </w:rPr>
              <w:t>11</w:t>
            </w:r>
            <w:r>
              <w:rPr>
                <w:rFonts w:ascii="Futura Lt BT" w:hAnsi="Futura Lt BT" w:hint="eastAsia"/>
                <w:bCs/>
                <w:iCs/>
                <w:lang w:eastAsia="zh-CN"/>
              </w:rPr>
              <w:t>/</w:t>
            </w:r>
            <w:r w:rsidR="00CB5EE7">
              <w:rPr>
                <w:rFonts w:hint="eastAsia"/>
                <w:bCs/>
                <w:lang w:eastAsia="zh-CN"/>
              </w:rPr>
              <w:t>SP</w:t>
            </w:r>
          </w:p>
        </w:tc>
        <w:tc>
          <w:tcPr>
            <w:tcW w:w="4536" w:type="dxa"/>
          </w:tcPr>
          <w:p w:rsidR="009C749B" w:rsidRDefault="009C749B" w:rsidP="009C749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9C749B" w:rsidRDefault="009C749B" w:rsidP="009C749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9C749B" w:rsidRDefault="009C749B" w:rsidP="009C749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  <w:r w:rsidR="002A72F7">
              <w:rPr>
                <w:rFonts w:hint="eastAsia"/>
                <w:lang w:eastAsia="zh-CN"/>
              </w:rPr>
              <w:t>；</w:t>
            </w:r>
          </w:p>
          <w:p w:rsidR="00CB5EE7" w:rsidRDefault="00CB5EE7" w:rsidP="00CB5EE7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</w:t>
            </w:r>
          </w:p>
          <w:p w:rsidR="00CB5EE7" w:rsidRDefault="00CB5EE7" w:rsidP="009C749B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9C749B" w:rsidTr="001E3255">
        <w:trPr>
          <w:cantSplit/>
        </w:trPr>
        <w:tc>
          <w:tcPr>
            <w:tcW w:w="1410" w:type="dxa"/>
          </w:tcPr>
          <w:p w:rsidR="009C749B" w:rsidRPr="0033229B" w:rsidRDefault="009C749B" w:rsidP="009C749B">
            <w:pPr>
              <w:tabs>
                <w:tab w:val="left" w:pos="4111"/>
              </w:tabs>
              <w:spacing w:line="280" w:lineRule="exact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9C749B" w:rsidRDefault="009C749B" w:rsidP="001E3255">
            <w:pPr>
              <w:tabs>
                <w:tab w:val="left" w:pos="4111"/>
              </w:tabs>
              <w:spacing w:before="10" w:line="280" w:lineRule="exact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260" w:type="dxa"/>
          </w:tcPr>
          <w:p w:rsidR="009C749B" w:rsidRPr="0033229B" w:rsidRDefault="009C749B" w:rsidP="0005722B">
            <w:pPr>
              <w:tabs>
                <w:tab w:val="clear" w:pos="794"/>
                <w:tab w:val="left" w:pos="4111"/>
              </w:tabs>
              <w:spacing w:line="280" w:lineRule="exact"/>
              <w:ind w:left="51" w:firstLine="6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 xml:space="preserve">+41 22 </w:t>
            </w:r>
            <w:r w:rsidR="0005722B" w:rsidRPr="003D2158">
              <w:rPr>
                <w:lang w:val="en-US"/>
              </w:rPr>
              <w:t>730</w:t>
            </w:r>
            <w:r w:rsidR="0005722B">
              <w:rPr>
                <w:lang w:val="en-US"/>
              </w:rPr>
              <w:t xml:space="preserve"> </w:t>
            </w:r>
            <w:r w:rsidR="002A72F7">
              <w:rPr>
                <w:lang w:val="en-US"/>
              </w:rPr>
              <w:t>5858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9C749B" w:rsidRPr="0033229B" w:rsidRDefault="002955D9" w:rsidP="009C749B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  <w:hyperlink r:id="rId8" w:history="1">
              <w:r w:rsidR="0005722B" w:rsidRPr="00294699">
                <w:rPr>
                  <w:rStyle w:val="Hyperlink"/>
                  <w:lang w:val="en-US"/>
                </w:rPr>
                <w:t>tsbsg1</w:t>
              </w:r>
              <w:bookmarkStart w:id="1" w:name="_GoBack"/>
              <w:bookmarkEnd w:id="1"/>
              <w:r w:rsidR="0005722B" w:rsidRPr="00294699">
                <w:rPr>
                  <w:rStyle w:val="Hyperlink"/>
                  <w:lang w:val="en-US"/>
                </w:rPr>
                <w:t>1@itu.int</w:t>
              </w:r>
            </w:hyperlink>
          </w:p>
        </w:tc>
        <w:tc>
          <w:tcPr>
            <w:tcW w:w="4536" w:type="dxa"/>
          </w:tcPr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 w:rsidR="0005722B">
              <w:rPr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9C749B" w:rsidRDefault="009C749B" w:rsidP="009C749B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4371"/>
      </w:tblGrid>
      <w:tr w:rsidR="009C749B" w:rsidTr="001E3255">
        <w:trPr>
          <w:cantSplit/>
          <w:trHeight w:val="680"/>
        </w:trPr>
        <w:tc>
          <w:tcPr>
            <w:tcW w:w="1410" w:type="dxa"/>
          </w:tcPr>
          <w:p w:rsidR="009C749B" w:rsidRDefault="009C749B" w:rsidP="009C749B">
            <w:pPr>
              <w:tabs>
                <w:tab w:val="left" w:pos="4111"/>
              </w:tabs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2" w:name="Addressee_E"/>
            <w:bookmarkEnd w:id="2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371" w:type="dxa"/>
          </w:tcPr>
          <w:p w:rsidR="009C749B" w:rsidRPr="0033229B" w:rsidRDefault="0005722B" w:rsidP="002A72F7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  <w:r>
              <w:rPr>
                <w:b/>
              </w:rPr>
              <w:t xml:space="preserve">ITU-T </w:t>
            </w:r>
            <w:r w:rsidR="002A72F7">
              <w:rPr>
                <w:b/>
              </w:rPr>
              <w:t>Q.3304.1 v2</w:t>
            </w:r>
            <w:r w:rsidR="002A72F7">
              <w:rPr>
                <w:rFonts w:hint="eastAsia"/>
                <w:b/>
                <w:lang w:eastAsia="zh-CN"/>
              </w:rPr>
              <w:t>修订</w:t>
            </w:r>
            <w:r w:rsidR="009C749B">
              <w:rPr>
                <w:rFonts w:hint="eastAsia"/>
                <w:b/>
                <w:lang w:eastAsia="zh-CN"/>
              </w:rPr>
              <w:t>建议书</w:t>
            </w:r>
            <w:r w:rsidR="00CF4138">
              <w:rPr>
                <w:rFonts w:hint="eastAsia"/>
                <w:b/>
                <w:lang w:eastAsia="zh-CN"/>
              </w:rPr>
              <w:t>的批准</w:t>
            </w:r>
          </w:p>
        </w:tc>
      </w:tr>
    </w:tbl>
    <w:p w:rsidR="009C749B" w:rsidRPr="00196B93" w:rsidRDefault="009C749B" w:rsidP="009C749B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9C749B" w:rsidRDefault="00AF2746" w:rsidP="009C749B">
      <w:pPr>
        <w:spacing w:before="100" w:after="20" w:line="340" w:lineRule="atLeast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尊敬的</w:t>
      </w:r>
      <w:r w:rsidR="009C749B">
        <w:rPr>
          <w:rFonts w:hint="eastAsia"/>
          <w:lang w:eastAsia="zh-CN"/>
        </w:rPr>
        <w:t>先生</w:t>
      </w:r>
      <w:r w:rsidR="009C749B">
        <w:rPr>
          <w:rFonts w:hint="eastAsia"/>
          <w:lang w:eastAsia="zh-CN"/>
        </w:rPr>
        <w:t>/</w:t>
      </w:r>
      <w:r w:rsidR="009C749B">
        <w:rPr>
          <w:rFonts w:hint="eastAsia"/>
          <w:lang w:eastAsia="zh-CN"/>
        </w:rPr>
        <w:t>女士，</w:t>
      </w:r>
    </w:p>
    <w:p w:rsidR="009C749B" w:rsidRDefault="009C749B" w:rsidP="001E3255">
      <w:pPr>
        <w:spacing w:before="100" w:after="20" w:line="340" w:lineRule="atLeast"/>
        <w:rPr>
          <w:lang w:eastAsia="zh-CN"/>
        </w:rPr>
      </w:pPr>
      <w:bookmarkStart w:id="4" w:name="suitetext"/>
      <w:bookmarkStart w:id="5" w:name="text"/>
      <w:bookmarkEnd w:id="4"/>
      <w:bookmarkEnd w:id="5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继</w:t>
      </w:r>
      <w:r w:rsidR="008D53D2">
        <w:rPr>
          <w:lang w:eastAsia="zh-CN"/>
        </w:rPr>
        <w:t>201</w:t>
      </w:r>
      <w:r w:rsidR="008D53D2">
        <w:rPr>
          <w:rFonts w:hint="eastAsia"/>
          <w:lang w:eastAsia="zh-CN"/>
        </w:rPr>
        <w:t>2</w:t>
      </w:r>
      <w:r w:rsidR="0005722B">
        <w:rPr>
          <w:rFonts w:hint="eastAsia"/>
          <w:lang w:eastAsia="zh-CN"/>
        </w:rPr>
        <w:t>年</w:t>
      </w:r>
      <w:r w:rsidR="008D53D2">
        <w:rPr>
          <w:rFonts w:hint="eastAsia"/>
          <w:lang w:eastAsia="zh-CN"/>
        </w:rPr>
        <w:t>6</w:t>
      </w:r>
      <w:r w:rsidR="0005722B">
        <w:rPr>
          <w:rFonts w:hint="eastAsia"/>
          <w:lang w:eastAsia="zh-CN"/>
        </w:rPr>
        <w:t>月</w:t>
      </w:r>
      <w:r w:rsidR="0005722B">
        <w:rPr>
          <w:rFonts w:hint="eastAsia"/>
          <w:lang w:eastAsia="zh-CN"/>
        </w:rPr>
        <w:t>1</w:t>
      </w:r>
      <w:r w:rsidR="0005722B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电信标准化局</w:t>
      </w:r>
      <w:r w:rsidR="008D53D2">
        <w:rPr>
          <w:lang w:eastAsia="zh-CN"/>
        </w:rPr>
        <w:t>AAP-</w:t>
      </w:r>
      <w:r w:rsidR="008D53D2">
        <w:rPr>
          <w:rFonts w:hint="eastAsia"/>
          <w:lang w:eastAsia="zh-CN"/>
        </w:rPr>
        <w:t>8</w:t>
      </w:r>
      <w:r w:rsidR="0005722B">
        <w:rPr>
          <w:lang w:eastAsia="zh-CN"/>
        </w:rPr>
        <w:t>3</w:t>
      </w:r>
      <w:r>
        <w:rPr>
          <w:rFonts w:hint="eastAsia"/>
          <w:lang w:eastAsia="zh-CN"/>
        </w:rPr>
        <w:t>号预告</w:t>
      </w:r>
      <w:r>
        <w:rPr>
          <w:rFonts w:ascii="Futura Lt BT" w:hAnsi="Futura Lt BT" w:hint="eastAsia"/>
          <w:iCs/>
          <w:lang w:eastAsia="zh-CN"/>
        </w:rPr>
        <w:t>并根据</w:t>
      </w:r>
      <w:r w:rsidRPr="008847B5">
        <w:rPr>
          <w:iCs/>
          <w:lang w:eastAsia="zh-CN"/>
        </w:rPr>
        <w:t>A.8</w:t>
      </w:r>
      <w:r>
        <w:rPr>
          <w:rFonts w:ascii="Futura Lt BT" w:hAnsi="Futura Lt BT" w:hint="eastAsia"/>
          <w:iCs/>
          <w:lang w:eastAsia="zh-CN"/>
        </w:rPr>
        <w:t>建议书（</w:t>
      </w:r>
      <w:r w:rsidRPr="008847B5">
        <w:rPr>
          <w:iCs/>
          <w:lang w:eastAsia="zh-CN"/>
        </w:rPr>
        <w:t>200</w:t>
      </w:r>
      <w:r>
        <w:rPr>
          <w:rFonts w:hint="eastAsia"/>
          <w:iCs/>
          <w:lang w:eastAsia="zh-CN"/>
        </w:rPr>
        <w:t>8</w:t>
      </w:r>
      <w:r>
        <w:rPr>
          <w:rFonts w:ascii="Futura Lt BT" w:hAnsi="Futura Lt BT" w:hint="eastAsia"/>
          <w:iCs/>
          <w:lang w:eastAsia="zh-CN"/>
        </w:rPr>
        <w:t>年，约翰内斯堡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6.2</w:t>
      </w:r>
      <w:r>
        <w:rPr>
          <w:rFonts w:hint="eastAsia"/>
          <w:lang w:eastAsia="zh-CN"/>
        </w:rPr>
        <w:t>段的规定，我谨通知您：第</w:t>
      </w:r>
      <w:r w:rsidR="001C52F1">
        <w:rPr>
          <w:lang w:eastAsia="zh-CN"/>
        </w:rPr>
        <w:t>11</w:t>
      </w:r>
      <w:r>
        <w:rPr>
          <w:rFonts w:hint="eastAsia"/>
          <w:lang w:eastAsia="zh-CN"/>
        </w:rPr>
        <w:t>研究组</w:t>
      </w:r>
      <w:r w:rsidR="00CF4138">
        <w:rPr>
          <w:rFonts w:hint="eastAsia"/>
          <w:lang w:eastAsia="zh-CN"/>
        </w:rPr>
        <w:t>已</w:t>
      </w:r>
      <w:r>
        <w:rPr>
          <w:rFonts w:hint="eastAsia"/>
          <w:lang w:eastAsia="zh-CN"/>
        </w:rPr>
        <w:t>在</w:t>
      </w:r>
      <w:r w:rsidR="001C52F1">
        <w:rPr>
          <w:lang w:eastAsia="zh-CN"/>
        </w:rPr>
        <w:t>201</w:t>
      </w:r>
      <w:r w:rsidR="008D53D2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 w:rsidR="008D53D2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 w:rsidR="008D53D2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日举行的全体会议上</w:t>
      </w:r>
      <w:r w:rsidRPr="005365E4">
        <w:rPr>
          <w:rFonts w:hint="eastAsia"/>
          <w:b/>
          <w:bCs/>
          <w:lang w:eastAsia="zh-CN"/>
        </w:rPr>
        <w:t>批准了</w:t>
      </w:r>
      <w:r w:rsidR="006D6309">
        <w:rPr>
          <w:lang w:eastAsia="zh-CN"/>
        </w:rPr>
        <w:t xml:space="preserve">ITU-T </w:t>
      </w:r>
      <w:r w:rsidR="008D53D2">
        <w:rPr>
          <w:b/>
          <w:lang w:eastAsia="zh-CN"/>
        </w:rPr>
        <w:t>Q.3304.1 v2</w:t>
      </w:r>
      <w:r w:rsidRPr="001F7C7B">
        <w:rPr>
          <w:rFonts w:hint="eastAsia"/>
          <w:lang w:eastAsia="zh-CN"/>
        </w:rPr>
        <w:t>新建议书</w:t>
      </w:r>
      <w:r w:rsidR="006D6309">
        <w:rPr>
          <w:rFonts w:hint="eastAsia"/>
          <w:bCs/>
          <w:lang w:eastAsia="zh-CN"/>
        </w:rPr>
        <w:t>案文</w:t>
      </w:r>
      <w:r>
        <w:rPr>
          <w:rFonts w:hint="eastAsia"/>
          <w:lang w:eastAsia="zh-CN"/>
        </w:rPr>
        <w:t>。</w:t>
      </w:r>
    </w:p>
    <w:p w:rsidR="009C749B" w:rsidRDefault="009C749B" w:rsidP="008D53D2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已批准的</w:t>
      </w:r>
      <w:r w:rsidR="006D6309">
        <w:rPr>
          <w:lang w:eastAsia="zh-CN"/>
        </w:rPr>
        <w:t xml:space="preserve">ITU-T </w:t>
      </w:r>
      <w:r w:rsidR="008D53D2">
        <w:rPr>
          <w:b/>
          <w:lang w:eastAsia="zh-CN"/>
        </w:rPr>
        <w:t>Q.3304.1 v2</w:t>
      </w:r>
      <w:r>
        <w:rPr>
          <w:rFonts w:hint="eastAsia"/>
          <w:lang w:eastAsia="zh-CN"/>
        </w:rPr>
        <w:t>新建议书的标题为：</w:t>
      </w:r>
    </w:p>
    <w:p w:rsidR="009C749B" w:rsidRDefault="008D53D2" w:rsidP="001E3255">
      <w:pPr>
        <w:ind w:firstLineChars="200" w:firstLine="480"/>
        <w:rPr>
          <w:lang w:eastAsia="zh-CN"/>
        </w:rPr>
      </w:pPr>
      <w:r>
        <w:rPr>
          <w:rFonts w:eastAsiaTheme="minorEastAsia" w:hint="eastAsia"/>
          <w:szCs w:val="24"/>
          <w:lang w:eastAsia="zh-CN"/>
        </w:rPr>
        <w:t>“第</w:t>
      </w:r>
      <w:r>
        <w:rPr>
          <w:rFonts w:eastAsiaTheme="minorEastAsia"/>
          <w:szCs w:val="24"/>
          <w:lang w:eastAsia="zh-CN"/>
        </w:rPr>
        <w:t>4</w:t>
      </w:r>
      <w:r>
        <w:rPr>
          <w:rFonts w:eastAsiaTheme="minorEastAsia" w:hint="eastAsia"/>
          <w:szCs w:val="24"/>
          <w:lang w:eastAsia="zh-CN"/>
        </w:rPr>
        <w:t>号资源控制协议</w:t>
      </w:r>
      <w:r w:rsidR="001E3255">
        <w:rPr>
          <w:rFonts w:eastAsiaTheme="minorEastAsia" w:hint="eastAsia"/>
          <w:szCs w:val="24"/>
          <w:lang w:eastAsia="zh-CN"/>
        </w:rPr>
        <w:t>（</w:t>
      </w:r>
      <w:r>
        <w:rPr>
          <w:rFonts w:eastAsia="Times New Roman"/>
          <w:szCs w:val="24"/>
          <w:lang w:eastAsia="zh-CN"/>
        </w:rPr>
        <w:t>rcp4</w:t>
      </w:r>
      <w:r w:rsidR="001E3255">
        <w:rPr>
          <w:rFonts w:eastAsiaTheme="minorEastAsia" w:hint="eastAsia"/>
          <w:szCs w:val="24"/>
          <w:lang w:eastAsia="zh-CN"/>
        </w:rPr>
        <w:t>）</w:t>
      </w:r>
      <w:r>
        <w:rPr>
          <w:rFonts w:eastAsia="Times New Roman"/>
          <w:szCs w:val="24"/>
          <w:lang w:eastAsia="zh-CN"/>
        </w:rPr>
        <w:t>–</w:t>
      </w:r>
      <w:r>
        <w:rPr>
          <w:rFonts w:eastAsiaTheme="minorEastAsia"/>
          <w:szCs w:val="24"/>
          <w:lang w:eastAsia="zh-CN"/>
        </w:rPr>
        <w:t xml:space="preserve"> </w:t>
      </w:r>
      <w:r>
        <w:rPr>
          <w:rFonts w:ascii="Arial" w:hAnsi="Arial" w:cs="Arial" w:hint="eastAsia"/>
          <w:color w:val="313131"/>
          <w:szCs w:val="24"/>
          <w:lang w:eastAsia="zh-CN"/>
        </w:rPr>
        <w:t>传输资源控制物理实</w:t>
      </w:r>
      <w:r>
        <w:rPr>
          <w:rFonts w:ascii="SimSun" w:hAnsi="SimSun" w:cs="SimSun" w:hint="eastAsia"/>
          <w:color w:val="313131"/>
          <w:szCs w:val="24"/>
          <w:lang w:eastAsia="zh-CN"/>
        </w:rPr>
        <w:t>体</w:t>
      </w:r>
      <w:r w:rsidR="001E3255">
        <w:rPr>
          <w:rFonts w:eastAsiaTheme="minorEastAsia" w:hint="eastAsia"/>
          <w:szCs w:val="24"/>
          <w:lang w:eastAsia="zh-CN"/>
        </w:rPr>
        <w:t>（</w:t>
      </w:r>
      <w:r>
        <w:rPr>
          <w:rFonts w:eastAsia="Times New Roman"/>
          <w:szCs w:val="24"/>
          <w:lang w:eastAsia="zh-CN"/>
        </w:rPr>
        <w:t>TRC-PE</w:t>
      </w:r>
      <w:r w:rsidR="001E3255">
        <w:rPr>
          <w:rFonts w:eastAsiaTheme="minorEastAsia" w:hint="eastAsia"/>
          <w:szCs w:val="24"/>
          <w:lang w:eastAsia="zh-CN"/>
        </w:rPr>
        <w:t>）</w:t>
      </w:r>
      <w:r>
        <w:rPr>
          <w:rFonts w:ascii="SimSun" w:hAnsi="SimSun" w:cs="SimSun" w:hint="eastAsia"/>
          <w:color w:val="313131"/>
          <w:szCs w:val="24"/>
          <w:lang w:eastAsia="zh-CN"/>
        </w:rPr>
        <w:t>与</w:t>
      </w:r>
      <w:r>
        <w:rPr>
          <w:rFonts w:ascii="Arial" w:hAnsi="Arial" w:cs="Arial" w:hint="eastAsia"/>
          <w:color w:val="313131"/>
          <w:szCs w:val="24"/>
          <w:lang w:eastAsia="zh-CN"/>
        </w:rPr>
        <w:t>传输物理实</w:t>
      </w:r>
      <w:r>
        <w:rPr>
          <w:rFonts w:ascii="SimSun" w:hAnsi="SimSun" w:cs="SimSun" w:hint="eastAsia"/>
          <w:color w:val="313131"/>
          <w:szCs w:val="24"/>
          <w:lang w:eastAsia="zh-CN"/>
        </w:rPr>
        <w:t>体</w:t>
      </w:r>
      <w:r w:rsidR="001E3255">
        <w:rPr>
          <w:rFonts w:eastAsiaTheme="minorEastAsia" w:hint="eastAsia"/>
          <w:szCs w:val="24"/>
          <w:lang w:eastAsia="zh-CN"/>
        </w:rPr>
        <w:t>（</w:t>
      </w:r>
      <w:r>
        <w:rPr>
          <w:rFonts w:eastAsia="Times New Roman"/>
          <w:szCs w:val="24"/>
          <w:lang w:eastAsia="zh-CN"/>
        </w:rPr>
        <w:t>T-PE</w:t>
      </w:r>
      <w:r w:rsidR="001E3255">
        <w:rPr>
          <w:rFonts w:eastAsiaTheme="minorEastAsia" w:hint="eastAsia"/>
          <w:szCs w:val="24"/>
          <w:lang w:eastAsia="zh-CN"/>
        </w:rPr>
        <w:t>）</w:t>
      </w:r>
      <w:r>
        <w:rPr>
          <w:rFonts w:eastAsiaTheme="minorEastAsia" w:hint="eastAsia"/>
          <w:szCs w:val="24"/>
          <w:lang w:eastAsia="zh-CN"/>
        </w:rPr>
        <w:t>之间</w:t>
      </w:r>
      <w:proofErr w:type="spellStart"/>
      <w:r w:rsidR="001E3255">
        <w:rPr>
          <w:rFonts w:eastAsiaTheme="minorEastAsia" w:hint="eastAsia"/>
          <w:szCs w:val="24"/>
          <w:lang w:eastAsia="zh-CN"/>
        </w:rPr>
        <w:t>Rc</w:t>
      </w:r>
      <w:proofErr w:type="spellEnd"/>
      <w:r>
        <w:rPr>
          <w:rFonts w:eastAsiaTheme="minorEastAsia" w:hint="eastAsia"/>
          <w:szCs w:val="24"/>
          <w:lang w:eastAsia="zh-CN"/>
        </w:rPr>
        <w:t>接口</w:t>
      </w:r>
      <w:r w:rsidR="001E3255">
        <w:rPr>
          <w:rFonts w:eastAsiaTheme="minorEastAsia" w:hint="eastAsia"/>
          <w:szCs w:val="24"/>
          <w:lang w:eastAsia="zh-CN"/>
        </w:rPr>
        <w:t>（</w:t>
      </w:r>
      <w:proofErr w:type="spellStart"/>
      <w:r>
        <w:rPr>
          <w:rFonts w:eastAsia="Times New Roman"/>
          <w:szCs w:val="24"/>
          <w:lang w:eastAsia="zh-CN"/>
        </w:rPr>
        <w:t>Rc</w:t>
      </w:r>
      <w:proofErr w:type="spellEnd"/>
      <w:r>
        <w:rPr>
          <w:rFonts w:eastAsia="Times New Roman"/>
          <w:szCs w:val="24"/>
          <w:lang w:eastAsia="zh-CN"/>
        </w:rPr>
        <w:t xml:space="preserve"> interface</w:t>
      </w:r>
      <w:r w:rsidR="001E3255">
        <w:rPr>
          <w:rFonts w:eastAsiaTheme="minorEastAsia" w:hint="eastAsia"/>
          <w:szCs w:val="24"/>
          <w:lang w:eastAsia="zh-CN"/>
        </w:rPr>
        <w:t>）</w:t>
      </w:r>
      <w:r>
        <w:rPr>
          <w:rFonts w:eastAsiaTheme="minorEastAsia" w:hint="eastAsia"/>
          <w:szCs w:val="24"/>
          <w:lang w:eastAsia="zh-CN"/>
        </w:rPr>
        <w:t>的协议：</w:t>
      </w:r>
      <w:r>
        <w:rPr>
          <w:rFonts w:eastAsia="Times New Roman"/>
          <w:szCs w:val="24"/>
          <w:lang w:eastAsia="zh-CN"/>
        </w:rPr>
        <w:t>COPS</w:t>
      </w:r>
      <w:r>
        <w:rPr>
          <w:rFonts w:eastAsiaTheme="minorEastAsia" w:hint="eastAsia"/>
          <w:szCs w:val="24"/>
          <w:lang w:eastAsia="zh-CN"/>
        </w:rPr>
        <w:t>备选</w:t>
      </w:r>
    </w:p>
    <w:p w:rsidR="009C749B" w:rsidRDefault="009C749B" w:rsidP="009C749B">
      <w:pPr>
        <w:spacing w:before="100" w:after="20" w:line="340" w:lineRule="atLeast"/>
        <w:rPr>
          <w:lang w:eastAsia="zh-CN"/>
        </w:rPr>
      </w:pPr>
      <w:proofErr w:type="gramStart"/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可通过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网站在线查询有关的专利信息。</w:t>
      </w:r>
      <w:proofErr w:type="gramEnd"/>
    </w:p>
    <w:p w:rsidR="009C749B" w:rsidRDefault="009C749B" w:rsidP="009C749B">
      <w:pPr>
        <w:spacing w:before="100" w:after="20" w:line="340" w:lineRule="atLeast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网站上将很快提供预出版的建议书的案文。</w:t>
      </w:r>
    </w:p>
    <w:p w:rsidR="009C749B" w:rsidRPr="00C868BD" w:rsidRDefault="009C749B" w:rsidP="009C749B">
      <w:pPr>
        <w:rPr>
          <w:lang w:val="en-US"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国际电联将尽快出版该建议书。</w:t>
      </w:r>
    </w:p>
    <w:p w:rsidR="009C749B" w:rsidRDefault="009C749B" w:rsidP="009C749B">
      <w:pPr>
        <w:rPr>
          <w:lang w:eastAsia="zh-CN"/>
        </w:rPr>
      </w:pPr>
    </w:p>
    <w:p w:rsidR="009C749B" w:rsidRDefault="009C749B" w:rsidP="009C749B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9C749B" w:rsidRDefault="009C749B" w:rsidP="009C749B">
      <w:pPr>
        <w:rPr>
          <w:lang w:eastAsia="zh-CN"/>
        </w:rPr>
      </w:pPr>
    </w:p>
    <w:p w:rsidR="009C749B" w:rsidRDefault="009C749B" w:rsidP="009C749B">
      <w:pPr>
        <w:rPr>
          <w:lang w:eastAsia="zh-CN"/>
        </w:rPr>
      </w:pPr>
    </w:p>
    <w:p w:rsidR="009C749B" w:rsidRDefault="009C749B" w:rsidP="009C749B">
      <w:pPr>
        <w:rPr>
          <w:lang w:eastAsia="zh-CN"/>
        </w:rPr>
      </w:pPr>
    </w:p>
    <w:p w:rsidR="00EE59AB" w:rsidRPr="009C749B" w:rsidRDefault="009C749B" w:rsidP="009C749B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="00CF4138" w:rsidRPr="00CF4138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EE59AB" w:rsidRPr="009C749B">
      <w:footerReference w:type="default" r:id="rId9"/>
      <w:footerReference w:type="first" r:id="rId10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D3" w:rsidRDefault="00A703D3">
      <w:r>
        <w:separator/>
      </w:r>
    </w:p>
  </w:endnote>
  <w:endnote w:type="continuationSeparator" w:id="0">
    <w:p w:rsidR="00A703D3" w:rsidRDefault="00A7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A703D3">
      <w:tc>
        <w:tcPr>
          <w:tcW w:w="10149" w:type="dxa"/>
        </w:tcPr>
        <w:p w:rsidR="00A703D3" w:rsidRDefault="00A703D3" w:rsidP="00095181">
          <w:pPr>
            <w:pBdr>
              <w:top w:val="single" w:sz="4" w:space="5" w:color="auto"/>
            </w:pBdr>
            <w:tabs>
              <w:tab w:val="clear" w:pos="1588"/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A703D3" w:rsidRDefault="00A703D3" w:rsidP="00CF4138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739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</w:r>
          <w:hyperlink r:id="rId1" w:history="1">
            <w:r w:rsidR="00CF4138">
              <w:rPr>
                <w:rStyle w:val="Hyperlink"/>
                <w:rFonts w:ascii="Futura Lt BT" w:hAnsi="Futura Lt BT"/>
                <w:sz w:val="18"/>
              </w:rPr>
              <w:t>www.itu.int</w:t>
            </w:r>
          </w:hyperlink>
        </w:p>
        <w:p w:rsidR="00A703D3" w:rsidRDefault="00A703D3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CF4138" w:rsidRDefault="00CF4138" w:rsidP="001C3E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3D3" w:rsidRDefault="002955D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1C3E73">
      <w:t>P:\CHI\ITU-T\BUREAU\CIRC\100\106C.docx</w:t>
    </w:r>
    <w:r>
      <w:fldChar w:fldCharType="end"/>
    </w:r>
    <w:r w:rsidR="00A703D3">
      <w:tab/>
    </w:r>
    <w:r w:rsidR="00A703D3">
      <w:fldChar w:fldCharType="begin"/>
    </w:r>
    <w:r w:rsidR="00A703D3">
      <w:instrText xml:space="preserve"> savedate \@ dd.MM.yy </w:instrText>
    </w:r>
    <w:r w:rsidR="00A703D3">
      <w:fldChar w:fldCharType="separate"/>
    </w:r>
    <w:r>
      <w:t>09.07.12</w:t>
    </w:r>
    <w:r w:rsidR="00A703D3">
      <w:fldChar w:fldCharType="end"/>
    </w:r>
    <w:r w:rsidR="00A703D3">
      <w:tab/>
    </w:r>
    <w:r w:rsidR="00A703D3">
      <w:fldChar w:fldCharType="begin"/>
    </w:r>
    <w:r w:rsidR="00A703D3">
      <w:instrText xml:space="preserve"> printdate \@ dd.MM.yy </w:instrText>
    </w:r>
    <w:r w:rsidR="00A703D3">
      <w:fldChar w:fldCharType="separate"/>
    </w:r>
    <w:r w:rsidR="001C3E73">
      <w:t>06.05.10</w:t>
    </w:r>
    <w:r w:rsidR="00A703D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D3" w:rsidRDefault="00A703D3">
      <w:r>
        <w:t>____________________</w:t>
      </w:r>
    </w:p>
  </w:footnote>
  <w:footnote w:type="continuationSeparator" w:id="0">
    <w:p w:rsidR="00A703D3" w:rsidRDefault="00A70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AB"/>
    <w:rsid w:val="0005722B"/>
    <w:rsid w:val="00095181"/>
    <w:rsid w:val="001C21C8"/>
    <w:rsid w:val="001C3E73"/>
    <w:rsid w:val="001C52F1"/>
    <w:rsid w:val="001C6E36"/>
    <w:rsid w:val="001E3255"/>
    <w:rsid w:val="002955D9"/>
    <w:rsid w:val="002A72F7"/>
    <w:rsid w:val="00317A4D"/>
    <w:rsid w:val="00341C67"/>
    <w:rsid w:val="003A6F1D"/>
    <w:rsid w:val="004A3686"/>
    <w:rsid w:val="005365E4"/>
    <w:rsid w:val="0059425B"/>
    <w:rsid w:val="005A0956"/>
    <w:rsid w:val="00624CB1"/>
    <w:rsid w:val="006D6309"/>
    <w:rsid w:val="00703CBA"/>
    <w:rsid w:val="00743D83"/>
    <w:rsid w:val="007626DE"/>
    <w:rsid w:val="00762E1B"/>
    <w:rsid w:val="008847B5"/>
    <w:rsid w:val="00891D10"/>
    <w:rsid w:val="008D53D2"/>
    <w:rsid w:val="009704E7"/>
    <w:rsid w:val="0098410B"/>
    <w:rsid w:val="009C749B"/>
    <w:rsid w:val="00A23824"/>
    <w:rsid w:val="00A703D3"/>
    <w:rsid w:val="00AF2746"/>
    <w:rsid w:val="00B50E4F"/>
    <w:rsid w:val="00B67F39"/>
    <w:rsid w:val="00BB7187"/>
    <w:rsid w:val="00C115D3"/>
    <w:rsid w:val="00CB5EE7"/>
    <w:rsid w:val="00CF4138"/>
    <w:rsid w:val="00D91AAD"/>
    <w:rsid w:val="00DC09B3"/>
    <w:rsid w:val="00DE65BB"/>
    <w:rsid w:val="00E73313"/>
    <w:rsid w:val="00EE2A77"/>
    <w:rsid w:val="00EE59AB"/>
    <w:rsid w:val="00F33A3F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631</CharactersWithSpaces>
  <SharedDoc>false</SharedDoc>
  <HLinks>
    <vt:vector size="6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Papara, Marion</cp:lastModifiedBy>
  <cp:revision>2</cp:revision>
  <cp:lastPrinted>2010-05-06T12:40:00Z</cp:lastPrinted>
  <dcterms:created xsi:type="dcterms:W3CDTF">2012-07-16T09:18:00Z</dcterms:created>
  <dcterms:modified xsi:type="dcterms:W3CDTF">2012-07-16T09:18:00Z</dcterms:modified>
</cp:coreProperties>
</file>