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B53712">
            <w:pPr>
              <w:bidi w:val="0"/>
              <w:jc w:val="left"/>
              <w:rPr>
                <w:rFonts w:eastAsia="SimSun"/>
                <w:b/>
                <w:bCs/>
                <w:noProof/>
                <w:sz w:val="44"/>
                <w:szCs w:val="44"/>
                <w:lang w:eastAsia="zh-CN" w:bidi="ar-EG"/>
              </w:rPr>
            </w:pPr>
            <w:r w:rsidRPr="00A71FE1">
              <w:rPr>
                <w:noProof/>
                <w:rtl/>
                <w:lang w:eastAsia="zh-CN"/>
              </w:rPr>
              <w:drawing>
                <wp:inline distT="0" distB="0" distL="0" distR="0" wp14:anchorId="38FB0152" wp14:editId="106E8414">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lang w:bidi="ar-EG"/>
              </w:rPr>
            </w:pPr>
            <w:r w:rsidRPr="00007569">
              <w:rPr>
                <w:rFonts w:hint="cs"/>
                <w:rtl/>
              </w:rPr>
              <w:t>جنيف،</w:t>
            </w:r>
            <w:r w:rsidRPr="00007569">
              <w:rPr>
                <w:rFonts w:hint="cs"/>
                <w:rtl/>
                <w:lang w:bidi="ar-EG"/>
              </w:rPr>
              <w:t xml:space="preserve"> </w:t>
            </w:r>
            <w:r w:rsidR="003E1CF6">
              <w:rPr>
                <w:lang w:bidi="ar-EG"/>
              </w:rPr>
              <w:t>8</w:t>
            </w:r>
            <w:r w:rsidR="003E1CF6">
              <w:rPr>
                <w:rFonts w:hint="cs"/>
                <w:rtl/>
                <w:lang w:bidi="ar-EG"/>
              </w:rPr>
              <w:t xml:space="preserve"> مارس </w:t>
            </w:r>
            <w:r w:rsidR="003E1CF6">
              <w:rPr>
                <w:lang w:bidi="ar-EG"/>
              </w:rPr>
              <w:t>2012</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3E1CF6">
            <w:pPr>
              <w:tabs>
                <w:tab w:val="left" w:pos="4111"/>
              </w:tabs>
              <w:spacing w:before="20" w:line="300" w:lineRule="exact"/>
              <w:ind w:left="57"/>
              <w:jc w:val="left"/>
              <w:rPr>
                <w:b/>
                <w:rtl/>
                <w:lang w:bidi="ar-EG"/>
              </w:rPr>
            </w:pPr>
            <w:r>
              <w:rPr>
                <w:b/>
              </w:rPr>
              <w:t>TSB</w:t>
            </w:r>
            <w:r w:rsidR="00F03585">
              <w:rPr>
                <w:b/>
              </w:rPr>
              <w:t> </w:t>
            </w:r>
            <w:r>
              <w:rPr>
                <w:b/>
              </w:rPr>
              <w:t xml:space="preserve">Circular </w:t>
            </w:r>
            <w:r w:rsidR="003E1CF6">
              <w:rPr>
                <w:b/>
              </w:rPr>
              <w:t>269</w:t>
            </w:r>
          </w:p>
          <w:p w:rsidR="00007569" w:rsidRPr="00007569" w:rsidRDefault="003E1CF6" w:rsidP="003E1CF6">
            <w:pPr>
              <w:tabs>
                <w:tab w:val="right" w:pos="1113"/>
                <w:tab w:val="left" w:pos="4111"/>
              </w:tabs>
              <w:spacing w:before="0" w:after="60" w:line="300" w:lineRule="exact"/>
              <w:ind w:left="57"/>
              <w:jc w:val="left"/>
              <w:rPr>
                <w:bCs/>
              </w:rPr>
            </w:pPr>
            <w:r>
              <w:rPr>
                <w:bCs/>
              </w:rPr>
              <w:t>COM 17/MEU</w:t>
            </w:r>
          </w:p>
        </w:tc>
        <w:tc>
          <w:tcPr>
            <w:tcW w:w="4760" w:type="dxa"/>
          </w:tcPr>
          <w:p w:rsidR="003E1CF6" w:rsidRPr="00007569" w:rsidRDefault="00007569" w:rsidP="003E1CF6">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p>
          <w:p w:rsidR="00F71CA3" w:rsidRPr="00007569" w:rsidRDefault="00F71CA3" w:rsidP="00CF1B69">
            <w:pPr>
              <w:tabs>
                <w:tab w:val="left" w:pos="284"/>
                <w:tab w:val="left" w:pos="4111"/>
              </w:tabs>
              <w:spacing w:before="20" w:line="300" w:lineRule="exact"/>
              <w:ind w:left="284" w:hanging="227"/>
              <w:rPr>
                <w:rtl/>
                <w:lang w:bidi="ar-EG"/>
              </w:rPr>
            </w:pP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FE7226" w:rsidRDefault="003603DD" w:rsidP="00171E80">
            <w:pPr>
              <w:tabs>
                <w:tab w:val="right" w:pos="1432"/>
                <w:tab w:val="left" w:pos="4111"/>
              </w:tabs>
              <w:spacing w:before="60" w:after="60" w:line="300" w:lineRule="exact"/>
              <w:ind w:left="57"/>
              <w:jc w:val="left"/>
              <w:rPr>
                <w:rtl/>
                <w:lang w:bidi="ar-EG"/>
              </w:rPr>
            </w:pPr>
            <w:r w:rsidRPr="005D0E19">
              <w:t>+41 22 730 5866</w:t>
            </w:r>
            <w:r w:rsidR="00FE7226">
              <w:rPr>
                <w:rFonts w:hint="cs"/>
                <w:rtl/>
                <w:lang w:bidi="ar-EG"/>
              </w:rPr>
              <w:br/>
            </w:r>
            <w:r w:rsidRPr="005D0E19">
              <w:t>+41 22 730 5853</w:t>
            </w:r>
          </w:p>
          <w:p w:rsidR="00007569" w:rsidRPr="00007569" w:rsidRDefault="00180FA1" w:rsidP="00FE7226">
            <w:pPr>
              <w:tabs>
                <w:tab w:val="right" w:pos="1432"/>
                <w:tab w:val="left" w:pos="4111"/>
              </w:tabs>
              <w:spacing w:before="20" w:after="60" w:line="300" w:lineRule="exact"/>
              <w:ind w:left="57"/>
              <w:jc w:val="left"/>
              <w:rPr>
                <w:rtl/>
                <w:lang w:bidi="ar-EG"/>
              </w:rPr>
            </w:pPr>
            <w:hyperlink r:id="rId10" w:history="1">
              <w:r w:rsidR="004F7261" w:rsidRPr="0076169C">
                <w:rPr>
                  <w:rStyle w:val="Hyperlink"/>
                </w:rPr>
                <w:t xml:space="preserve"> tsbsg17@itu.int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3603DD" w:rsidRPr="00DC5505" w:rsidRDefault="00007569" w:rsidP="003603DD">
            <w:pPr>
              <w:tabs>
                <w:tab w:val="left" w:pos="284"/>
                <w:tab w:val="left" w:pos="4111"/>
              </w:tabs>
              <w:spacing w:before="0" w:line="300" w:lineRule="exact"/>
              <w:ind w:left="57"/>
              <w:rPr>
                <w:rtl/>
              </w:rPr>
            </w:pPr>
            <w:r w:rsidRPr="00007569">
              <w:rPr>
                <w:rFonts w:hint="cs"/>
                <w:rtl/>
              </w:rPr>
              <w:t>-</w:t>
            </w:r>
            <w:r w:rsidRPr="00007569">
              <w:rPr>
                <w:rtl/>
              </w:rPr>
              <w:tab/>
            </w:r>
            <w:r w:rsidR="003603DD" w:rsidRPr="00DC5505">
              <w:rPr>
                <w:rFonts w:hint="cs"/>
                <w:rtl/>
              </w:rPr>
              <w:t>أعضاء قطاع تقييس الاتصالات؛</w:t>
            </w:r>
          </w:p>
          <w:p w:rsidR="003603DD" w:rsidRDefault="003603DD" w:rsidP="003603DD">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المنتسبين إلى قطاع تقييس الاتصالات؛</w:t>
            </w:r>
          </w:p>
          <w:p w:rsidR="003603DD" w:rsidRPr="00E448CA" w:rsidRDefault="003603DD" w:rsidP="003603DD">
            <w:pPr>
              <w:tabs>
                <w:tab w:val="left" w:pos="284"/>
                <w:tab w:val="left" w:pos="4111"/>
              </w:tabs>
              <w:spacing w:before="0" w:line="300" w:lineRule="exact"/>
              <w:ind w:left="57"/>
              <w:rPr>
                <w:rtl/>
                <w:lang w:bidi="ar-EG"/>
              </w:rPr>
            </w:pPr>
            <w:r w:rsidRPr="00C67A47">
              <w:rPr>
                <w:rFonts w:hint="cs"/>
                <w:rtl/>
              </w:rPr>
              <w:t>-</w:t>
            </w:r>
            <w:r w:rsidRPr="00C67A47">
              <w:rPr>
                <w:rtl/>
                <w:lang w:bidi="ar-EG"/>
              </w:rPr>
              <w:tab/>
            </w:r>
            <w:r w:rsidRPr="00C67A47">
              <w:rPr>
                <w:rFonts w:hint="cs"/>
                <w:rtl/>
                <w:lang w:bidi="ar-EG"/>
              </w:rPr>
              <w:t>الهيئات الأكاديمية المنضمة إلى قطاع تقييس الاتصالات؛</w:t>
            </w:r>
          </w:p>
          <w:p w:rsidR="003603DD" w:rsidRPr="00DC5505" w:rsidRDefault="003603DD" w:rsidP="003603DD">
            <w:pPr>
              <w:tabs>
                <w:tab w:val="left" w:pos="284"/>
                <w:tab w:val="left" w:pos="4111"/>
              </w:tabs>
              <w:spacing w:before="0" w:line="300" w:lineRule="exact"/>
              <w:ind w:left="57"/>
              <w:rPr>
                <w:rtl/>
                <w:lang w:bidi="ar-EG"/>
              </w:rPr>
            </w:pPr>
            <w:r w:rsidRPr="00DC5505">
              <w:rPr>
                <w:rFonts w:hint="cs"/>
                <w:rtl/>
              </w:rPr>
              <w:t>-</w:t>
            </w:r>
            <w:r w:rsidRPr="00DC5505">
              <w:rPr>
                <w:rtl/>
              </w:rPr>
              <w:tab/>
            </w:r>
            <w:r w:rsidRPr="00DC5505">
              <w:rPr>
                <w:rFonts w:hint="cs"/>
                <w:rtl/>
              </w:rPr>
              <w:t xml:space="preserve">رئيس لجنة الدراسات </w:t>
            </w:r>
            <w:r>
              <w:rPr>
                <w:bCs/>
              </w:rPr>
              <w:t>17</w:t>
            </w:r>
            <w:r w:rsidRPr="00DC5505">
              <w:rPr>
                <w:rFonts w:hint="cs"/>
                <w:rtl/>
                <w:lang w:bidi="ar-EG"/>
              </w:rPr>
              <w:t xml:space="preserve"> ونوابه؛</w:t>
            </w:r>
          </w:p>
          <w:p w:rsidR="003603DD" w:rsidRPr="00DC5505" w:rsidRDefault="003603DD" w:rsidP="003603DD">
            <w:pPr>
              <w:tabs>
                <w:tab w:val="left" w:pos="284"/>
                <w:tab w:val="left" w:pos="4111"/>
              </w:tabs>
              <w:spacing w:before="0" w:line="300" w:lineRule="exact"/>
              <w:ind w:left="57"/>
              <w:rPr>
                <w:rtl/>
              </w:rPr>
            </w:pPr>
            <w:r w:rsidRPr="00DC5505">
              <w:rPr>
                <w:rFonts w:hint="cs"/>
                <w:rtl/>
              </w:rPr>
              <w:t>-</w:t>
            </w:r>
            <w:r w:rsidRPr="00DC5505">
              <w:rPr>
                <w:rtl/>
              </w:rPr>
              <w:tab/>
              <w:t>مدير مكتب تنمية الاتصالات</w:t>
            </w:r>
            <w:r w:rsidRPr="00DC5505">
              <w:rPr>
                <w:rFonts w:hint="cs"/>
                <w:rtl/>
              </w:rPr>
              <w:t>؛</w:t>
            </w:r>
          </w:p>
          <w:p w:rsidR="00007569" w:rsidRPr="00007569" w:rsidRDefault="003603DD" w:rsidP="003603DD">
            <w:pPr>
              <w:tabs>
                <w:tab w:val="left" w:pos="284"/>
                <w:tab w:val="left" w:pos="4111"/>
              </w:tabs>
              <w:spacing w:before="0" w:after="60" w:line="300" w:lineRule="exact"/>
              <w:ind w:left="284" w:hanging="227"/>
              <w:rPr>
                <w:rtl/>
              </w:rPr>
            </w:pPr>
            <w:r w:rsidRPr="00DC5505">
              <w:rPr>
                <w:rFonts w:hint="cs"/>
                <w:rtl/>
              </w:rPr>
              <w:t>-</w:t>
            </w:r>
            <w:r w:rsidRPr="00DC5505">
              <w:rPr>
                <w:rtl/>
              </w:rPr>
              <w:tab/>
              <w:t>مدير مكتب الاتصالات الراديوية</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B53712" w:rsidTr="00CF1B69">
        <w:trPr>
          <w:cantSplit/>
        </w:trPr>
        <w:tc>
          <w:tcPr>
            <w:tcW w:w="1533" w:type="dxa"/>
          </w:tcPr>
          <w:p w:rsidR="00F71CA3" w:rsidRPr="00B53712" w:rsidRDefault="00F71CA3" w:rsidP="0031633A">
            <w:pPr>
              <w:spacing w:after="120"/>
              <w:ind w:left="57"/>
              <w:rPr>
                <w:rtl/>
                <w:lang w:bidi="ar-SY"/>
              </w:rPr>
            </w:pPr>
            <w:r w:rsidRPr="00B53712">
              <w:rPr>
                <w:rFonts w:hint="cs"/>
                <w:rtl/>
              </w:rPr>
              <w:t>الموضوع:</w:t>
            </w:r>
          </w:p>
        </w:tc>
        <w:tc>
          <w:tcPr>
            <w:tcW w:w="8100" w:type="dxa"/>
            <w:gridSpan w:val="2"/>
          </w:tcPr>
          <w:p w:rsidR="00F71CA3" w:rsidRPr="00B53712" w:rsidRDefault="00DA55BB" w:rsidP="004F7261">
            <w:pPr>
              <w:tabs>
                <w:tab w:val="left" w:pos="284"/>
                <w:tab w:val="left" w:pos="4111"/>
              </w:tabs>
              <w:spacing w:after="120"/>
              <w:ind w:left="57"/>
              <w:rPr>
                <w:b/>
                <w:bCs/>
                <w:rtl/>
              </w:rPr>
            </w:pPr>
            <w:r w:rsidRPr="00B53712">
              <w:rPr>
                <w:rFonts w:hint="cs"/>
                <w:b/>
                <w:bCs/>
                <w:spacing w:val="-4"/>
                <w:rtl/>
              </w:rPr>
              <w:t>اجتماع لجنة الدراسات</w:t>
            </w:r>
            <w:r w:rsidRPr="00B53712">
              <w:rPr>
                <w:rFonts w:hint="cs"/>
                <w:b/>
                <w:bCs/>
                <w:spacing w:val="-4"/>
                <w:rtl/>
                <w:lang w:bidi="ar-EG"/>
              </w:rPr>
              <w:t xml:space="preserve"> </w:t>
            </w:r>
            <w:r w:rsidRPr="00B53712">
              <w:rPr>
                <w:b/>
                <w:bCs/>
                <w:spacing w:val="-4"/>
                <w:lang w:bidi="ar-EG"/>
              </w:rPr>
              <w:t>17</w:t>
            </w:r>
            <w:r w:rsidRPr="00B53712">
              <w:rPr>
                <w:rFonts w:hint="cs"/>
                <w:b/>
                <w:bCs/>
                <w:spacing w:val="-4"/>
                <w:rtl/>
                <w:lang w:bidi="ar-EG"/>
              </w:rPr>
              <w:t xml:space="preserve"> بهدف الموافقة على مشاريع التوصيات الجديدة </w:t>
            </w:r>
            <w:r w:rsidRPr="00B53712">
              <w:rPr>
                <w:b/>
                <w:bCs/>
                <w:spacing w:val="-4"/>
                <w:lang w:bidi="ar-EG"/>
              </w:rPr>
              <w:t>ITU</w:t>
            </w:r>
            <w:r w:rsidRPr="00B53712">
              <w:rPr>
                <w:b/>
                <w:bCs/>
                <w:spacing w:val="-4"/>
                <w:lang w:bidi="ar-EG"/>
              </w:rPr>
              <w:noBreakHyphen/>
              <w:t>T X.1054</w:t>
            </w:r>
            <w:r w:rsidRPr="00B53712">
              <w:rPr>
                <w:rFonts w:hint="cs"/>
                <w:b/>
                <w:bCs/>
                <w:spacing w:val="-4"/>
                <w:rtl/>
                <w:lang w:bidi="ar-SY"/>
              </w:rPr>
              <w:t xml:space="preserve"> و</w:t>
            </w:r>
            <w:r w:rsidRPr="00B53712">
              <w:rPr>
                <w:b/>
                <w:bCs/>
                <w:spacing w:val="-4"/>
                <w:lang w:bidi="ar-SY"/>
              </w:rPr>
              <w:t>ITU</w:t>
            </w:r>
            <w:r w:rsidRPr="00B53712">
              <w:rPr>
                <w:b/>
                <w:bCs/>
                <w:spacing w:val="-4"/>
                <w:lang w:bidi="ar-SY"/>
              </w:rPr>
              <w:noBreakHyphen/>
              <w:t>T X.1254</w:t>
            </w:r>
            <w:r w:rsidRPr="00B53712">
              <w:rPr>
                <w:rFonts w:hint="cs"/>
                <w:b/>
                <w:bCs/>
                <w:spacing w:val="-4"/>
                <w:rtl/>
                <w:lang w:bidi="ar-SY"/>
              </w:rPr>
              <w:t xml:space="preserve"> و</w:t>
            </w:r>
            <w:r w:rsidRPr="00B53712">
              <w:rPr>
                <w:b/>
                <w:bCs/>
                <w:spacing w:val="-4"/>
                <w:lang w:bidi="ar-SY"/>
              </w:rPr>
              <w:t>ITU</w:t>
            </w:r>
            <w:r w:rsidRPr="00B53712">
              <w:rPr>
                <w:b/>
                <w:bCs/>
                <w:spacing w:val="-4"/>
                <w:lang w:bidi="ar-SY"/>
              </w:rPr>
              <w:noBreakHyphen/>
              <w:t>T X.1527</w:t>
            </w:r>
            <w:r w:rsidRPr="00B53712">
              <w:rPr>
                <w:rFonts w:hint="cs"/>
                <w:b/>
                <w:bCs/>
                <w:spacing w:val="-4"/>
                <w:rtl/>
                <w:lang w:bidi="ar-SY"/>
              </w:rPr>
              <w:t xml:space="preserve"> و</w:t>
            </w:r>
            <w:r w:rsidRPr="00B53712">
              <w:rPr>
                <w:b/>
                <w:bCs/>
                <w:spacing w:val="-4"/>
                <w:lang w:bidi="ar-SY"/>
              </w:rPr>
              <w:t>ITU</w:t>
            </w:r>
            <w:r w:rsidRPr="00B53712">
              <w:rPr>
                <w:b/>
                <w:bCs/>
                <w:spacing w:val="-4"/>
                <w:lang w:bidi="ar-SY"/>
              </w:rPr>
              <w:noBreakHyphen/>
              <w:t>T X.1528</w:t>
            </w:r>
            <w:r w:rsidRPr="00B53712">
              <w:rPr>
                <w:rFonts w:hint="cs"/>
                <w:b/>
                <w:bCs/>
                <w:spacing w:val="-4"/>
                <w:rtl/>
                <w:lang w:bidi="ar-EG"/>
              </w:rPr>
              <w:t xml:space="preserve"> </w:t>
            </w:r>
            <w:r w:rsidRPr="00B53712">
              <w:rPr>
                <w:rFonts w:hint="cs"/>
                <w:b/>
                <w:bCs/>
                <w:spacing w:val="-4"/>
                <w:rtl/>
                <w:lang w:bidi="ar-SY"/>
              </w:rPr>
              <w:t>و</w:t>
            </w:r>
            <w:r w:rsidRPr="00B53712">
              <w:rPr>
                <w:b/>
                <w:bCs/>
                <w:spacing w:val="-4"/>
                <w:lang w:bidi="ar-SY"/>
              </w:rPr>
              <w:t>ITU</w:t>
            </w:r>
            <w:r w:rsidRPr="00B53712">
              <w:rPr>
                <w:b/>
                <w:bCs/>
                <w:spacing w:val="-4"/>
                <w:lang w:bidi="ar-SY"/>
              </w:rPr>
              <w:noBreakHyphen/>
              <w:t>T X.1528.1</w:t>
            </w:r>
            <w:r w:rsidRPr="00B53712">
              <w:rPr>
                <w:rFonts w:hint="cs"/>
                <w:b/>
                <w:bCs/>
                <w:spacing w:val="-4"/>
                <w:rtl/>
                <w:lang w:bidi="ar-EG"/>
              </w:rPr>
              <w:t xml:space="preserve"> </w:t>
            </w:r>
            <w:r w:rsidRPr="00B53712">
              <w:rPr>
                <w:rFonts w:hint="cs"/>
                <w:b/>
                <w:bCs/>
                <w:spacing w:val="-4"/>
                <w:rtl/>
                <w:lang w:bidi="ar-SY"/>
              </w:rPr>
              <w:t>و</w:t>
            </w:r>
            <w:r w:rsidRPr="00B53712">
              <w:rPr>
                <w:b/>
                <w:bCs/>
                <w:spacing w:val="-4"/>
                <w:lang w:bidi="ar-SY"/>
              </w:rPr>
              <w:t>ITU</w:t>
            </w:r>
            <w:r w:rsidRPr="00B53712">
              <w:rPr>
                <w:b/>
                <w:bCs/>
                <w:spacing w:val="-4"/>
                <w:lang w:bidi="ar-SY"/>
              </w:rPr>
              <w:noBreakHyphen/>
              <w:t>T X.1528.2</w:t>
            </w:r>
            <w:r w:rsidRPr="00B53712">
              <w:rPr>
                <w:rFonts w:hint="cs"/>
                <w:b/>
                <w:bCs/>
                <w:spacing w:val="-4"/>
                <w:rtl/>
                <w:lang w:bidi="ar-EG"/>
              </w:rPr>
              <w:t xml:space="preserve"> </w:t>
            </w:r>
            <w:r w:rsidRPr="00B53712">
              <w:rPr>
                <w:rFonts w:hint="cs"/>
                <w:b/>
                <w:bCs/>
                <w:spacing w:val="-4"/>
                <w:rtl/>
                <w:lang w:bidi="ar-SY"/>
              </w:rPr>
              <w:t>و</w:t>
            </w:r>
            <w:r w:rsidRPr="00B53712">
              <w:rPr>
                <w:b/>
                <w:bCs/>
                <w:spacing w:val="-4"/>
                <w:lang w:bidi="ar-SY"/>
              </w:rPr>
              <w:t>ITU</w:t>
            </w:r>
            <w:r w:rsidRPr="00B53712">
              <w:rPr>
                <w:b/>
                <w:bCs/>
                <w:spacing w:val="-4"/>
                <w:lang w:bidi="ar-SY"/>
              </w:rPr>
              <w:noBreakHyphen/>
              <w:t>T X.1528.3</w:t>
            </w:r>
            <w:r w:rsidRPr="00B53712">
              <w:rPr>
                <w:rFonts w:hint="cs"/>
                <w:b/>
                <w:bCs/>
                <w:spacing w:val="-4"/>
                <w:rtl/>
                <w:lang w:bidi="ar-EG"/>
              </w:rPr>
              <w:t xml:space="preserve"> </w:t>
            </w:r>
            <w:r w:rsidRPr="00B53712">
              <w:rPr>
                <w:rFonts w:hint="cs"/>
                <w:b/>
                <w:bCs/>
                <w:spacing w:val="-4"/>
                <w:rtl/>
                <w:lang w:bidi="ar-SY"/>
              </w:rPr>
              <w:t>و</w:t>
            </w:r>
            <w:r w:rsidRPr="00B53712">
              <w:rPr>
                <w:b/>
                <w:bCs/>
                <w:spacing w:val="-4"/>
                <w:lang w:bidi="ar-SY"/>
              </w:rPr>
              <w:t>ITU</w:t>
            </w:r>
            <w:r w:rsidRPr="00B53712">
              <w:rPr>
                <w:b/>
                <w:bCs/>
                <w:spacing w:val="-4"/>
                <w:lang w:bidi="ar-SY"/>
              </w:rPr>
              <w:noBreakHyphen/>
              <w:t>T X.1528</w:t>
            </w:r>
            <w:r w:rsidRPr="00B53712">
              <w:rPr>
                <w:b/>
                <w:bCs/>
                <w:spacing w:val="-4"/>
                <w:lang w:bidi="ar-EG"/>
              </w:rPr>
              <w:t>.4</w:t>
            </w:r>
            <w:r w:rsidRPr="00B53712">
              <w:rPr>
                <w:rFonts w:hint="cs"/>
                <w:b/>
                <w:bCs/>
                <w:spacing w:val="-4"/>
                <w:rtl/>
                <w:lang w:bidi="ar-EG"/>
              </w:rPr>
              <w:t xml:space="preserve"> </w:t>
            </w:r>
            <w:r w:rsidRPr="00B53712">
              <w:rPr>
                <w:rFonts w:hint="cs"/>
                <w:b/>
                <w:bCs/>
                <w:spacing w:val="-4"/>
                <w:rtl/>
                <w:lang w:bidi="ar-SY"/>
              </w:rPr>
              <w:t>و</w:t>
            </w:r>
            <w:r w:rsidRPr="00B53712">
              <w:rPr>
                <w:b/>
                <w:bCs/>
                <w:spacing w:val="-4"/>
                <w:lang w:bidi="ar-SY"/>
              </w:rPr>
              <w:t>ITU</w:t>
            </w:r>
            <w:r w:rsidRPr="00B53712">
              <w:rPr>
                <w:b/>
                <w:bCs/>
                <w:spacing w:val="-4"/>
                <w:lang w:bidi="ar-SY"/>
              </w:rPr>
              <w:noBreakHyphen/>
              <w:t>T X.1541</w:t>
            </w:r>
            <w:r w:rsidRPr="00B53712">
              <w:rPr>
                <w:rFonts w:hint="cs"/>
                <w:b/>
                <w:bCs/>
                <w:spacing w:val="-4"/>
                <w:rtl/>
                <w:lang w:bidi="ar-EG"/>
              </w:rPr>
              <w:t xml:space="preserve"> </w:t>
            </w:r>
            <w:r w:rsidRPr="00B53712">
              <w:rPr>
                <w:rFonts w:hint="cs"/>
                <w:b/>
                <w:bCs/>
                <w:spacing w:val="-4"/>
                <w:rtl/>
                <w:lang w:bidi="ar-SY"/>
              </w:rPr>
              <w:t>و</w:t>
            </w:r>
            <w:r w:rsidRPr="00B53712">
              <w:rPr>
                <w:b/>
                <w:bCs/>
                <w:spacing w:val="-4"/>
                <w:lang w:bidi="ar-SY"/>
              </w:rPr>
              <w:t>ITU</w:t>
            </w:r>
            <w:r w:rsidRPr="00B53712">
              <w:rPr>
                <w:b/>
                <w:bCs/>
                <w:spacing w:val="-4"/>
                <w:lang w:bidi="ar-SY"/>
              </w:rPr>
              <w:noBreakHyphen/>
              <w:t>T X.1580</w:t>
            </w:r>
            <w:r w:rsidRPr="00B53712">
              <w:rPr>
                <w:rFonts w:hint="cs"/>
                <w:b/>
                <w:bCs/>
                <w:spacing w:val="-4"/>
                <w:rtl/>
                <w:lang w:bidi="ar-EG"/>
              </w:rPr>
              <w:t xml:space="preserve"> </w:t>
            </w:r>
            <w:r w:rsidRPr="00B53712">
              <w:rPr>
                <w:rFonts w:hint="cs"/>
                <w:b/>
                <w:bCs/>
                <w:spacing w:val="-4"/>
                <w:rtl/>
                <w:lang w:bidi="ar-SY"/>
              </w:rPr>
              <w:t>و</w:t>
            </w:r>
            <w:r w:rsidRPr="00B53712">
              <w:rPr>
                <w:b/>
                <w:bCs/>
                <w:spacing w:val="-4"/>
                <w:lang w:bidi="ar-SY"/>
              </w:rPr>
              <w:t>ITU</w:t>
            </w:r>
            <w:r w:rsidRPr="00B53712">
              <w:rPr>
                <w:b/>
                <w:bCs/>
                <w:spacing w:val="-4"/>
                <w:lang w:bidi="ar-SY"/>
              </w:rPr>
              <w:noBreakHyphen/>
              <w:t>T X.1581</w:t>
            </w:r>
            <w:r w:rsidRPr="00B53712">
              <w:rPr>
                <w:rFonts w:hint="cs"/>
                <w:b/>
                <w:bCs/>
                <w:spacing w:val="-4"/>
                <w:rtl/>
                <w:lang w:bidi="ar-EG"/>
              </w:rPr>
              <w:t xml:space="preserve"> عملاً بأحكام القسم </w:t>
            </w:r>
            <w:r w:rsidRPr="00B53712">
              <w:rPr>
                <w:b/>
                <w:bCs/>
                <w:spacing w:val="-4"/>
                <w:lang w:bidi="ar-EG"/>
              </w:rPr>
              <w:t>9</w:t>
            </w:r>
            <w:r w:rsidRPr="00B53712">
              <w:rPr>
                <w:rFonts w:hint="cs"/>
                <w:b/>
                <w:bCs/>
                <w:spacing w:val="-4"/>
                <w:rtl/>
                <w:lang w:bidi="ar-EG"/>
              </w:rPr>
              <w:t xml:space="preserve"> من القرار </w:t>
            </w:r>
            <w:r w:rsidRPr="00B53712">
              <w:rPr>
                <w:b/>
                <w:bCs/>
                <w:spacing w:val="-4"/>
                <w:lang w:bidi="ar-EG"/>
              </w:rPr>
              <w:t>1</w:t>
            </w:r>
            <w:r w:rsidRPr="00B53712">
              <w:rPr>
                <w:rFonts w:hint="cs"/>
                <w:b/>
                <w:bCs/>
                <w:spacing w:val="-4"/>
                <w:rtl/>
                <w:lang w:bidi="ar-EG"/>
              </w:rPr>
              <w:t xml:space="preserve"> الصادر عن الجمعية العالمية لتقييس الاتصالات (جوهانسبرغ، </w:t>
            </w:r>
            <w:r w:rsidRPr="00B53712">
              <w:rPr>
                <w:b/>
                <w:bCs/>
                <w:spacing w:val="-4"/>
                <w:lang w:bidi="ar-EG"/>
              </w:rPr>
              <w:t>2008</w:t>
            </w:r>
            <w:r w:rsidRPr="00B53712">
              <w:rPr>
                <w:rFonts w:hint="cs"/>
                <w:b/>
                <w:bCs/>
                <w:spacing w:val="-4"/>
                <w:rtl/>
                <w:lang w:bidi="ar-EG"/>
              </w:rPr>
              <w:t>)</w:t>
            </w:r>
            <w:r w:rsidRPr="00B53712">
              <w:rPr>
                <w:b/>
                <w:bCs/>
                <w:spacing w:val="-4"/>
                <w:rtl/>
                <w:lang w:bidi="ar-EG"/>
              </w:rPr>
              <w:br/>
            </w:r>
            <w:r w:rsidR="00F71CA3" w:rsidRPr="00B53712">
              <w:rPr>
                <w:rFonts w:hint="cs"/>
                <w:b/>
                <w:bCs/>
                <w:rtl/>
              </w:rPr>
              <w:t xml:space="preserve">جنيف، </w:t>
            </w:r>
            <w:r w:rsidRPr="00B53712">
              <w:rPr>
                <w:b/>
                <w:bCs/>
                <w:lang w:bidi="ar-EG"/>
              </w:rPr>
              <w:t>7</w:t>
            </w:r>
            <w:r w:rsidRPr="00B53712">
              <w:rPr>
                <w:rFonts w:hint="cs"/>
                <w:b/>
                <w:bCs/>
                <w:rtl/>
                <w:lang w:bidi="ar-SY"/>
              </w:rPr>
              <w:t xml:space="preserve"> سبتمبر </w:t>
            </w:r>
            <w:r w:rsidRPr="00B53712">
              <w:rPr>
                <w:b/>
                <w:bCs/>
                <w:lang w:bidi="ar-SY"/>
              </w:rPr>
              <w:t>2012</w:t>
            </w:r>
          </w:p>
        </w:tc>
      </w:tr>
    </w:tbl>
    <w:p w:rsidR="00007569" w:rsidRPr="000302D3" w:rsidRDefault="00007569" w:rsidP="005570E4">
      <w:pPr>
        <w:spacing w:before="480"/>
        <w:rPr>
          <w:rtl/>
        </w:rPr>
      </w:pPr>
      <w:r w:rsidRPr="000302D3">
        <w:rPr>
          <w:rFonts w:hint="cs"/>
          <w:rtl/>
        </w:rPr>
        <w:t>حضرات السادة والسيدات،</w:t>
      </w:r>
    </w:p>
    <w:p w:rsidR="00007569" w:rsidRPr="000302D3" w:rsidRDefault="00007569" w:rsidP="00DA07ED">
      <w:pPr>
        <w:rPr>
          <w:rtl/>
        </w:rPr>
      </w:pPr>
      <w:r w:rsidRPr="000302D3">
        <w:rPr>
          <w:rFonts w:hint="cs"/>
          <w:rtl/>
        </w:rPr>
        <w:t>تحية طيبة وبعد،</w:t>
      </w:r>
    </w:p>
    <w:p w:rsidR="00AC61E0" w:rsidRPr="00B426C0" w:rsidRDefault="00AC61E0" w:rsidP="00AC61E0">
      <w:pPr>
        <w:rPr>
          <w:spacing w:val="-2"/>
          <w:rtl/>
          <w:lang w:bidi="ar-EG"/>
        </w:rPr>
      </w:pPr>
      <w:r w:rsidRPr="005F33FD">
        <w:t>1</w:t>
      </w:r>
      <w:r w:rsidRPr="005F33FD">
        <w:tab/>
      </w:r>
      <w:r w:rsidRPr="00B426C0">
        <w:rPr>
          <w:rFonts w:hint="cs"/>
          <w:spacing w:val="-2"/>
          <w:rtl/>
        </w:rPr>
        <w:t xml:space="preserve">بناءً على طلب رئيس لجنة الدراسات </w:t>
      </w:r>
      <w:r w:rsidRPr="00B426C0">
        <w:rPr>
          <w:spacing w:val="-2"/>
        </w:rPr>
        <w:t>17</w:t>
      </w:r>
      <w:r w:rsidRPr="00B426C0">
        <w:rPr>
          <w:rFonts w:hint="cs"/>
          <w:spacing w:val="-2"/>
          <w:rtl/>
          <w:lang w:bidi="ar-EG"/>
        </w:rPr>
        <w:t xml:space="preserve">، المعنية </w:t>
      </w:r>
      <w:r w:rsidRPr="00B426C0">
        <w:rPr>
          <w:rFonts w:hint="cs"/>
          <w:i/>
          <w:iCs/>
          <w:spacing w:val="-2"/>
          <w:rtl/>
        </w:rPr>
        <w:t>بالأمن</w:t>
      </w:r>
      <w:r w:rsidRPr="00B426C0">
        <w:rPr>
          <w:rFonts w:hint="cs"/>
          <w:spacing w:val="-2"/>
          <w:rtl/>
          <w:lang w:bidi="ar-EG"/>
        </w:rPr>
        <w:t xml:space="preserve">، أتشرف بأن أُعلِمَكُم أن لجنة الدراسات هذه، التي ستجتمع من </w:t>
      </w:r>
      <w:r w:rsidRPr="00B426C0">
        <w:rPr>
          <w:spacing w:val="-2"/>
          <w:lang w:bidi="ar-EG"/>
        </w:rPr>
        <w:t>29</w:t>
      </w:r>
      <w:r w:rsidRPr="00B426C0">
        <w:rPr>
          <w:rFonts w:hint="cs"/>
          <w:spacing w:val="-2"/>
          <w:rtl/>
          <w:lang w:bidi="ar-SY"/>
        </w:rPr>
        <w:t xml:space="preserve"> أغسطس</w:t>
      </w:r>
      <w:r w:rsidRPr="00B426C0">
        <w:rPr>
          <w:rFonts w:hint="cs"/>
          <w:spacing w:val="-2"/>
          <w:rtl/>
          <w:lang w:bidi="ar-EG"/>
        </w:rPr>
        <w:t xml:space="preserve"> إلى </w:t>
      </w:r>
      <w:r w:rsidRPr="00B426C0">
        <w:rPr>
          <w:spacing w:val="-2"/>
          <w:lang w:bidi="ar-EG"/>
        </w:rPr>
        <w:t>7</w:t>
      </w:r>
      <w:r w:rsidRPr="00B426C0">
        <w:rPr>
          <w:rFonts w:hint="cs"/>
          <w:spacing w:val="-2"/>
          <w:rtl/>
          <w:lang w:bidi="ar-SY"/>
        </w:rPr>
        <w:t xml:space="preserve"> سبتمبر </w:t>
      </w:r>
      <w:r w:rsidRPr="00B426C0">
        <w:rPr>
          <w:spacing w:val="-2"/>
          <w:lang w:bidi="ar-SY"/>
        </w:rPr>
        <w:t>2012</w:t>
      </w:r>
      <w:r w:rsidR="00143626">
        <w:rPr>
          <w:rFonts w:hint="cs"/>
          <w:spacing w:val="-2"/>
          <w:rtl/>
          <w:lang w:bidi="ar-EG"/>
        </w:rPr>
        <w:t>، تنوي تطبيق الإجراء الموصوف</w:t>
      </w:r>
      <w:r w:rsidRPr="00B426C0">
        <w:rPr>
          <w:rFonts w:hint="cs"/>
          <w:spacing w:val="-2"/>
          <w:rtl/>
          <w:lang w:bidi="ar-EG"/>
        </w:rPr>
        <w:t xml:space="preserve"> في القسم</w:t>
      </w:r>
      <w:r w:rsidRPr="00B426C0">
        <w:rPr>
          <w:rFonts w:hint="eastAsia"/>
          <w:spacing w:val="-2"/>
          <w:rtl/>
          <w:lang w:bidi="ar-EG"/>
        </w:rPr>
        <w:t> </w:t>
      </w:r>
      <w:r w:rsidRPr="00B426C0">
        <w:rPr>
          <w:spacing w:val="-2"/>
          <w:lang w:bidi="ar-EG"/>
        </w:rPr>
        <w:t>9</w:t>
      </w:r>
      <w:r w:rsidRPr="00B426C0">
        <w:rPr>
          <w:rFonts w:hint="cs"/>
          <w:spacing w:val="-2"/>
          <w:rtl/>
          <w:lang w:bidi="ar-EG"/>
        </w:rPr>
        <w:t xml:space="preserve"> من القرار</w:t>
      </w:r>
      <w:r w:rsidRPr="00B426C0">
        <w:rPr>
          <w:rFonts w:hint="eastAsia"/>
          <w:spacing w:val="-2"/>
          <w:rtl/>
          <w:lang w:bidi="ar-EG"/>
        </w:rPr>
        <w:t> </w:t>
      </w:r>
      <w:r w:rsidRPr="00B426C0">
        <w:rPr>
          <w:spacing w:val="-2"/>
          <w:lang w:bidi="ar-EG"/>
        </w:rPr>
        <w:t>1</w:t>
      </w:r>
      <w:r w:rsidRPr="00B426C0">
        <w:rPr>
          <w:rFonts w:hint="cs"/>
          <w:spacing w:val="-2"/>
          <w:rtl/>
          <w:lang w:bidi="ar-EG"/>
        </w:rPr>
        <w:t xml:space="preserve"> الصادر عن الجمعية العالمية لتقييس الاتصالات (جوهانسبرغ،</w:t>
      </w:r>
      <w:r w:rsidRPr="00B426C0">
        <w:rPr>
          <w:rFonts w:hint="eastAsia"/>
          <w:spacing w:val="-2"/>
          <w:rtl/>
          <w:lang w:bidi="ar-EG"/>
        </w:rPr>
        <w:t> </w:t>
      </w:r>
      <w:r w:rsidRPr="00B426C0">
        <w:rPr>
          <w:spacing w:val="-2"/>
          <w:lang w:bidi="ar-EG"/>
        </w:rPr>
        <w:t>2008</w:t>
      </w:r>
      <w:r w:rsidRPr="00B426C0">
        <w:rPr>
          <w:rFonts w:hint="cs"/>
          <w:spacing w:val="-2"/>
          <w:rtl/>
          <w:lang w:bidi="ar-EG"/>
        </w:rPr>
        <w:t>) وذلك من أجل الموافقة على مشاريع التوصيات الجديدة المذكورة أعلاه.</w:t>
      </w:r>
    </w:p>
    <w:p w:rsidR="00AC61E0" w:rsidRDefault="00AC61E0" w:rsidP="00C00AAF">
      <w:pPr>
        <w:rPr>
          <w:rtl/>
          <w:lang w:bidi="ar-EG"/>
        </w:rPr>
      </w:pPr>
      <w:proofErr w:type="gramStart"/>
      <w:r>
        <w:rPr>
          <w:lang w:bidi="ar-EG"/>
        </w:rPr>
        <w:t>2</w:t>
      </w:r>
      <w:r>
        <w:rPr>
          <w:rFonts w:hint="cs"/>
          <w:rtl/>
          <w:lang w:bidi="ar-EG"/>
        </w:rPr>
        <w:tab/>
        <w:t xml:space="preserve">ويشتمل </w:t>
      </w:r>
      <w:r>
        <w:rPr>
          <w:rFonts w:hint="cs"/>
          <w:b/>
          <w:bCs/>
          <w:rtl/>
          <w:lang w:bidi="ar-EG"/>
        </w:rPr>
        <w:t>الملحق</w:t>
      </w:r>
      <w:r>
        <w:rPr>
          <w:rFonts w:hint="eastAsia"/>
          <w:b/>
          <w:bCs/>
          <w:rtl/>
          <w:lang w:bidi="ar-EG"/>
        </w:rPr>
        <w:t> </w:t>
      </w:r>
      <w:r>
        <w:rPr>
          <w:b/>
          <w:bCs/>
          <w:lang w:bidi="ar-EG"/>
        </w:rPr>
        <w:t>1</w:t>
      </w:r>
      <w:r>
        <w:rPr>
          <w:rFonts w:hint="cs"/>
          <w:rtl/>
          <w:lang w:bidi="ar-EG"/>
        </w:rPr>
        <w:t xml:space="preserve"> بهذه الرسالة على عناوين وملخصات مشاريع التوصيات الجديدة لقطاع تقييس ا</w:t>
      </w:r>
      <w:r w:rsidR="00C00AAF">
        <w:rPr>
          <w:rFonts w:hint="cs"/>
          <w:rtl/>
          <w:lang w:bidi="ar-EG"/>
        </w:rPr>
        <w:t>لاتصالات المقترح الموافقة عليها و</w:t>
      </w:r>
      <w:r>
        <w:rPr>
          <w:rFonts w:hint="cs"/>
          <w:rtl/>
          <w:lang w:bidi="ar-EG"/>
        </w:rPr>
        <w:t>الوثائق التي ترد</w:t>
      </w:r>
      <w:r>
        <w:rPr>
          <w:rFonts w:hint="eastAsia"/>
          <w:rtl/>
          <w:lang w:bidi="ar-EG"/>
        </w:rPr>
        <w:t> </w:t>
      </w:r>
      <w:r>
        <w:rPr>
          <w:rFonts w:hint="cs"/>
          <w:rtl/>
          <w:lang w:bidi="ar-EG"/>
        </w:rPr>
        <w:t>فيها.</w:t>
      </w:r>
      <w:proofErr w:type="gramEnd"/>
    </w:p>
    <w:p w:rsidR="00AC61E0" w:rsidRDefault="00AC61E0" w:rsidP="00B426C0">
      <w:pPr>
        <w:rPr>
          <w:lang w:bidi="ar-EG"/>
        </w:rPr>
      </w:pPr>
      <w:r>
        <w:rPr>
          <w:lang w:bidi="ar-EG"/>
        </w:rPr>
        <w:t>3</w:t>
      </w:r>
      <w:r>
        <w:rPr>
          <w:rFonts w:hint="cs"/>
          <w:rtl/>
          <w:lang w:bidi="ar-EG"/>
        </w:rPr>
        <w:tab/>
      </w:r>
      <w:r w:rsidRPr="00460C4B">
        <w:rPr>
          <w:rFonts w:hint="cs"/>
          <w:spacing w:val="-4"/>
          <w:rtl/>
          <w:lang w:bidi="ar-EG"/>
        </w:rPr>
        <w:t xml:space="preserve">يرجى من أي دولة عضو في الاتحاد أو عضو في القطاع أو منتسب إليه </w:t>
      </w:r>
      <w:r w:rsidRPr="00C67A47">
        <w:rPr>
          <w:rFonts w:hint="cs"/>
          <w:spacing w:val="-4"/>
          <w:rtl/>
          <w:lang w:bidi="ar-EG"/>
        </w:rPr>
        <w:t xml:space="preserve">أو </w:t>
      </w:r>
      <w:r>
        <w:rPr>
          <w:rFonts w:hint="cs"/>
          <w:spacing w:val="-4"/>
          <w:rtl/>
          <w:lang w:bidi="ar-EG"/>
        </w:rPr>
        <w:t>هيئة</w:t>
      </w:r>
      <w:r w:rsidRPr="00C67A47">
        <w:rPr>
          <w:rFonts w:hint="cs"/>
          <w:spacing w:val="-4"/>
          <w:rtl/>
          <w:lang w:bidi="ar-EG"/>
        </w:rPr>
        <w:t xml:space="preserve"> أكاديمية</w:t>
      </w:r>
      <w:r w:rsidRPr="00460C4B">
        <w:rPr>
          <w:rFonts w:hint="cs"/>
          <w:spacing w:val="-4"/>
          <w:rtl/>
          <w:lang w:bidi="ar-EG"/>
        </w:rPr>
        <w:t xml:space="preserve">، </w:t>
      </w:r>
      <w:r>
        <w:rPr>
          <w:rFonts w:hint="cs"/>
          <w:spacing w:val="-4"/>
          <w:rtl/>
          <w:lang w:bidi="ar-EG"/>
        </w:rPr>
        <w:t>ت</w:t>
      </w:r>
      <w:r w:rsidRPr="00460C4B">
        <w:rPr>
          <w:rFonts w:hint="cs"/>
          <w:spacing w:val="-4"/>
          <w:rtl/>
          <w:lang w:bidi="ar-EG"/>
        </w:rPr>
        <w:t>علم بوجود براءة اختراع في</w:t>
      </w:r>
      <w:r w:rsidR="00B426C0">
        <w:rPr>
          <w:rFonts w:hint="eastAsia"/>
          <w:spacing w:val="-4"/>
          <w:rtl/>
          <w:lang w:bidi="ar-EG"/>
        </w:rPr>
        <w:t> </w:t>
      </w:r>
      <w:r w:rsidRPr="00460C4B">
        <w:rPr>
          <w:rFonts w:hint="cs"/>
          <w:spacing w:val="-4"/>
          <w:rtl/>
          <w:lang w:bidi="ar-EG"/>
        </w:rPr>
        <w:t>حيازته</w:t>
      </w:r>
      <w:r>
        <w:rPr>
          <w:rFonts w:hint="cs"/>
          <w:spacing w:val="-4"/>
          <w:rtl/>
          <w:lang w:bidi="ar-EG"/>
        </w:rPr>
        <w:t>ا</w:t>
      </w:r>
      <w:r w:rsidRPr="00460C4B">
        <w:rPr>
          <w:rFonts w:hint="cs"/>
          <w:spacing w:val="-4"/>
          <w:rtl/>
          <w:lang w:bidi="ar-EG"/>
        </w:rPr>
        <w:t xml:space="preserve"> أو في حيازة الغير من شأنها أن تشمل كلياً أو جزئياً عناصر من </w:t>
      </w:r>
      <w:r>
        <w:rPr>
          <w:rFonts w:hint="cs"/>
          <w:spacing w:val="-4"/>
          <w:rtl/>
          <w:lang w:bidi="ar-EG"/>
        </w:rPr>
        <w:t>مشاريع التوصيات</w:t>
      </w:r>
      <w:r w:rsidRPr="00460C4B">
        <w:rPr>
          <w:rFonts w:hint="cs"/>
          <w:spacing w:val="-4"/>
          <w:rtl/>
          <w:lang w:bidi="ar-EG"/>
        </w:rPr>
        <w:t xml:space="preserve"> المقترح الموافقة عليها</w:t>
      </w:r>
      <w:r>
        <w:rPr>
          <w:rFonts w:hint="cs"/>
          <w:spacing w:val="-4"/>
          <w:rtl/>
          <w:lang w:bidi="ar-EG"/>
        </w:rPr>
        <w:t>،</w:t>
      </w:r>
      <w:r w:rsidRPr="00460C4B">
        <w:rPr>
          <w:rFonts w:hint="cs"/>
          <w:spacing w:val="-4"/>
          <w:rtl/>
          <w:lang w:bidi="ar-EG"/>
        </w:rPr>
        <w:t xml:space="preserve"> أن</w:t>
      </w:r>
      <w:r>
        <w:rPr>
          <w:rFonts w:hint="eastAsia"/>
          <w:spacing w:val="-4"/>
          <w:rtl/>
          <w:lang w:bidi="ar-EG"/>
        </w:rPr>
        <w:t> </w:t>
      </w:r>
      <w:r>
        <w:rPr>
          <w:rFonts w:hint="cs"/>
          <w:spacing w:val="-4"/>
          <w:rtl/>
          <w:lang w:bidi="ar-EG"/>
        </w:rPr>
        <w:t>ت</w:t>
      </w:r>
      <w:r w:rsidRPr="00460C4B">
        <w:rPr>
          <w:rFonts w:hint="cs"/>
          <w:spacing w:val="-4"/>
          <w:rtl/>
          <w:lang w:bidi="ar-EG"/>
        </w:rPr>
        <w:t>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Pr>
          <w:rFonts w:hint="eastAsia"/>
          <w:spacing w:val="-4"/>
          <w:rtl/>
          <w:lang w:bidi="ar-EG"/>
        </w:rPr>
        <w:t> </w:t>
      </w:r>
      <w:r w:rsidRPr="00460C4B">
        <w:rPr>
          <w:spacing w:val="-4"/>
          <w:lang w:bidi="ar-EG"/>
        </w:rPr>
        <w:t>(ITU-T/ITU-R/ISO/IEC)</w:t>
      </w:r>
      <w:r w:rsidRPr="00460C4B">
        <w:rPr>
          <w:rFonts w:hint="cs"/>
          <w:spacing w:val="-4"/>
          <w:rtl/>
          <w:lang w:bidi="ar-EG"/>
        </w:rPr>
        <w:t>.</w:t>
      </w:r>
    </w:p>
    <w:p w:rsidR="00AC61E0" w:rsidRPr="00EB10F2" w:rsidRDefault="00AC61E0" w:rsidP="00AC61E0">
      <w:pPr>
        <w:rPr>
          <w:spacing w:val="-6"/>
          <w:rtl/>
          <w:lang w:bidi="ar-EG"/>
        </w:rPr>
      </w:pPr>
      <w:r w:rsidRPr="006F493F">
        <w:rPr>
          <w:rFonts w:hint="cs"/>
          <w:spacing w:val="-6"/>
          <w:rtl/>
          <w:lang w:bidi="ar-EG"/>
        </w:rPr>
        <w:t xml:space="preserve">ويمكن الاطلاع على معلومات براءات الاختراع المتاحة مباشرة على الخط في الموقع الإلكتروني للقطاع </w:t>
      </w:r>
      <w:r>
        <w:rPr>
          <w:spacing w:val="-6"/>
          <w:lang w:bidi="ar-EG"/>
        </w:rPr>
        <w:t>(</w:t>
      </w:r>
      <w:hyperlink r:id="rId11" w:history="1">
        <w:r w:rsidRPr="006F493F">
          <w:rPr>
            <w:rStyle w:val="Hyperlink"/>
            <w:spacing w:val="-6"/>
            <w:lang w:bidi="ar-EG"/>
          </w:rPr>
          <w:t>www.itu.int/ITU-T/ipr/</w:t>
        </w:r>
      </w:hyperlink>
      <w:r>
        <w:rPr>
          <w:spacing w:val="-6"/>
          <w:lang w:bidi="ar-EG"/>
        </w:rPr>
        <w:t>)</w:t>
      </w:r>
      <w:r w:rsidRPr="006F493F">
        <w:rPr>
          <w:rFonts w:hint="cs"/>
          <w:spacing w:val="-6"/>
          <w:rtl/>
          <w:lang w:bidi="ar-EG"/>
        </w:rPr>
        <w:t>.</w:t>
      </w:r>
    </w:p>
    <w:p w:rsidR="00AC61E0" w:rsidRDefault="00AC61E0" w:rsidP="00AC61E0">
      <w:pPr>
        <w:keepNext/>
        <w:keepLines/>
        <w:rPr>
          <w:rtl/>
          <w:lang w:bidi="ar-EG"/>
        </w:rPr>
      </w:pPr>
      <w:r>
        <w:rPr>
          <w:lang w:bidi="ar-EG"/>
        </w:rPr>
        <w:lastRenderedPageBreak/>
        <w:t>4</w:t>
      </w:r>
      <w:r>
        <w:rPr>
          <w:rFonts w:hint="cs"/>
          <w:rtl/>
          <w:lang w:bidi="ar-EG"/>
        </w:rPr>
        <w:tab/>
        <w:t>وتبعاً لأحكام القسم</w:t>
      </w:r>
      <w:r>
        <w:rPr>
          <w:rFonts w:hint="eastAsia"/>
          <w:rtl/>
          <w:lang w:bidi="ar-EG"/>
        </w:rPr>
        <w:t> </w:t>
      </w:r>
      <w:r>
        <w:rPr>
          <w:lang w:bidi="ar-EG"/>
        </w:rPr>
        <w:t>9</w:t>
      </w:r>
      <w:r>
        <w:rPr>
          <w:rFonts w:hint="cs"/>
          <w:rtl/>
          <w:lang w:bidi="ar-EG"/>
        </w:rPr>
        <w:t xml:space="preserve"> من القرار</w:t>
      </w:r>
      <w:r>
        <w:rPr>
          <w:rFonts w:hint="eastAsia"/>
          <w:rtl/>
          <w:lang w:bidi="ar-EG"/>
        </w:rPr>
        <w:t> </w:t>
      </w:r>
      <w:r>
        <w:rPr>
          <w:lang w:bidi="ar-EG"/>
        </w:rPr>
        <w:t>1</w:t>
      </w:r>
      <w:r>
        <w:rPr>
          <w:rFonts w:hint="cs"/>
          <w:rtl/>
          <w:lang w:bidi="ar-EG"/>
        </w:rPr>
        <w:t xml:space="preserve"> سأكون ممتناً لو تفضلتم بإعلامي في موعد أقصاه منتصف الليل بالتوقيت العالمي المنسَّق </w:t>
      </w:r>
      <w:r w:rsidRPr="00D02A9F">
        <w:rPr>
          <w:rFonts w:hint="cs"/>
          <w:b/>
          <w:bCs/>
          <w:rtl/>
          <w:lang w:bidi="ar-EG"/>
        </w:rPr>
        <w:t xml:space="preserve">في </w:t>
      </w:r>
      <w:r>
        <w:rPr>
          <w:b/>
          <w:bCs/>
        </w:rPr>
        <w:t>16</w:t>
      </w:r>
      <w:r w:rsidRPr="00D02A9F">
        <w:rPr>
          <w:rFonts w:hint="cs"/>
          <w:b/>
          <w:bCs/>
          <w:rtl/>
          <w:lang w:bidi="ar-SY"/>
        </w:rPr>
        <w:t xml:space="preserve"> </w:t>
      </w:r>
      <w:r>
        <w:rPr>
          <w:rFonts w:hint="cs"/>
          <w:b/>
          <w:bCs/>
          <w:rtl/>
          <w:lang w:bidi="ar-SY"/>
        </w:rPr>
        <w:t>أغسطس</w:t>
      </w:r>
      <w:r w:rsidRPr="00D02A9F">
        <w:rPr>
          <w:rFonts w:hint="cs"/>
          <w:b/>
          <w:bCs/>
          <w:rtl/>
          <w:lang w:bidi="ar-SY"/>
        </w:rPr>
        <w:t xml:space="preserve"> </w:t>
      </w:r>
      <w:r w:rsidRPr="00D02A9F">
        <w:rPr>
          <w:b/>
          <w:bCs/>
          <w:lang w:bidi="ar-SY"/>
        </w:rPr>
        <w:t>2012</w:t>
      </w:r>
      <w:r>
        <w:rPr>
          <w:rFonts w:hint="cs"/>
          <w:rtl/>
          <w:lang w:bidi="ar-SY"/>
        </w:rPr>
        <w:t xml:space="preserve"> </w:t>
      </w:r>
      <w:r>
        <w:rPr>
          <w:rFonts w:hint="cs"/>
          <w:rtl/>
          <w:lang w:bidi="ar-EG"/>
        </w:rPr>
        <w:t>ما إذا كانت إدارتكم تفوِّض السلطة إلى لجنة الدراسات</w:t>
      </w:r>
      <w:r>
        <w:rPr>
          <w:rFonts w:hint="eastAsia"/>
          <w:rtl/>
          <w:lang w:bidi="ar-EG"/>
        </w:rPr>
        <w:t> </w:t>
      </w:r>
      <w:r>
        <w:rPr>
          <w:lang w:bidi="ar-EG"/>
        </w:rPr>
        <w:t>17</w:t>
      </w:r>
      <w:r>
        <w:rPr>
          <w:rFonts w:hint="cs"/>
          <w:rtl/>
          <w:lang w:bidi="ar-EG"/>
        </w:rPr>
        <w:t xml:space="preserve"> للنظر في مشاريع هذه التوصيات الجديدة بغرض الموافقة عليها في اجتماع لجنة الدراسات.</w:t>
      </w:r>
    </w:p>
    <w:p w:rsidR="00AC61E0" w:rsidRDefault="00AC61E0" w:rsidP="00AC61E0">
      <w:pPr>
        <w:rPr>
          <w:rtl/>
          <w:lang w:bidi="ar-EG"/>
        </w:rPr>
      </w:pPr>
      <w:r>
        <w:rPr>
          <w:rFonts w:hint="cs"/>
          <w:rtl/>
          <w:lang w:bidi="ar-EG"/>
        </w:rPr>
        <w:t>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مشاريع التوصيات الجديدة والموافقة عليها.</w:t>
      </w:r>
    </w:p>
    <w:p w:rsidR="00AC61E0" w:rsidRPr="00965D0E" w:rsidRDefault="00AC61E0" w:rsidP="00AC61E0">
      <w:pPr>
        <w:rPr>
          <w:spacing w:val="-2"/>
          <w:rtl/>
          <w:lang w:bidi="ar-EG"/>
        </w:rPr>
      </w:pPr>
      <w:proofErr w:type="gramStart"/>
      <w:r w:rsidRPr="00965D0E">
        <w:rPr>
          <w:spacing w:val="-2"/>
          <w:lang w:bidi="ar-EG"/>
        </w:rPr>
        <w:t>5</w:t>
      </w:r>
      <w:r w:rsidRPr="00965D0E">
        <w:rPr>
          <w:rFonts w:hint="cs"/>
          <w:spacing w:val="-2"/>
          <w:rtl/>
          <w:lang w:bidi="ar-EG"/>
        </w:rPr>
        <w:tab/>
        <w:t>فإذا كان</w:t>
      </w:r>
      <w:r w:rsidRPr="00965D0E">
        <w:rPr>
          <w:rFonts w:hint="eastAsia"/>
          <w:spacing w:val="-2"/>
          <w:rtl/>
          <w:lang w:bidi="ar-EG"/>
        </w:rPr>
        <w:t> </w:t>
      </w:r>
      <w:r w:rsidRPr="00965D0E">
        <w:rPr>
          <w:spacing w:val="-2"/>
          <w:lang w:bidi="ar-EG"/>
        </w:rPr>
        <w:t>70</w:t>
      </w:r>
      <w:r w:rsidRPr="00965D0E">
        <w:rPr>
          <w:rFonts w:hint="cs"/>
          <w:spacing w:val="-2"/>
          <w:rtl/>
          <w:lang w:bidi="ar-EG"/>
        </w:rPr>
        <w:t xml:space="preserve"> في المائة أو أكثر من الردود الواردة من الدول الأعضاء تؤيد النظر في مشاريع التوصيات الجديدة هذه بغرض الموافقة عليها في اجتماع لجنة الدراسات، عندئذ سوف تُكرَّس جلسة عامة </w:t>
      </w:r>
      <w:r w:rsidRPr="00965D0E">
        <w:rPr>
          <w:rFonts w:hint="cs"/>
          <w:b/>
          <w:bCs/>
          <w:spacing w:val="-2"/>
          <w:rtl/>
          <w:lang w:bidi="ar-EG"/>
        </w:rPr>
        <w:t xml:space="preserve">في </w:t>
      </w:r>
      <w:r>
        <w:rPr>
          <w:b/>
          <w:bCs/>
          <w:spacing w:val="-2"/>
          <w:lang w:bidi="ar-EG"/>
        </w:rPr>
        <w:t>7</w:t>
      </w:r>
      <w:r w:rsidRPr="00965D0E">
        <w:rPr>
          <w:rFonts w:hint="cs"/>
          <w:b/>
          <w:bCs/>
          <w:spacing w:val="-2"/>
          <w:rtl/>
          <w:lang w:bidi="ar-SY"/>
        </w:rPr>
        <w:t xml:space="preserve"> </w:t>
      </w:r>
      <w:r>
        <w:rPr>
          <w:rFonts w:hint="cs"/>
          <w:b/>
          <w:bCs/>
          <w:spacing w:val="-2"/>
          <w:rtl/>
          <w:lang w:bidi="ar-SY"/>
        </w:rPr>
        <w:t>سبتمبر</w:t>
      </w:r>
      <w:r w:rsidRPr="00965D0E">
        <w:rPr>
          <w:rFonts w:hint="cs"/>
          <w:b/>
          <w:bCs/>
          <w:spacing w:val="-2"/>
          <w:rtl/>
          <w:lang w:bidi="ar-SY"/>
        </w:rPr>
        <w:t xml:space="preserve"> </w:t>
      </w:r>
      <w:r w:rsidRPr="00965D0E">
        <w:rPr>
          <w:b/>
          <w:bCs/>
          <w:spacing w:val="-2"/>
          <w:lang w:bidi="ar-SY"/>
        </w:rPr>
        <w:t>2012</w:t>
      </w:r>
      <w:r w:rsidRPr="00965D0E">
        <w:rPr>
          <w:rFonts w:hint="cs"/>
          <w:b/>
          <w:bCs/>
          <w:spacing w:val="-2"/>
          <w:rtl/>
          <w:lang w:bidi="ar-EG"/>
        </w:rPr>
        <w:t xml:space="preserve"> </w:t>
      </w:r>
      <w:r w:rsidR="00F6643D">
        <w:rPr>
          <w:rFonts w:hint="cs"/>
          <w:spacing w:val="-2"/>
          <w:rtl/>
          <w:lang w:bidi="ar-EG"/>
        </w:rPr>
        <w:t>لتطبيق إجراء</w:t>
      </w:r>
      <w:r w:rsidRPr="00965D0E">
        <w:rPr>
          <w:rFonts w:hint="cs"/>
          <w:spacing w:val="-2"/>
          <w:rtl/>
          <w:lang w:bidi="ar-EG"/>
        </w:rPr>
        <w:t xml:space="preserve"> الموافقة.</w:t>
      </w:r>
      <w:proofErr w:type="gramEnd"/>
    </w:p>
    <w:p w:rsidR="00AC61E0" w:rsidRPr="00F11BC4" w:rsidRDefault="00AC61E0" w:rsidP="00AC61E0">
      <w:pPr>
        <w:rPr>
          <w:spacing w:val="2"/>
          <w:rtl/>
          <w:lang w:bidi="ar-EG"/>
        </w:rPr>
      </w:pPr>
      <w:r w:rsidRPr="00F11BC4">
        <w:rPr>
          <w:rFonts w:hint="cs"/>
          <w:spacing w:val="2"/>
          <w:rtl/>
          <w:lang w:bidi="ar-EG"/>
        </w:rPr>
        <w:t xml:space="preserve">ولذلك فإنني أدعو إدارتكم إلى </w:t>
      </w:r>
      <w:r>
        <w:rPr>
          <w:rFonts w:hint="cs"/>
          <w:spacing w:val="2"/>
          <w:rtl/>
          <w:lang w:bidi="ar-EG"/>
        </w:rPr>
        <w:t>إيفاد</w:t>
      </w:r>
      <w:r w:rsidRPr="00F11BC4">
        <w:rPr>
          <w:rFonts w:hint="cs"/>
          <w:spacing w:val="2"/>
          <w:rtl/>
          <w:lang w:bidi="ar-EG"/>
        </w:rPr>
        <w:t xml:space="preserve"> ممثل إلى الاجتماع. </w:t>
      </w:r>
      <w:r w:rsidRPr="00F11BC4">
        <w:rPr>
          <w:rFonts w:hint="cs"/>
          <w:b/>
          <w:bCs/>
          <w:spacing w:val="2"/>
          <w:rtl/>
          <w:lang w:bidi="ar-EG"/>
        </w:rPr>
        <w:t>ويرجى من إدارات الدول الأعضاء في الاتحاد</w:t>
      </w:r>
      <w:r w:rsidRPr="00F11BC4">
        <w:rPr>
          <w:rFonts w:hint="cs"/>
          <w:spacing w:val="2"/>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w:t>
      </w:r>
      <w:r>
        <w:rPr>
          <w:rFonts w:hint="cs"/>
          <w:spacing w:val="2"/>
          <w:rtl/>
          <w:lang w:bidi="ar-EG"/>
        </w:rPr>
        <w:t>،</w:t>
      </w:r>
      <w:r w:rsidRPr="00F11BC4">
        <w:rPr>
          <w:rFonts w:hint="cs"/>
          <w:spacing w:val="2"/>
          <w:rtl/>
          <w:lang w:bidi="ar-EG"/>
        </w:rPr>
        <w:t xml:space="preserve"> </w:t>
      </w:r>
      <w:r>
        <w:rPr>
          <w:rFonts w:hint="cs"/>
          <w:spacing w:val="2"/>
          <w:rtl/>
          <w:lang w:bidi="ar-EG"/>
        </w:rPr>
        <w:t>ينبغي</w:t>
      </w:r>
      <w:r w:rsidRPr="00F11BC4">
        <w:rPr>
          <w:rFonts w:hint="cs"/>
          <w:spacing w:val="2"/>
          <w:rtl/>
          <w:lang w:bidi="ar-EG"/>
        </w:rPr>
        <w:t xml:space="preserve"> إبلاغ </w:t>
      </w:r>
      <w:r>
        <w:rPr>
          <w:rFonts w:hint="cs"/>
          <w:spacing w:val="2"/>
          <w:rtl/>
          <w:lang w:bidi="ar-EG"/>
        </w:rPr>
        <w:t>المدير</w:t>
      </w:r>
      <w:r w:rsidRPr="00F11BC4">
        <w:rPr>
          <w:rFonts w:hint="cs"/>
          <w:spacing w:val="2"/>
          <w:rtl/>
          <w:lang w:bidi="ar-EG"/>
        </w:rPr>
        <w:t xml:space="preserve"> بذلك طبقاً لأحكام الرقم</w:t>
      </w:r>
      <w:r>
        <w:rPr>
          <w:rFonts w:hint="eastAsia"/>
          <w:spacing w:val="2"/>
          <w:rtl/>
          <w:lang w:bidi="ar-EG"/>
        </w:rPr>
        <w:t> </w:t>
      </w:r>
      <w:r w:rsidRPr="00F11BC4">
        <w:rPr>
          <w:spacing w:val="2"/>
          <w:lang w:bidi="ar-EG"/>
        </w:rPr>
        <w:t>239</w:t>
      </w:r>
      <w:r w:rsidRPr="00F11BC4">
        <w:rPr>
          <w:rFonts w:hint="cs"/>
          <w:spacing w:val="2"/>
          <w:rtl/>
          <w:lang w:bidi="ar-EG"/>
        </w:rPr>
        <w:t xml:space="preserve"> من المادة</w:t>
      </w:r>
      <w:r>
        <w:rPr>
          <w:rFonts w:hint="eastAsia"/>
          <w:spacing w:val="2"/>
          <w:rtl/>
          <w:lang w:bidi="ar-EG"/>
        </w:rPr>
        <w:t> </w:t>
      </w:r>
      <w:r w:rsidRPr="00F11BC4">
        <w:rPr>
          <w:spacing w:val="2"/>
          <w:lang w:bidi="ar-EG"/>
        </w:rPr>
        <w:t>19</w:t>
      </w:r>
      <w:r w:rsidRPr="00F11BC4">
        <w:rPr>
          <w:rFonts w:hint="cs"/>
          <w:spacing w:val="2"/>
          <w:rtl/>
          <w:lang w:bidi="ar-EG"/>
        </w:rPr>
        <w:t xml:space="preserve"> من اتفاقية الاتحاد.</w:t>
      </w:r>
    </w:p>
    <w:p w:rsidR="00AC61E0" w:rsidRDefault="00AC61E0" w:rsidP="00B426C0">
      <w:pPr>
        <w:rPr>
          <w:rtl/>
          <w:lang w:bidi="ar-SY"/>
        </w:rPr>
      </w:pPr>
      <w:proofErr w:type="gramStart"/>
      <w:r>
        <w:rPr>
          <w:lang w:bidi="ar-EG"/>
        </w:rPr>
        <w:t>6</w:t>
      </w:r>
      <w:r>
        <w:rPr>
          <w:rFonts w:hint="cs"/>
          <w:rtl/>
          <w:lang w:bidi="ar-EG"/>
        </w:rPr>
        <w:tab/>
        <w:t>ويمكن الاطلاع على جدول الأعمال وجميع المعلومات ذات الصلة فيما يتعلق باجتماع لجنة الدراسات</w:t>
      </w:r>
      <w:r>
        <w:rPr>
          <w:rFonts w:hint="eastAsia"/>
          <w:rtl/>
          <w:lang w:bidi="ar-EG"/>
        </w:rPr>
        <w:t> </w:t>
      </w:r>
      <w:r>
        <w:rPr>
          <w:lang w:bidi="ar-EG"/>
        </w:rPr>
        <w:t>17</w:t>
      </w:r>
      <w:r w:rsidR="00B426C0">
        <w:rPr>
          <w:rFonts w:hint="cs"/>
          <w:rtl/>
          <w:lang w:bidi="ar-EG"/>
        </w:rPr>
        <w:t xml:space="preserve"> </w:t>
      </w:r>
      <w:r>
        <w:rPr>
          <w:rFonts w:hint="cs"/>
          <w:rtl/>
          <w:lang w:bidi="ar-EG"/>
        </w:rPr>
        <w:t>في</w:t>
      </w:r>
      <w:r w:rsidR="00B426C0">
        <w:rPr>
          <w:rFonts w:hint="eastAsia"/>
          <w:rtl/>
          <w:lang w:bidi="ar-EG"/>
        </w:rPr>
        <w:t> </w:t>
      </w:r>
      <w:r>
        <w:rPr>
          <w:rFonts w:hint="cs"/>
          <w:rtl/>
          <w:lang w:bidi="ar-EG"/>
        </w:rPr>
        <w:t>الرسالة الجماعية</w:t>
      </w:r>
      <w:r>
        <w:rPr>
          <w:rFonts w:hint="eastAsia"/>
          <w:rtl/>
          <w:lang w:bidi="ar-EG"/>
        </w:rPr>
        <w:t> </w:t>
      </w:r>
      <w:r>
        <w:rPr>
          <w:lang w:bidi="ar-EG"/>
        </w:rPr>
        <w:t>7/17</w:t>
      </w:r>
      <w:r>
        <w:rPr>
          <w:rFonts w:hint="cs"/>
          <w:rtl/>
          <w:lang w:bidi="ar-SY"/>
        </w:rPr>
        <w:t>.</w:t>
      </w:r>
      <w:proofErr w:type="gramEnd"/>
    </w:p>
    <w:p w:rsidR="00AC61E0" w:rsidRPr="004579B5" w:rsidRDefault="00AC61E0" w:rsidP="00AC61E0">
      <w:pPr>
        <w:rPr>
          <w:rtl/>
          <w:lang w:bidi="ar-EG"/>
        </w:rPr>
      </w:pPr>
      <w:proofErr w:type="gramStart"/>
      <w:r>
        <w:rPr>
          <w:lang w:bidi="ar-EG"/>
        </w:rPr>
        <w:t>7</w:t>
      </w:r>
      <w:r>
        <w:rPr>
          <w:rFonts w:hint="cs"/>
          <w:rtl/>
          <w:lang w:bidi="ar-EG"/>
        </w:rPr>
        <w:tab/>
        <w:t>وفي أعقاب الاجتماع سوف يعلن مدير مكتب تقييس الاتصالات، في رسالة معممة، عن القرار المُتَخّذ بشأن هذه التوصيات.</w:t>
      </w:r>
      <w:proofErr w:type="gramEnd"/>
      <w:r>
        <w:rPr>
          <w:rFonts w:hint="cs"/>
          <w:rtl/>
          <w:lang w:bidi="ar-EG"/>
        </w:rPr>
        <w:t xml:space="preserve"> ولسوف تُنشر هذه المعلومات أيضاً في النشرة التشغيلية للاتحاد.</w:t>
      </w:r>
    </w:p>
    <w:p w:rsidR="00AC61E0" w:rsidRPr="005F33FD" w:rsidRDefault="00AC61E0" w:rsidP="00AC61E0">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AC61E0" w:rsidRDefault="00AC61E0" w:rsidP="00AC61E0">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AC61E0" w:rsidRDefault="00AC61E0" w:rsidP="00AC61E0">
      <w:pPr>
        <w:tabs>
          <w:tab w:val="left" w:pos="1173"/>
        </w:tabs>
        <w:spacing w:before="1320"/>
        <w:ind w:left="1174" w:hanging="1174"/>
        <w:jc w:val="left"/>
        <w:rPr>
          <w:rtl/>
          <w:lang w:bidi="ar-SY"/>
        </w:rPr>
      </w:pPr>
      <w:r>
        <w:rPr>
          <w:rFonts w:hint="cs"/>
          <w:b/>
          <w:bCs/>
          <w:rtl/>
          <w:lang w:bidi="ar-EG"/>
        </w:rPr>
        <w:t>الملحقات:</w:t>
      </w:r>
      <w:r>
        <w:rPr>
          <w:rFonts w:hint="cs"/>
          <w:rtl/>
          <w:lang w:bidi="ar-EG"/>
        </w:rPr>
        <w:t xml:space="preserve"> </w:t>
      </w:r>
      <w:r>
        <w:rPr>
          <w:lang w:bidi="ar-EG"/>
        </w:rPr>
        <w:t>1</w:t>
      </w:r>
    </w:p>
    <w:p w:rsidR="00AC61E0" w:rsidRDefault="00AC61E0" w:rsidP="00AC61E0">
      <w:pPr>
        <w:bidi w:val="0"/>
        <w:spacing w:before="0" w:line="240" w:lineRule="auto"/>
        <w:jc w:val="left"/>
        <w:rPr>
          <w:rtl/>
          <w:lang w:bidi="ar-SY"/>
        </w:rPr>
      </w:pPr>
      <w:r>
        <w:rPr>
          <w:rtl/>
          <w:lang w:bidi="ar-SY"/>
        </w:rPr>
        <w:br w:type="page"/>
      </w:r>
    </w:p>
    <w:p w:rsidR="00AC61E0" w:rsidRPr="00F6643D" w:rsidRDefault="00AC61E0" w:rsidP="009F0B10">
      <w:pPr>
        <w:spacing w:before="360"/>
        <w:jc w:val="center"/>
        <w:rPr>
          <w:rStyle w:val="AnnexNotitleChar"/>
          <w:sz w:val="22"/>
          <w:szCs w:val="30"/>
          <w:rtl/>
        </w:rPr>
      </w:pPr>
      <w:r w:rsidRPr="00B426C0">
        <w:rPr>
          <w:rStyle w:val="AnnexNotitleChar"/>
          <w:rFonts w:hint="cs"/>
          <w:rtl/>
        </w:rPr>
        <w:lastRenderedPageBreak/>
        <w:t xml:space="preserve">الملحـق </w:t>
      </w:r>
      <w:r w:rsidRPr="00B426C0">
        <w:rPr>
          <w:rStyle w:val="AnnexNotitleChar"/>
        </w:rPr>
        <w:t>1</w:t>
      </w:r>
      <w:r w:rsidR="00B426C0">
        <w:rPr>
          <w:rStyle w:val="AnnexNotitleChar"/>
          <w:rFonts w:hint="cs"/>
          <w:rtl/>
        </w:rPr>
        <w:br/>
      </w:r>
      <w:r w:rsidRPr="00F6643D">
        <w:rPr>
          <w:rStyle w:val="AnnexNotitleChar"/>
          <w:rFonts w:hint="cs"/>
          <w:sz w:val="22"/>
          <w:szCs w:val="30"/>
          <w:rtl/>
        </w:rPr>
        <w:t xml:space="preserve">(بالرسالة المعممة </w:t>
      </w:r>
      <w:r w:rsidRPr="00F6643D">
        <w:rPr>
          <w:rStyle w:val="AnnexNotitleChar"/>
          <w:sz w:val="22"/>
          <w:szCs w:val="30"/>
        </w:rPr>
        <w:t>269</w:t>
      </w:r>
      <w:r w:rsidR="009F0B10">
        <w:rPr>
          <w:rStyle w:val="AnnexNotitleChar"/>
          <w:rFonts w:hint="cs"/>
          <w:sz w:val="22"/>
          <w:szCs w:val="30"/>
          <w:rtl/>
          <w:lang w:bidi="ar-EG"/>
        </w:rPr>
        <w:t xml:space="preserve"> لمكتب تقييس الاتصالات</w:t>
      </w:r>
      <w:r w:rsidRPr="00F6643D">
        <w:rPr>
          <w:rStyle w:val="AnnexNotitleChar"/>
          <w:rFonts w:hint="cs"/>
          <w:sz w:val="22"/>
          <w:szCs w:val="30"/>
          <w:rtl/>
        </w:rPr>
        <w:t>)</w:t>
      </w:r>
    </w:p>
    <w:p w:rsidR="00AC61E0" w:rsidRPr="00D22E78" w:rsidRDefault="00AC61E0" w:rsidP="00B426C0">
      <w:pPr>
        <w:spacing w:before="480"/>
        <w:jc w:val="center"/>
        <w:rPr>
          <w:rStyle w:val="AnnexNotitleChar"/>
          <w:rtl/>
        </w:rPr>
      </w:pPr>
      <w:r w:rsidRPr="00D22E78">
        <w:rPr>
          <w:rStyle w:val="AnnexNotitleChar"/>
          <w:rFonts w:hint="cs"/>
          <w:rtl/>
        </w:rPr>
        <w:t>ملخص نصوص التوصيات والوثائق التي ترد فيها</w:t>
      </w:r>
    </w:p>
    <w:p w:rsidR="00AC61E0" w:rsidRPr="00C763CA" w:rsidRDefault="00AC61E0" w:rsidP="00370DF8">
      <w:pPr>
        <w:pStyle w:val="Headingb"/>
        <w:spacing w:before="360"/>
        <w:jc w:val="left"/>
        <w:rPr>
          <w:rFonts w:ascii="Times New Roman Bold" w:hAnsi="Times New Roman Bold"/>
          <w:bCs/>
          <w:rtl/>
          <w:lang w:bidi="ar-EG"/>
        </w:rPr>
      </w:pPr>
      <w:r w:rsidRPr="00C763CA">
        <w:rPr>
          <w:rFonts w:ascii="Times New Roman Bold" w:hAnsi="Times New Roman Bold" w:hint="cs"/>
          <w:bCs/>
          <w:rtl/>
          <w:lang w:bidi="ar-EG"/>
        </w:rPr>
        <w:t xml:space="preserve">مشروع التوصية الجديدة </w:t>
      </w:r>
      <w:r w:rsidRPr="00C763CA">
        <w:rPr>
          <w:rFonts w:ascii="Times New Roman Bold" w:hAnsi="Times New Roman Bold"/>
          <w:bCs/>
          <w:lang w:bidi="ar-EG"/>
        </w:rPr>
        <w:t>ITU</w:t>
      </w:r>
      <w:r w:rsidRPr="00C763CA">
        <w:rPr>
          <w:rFonts w:ascii="Times New Roman Bold" w:hAnsi="Times New Roman Bold"/>
          <w:bCs/>
          <w:lang w:bidi="ar-EG"/>
        </w:rPr>
        <w:noBreakHyphen/>
        <w:t>T X.1054 (</w:t>
      </w:r>
      <w:proofErr w:type="spellStart"/>
      <w:r w:rsidRPr="00C763CA">
        <w:rPr>
          <w:rFonts w:ascii="Times New Roman Bold" w:hAnsi="Times New Roman Bold"/>
          <w:bCs/>
          <w:lang w:bidi="ar-EG"/>
        </w:rPr>
        <w:t>X.isgf</w:t>
      </w:r>
      <w:proofErr w:type="spellEnd"/>
      <w:r w:rsidRPr="00C763CA">
        <w:rPr>
          <w:rFonts w:ascii="Times New Roman Bold" w:hAnsi="Times New Roman Bold"/>
          <w:bCs/>
          <w:lang w:bidi="ar-EG"/>
        </w:rPr>
        <w:t>)</w:t>
      </w:r>
      <w:r w:rsidRPr="00C763CA">
        <w:rPr>
          <w:rFonts w:ascii="Times New Roman Bold" w:hAnsi="Times New Roman Bold" w:hint="cs"/>
          <w:bCs/>
          <w:rtl/>
          <w:lang w:bidi="ar-EG"/>
        </w:rPr>
        <w:t xml:space="preserve">، تكنولوجيا المعلومات </w:t>
      </w:r>
      <w:r w:rsidR="00370DF8">
        <w:rPr>
          <w:rFonts w:ascii="Times New Roman Bold" w:hAnsi="Times New Roman Bold" w:hint="cs"/>
          <w:bCs/>
          <w:rtl/>
          <w:lang w:bidi="ar-EG"/>
        </w:rPr>
        <w:t>-</w:t>
      </w:r>
      <w:r w:rsidRPr="00C763CA">
        <w:rPr>
          <w:rFonts w:ascii="Times New Roman Bold" w:hAnsi="Times New Roman Bold" w:hint="cs"/>
          <w:bCs/>
          <w:rtl/>
          <w:lang w:bidi="ar-EG"/>
        </w:rPr>
        <w:t xml:space="preserve"> تقنيات الأمن </w:t>
      </w:r>
      <w:r w:rsidR="00370DF8">
        <w:rPr>
          <w:rFonts w:ascii="Times New Roman Bold" w:hAnsi="Times New Roman Bold" w:hint="cs"/>
          <w:bCs/>
          <w:rtl/>
          <w:lang w:bidi="ar-EG"/>
        </w:rPr>
        <w:t>-</w:t>
      </w:r>
      <w:r w:rsidR="00B426C0" w:rsidRPr="00C763CA">
        <w:rPr>
          <w:rFonts w:ascii="Times New Roman Bold" w:hAnsi="Times New Roman Bold" w:hint="cs"/>
          <w:bCs/>
          <w:rtl/>
          <w:lang w:bidi="ar-EG"/>
        </w:rPr>
        <w:t xml:space="preserve"> إدارة أمن المعلومات </w:t>
      </w:r>
      <w:r w:rsidRPr="00C763CA">
        <w:rPr>
          <w:rFonts w:ascii="Times New Roman Bold" w:hAnsi="Times New Roman Bold" w:hint="cs"/>
          <w:bCs/>
          <w:rtl/>
          <w:lang w:bidi="ar-EG"/>
        </w:rPr>
        <w:t xml:space="preserve">الوثيقة </w:t>
      </w:r>
      <w:r w:rsidRPr="00C763CA">
        <w:rPr>
          <w:rFonts w:ascii="Times New Roman Bold" w:hAnsi="Times New Roman Bold"/>
          <w:bCs/>
          <w:lang w:bidi="ar-EG"/>
        </w:rPr>
        <w:t>COM 17</w:t>
      </w:r>
      <w:r w:rsidR="00B7438C">
        <w:rPr>
          <w:rFonts w:ascii="Times New Roman Bold" w:hAnsi="Times New Roman Bold"/>
          <w:bCs/>
          <w:lang w:val="en-US" w:bidi="ar-EG"/>
        </w:rPr>
        <w:t> </w:t>
      </w:r>
      <w:r w:rsidRPr="00C763CA">
        <w:rPr>
          <w:rFonts w:ascii="Times New Roman Bold" w:hAnsi="Times New Roman Bold"/>
          <w:bCs/>
          <w:lang w:bidi="ar-EG"/>
        </w:rPr>
        <w:noBreakHyphen/>
      </w:r>
      <w:r w:rsidR="00B7438C">
        <w:rPr>
          <w:rFonts w:ascii="Times New Roman Bold" w:hAnsi="Times New Roman Bold"/>
          <w:bCs/>
          <w:lang w:bidi="ar-EG"/>
        </w:rPr>
        <w:t> </w:t>
      </w:r>
      <w:r w:rsidRPr="00C763CA">
        <w:rPr>
          <w:rFonts w:ascii="Times New Roman Bold" w:hAnsi="Times New Roman Bold"/>
          <w:bCs/>
          <w:lang w:bidi="ar-EG"/>
        </w:rPr>
        <w:t>R 49</w:t>
      </w:r>
    </w:p>
    <w:p w:rsidR="00AC61E0" w:rsidRPr="00B426C0" w:rsidRDefault="00AC61E0" w:rsidP="00B426C0">
      <w:pPr>
        <w:pStyle w:val="Headingb"/>
        <w:rPr>
          <w:rFonts w:ascii="Times New Roman Bold" w:hAnsi="Times New Roman Bold"/>
          <w:bCs/>
          <w:rtl/>
          <w:lang w:bidi="ar-EG"/>
        </w:rPr>
      </w:pPr>
      <w:r w:rsidRPr="00B426C0">
        <w:rPr>
          <w:rFonts w:ascii="Times New Roman Bold" w:hAnsi="Times New Roman Bold" w:hint="cs"/>
          <w:bCs/>
          <w:rtl/>
          <w:lang w:bidi="ar-EG"/>
        </w:rPr>
        <w:t>ملخص</w:t>
      </w:r>
    </w:p>
    <w:p w:rsidR="00AC61E0" w:rsidRDefault="00AC61E0" w:rsidP="00B426C0">
      <w:pPr>
        <w:rPr>
          <w:rtl/>
          <w:lang w:bidi="ar-SY"/>
        </w:rPr>
      </w:pPr>
      <w:r>
        <w:rPr>
          <w:rFonts w:hint="cs"/>
          <w:rtl/>
          <w:lang w:bidi="ar-SY"/>
        </w:rPr>
        <w:t xml:space="preserve">تقدم هذه التوصية </w:t>
      </w:r>
      <w:r w:rsidRPr="00B53057">
        <w:t xml:space="preserve"> |</w:t>
      </w:r>
      <w:r>
        <w:rPr>
          <w:rFonts w:hint="cs"/>
          <w:rtl/>
          <w:lang w:bidi="ar-SY"/>
        </w:rPr>
        <w:t>المعيار الدولي إرشادات بشأن إدارة أمن المعلومات.</w:t>
      </w:r>
    </w:p>
    <w:p w:rsidR="00AC61E0" w:rsidRDefault="00C00AAF" w:rsidP="00F6643D">
      <w:pPr>
        <w:rPr>
          <w:rtl/>
          <w:lang w:bidi="ar-EG"/>
        </w:rPr>
      </w:pPr>
      <w:r>
        <w:rPr>
          <w:rFonts w:hint="cs"/>
          <w:rtl/>
          <w:lang w:bidi="ar-SY"/>
        </w:rPr>
        <w:t xml:space="preserve">لقد </w:t>
      </w:r>
      <w:r w:rsidR="00AC61E0">
        <w:rPr>
          <w:rFonts w:hint="cs"/>
          <w:rtl/>
          <w:lang w:bidi="ar-SY"/>
        </w:rPr>
        <w:t xml:space="preserve">أصبحت مسألة أمن المعلومات </w:t>
      </w:r>
      <w:r w:rsidR="00AC61E0">
        <w:rPr>
          <w:rFonts w:hint="cs"/>
          <w:rtl/>
          <w:lang w:bidi="ar-EG"/>
        </w:rPr>
        <w:t>من المسائل الرئيسية</w:t>
      </w:r>
      <w:r w:rsidR="00AC61E0" w:rsidRPr="00B21538">
        <w:rPr>
          <w:rtl/>
          <w:lang w:bidi="ar-EG"/>
        </w:rPr>
        <w:t xml:space="preserve"> </w:t>
      </w:r>
      <w:r w:rsidR="00AC61E0">
        <w:rPr>
          <w:rFonts w:hint="cs"/>
          <w:rtl/>
          <w:lang w:bidi="ar-EG"/>
        </w:rPr>
        <w:t xml:space="preserve">بالنسبة </w:t>
      </w:r>
      <w:r w:rsidR="00F6643D">
        <w:rPr>
          <w:rFonts w:hint="cs"/>
          <w:rtl/>
          <w:lang w:bidi="ar-EG"/>
        </w:rPr>
        <w:t>إلى المنظمات</w:t>
      </w:r>
      <w:r w:rsidR="00AC61E0" w:rsidRPr="00B21538">
        <w:rPr>
          <w:rtl/>
          <w:lang w:bidi="ar-EG"/>
        </w:rPr>
        <w:t xml:space="preserve">. </w:t>
      </w:r>
      <w:r>
        <w:rPr>
          <w:rFonts w:hint="cs"/>
          <w:rtl/>
          <w:lang w:bidi="ar-EG"/>
        </w:rPr>
        <w:t>ولا يقتصر الأمر على زيادة</w:t>
      </w:r>
      <w:r w:rsidR="00AC61E0" w:rsidRPr="00B21538">
        <w:rPr>
          <w:rtl/>
          <w:lang w:bidi="ar-EG"/>
        </w:rPr>
        <w:t xml:space="preserve"> </w:t>
      </w:r>
      <w:r w:rsidR="00AC61E0">
        <w:rPr>
          <w:rFonts w:hint="cs"/>
          <w:rtl/>
          <w:lang w:bidi="ar-EG"/>
        </w:rPr>
        <w:t xml:space="preserve">في </w:t>
      </w:r>
      <w:r w:rsidR="00AC61E0" w:rsidRPr="00B21538">
        <w:rPr>
          <w:rtl/>
          <w:lang w:bidi="ar-EG"/>
        </w:rPr>
        <w:t>المتطلبات التنظيمية</w:t>
      </w:r>
      <w:r w:rsidR="00AC61E0">
        <w:rPr>
          <w:rFonts w:hint="cs"/>
          <w:rtl/>
          <w:lang w:bidi="ar-EG"/>
        </w:rPr>
        <w:t xml:space="preserve"> </w:t>
      </w:r>
      <w:r>
        <w:rPr>
          <w:rFonts w:hint="cs"/>
          <w:rtl/>
          <w:lang w:bidi="ar-EG"/>
        </w:rPr>
        <w:t>بل</w:t>
      </w:r>
      <w:r w:rsidR="00AC61E0">
        <w:rPr>
          <w:rFonts w:hint="cs"/>
          <w:rtl/>
          <w:lang w:bidi="ar-EG"/>
        </w:rPr>
        <w:t xml:space="preserve"> يمكن ل</w:t>
      </w:r>
      <w:r w:rsidR="00AC61E0" w:rsidRPr="00B21538">
        <w:rPr>
          <w:rtl/>
          <w:lang w:bidi="ar-EG"/>
        </w:rPr>
        <w:t xml:space="preserve">فشل التدابير </w:t>
      </w:r>
      <w:r w:rsidR="00AC61E0">
        <w:rPr>
          <w:rFonts w:hint="cs"/>
          <w:rtl/>
          <w:lang w:bidi="ar-EG"/>
        </w:rPr>
        <w:t>الأمنية المتعلقة</w:t>
      </w:r>
      <w:r w:rsidR="00AC61E0" w:rsidRPr="00B21538">
        <w:rPr>
          <w:rtl/>
          <w:lang w:bidi="ar-EG"/>
        </w:rPr>
        <w:t xml:space="preserve"> </w:t>
      </w:r>
      <w:r w:rsidR="00AC61E0">
        <w:rPr>
          <w:rFonts w:hint="cs"/>
          <w:rtl/>
          <w:lang w:bidi="ar-EG"/>
        </w:rPr>
        <w:t>ب</w:t>
      </w:r>
      <w:r w:rsidR="00AC61E0" w:rsidRPr="00B21538">
        <w:rPr>
          <w:rtl/>
          <w:lang w:bidi="ar-EG"/>
        </w:rPr>
        <w:t xml:space="preserve">معلومات </w:t>
      </w:r>
      <w:r w:rsidR="00AC61E0">
        <w:rPr>
          <w:rFonts w:hint="cs"/>
          <w:rtl/>
          <w:lang w:bidi="ar-EG"/>
        </w:rPr>
        <w:t>ا</w:t>
      </w:r>
      <w:r w:rsidR="00AC61E0" w:rsidRPr="00B21538">
        <w:rPr>
          <w:rtl/>
          <w:lang w:bidi="ar-EG"/>
        </w:rPr>
        <w:t xml:space="preserve">لمنظمة </w:t>
      </w:r>
      <w:r w:rsidR="00AC61E0">
        <w:rPr>
          <w:rFonts w:hint="cs"/>
          <w:rtl/>
          <w:lang w:bidi="ar-EG"/>
        </w:rPr>
        <w:t xml:space="preserve">أن يكون له </w:t>
      </w:r>
      <w:r w:rsidR="00AC61E0" w:rsidRPr="00B21538">
        <w:rPr>
          <w:rtl/>
          <w:lang w:bidi="ar-EG"/>
        </w:rPr>
        <w:t xml:space="preserve">تأثير مباشر على سمعة </w:t>
      </w:r>
      <w:r w:rsidR="00AC61E0">
        <w:rPr>
          <w:rFonts w:hint="cs"/>
          <w:rtl/>
          <w:lang w:bidi="ar-EG"/>
        </w:rPr>
        <w:t>ا</w:t>
      </w:r>
      <w:r w:rsidR="00AC61E0" w:rsidRPr="00B21538">
        <w:rPr>
          <w:rtl/>
          <w:lang w:bidi="ar-EG"/>
        </w:rPr>
        <w:t>لمنظمة</w:t>
      </w:r>
      <w:r w:rsidR="00AC61E0">
        <w:rPr>
          <w:rFonts w:hint="cs"/>
          <w:rtl/>
          <w:lang w:bidi="ar-EG"/>
        </w:rPr>
        <w:t xml:space="preserve"> أيضاً.</w:t>
      </w:r>
    </w:p>
    <w:p w:rsidR="00AC61E0" w:rsidRDefault="00AC61E0" w:rsidP="00B426C0">
      <w:pPr>
        <w:rPr>
          <w:rtl/>
          <w:lang w:bidi="ar-EG"/>
        </w:rPr>
      </w:pPr>
      <w:r w:rsidRPr="00BB266C">
        <w:rPr>
          <w:rtl/>
          <w:lang w:bidi="ar-EG"/>
        </w:rPr>
        <w:t xml:space="preserve">ولذلك، </w:t>
      </w:r>
      <w:r>
        <w:rPr>
          <w:rFonts w:hint="cs"/>
          <w:rtl/>
          <w:lang w:bidi="ar-EG"/>
        </w:rPr>
        <w:t xml:space="preserve">فإن </w:t>
      </w:r>
      <w:r w:rsidR="00C00AAF">
        <w:rPr>
          <w:rFonts w:hint="cs"/>
          <w:rtl/>
          <w:lang w:bidi="ar-EG"/>
        </w:rPr>
        <w:t>مجلس</w:t>
      </w:r>
      <w:r w:rsidRPr="00BB266C">
        <w:rPr>
          <w:rtl/>
          <w:lang w:bidi="ar-EG"/>
        </w:rPr>
        <w:t xml:space="preserve"> </w:t>
      </w:r>
      <w:r>
        <w:rPr>
          <w:rFonts w:hint="cs"/>
          <w:rtl/>
          <w:lang w:bidi="ar-EG"/>
        </w:rPr>
        <w:t>الإدارة</w:t>
      </w:r>
      <w:r w:rsidRPr="00BB266C">
        <w:rPr>
          <w:rtl/>
          <w:lang w:bidi="ar-EG"/>
        </w:rPr>
        <w:t xml:space="preserve"> </w:t>
      </w:r>
      <w:r w:rsidR="00C00AAF">
        <w:rPr>
          <w:rFonts w:hint="cs"/>
          <w:rtl/>
          <w:lang w:bidi="ar-EG"/>
        </w:rPr>
        <w:t>مطالب</w:t>
      </w:r>
      <w:r>
        <w:rPr>
          <w:rFonts w:hint="cs"/>
          <w:rtl/>
          <w:lang w:bidi="ar-EG"/>
        </w:rPr>
        <w:t xml:space="preserve"> على نحو متزايد، </w:t>
      </w:r>
      <w:r w:rsidR="00C00AAF">
        <w:rPr>
          <w:rFonts w:hint="cs"/>
          <w:rtl/>
          <w:lang w:bidi="ar-EG"/>
        </w:rPr>
        <w:t>كجزء من</w:t>
      </w:r>
      <w:r w:rsidRPr="00BB266C">
        <w:rPr>
          <w:rtl/>
          <w:lang w:bidi="ar-EG"/>
        </w:rPr>
        <w:t xml:space="preserve"> </w:t>
      </w:r>
      <w:r>
        <w:rPr>
          <w:rFonts w:hint="cs"/>
          <w:rtl/>
          <w:lang w:bidi="ar-EG"/>
        </w:rPr>
        <w:t>مسؤو</w:t>
      </w:r>
      <w:r w:rsidR="00C00AAF">
        <w:rPr>
          <w:rFonts w:hint="cs"/>
          <w:rtl/>
          <w:lang w:bidi="ar-EG"/>
        </w:rPr>
        <w:t>ليات الإدارة التي تقع على عاتقه</w:t>
      </w:r>
      <w:r>
        <w:rPr>
          <w:rFonts w:hint="cs"/>
          <w:rtl/>
          <w:lang w:bidi="ar-EG"/>
        </w:rPr>
        <w:t>،</w:t>
      </w:r>
      <w:r w:rsidRPr="00191C8E">
        <w:rPr>
          <w:rFonts w:hint="cs"/>
          <w:rtl/>
          <w:lang w:bidi="ar-EG"/>
        </w:rPr>
        <w:t xml:space="preserve"> </w:t>
      </w:r>
      <w:r>
        <w:rPr>
          <w:rFonts w:hint="cs"/>
          <w:rtl/>
          <w:lang w:bidi="ar-EG"/>
        </w:rPr>
        <w:t>با</w:t>
      </w:r>
      <w:r w:rsidRPr="00BB266C">
        <w:rPr>
          <w:rtl/>
          <w:lang w:bidi="ar-EG"/>
        </w:rPr>
        <w:t xml:space="preserve">لإشراف على </w:t>
      </w:r>
      <w:r>
        <w:rPr>
          <w:rFonts w:hint="cs"/>
          <w:rtl/>
          <w:lang w:bidi="ar-EG"/>
        </w:rPr>
        <w:t>أ</w:t>
      </w:r>
      <w:r w:rsidRPr="00BB266C">
        <w:rPr>
          <w:rFonts w:hint="eastAsia"/>
          <w:rtl/>
          <w:lang w:bidi="ar-EG"/>
        </w:rPr>
        <w:t>من</w:t>
      </w:r>
      <w:r w:rsidRPr="00BB266C">
        <w:rPr>
          <w:rtl/>
          <w:lang w:bidi="ar-EG"/>
        </w:rPr>
        <w:t xml:space="preserve"> المعلومات</w:t>
      </w:r>
      <w:r>
        <w:rPr>
          <w:rFonts w:hint="cs"/>
          <w:rtl/>
          <w:lang w:bidi="ar-EG"/>
        </w:rPr>
        <w:t xml:space="preserve"> </w:t>
      </w:r>
      <w:r w:rsidRPr="00BB266C">
        <w:rPr>
          <w:rtl/>
          <w:lang w:bidi="ar-EG"/>
        </w:rPr>
        <w:t>لضمان تحقيق أهداف المنظمة</w:t>
      </w:r>
      <w:r>
        <w:rPr>
          <w:rFonts w:hint="cs"/>
          <w:rtl/>
          <w:lang w:bidi="ar-EG"/>
        </w:rPr>
        <w:t>.</w:t>
      </w:r>
    </w:p>
    <w:p w:rsidR="00AC61E0" w:rsidRDefault="00AC61E0" w:rsidP="00B426C0">
      <w:pPr>
        <w:rPr>
          <w:rtl/>
          <w:lang w:bidi="ar-EG"/>
        </w:rPr>
      </w:pPr>
      <w:r w:rsidRPr="002F48BA">
        <w:rPr>
          <w:rtl/>
          <w:lang w:bidi="ar-EG"/>
        </w:rPr>
        <w:t xml:space="preserve">وبالإضافة إلى ذلك، </w:t>
      </w:r>
      <w:r>
        <w:rPr>
          <w:rFonts w:hint="cs"/>
          <w:rtl/>
          <w:lang w:bidi="ar-EG"/>
        </w:rPr>
        <w:t>تقيم</w:t>
      </w:r>
      <w:r w:rsidRPr="002F48BA">
        <w:rPr>
          <w:rtl/>
          <w:lang w:bidi="ar-EG"/>
        </w:rPr>
        <w:t xml:space="preserve"> إدارة </w:t>
      </w:r>
      <w:r>
        <w:rPr>
          <w:rFonts w:hint="cs"/>
          <w:rtl/>
          <w:lang w:bidi="ar-EG"/>
        </w:rPr>
        <w:t>أ</w:t>
      </w:r>
      <w:r w:rsidRPr="002F48BA">
        <w:rPr>
          <w:rFonts w:hint="eastAsia"/>
          <w:rtl/>
          <w:lang w:bidi="ar-EG"/>
        </w:rPr>
        <w:t>من</w:t>
      </w:r>
      <w:r w:rsidRPr="002F48BA">
        <w:rPr>
          <w:rtl/>
          <w:lang w:bidi="ar-EG"/>
        </w:rPr>
        <w:t xml:space="preserve"> المعلومات صلة قوية بين </w:t>
      </w:r>
      <w:r w:rsidR="00C00AAF">
        <w:rPr>
          <w:rFonts w:hint="cs"/>
          <w:rtl/>
          <w:lang w:bidi="ar-EG"/>
        </w:rPr>
        <w:t>مجلس</w:t>
      </w:r>
      <w:r w:rsidRPr="002F48BA">
        <w:rPr>
          <w:rtl/>
          <w:lang w:bidi="ar-EG"/>
        </w:rPr>
        <w:t xml:space="preserve"> </w:t>
      </w:r>
      <w:r>
        <w:rPr>
          <w:rFonts w:hint="cs"/>
          <w:rtl/>
          <w:lang w:bidi="ar-EG"/>
        </w:rPr>
        <w:t>إدارة</w:t>
      </w:r>
      <w:r w:rsidRPr="002F48BA">
        <w:rPr>
          <w:rtl/>
          <w:lang w:bidi="ar-EG"/>
        </w:rPr>
        <w:t xml:space="preserve"> </w:t>
      </w:r>
      <w:r>
        <w:rPr>
          <w:rFonts w:hint="cs"/>
          <w:rtl/>
          <w:lang w:bidi="ar-EG"/>
        </w:rPr>
        <w:t>ا</w:t>
      </w:r>
      <w:r w:rsidRPr="002F48BA">
        <w:rPr>
          <w:rtl/>
          <w:lang w:bidi="ar-EG"/>
        </w:rPr>
        <w:t xml:space="preserve">لمنظمة والإدارة التنفيذية والمسؤولين عن تنفيذ نظام إدارة </w:t>
      </w:r>
      <w:r>
        <w:rPr>
          <w:rFonts w:hint="cs"/>
          <w:rtl/>
          <w:lang w:bidi="ar-EG"/>
        </w:rPr>
        <w:t>أ</w:t>
      </w:r>
      <w:r w:rsidRPr="002F48BA">
        <w:rPr>
          <w:rFonts w:hint="eastAsia"/>
          <w:rtl/>
          <w:lang w:bidi="ar-EG"/>
        </w:rPr>
        <w:t>من</w:t>
      </w:r>
      <w:r w:rsidRPr="002F48BA">
        <w:rPr>
          <w:rtl/>
          <w:lang w:bidi="ar-EG"/>
        </w:rPr>
        <w:t xml:space="preserve"> المعلومات</w:t>
      </w:r>
      <w:r>
        <w:rPr>
          <w:rFonts w:hint="cs"/>
          <w:rtl/>
          <w:lang w:bidi="ar-EG"/>
        </w:rPr>
        <w:t xml:space="preserve"> وتشغيله.</w:t>
      </w:r>
    </w:p>
    <w:p w:rsidR="00AC61E0" w:rsidRDefault="00AC61E0" w:rsidP="00B426C0">
      <w:pPr>
        <w:rPr>
          <w:rtl/>
          <w:lang w:bidi="ar-EG"/>
        </w:rPr>
      </w:pPr>
      <w:r>
        <w:rPr>
          <w:rFonts w:hint="cs"/>
          <w:rtl/>
          <w:lang w:bidi="ar-EG"/>
        </w:rPr>
        <w:t>وتوفر الول</w:t>
      </w:r>
      <w:r w:rsidRPr="001A0EE8">
        <w:rPr>
          <w:rtl/>
          <w:lang w:bidi="ar-EG"/>
        </w:rPr>
        <w:t xml:space="preserve">اية </w:t>
      </w:r>
      <w:r w:rsidR="00C00AAF">
        <w:rPr>
          <w:rFonts w:hint="cs"/>
          <w:rtl/>
          <w:lang w:bidi="ar-EG"/>
        </w:rPr>
        <w:t>الضرورية</w:t>
      </w:r>
      <w:r w:rsidRPr="001A0EE8">
        <w:rPr>
          <w:rtl/>
          <w:lang w:bidi="ar-EG"/>
        </w:rPr>
        <w:t xml:space="preserve"> </w:t>
      </w:r>
      <w:r>
        <w:rPr>
          <w:rFonts w:hint="cs"/>
          <w:rtl/>
          <w:lang w:bidi="ar-EG"/>
        </w:rPr>
        <w:t>لقيادة</w:t>
      </w:r>
      <w:r w:rsidRPr="001A0EE8">
        <w:rPr>
          <w:rtl/>
          <w:lang w:bidi="ar-EG"/>
        </w:rPr>
        <w:t xml:space="preserve"> مبادرات </w:t>
      </w:r>
      <w:r>
        <w:rPr>
          <w:rFonts w:hint="cs"/>
          <w:rtl/>
          <w:lang w:bidi="ar-EG"/>
        </w:rPr>
        <w:t>أ</w:t>
      </w:r>
      <w:r w:rsidRPr="001A0EE8">
        <w:rPr>
          <w:rFonts w:hint="eastAsia"/>
          <w:rtl/>
          <w:lang w:bidi="ar-EG"/>
        </w:rPr>
        <w:t>من</w:t>
      </w:r>
      <w:r w:rsidRPr="001A0EE8">
        <w:rPr>
          <w:rtl/>
          <w:lang w:bidi="ar-EG"/>
        </w:rPr>
        <w:t xml:space="preserve"> المعلومات في المنظمة</w:t>
      </w:r>
      <w:r>
        <w:rPr>
          <w:rFonts w:hint="cs"/>
          <w:rtl/>
          <w:lang w:bidi="ar-EG"/>
        </w:rPr>
        <w:t xml:space="preserve"> برمتها.</w:t>
      </w:r>
    </w:p>
    <w:p w:rsidR="00AC61E0" w:rsidRPr="00B765C6" w:rsidRDefault="00AC61E0" w:rsidP="00B426C0">
      <w:pPr>
        <w:rPr>
          <w:spacing w:val="-4"/>
          <w:rtl/>
          <w:lang w:bidi="ar-EG"/>
        </w:rPr>
      </w:pPr>
      <w:r w:rsidRPr="00B765C6">
        <w:rPr>
          <w:rFonts w:hint="cs"/>
          <w:spacing w:val="-4"/>
          <w:rtl/>
          <w:lang w:bidi="ar-EG"/>
        </w:rPr>
        <w:t xml:space="preserve">وعلاوة على ذلك، فإن إدارة أمن المعلومات بطريقة فعالة تكفل </w:t>
      </w:r>
      <w:r w:rsidR="00D2765F" w:rsidRPr="00B765C6">
        <w:rPr>
          <w:rFonts w:hint="cs"/>
          <w:spacing w:val="-4"/>
          <w:rtl/>
          <w:lang w:bidi="ar-EG"/>
        </w:rPr>
        <w:t>تلقي مجلس</w:t>
      </w:r>
      <w:r w:rsidRPr="00B765C6">
        <w:rPr>
          <w:rFonts w:hint="cs"/>
          <w:spacing w:val="-4"/>
          <w:rtl/>
          <w:lang w:bidi="ar-EG"/>
        </w:rPr>
        <w:t xml:space="preserve"> الإدارة </w:t>
      </w:r>
      <w:r w:rsidR="00D2765F" w:rsidRPr="00B765C6">
        <w:rPr>
          <w:rFonts w:hint="cs"/>
          <w:spacing w:val="-4"/>
          <w:rtl/>
          <w:lang w:bidi="ar-EG"/>
        </w:rPr>
        <w:t>التقرير</w:t>
      </w:r>
      <w:r w:rsidRPr="00B765C6">
        <w:rPr>
          <w:rFonts w:hint="cs"/>
          <w:spacing w:val="-4"/>
          <w:rtl/>
          <w:lang w:bidi="ar-EG"/>
        </w:rPr>
        <w:t xml:space="preserve"> ذي الصلة </w:t>
      </w:r>
      <w:r w:rsidRPr="00B765C6">
        <w:rPr>
          <w:spacing w:val="-4"/>
          <w:rtl/>
          <w:lang w:bidi="ar-EG"/>
        </w:rPr>
        <w:t>–</w:t>
      </w:r>
      <w:r w:rsidRPr="00B765C6">
        <w:rPr>
          <w:rFonts w:hint="cs"/>
          <w:spacing w:val="-4"/>
          <w:rtl/>
          <w:lang w:bidi="ar-EG"/>
        </w:rPr>
        <w:t xml:space="preserve"> ضمن سياق الأعمال</w:t>
      </w:r>
      <w:r w:rsidR="00D2765F" w:rsidRPr="00B765C6">
        <w:rPr>
          <w:rFonts w:hint="cs"/>
          <w:spacing w:val="-4"/>
          <w:rtl/>
          <w:lang w:bidi="ar-EG"/>
        </w:rPr>
        <w:t xml:space="preserve"> </w:t>
      </w:r>
      <w:r w:rsidRPr="00B765C6">
        <w:rPr>
          <w:spacing w:val="-4"/>
          <w:rtl/>
          <w:lang w:bidi="ar-EG"/>
        </w:rPr>
        <w:t>–</w:t>
      </w:r>
      <w:r w:rsidRPr="00B765C6">
        <w:rPr>
          <w:rFonts w:hint="cs"/>
          <w:spacing w:val="-4"/>
          <w:rtl/>
          <w:lang w:bidi="ar-EG"/>
        </w:rPr>
        <w:t xml:space="preserve"> حول الأنشطة المتعلقة بأمن المعلومات. ويمكّن ذلك من اتخاذ قرارات ذات صلة وفي الوقت المناسب حول مسائل أمن المعلومات لدعم الأهداف الاستراتيجية للمنظمة.</w:t>
      </w:r>
    </w:p>
    <w:p w:rsidR="00C763CA" w:rsidRPr="00C763CA" w:rsidRDefault="00AC61E0" w:rsidP="00392D87">
      <w:pPr>
        <w:pStyle w:val="Headingb"/>
        <w:jc w:val="left"/>
        <w:rPr>
          <w:rFonts w:ascii="Times New Roman Bold" w:hAnsi="Times New Roman Bold"/>
          <w:bCs/>
          <w:rtl/>
          <w:lang w:bidi="ar-EG"/>
        </w:rPr>
      </w:pPr>
      <w:r w:rsidRPr="00C763CA">
        <w:rPr>
          <w:rFonts w:ascii="Times New Roman Bold" w:hAnsi="Times New Roman Bold" w:hint="cs"/>
          <w:bCs/>
          <w:rtl/>
          <w:lang w:bidi="ar-EG"/>
        </w:rPr>
        <w:t>مشروع التوصية الجديدة</w:t>
      </w:r>
      <w:r w:rsidR="00D2765F" w:rsidRPr="00C763CA">
        <w:rPr>
          <w:rFonts w:ascii="Times New Roman Bold" w:hAnsi="Times New Roman Bold" w:hint="cs"/>
          <w:bCs/>
          <w:rtl/>
          <w:lang w:bidi="ar-EG"/>
        </w:rPr>
        <w:t xml:space="preserve"> </w:t>
      </w:r>
      <w:r w:rsidR="00E11980" w:rsidRPr="00E11980">
        <w:rPr>
          <w:rFonts w:ascii="Times New Roman Bold" w:hAnsi="Times New Roman Bold"/>
          <w:bCs/>
          <w:lang w:val="en-US" w:bidi="ar-EG"/>
        </w:rPr>
        <w:t>|</w:t>
      </w:r>
      <w:r w:rsidR="00392D87">
        <w:rPr>
          <w:rFonts w:ascii="Times New Roman Bold" w:hAnsi="Times New Roman Bold"/>
          <w:bCs/>
          <w:lang w:val="en-US" w:bidi="ar-EG"/>
        </w:rPr>
        <w:t xml:space="preserve"> </w:t>
      </w:r>
      <w:r w:rsidR="00E11980" w:rsidRPr="00E11980">
        <w:rPr>
          <w:rFonts w:ascii="Times New Roman Bold" w:hAnsi="Times New Roman Bold"/>
          <w:bCs/>
          <w:lang w:val="en-US" w:bidi="ar-EG"/>
        </w:rPr>
        <w:t>ITU-T</w:t>
      </w:r>
      <w:r w:rsidR="00392D87">
        <w:rPr>
          <w:rFonts w:ascii="Times New Roman Bold" w:hAnsi="Times New Roman Bold"/>
          <w:bCs/>
          <w:lang w:val="en-US" w:bidi="ar-EG"/>
        </w:rPr>
        <w:t> </w:t>
      </w:r>
      <w:r w:rsidR="00E11980" w:rsidRPr="00E11980">
        <w:rPr>
          <w:rFonts w:ascii="Times New Roman Bold" w:hAnsi="Times New Roman Bold"/>
          <w:bCs/>
          <w:lang w:val="en-US" w:bidi="ar-EG"/>
        </w:rPr>
        <w:t>X.1254 (</w:t>
      </w:r>
      <w:proofErr w:type="spellStart"/>
      <w:r w:rsidR="00E11980" w:rsidRPr="00E11980">
        <w:rPr>
          <w:rFonts w:ascii="Times New Roman Bold" w:hAnsi="Times New Roman Bold"/>
          <w:bCs/>
          <w:lang w:val="en-US" w:bidi="ar-EG"/>
        </w:rPr>
        <w:t>X.eaa</w:t>
      </w:r>
      <w:proofErr w:type="spellEnd"/>
      <w:r w:rsidR="00E11980" w:rsidRPr="00E11980">
        <w:rPr>
          <w:rFonts w:ascii="Times New Roman Bold" w:hAnsi="Times New Roman Bold"/>
          <w:bCs/>
          <w:lang w:val="en-US" w:bidi="ar-EG"/>
        </w:rPr>
        <w:t>)</w:t>
      </w:r>
      <w:r w:rsidR="00E11980">
        <w:rPr>
          <w:rFonts w:ascii="Times New Roman Bold" w:hAnsi="Times New Roman Bold" w:hint="cs"/>
          <w:bCs/>
          <w:rtl/>
          <w:lang w:bidi="ar-EG"/>
        </w:rPr>
        <w:t xml:space="preserve"> المعيار </w:t>
      </w:r>
      <w:r w:rsidR="00E11980" w:rsidRPr="00E11980">
        <w:rPr>
          <w:rFonts w:ascii="Times New Roman Bold" w:hAnsi="Times New Roman Bold"/>
          <w:bCs/>
          <w:lang w:val="en-US" w:bidi="ar-EG"/>
        </w:rPr>
        <w:t>ISO/IEC 29115</w:t>
      </w:r>
      <w:r w:rsidRPr="00C763CA">
        <w:rPr>
          <w:rFonts w:ascii="Times New Roman Bold" w:hAnsi="Times New Roman Bold" w:hint="cs"/>
          <w:bCs/>
          <w:rtl/>
          <w:lang w:bidi="ar-EG"/>
        </w:rPr>
        <w:t xml:space="preserve">، تكنولوجيا المعلومات </w:t>
      </w:r>
      <w:r w:rsidR="00370DF8">
        <w:rPr>
          <w:rFonts w:ascii="Times New Roman Bold" w:hAnsi="Times New Roman Bold" w:hint="cs"/>
          <w:bCs/>
          <w:rtl/>
          <w:lang w:bidi="ar-EG"/>
        </w:rPr>
        <w:t>-</w:t>
      </w:r>
      <w:r w:rsidRPr="00C763CA">
        <w:rPr>
          <w:rFonts w:ascii="Times New Roman Bold" w:hAnsi="Times New Roman Bold" w:hint="cs"/>
          <w:bCs/>
          <w:rtl/>
          <w:lang w:bidi="ar-EG"/>
        </w:rPr>
        <w:t xml:space="preserve"> تقنيات الأمن</w:t>
      </w:r>
      <w:r w:rsidR="00370DF8">
        <w:rPr>
          <w:rFonts w:ascii="Times New Roman Bold" w:hAnsi="Times New Roman Bold" w:hint="eastAsia"/>
          <w:bCs/>
          <w:rtl/>
          <w:lang w:bidi="ar-EG"/>
        </w:rPr>
        <w:t> </w:t>
      </w:r>
      <w:r w:rsidR="00370DF8">
        <w:rPr>
          <w:rFonts w:ascii="Times New Roman Bold" w:hAnsi="Times New Roman Bold" w:hint="cs"/>
          <w:bCs/>
          <w:rtl/>
          <w:lang w:bidi="ar-EG"/>
        </w:rPr>
        <w:t>-</w:t>
      </w:r>
      <w:r w:rsidRPr="00C763CA">
        <w:rPr>
          <w:rFonts w:ascii="Times New Roman Bold" w:hAnsi="Times New Roman Bold" w:hint="cs"/>
          <w:bCs/>
          <w:rtl/>
          <w:lang w:bidi="ar-EG"/>
        </w:rPr>
        <w:t xml:space="preserve"> إطار ضمان استيقان الكيان</w:t>
      </w:r>
    </w:p>
    <w:p w:rsidR="00AC61E0" w:rsidRPr="00C763CA" w:rsidRDefault="00AC61E0" w:rsidP="000757BF">
      <w:pPr>
        <w:pStyle w:val="Headingb"/>
        <w:spacing w:before="0"/>
        <w:rPr>
          <w:rFonts w:ascii="Times New Roman Bold" w:hAnsi="Times New Roman Bold"/>
          <w:bCs/>
          <w:rtl/>
          <w:lang w:bidi="ar-EG"/>
        </w:rPr>
      </w:pPr>
      <w:r w:rsidRPr="00C763CA">
        <w:rPr>
          <w:rFonts w:ascii="Times New Roman Bold" w:hAnsi="Times New Roman Bold" w:hint="cs"/>
          <w:bCs/>
          <w:rtl/>
          <w:lang w:bidi="ar-EG"/>
        </w:rPr>
        <w:t xml:space="preserve">الوثيقة </w:t>
      </w:r>
      <w:r w:rsidRPr="00C763CA">
        <w:rPr>
          <w:rFonts w:ascii="Times New Roman Bold" w:hAnsi="Times New Roman Bold"/>
          <w:bCs/>
          <w:lang w:bidi="ar-EG"/>
        </w:rPr>
        <w:t>COM 17</w:t>
      </w:r>
      <w:r w:rsidR="00B7438C">
        <w:rPr>
          <w:rFonts w:ascii="Times New Roman Bold" w:hAnsi="Times New Roman Bold"/>
          <w:bCs/>
          <w:lang w:bidi="ar-EG"/>
        </w:rPr>
        <w:t> </w:t>
      </w:r>
      <w:r w:rsidRPr="00C763CA">
        <w:rPr>
          <w:rFonts w:ascii="Times New Roman Bold" w:hAnsi="Times New Roman Bold"/>
          <w:bCs/>
          <w:lang w:bidi="ar-EG"/>
        </w:rPr>
        <w:noBreakHyphen/>
      </w:r>
      <w:r w:rsidR="00B7438C">
        <w:rPr>
          <w:rFonts w:ascii="Times New Roman Bold" w:hAnsi="Times New Roman Bold"/>
          <w:bCs/>
          <w:lang w:bidi="ar-EG"/>
        </w:rPr>
        <w:t> </w:t>
      </w:r>
      <w:r w:rsidRPr="00C763CA">
        <w:rPr>
          <w:rFonts w:ascii="Times New Roman Bold" w:hAnsi="Times New Roman Bold"/>
          <w:bCs/>
          <w:lang w:bidi="ar-EG"/>
        </w:rPr>
        <w:t>R 61</w:t>
      </w:r>
    </w:p>
    <w:p w:rsidR="00AC61E0" w:rsidRPr="00642595" w:rsidRDefault="00AC61E0" w:rsidP="00642595">
      <w:pPr>
        <w:pStyle w:val="Headingb"/>
        <w:rPr>
          <w:rFonts w:ascii="Times New Roman Bold" w:hAnsi="Times New Roman Bold"/>
          <w:bCs/>
          <w:rtl/>
          <w:lang w:bidi="ar-EG"/>
        </w:rPr>
      </w:pPr>
      <w:r w:rsidRPr="00642595">
        <w:rPr>
          <w:rFonts w:ascii="Times New Roman Bold" w:hAnsi="Times New Roman Bold" w:hint="cs"/>
          <w:bCs/>
          <w:rtl/>
          <w:lang w:bidi="ar-EG"/>
        </w:rPr>
        <w:t>ملخص</w:t>
      </w:r>
    </w:p>
    <w:p w:rsidR="00AC61E0" w:rsidRPr="00642595" w:rsidRDefault="00AC61E0" w:rsidP="00FA5DF5">
      <w:pPr>
        <w:rPr>
          <w:spacing w:val="-6"/>
          <w:rtl/>
          <w:lang w:bidi="ar-EG"/>
        </w:rPr>
      </w:pPr>
      <w:r w:rsidRPr="00642595">
        <w:rPr>
          <w:rFonts w:hint="cs"/>
          <w:spacing w:val="-6"/>
          <w:rtl/>
          <w:lang w:bidi="ar-SY"/>
        </w:rPr>
        <w:t xml:space="preserve">تعرّف هذه التوصية </w:t>
      </w:r>
      <w:r w:rsidRPr="00642595">
        <w:rPr>
          <w:spacing w:val="-6"/>
        </w:rPr>
        <w:t>|</w:t>
      </w:r>
      <w:r w:rsidRPr="00642595">
        <w:rPr>
          <w:rFonts w:hint="cs"/>
          <w:spacing w:val="-6"/>
          <w:rtl/>
          <w:lang w:bidi="ar-SY"/>
        </w:rPr>
        <w:t xml:space="preserve"> المعيار الدولي أربعة مستويات فيما يتعلق بضمان استيقان الكيان (أي </w:t>
      </w:r>
      <w:proofErr w:type="spellStart"/>
      <w:r w:rsidRPr="00642595">
        <w:rPr>
          <w:spacing w:val="-6"/>
        </w:rPr>
        <w:t>LoA</w:t>
      </w:r>
      <w:proofErr w:type="spellEnd"/>
      <w:r w:rsidR="00FA5DF5">
        <w:rPr>
          <w:spacing w:val="-6"/>
        </w:rPr>
        <w:t> </w:t>
      </w:r>
      <w:r w:rsidRPr="00642595">
        <w:rPr>
          <w:spacing w:val="-6"/>
        </w:rPr>
        <w:t>1</w:t>
      </w:r>
      <w:r w:rsidR="00FA5DF5">
        <w:rPr>
          <w:rFonts w:hint="eastAsia"/>
          <w:spacing w:val="-6"/>
          <w:rtl/>
        </w:rPr>
        <w:t> </w:t>
      </w:r>
      <w:r w:rsidRPr="00642595">
        <w:rPr>
          <w:rFonts w:hint="cs"/>
          <w:spacing w:val="-6"/>
          <w:rtl/>
        </w:rPr>
        <w:t>-</w:t>
      </w:r>
      <w:r w:rsidR="00FA5DF5">
        <w:rPr>
          <w:rFonts w:hint="eastAsia"/>
          <w:spacing w:val="-6"/>
          <w:rtl/>
        </w:rPr>
        <w:t> </w:t>
      </w:r>
      <w:proofErr w:type="spellStart"/>
      <w:r w:rsidRPr="00642595">
        <w:rPr>
          <w:spacing w:val="-6"/>
        </w:rPr>
        <w:t>LoA</w:t>
      </w:r>
      <w:proofErr w:type="spellEnd"/>
      <w:r w:rsidR="00FA5DF5">
        <w:rPr>
          <w:spacing w:val="-6"/>
        </w:rPr>
        <w:t> </w:t>
      </w:r>
      <w:r w:rsidRPr="00642595">
        <w:rPr>
          <w:spacing w:val="-6"/>
        </w:rPr>
        <w:t>4</w:t>
      </w:r>
      <w:r w:rsidRPr="00642595">
        <w:rPr>
          <w:rFonts w:hint="cs"/>
          <w:spacing w:val="-6"/>
          <w:rtl/>
        </w:rPr>
        <w:t>)</w:t>
      </w:r>
      <w:r w:rsidRPr="00642595">
        <w:rPr>
          <w:rFonts w:hint="cs"/>
          <w:spacing w:val="-6"/>
          <w:rtl/>
          <w:lang w:bidi="ar-EG"/>
        </w:rPr>
        <w:t>؛ والمعايير والتهديدات المتعلقة بكل مستوى من هذه المستويات الأربعة لضمان استيقان الكيان. وإضافة إلى ذلك فإن هذه التوصية تقوم بما يلي:</w:t>
      </w:r>
    </w:p>
    <w:p w:rsidR="00AC61E0" w:rsidRDefault="00AC61E0" w:rsidP="00F6643D">
      <w:pPr>
        <w:pStyle w:val="enumlev1After0cm"/>
        <w:rPr>
          <w:rtl/>
        </w:rPr>
      </w:pPr>
      <w:r>
        <w:rPr>
          <w:rFonts w:hint="cs"/>
        </w:rPr>
        <w:sym w:font="Symbol" w:char="F0B7"/>
      </w:r>
      <w:r>
        <w:rPr>
          <w:rFonts w:hint="cs"/>
          <w:rtl/>
        </w:rPr>
        <w:tab/>
        <w:t>تحديد إطار لإدارة مستويات الضمان؛</w:t>
      </w:r>
    </w:p>
    <w:p w:rsidR="00AC61E0" w:rsidRDefault="00AC61E0" w:rsidP="00F6643D">
      <w:pPr>
        <w:pStyle w:val="enumlev1After0cm"/>
        <w:rPr>
          <w:rtl/>
        </w:rPr>
      </w:pPr>
      <w:r>
        <w:rPr>
          <w:rFonts w:hint="cs"/>
        </w:rPr>
        <w:sym w:font="Symbol" w:char="F0B7"/>
      </w:r>
      <w:r>
        <w:rPr>
          <w:rFonts w:hint="cs"/>
          <w:rtl/>
        </w:rPr>
        <w:tab/>
        <w:t xml:space="preserve">توفير إرشادات استناداً إلى تقييم المخاطر تتعلق بتكنولوجيات </w:t>
      </w:r>
      <w:r w:rsidR="000E0647">
        <w:rPr>
          <w:rFonts w:hint="cs"/>
          <w:rtl/>
        </w:rPr>
        <w:t>التحكم</w:t>
      </w:r>
      <w:r>
        <w:rPr>
          <w:rFonts w:hint="cs"/>
          <w:rtl/>
        </w:rPr>
        <w:t xml:space="preserve"> التي ينبغي استعمالها للتخفيف من التهديدات التي يتعرض لها الاستيقان؛</w:t>
      </w:r>
    </w:p>
    <w:p w:rsidR="00AC61E0" w:rsidRDefault="00AC61E0" w:rsidP="00F6643D">
      <w:pPr>
        <w:pStyle w:val="enumlev1After0cm"/>
        <w:rPr>
          <w:rtl/>
        </w:rPr>
      </w:pPr>
      <w:r>
        <w:rPr>
          <w:rFonts w:hint="cs"/>
        </w:rPr>
        <w:sym w:font="Symbol" w:char="F0B7"/>
      </w:r>
      <w:r>
        <w:rPr>
          <w:rFonts w:hint="cs"/>
          <w:rtl/>
        </w:rPr>
        <w:tab/>
        <w:t>توفير إرشادات لإجراء التقابل بين مستويات الضمان الأربعة ومخططات ضمان الاستيقان الأخرى؛ و</w:t>
      </w:r>
    </w:p>
    <w:p w:rsidR="00AC61E0" w:rsidRDefault="00AC61E0" w:rsidP="00F6643D">
      <w:pPr>
        <w:pStyle w:val="enumlev1After0cm"/>
        <w:rPr>
          <w:rtl/>
        </w:rPr>
      </w:pPr>
      <w:r>
        <w:rPr>
          <w:rFonts w:hint="cs"/>
        </w:rPr>
        <w:sym w:font="Symbol" w:char="F0B7"/>
      </w:r>
      <w:r>
        <w:rPr>
          <w:rFonts w:hint="cs"/>
          <w:rtl/>
        </w:rPr>
        <w:tab/>
        <w:t xml:space="preserve">توفير إرشادات لتبادل نتائج </w:t>
      </w:r>
      <w:r w:rsidR="000E0647">
        <w:rPr>
          <w:rFonts w:hint="cs"/>
          <w:rtl/>
        </w:rPr>
        <w:t xml:space="preserve">عمليات </w:t>
      </w:r>
      <w:r>
        <w:rPr>
          <w:rFonts w:hint="cs"/>
          <w:rtl/>
        </w:rPr>
        <w:t>الاستيقان التي تقوم على مستويات الضمان الأربعة.</w:t>
      </w:r>
    </w:p>
    <w:p w:rsidR="00AC61E0" w:rsidRPr="00C763CA" w:rsidRDefault="00AC61E0" w:rsidP="00392D87">
      <w:pPr>
        <w:pStyle w:val="Headingb"/>
        <w:jc w:val="left"/>
        <w:rPr>
          <w:rFonts w:ascii="Times New Roman Bold" w:hAnsi="Times New Roman Bold"/>
          <w:bCs/>
          <w:rtl/>
          <w:lang w:bidi="ar-EG"/>
        </w:rPr>
      </w:pPr>
      <w:r w:rsidRPr="00C763CA">
        <w:rPr>
          <w:rFonts w:ascii="Times New Roman Bold" w:hAnsi="Times New Roman Bold" w:hint="cs"/>
          <w:bCs/>
          <w:rtl/>
          <w:lang w:bidi="ar-EG"/>
        </w:rPr>
        <w:lastRenderedPageBreak/>
        <w:t xml:space="preserve">مشروع التوصية الجديدة </w:t>
      </w:r>
      <w:r w:rsidRPr="00C763CA">
        <w:rPr>
          <w:rFonts w:ascii="Times New Roman Bold" w:hAnsi="Times New Roman Bold"/>
          <w:bCs/>
          <w:lang w:bidi="ar-EG"/>
        </w:rPr>
        <w:t>ITU-T</w:t>
      </w:r>
      <w:r w:rsidR="00392D87">
        <w:rPr>
          <w:rFonts w:ascii="Times New Roman Bold" w:hAnsi="Times New Roman Bold"/>
          <w:bCs/>
          <w:lang w:bidi="ar-EG"/>
        </w:rPr>
        <w:t> </w:t>
      </w:r>
      <w:r w:rsidRPr="00C763CA">
        <w:rPr>
          <w:rFonts w:ascii="Times New Roman Bold" w:hAnsi="Times New Roman Bold"/>
          <w:bCs/>
          <w:lang w:bidi="ar-EG"/>
        </w:rPr>
        <w:t>X.1527 (</w:t>
      </w:r>
      <w:proofErr w:type="spellStart"/>
      <w:r w:rsidRPr="00C763CA">
        <w:rPr>
          <w:rFonts w:ascii="Times New Roman Bold" w:hAnsi="Times New Roman Bold"/>
          <w:bCs/>
          <w:lang w:bidi="ar-EG"/>
        </w:rPr>
        <w:t>X.xccdf</w:t>
      </w:r>
      <w:proofErr w:type="spellEnd"/>
      <w:r w:rsidRPr="00C763CA">
        <w:rPr>
          <w:rFonts w:ascii="Times New Roman Bold" w:hAnsi="Times New Roman Bold"/>
          <w:bCs/>
          <w:lang w:bidi="ar-EG"/>
        </w:rPr>
        <w:t>)</w:t>
      </w:r>
      <w:r w:rsidRPr="00C763CA">
        <w:rPr>
          <w:rFonts w:ascii="Times New Roman Bold" w:hAnsi="Times New Roman Bold" w:hint="cs"/>
          <w:bCs/>
          <w:rtl/>
          <w:lang w:bidi="ar-EG"/>
        </w:rPr>
        <w:t>، نسق وصف القائمة ال</w:t>
      </w:r>
      <w:r w:rsidR="00C763CA" w:rsidRPr="00C763CA">
        <w:rPr>
          <w:rFonts w:ascii="Times New Roman Bold" w:hAnsi="Times New Roman Bold" w:hint="cs"/>
          <w:bCs/>
          <w:rtl/>
          <w:lang w:bidi="ar-EG"/>
        </w:rPr>
        <w:t>مرجعية للتشكيلة القابلة للتوسيع</w:t>
      </w:r>
      <w:r w:rsidRPr="00C763CA">
        <w:rPr>
          <w:rFonts w:ascii="Times New Roman Bold" w:hAnsi="Times New Roman Bold"/>
          <w:bCs/>
          <w:rtl/>
          <w:lang w:bidi="ar-EG"/>
        </w:rPr>
        <w:br/>
      </w:r>
      <w:r w:rsidRPr="00C763CA">
        <w:rPr>
          <w:rFonts w:ascii="Times New Roman Bold" w:hAnsi="Times New Roman Bold" w:hint="cs"/>
          <w:bCs/>
          <w:rtl/>
          <w:lang w:bidi="ar-EG"/>
        </w:rPr>
        <w:t xml:space="preserve">الوثيقة </w:t>
      </w:r>
      <w:r w:rsidRPr="00C763CA">
        <w:rPr>
          <w:rFonts w:ascii="Times New Roman Bold" w:hAnsi="Times New Roman Bold"/>
          <w:bCs/>
          <w:lang w:bidi="ar-EG"/>
        </w:rPr>
        <w:t>COM 17</w:t>
      </w:r>
      <w:r w:rsidR="00B7438C">
        <w:rPr>
          <w:rFonts w:ascii="Times New Roman Bold" w:hAnsi="Times New Roman Bold"/>
          <w:bCs/>
          <w:lang w:bidi="ar-EG"/>
        </w:rPr>
        <w:t> </w:t>
      </w:r>
      <w:r w:rsidRPr="00C763CA">
        <w:rPr>
          <w:rFonts w:ascii="Times New Roman Bold" w:hAnsi="Times New Roman Bold"/>
          <w:bCs/>
          <w:lang w:bidi="ar-EG"/>
        </w:rPr>
        <w:noBreakHyphen/>
      </w:r>
      <w:r w:rsidR="00B7438C">
        <w:rPr>
          <w:rFonts w:ascii="Times New Roman Bold" w:hAnsi="Times New Roman Bold"/>
          <w:bCs/>
          <w:lang w:bidi="ar-EG"/>
        </w:rPr>
        <w:t> </w:t>
      </w:r>
      <w:r w:rsidRPr="00C763CA">
        <w:rPr>
          <w:rFonts w:ascii="Times New Roman Bold" w:hAnsi="Times New Roman Bold"/>
          <w:bCs/>
          <w:lang w:bidi="ar-EG"/>
        </w:rPr>
        <w:t>R 50</w:t>
      </w:r>
    </w:p>
    <w:p w:rsidR="00AC61E0" w:rsidRPr="00C763CA" w:rsidRDefault="00AC61E0" w:rsidP="00C763CA">
      <w:pPr>
        <w:pStyle w:val="Headingb"/>
        <w:rPr>
          <w:rFonts w:ascii="Times New Roman Bold" w:hAnsi="Times New Roman Bold"/>
          <w:bCs/>
          <w:rtl/>
          <w:lang w:bidi="ar-EG"/>
        </w:rPr>
      </w:pPr>
      <w:r w:rsidRPr="00C763CA">
        <w:rPr>
          <w:rFonts w:ascii="Times New Roman Bold" w:hAnsi="Times New Roman Bold" w:hint="cs"/>
          <w:bCs/>
          <w:rtl/>
          <w:lang w:bidi="ar-EG"/>
        </w:rPr>
        <w:t>ملخص</w:t>
      </w:r>
    </w:p>
    <w:p w:rsidR="00AC61E0" w:rsidRPr="002F5191" w:rsidRDefault="000F61D5" w:rsidP="00C763CA">
      <w:pPr>
        <w:rPr>
          <w:rtl/>
          <w:lang w:bidi="ar-EG"/>
        </w:rPr>
      </w:pPr>
      <w:r>
        <w:rPr>
          <w:rFonts w:hint="cs"/>
          <w:rtl/>
          <w:lang w:bidi="ar-SY"/>
        </w:rPr>
        <w:t>توصف</w:t>
      </w:r>
      <w:r w:rsidR="00AC61E0" w:rsidRPr="00060130">
        <w:rPr>
          <w:rFonts w:hint="cs"/>
          <w:rtl/>
          <w:lang w:bidi="ar-SY"/>
        </w:rPr>
        <w:t xml:space="preserve"> هذه التوصية </w:t>
      </w:r>
      <w:r w:rsidR="00AC61E0">
        <w:rPr>
          <w:rFonts w:hint="cs"/>
          <w:rtl/>
          <w:lang w:bidi="ar-SY"/>
        </w:rPr>
        <w:t xml:space="preserve">تمثيلاً لنموذج البيانات ولغة التوسيم القابلة للتوسيع </w:t>
      </w:r>
      <w:r w:rsidR="00AC61E0">
        <w:rPr>
          <w:lang w:bidi="ar-SY"/>
        </w:rPr>
        <w:t>(XML)</w:t>
      </w:r>
      <w:r w:rsidR="00AC61E0">
        <w:rPr>
          <w:rFonts w:hint="cs"/>
          <w:rtl/>
          <w:lang w:bidi="ar-SY"/>
        </w:rPr>
        <w:t xml:space="preserve"> فيما يتعلق بنسق وصف القائمة المرجعية للتشكيلة القابلة للتوسيع </w:t>
      </w:r>
      <w:r w:rsidR="00AC61E0">
        <w:rPr>
          <w:lang w:bidi="ar-SY"/>
        </w:rPr>
        <w:t>(XCCDF)</w:t>
      </w:r>
      <w:r w:rsidR="00AC61E0">
        <w:rPr>
          <w:rFonts w:hint="cs"/>
          <w:rtl/>
          <w:lang w:bidi="ar-EG"/>
        </w:rPr>
        <w:t xml:space="preserve">. ووثيقة النسق </w:t>
      </w:r>
      <w:r w:rsidR="00AC61E0">
        <w:rPr>
          <w:lang w:bidi="ar-SY"/>
        </w:rPr>
        <w:t>XCCDF</w:t>
      </w:r>
      <w:r w:rsidR="00AC61E0">
        <w:rPr>
          <w:rFonts w:hint="cs"/>
          <w:rtl/>
          <w:lang w:bidi="ar-SY"/>
        </w:rPr>
        <w:t xml:space="preserve"> هي عبارة عن مجموعة مبنينة لقواعد تشكيلة الأمن لمجموعة معينة من الأنظمة المستهدفة. والغرض من </w:t>
      </w:r>
      <w:r>
        <w:rPr>
          <w:rFonts w:hint="cs"/>
          <w:rtl/>
          <w:lang w:bidi="ar-SY"/>
        </w:rPr>
        <w:t>المواصفة</w:t>
      </w:r>
      <w:r w:rsidR="00AC61E0">
        <w:rPr>
          <w:rFonts w:hint="cs"/>
          <w:rtl/>
          <w:lang w:bidi="ar-SY"/>
        </w:rPr>
        <w:t xml:space="preserve"> </w:t>
      </w:r>
      <w:r w:rsidR="00AC61E0">
        <w:rPr>
          <w:lang w:bidi="ar-SY"/>
        </w:rPr>
        <w:t>XCCDF</w:t>
      </w:r>
      <w:r w:rsidR="00AC61E0">
        <w:rPr>
          <w:rFonts w:hint="cs"/>
          <w:rtl/>
          <w:lang w:bidi="ar-SY"/>
        </w:rPr>
        <w:t xml:space="preserve"> </w:t>
      </w:r>
      <w:r w:rsidR="00AC61E0" w:rsidRPr="003A79DB">
        <w:rPr>
          <w:rtl/>
          <w:lang w:bidi="ar-SY"/>
        </w:rPr>
        <w:t xml:space="preserve">دعم تبادل المعلومات </w:t>
      </w:r>
      <w:r>
        <w:rPr>
          <w:rFonts w:hint="cs"/>
          <w:rtl/>
          <w:lang w:bidi="ar-SY"/>
        </w:rPr>
        <w:t>وإنتاج</w:t>
      </w:r>
      <w:r w:rsidR="00AC61E0" w:rsidRPr="003A79DB">
        <w:rPr>
          <w:rtl/>
          <w:lang w:bidi="ar-SY"/>
        </w:rPr>
        <w:t xml:space="preserve"> </w:t>
      </w:r>
      <w:r w:rsidR="00AC61E0">
        <w:rPr>
          <w:rFonts w:hint="cs"/>
          <w:rtl/>
          <w:lang w:bidi="ar-SY"/>
        </w:rPr>
        <w:t>الوثائق</w:t>
      </w:r>
      <w:r w:rsidR="00AC61E0" w:rsidRPr="003A79DB">
        <w:rPr>
          <w:rtl/>
          <w:lang w:bidi="ar-SY"/>
        </w:rPr>
        <w:t xml:space="preserve"> </w:t>
      </w:r>
      <w:r w:rsidR="00AC61E0">
        <w:rPr>
          <w:rFonts w:hint="cs"/>
          <w:rtl/>
          <w:lang w:bidi="ar-SY"/>
        </w:rPr>
        <w:t xml:space="preserve">والتكيف </w:t>
      </w:r>
      <w:r w:rsidR="00AC61E0" w:rsidRPr="003A79DB">
        <w:rPr>
          <w:rtl/>
          <w:lang w:bidi="ar-SY"/>
        </w:rPr>
        <w:t>الت</w:t>
      </w:r>
      <w:r w:rsidR="00AC61E0">
        <w:rPr>
          <w:rtl/>
          <w:lang w:bidi="ar-SY"/>
        </w:rPr>
        <w:t>نظيمي</w:t>
      </w:r>
      <w:r w:rsidR="00AC61E0" w:rsidRPr="003A79DB">
        <w:rPr>
          <w:rtl/>
          <w:lang w:bidi="ar-SY"/>
        </w:rPr>
        <w:t xml:space="preserve"> والظرفي </w:t>
      </w:r>
      <w:r w:rsidR="00AC61E0">
        <w:rPr>
          <w:rFonts w:hint="cs"/>
          <w:rtl/>
          <w:lang w:bidi="ar-SY"/>
        </w:rPr>
        <w:t>و</w:t>
      </w:r>
      <w:r w:rsidR="00AC61E0" w:rsidRPr="003A79DB">
        <w:rPr>
          <w:rtl/>
          <w:lang w:bidi="ar-SY"/>
        </w:rPr>
        <w:t xml:space="preserve">اختبار </w:t>
      </w:r>
      <w:r w:rsidR="00AC61E0">
        <w:rPr>
          <w:rFonts w:hint="cs"/>
          <w:rtl/>
          <w:lang w:bidi="ar-SY"/>
        </w:rPr>
        <w:t xml:space="preserve">المطابقة الآلي والتقييم. كما </w:t>
      </w:r>
      <w:r>
        <w:rPr>
          <w:rFonts w:hint="cs"/>
          <w:rtl/>
          <w:lang w:bidi="ar-SY"/>
        </w:rPr>
        <w:t>تحدد المواصفة</w:t>
      </w:r>
      <w:r w:rsidR="00AC61E0">
        <w:rPr>
          <w:rFonts w:hint="cs"/>
          <w:rtl/>
          <w:lang w:bidi="ar-SY"/>
        </w:rPr>
        <w:t xml:space="preserve"> نموذجاً للبيانات ونسقاً لتخزين نتائج </w:t>
      </w:r>
      <w:r>
        <w:rPr>
          <w:rFonts w:hint="cs"/>
          <w:rtl/>
          <w:lang w:bidi="ar-SY"/>
        </w:rPr>
        <w:t>التوجيه</w:t>
      </w:r>
      <w:r w:rsidR="00AC61E0">
        <w:rPr>
          <w:rFonts w:hint="cs"/>
          <w:rtl/>
          <w:lang w:bidi="ar-SY"/>
        </w:rPr>
        <w:t xml:space="preserve"> الأمني أو اختبار القائمة المرجعية. ويُقصد </w:t>
      </w:r>
      <w:r>
        <w:rPr>
          <w:rFonts w:hint="cs"/>
          <w:rtl/>
          <w:lang w:bidi="ar-SY"/>
        </w:rPr>
        <w:t>بالمواصفة</w:t>
      </w:r>
      <w:r w:rsidR="00AC61E0">
        <w:rPr>
          <w:rFonts w:hint="cs"/>
          <w:rtl/>
          <w:lang w:bidi="ar-SY"/>
        </w:rPr>
        <w:t xml:space="preserve"> </w:t>
      </w:r>
      <w:r w:rsidR="00AC61E0">
        <w:rPr>
          <w:lang w:bidi="ar-SY"/>
        </w:rPr>
        <w:t>XCCDF</w:t>
      </w:r>
      <w:r w:rsidR="00AC61E0">
        <w:rPr>
          <w:rFonts w:hint="cs"/>
          <w:rtl/>
          <w:lang w:bidi="ar-SY"/>
        </w:rPr>
        <w:t xml:space="preserve"> </w:t>
      </w:r>
      <w:r w:rsidR="00AC61E0" w:rsidRPr="001305F6">
        <w:rPr>
          <w:rtl/>
          <w:lang w:bidi="ar-SY"/>
        </w:rPr>
        <w:t xml:space="preserve">توفير أساس موحد للتعبير عن قوائم مرجعية </w:t>
      </w:r>
      <w:r w:rsidR="00AC61E0">
        <w:rPr>
          <w:rFonts w:hint="cs"/>
          <w:rtl/>
          <w:lang w:bidi="ar-SY"/>
        </w:rPr>
        <w:t>للأمن</w:t>
      </w:r>
      <w:r w:rsidR="00AC61E0">
        <w:rPr>
          <w:rtl/>
          <w:lang w:bidi="ar-SY"/>
        </w:rPr>
        <w:t xml:space="preserve"> وإرشادات </w:t>
      </w:r>
      <w:r w:rsidR="00AC61E0">
        <w:rPr>
          <w:rFonts w:hint="cs"/>
          <w:rtl/>
          <w:lang w:bidi="ar-SY"/>
        </w:rPr>
        <w:t>أخرى للتشكيلة</w:t>
      </w:r>
      <w:r w:rsidR="00AC61E0" w:rsidRPr="001305F6">
        <w:rPr>
          <w:rtl/>
          <w:lang w:bidi="ar-SY"/>
        </w:rPr>
        <w:t xml:space="preserve">، </w:t>
      </w:r>
      <w:r w:rsidR="00AC61E0">
        <w:rPr>
          <w:rFonts w:hint="cs"/>
          <w:rtl/>
          <w:lang w:bidi="ar-SY"/>
        </w:rPr>
        <w:t>ومن ثم</w:t>
      </w:r>
      <w:r w:rsidR="00AC61E0" w:rsidRPr="001305F6">
        <w:rPr>
          <w:rtl/>
          <w:lang w:bidi="ar-SY"/>
        </w:rPr>
        <w:t xml:space="preserve"> </w:t>
      </w:r>
      <w:r w:rsidR="00AC61E0">
        <w:rPr>
          <w:rFonts w:hint="cs"/>
          <w:rtl/>
          <w:lang w:bidi="ar-SY"/>
        </w:rPr>
        <w:t>تعزيز</w:t>
      </w:r>
      <w:r w:rsidR="00AC61E0" w:rsidRPr="001305F6">
        <w:rPr>
          <w:rtl/>
          <w:lang w:bidi="ar-SY"/>
        </w:rPr>
        <w:t xml:space="preserve"> تطبيق ممارسات أمنية جيدة</w:t>
      </w:r>
      <w:r w:rsidR="00AC61E0">
        <w:rPr>
          <w:rFonts w:hint="cs"/>
          <w:rtl/>
          <w:lang w:bidi="ar-SY"/>
        </w:rPr>
        <w:t xml:space="preserve"> على نطاق </w:t>
      </w:r>
      <w:r w:rsidR="00453D64">
        <w:rPr>
          <w:rFonts w:hint="cs"/>
          <w:rtl/>
          <w:lang w:bidi="ar-SY"/>
        </w:rPr>
        <w:t>واسع</w:t>
      </w:r>
      <w:r w:rsidR="00AC61E0" w:rsidRPr="001305F6">
        <w:rPr>
          <w:rtl/>
          <w:lang w:bidi="ar-SY"/>
        </w:rPr>
        <w:t xml:space="preserve">. ويتحقق ذلك بسرد </w:t>
      </w:r>
      <w:r w:rsidR="00AC61E0">
        <w:rPr>
          <w:rFonts w:hint="cs"/>
          <w:rtl/>
          <w:lang w:bidi="ar-SY"/>
        </w:rPr>
        <w:t>البنود</w:t>
      </w:r>
      <w:r w:rsidR="00AC61E0" w:rsidRPr="001305F6">
        <w:rPr>
          <w:rtl/>
          <w:lang w:bidi="ar-SY"/>
        </w:rPr>
        <w:t xml:space="preserve"> ذات الصلة</w:t>
      </w:r>
      <w:r w:rsidR="00AC61E0">
        <w:rPr>
          <w:rFonts w:hint="cs"/>
          <w:rtl/>
          <w:lang w:bidi="ar-SY"/>
        </w:rPr>
        <w:t xml:space="preserve"> </w:t>
      </w:r>
      <w:r w:rsidR="00AC61E0">
        <w:rPr>
          <w:rFonts w:hint="cs"/>
          <w:rtl/>
          <w:lang w:bidi="ar-EG"/>
        </w:rPr>
        <w:t>في ا</w:t>
      </w:r>
      <w:r w:rsidR="00AC61E0">
        <w:rPr>
          <w:rFonts w:hint="cs"/>
          <w:rtl/>
          <w:lang w:bidi="ar-SY"/>
        </w:rPr>
        <w:t>لتقرير المشترك بين الوكالات للمعهد الوطني للمعايير والتكنولوجيا</w:t>
      </w:r>
      <w:r w:rsidR="00AC61E0">
        <w:rPr>
          <w:rFonts w:hint="cs"/>
          <w:rtl/>
          <w:lang w:bidi="ar-EG"/>
        </w:rPr>
        <w:t xml:space="preserve"> </w:t>
      </w:r>
      <w:r w:rsidR="00AC61E0">
        <w:rPr>
          <w:lang w:bidi="ar-EG"/>
        </w:rPr>
        <w:t>7275</w:t>
      </w:r>
      <w:r w:rsidR="00AC61E0">
        <w:rPr>
          <w:rFonts w:hint="cs"/>
          <w:rtl/>
          <w:lang w:bidi="ar-SY"/>
        </w:rPr>
        <w:t xml:space="preserve">، المراجعة </w:t>
      </w:r>
      <w:r w:rsidR="00AC61E0">
        <w:rPr>
          <w:lang w:bidi="ar-SY"/>
        </w:rPr>
        <w:t>4</w:t>
      </w:r>
      <w:r w:rsidR="00AC61E0">
        <w:rPr>
          <w:rFonts w:hint="cs"/>
          <w:rtl/>
          <w:lang w:bidi="ar-SY"/>
        </w:rPr>
        <w:t xml:space="preserve">، </w:t>
      </w:r>
      <w:r w:rsidR="00453D64">
        <w:rPr>
          <w:rFonts w:hint="cs"/>
          <w:rtl/>
          <w:lang w:bidi="ar-SY"/>
        </w:rPr>
        <w:t>مواصفة من أجل نسق</w:t>
      </w:r>
      <w:r w:rsidR="00AC61E0">
        <w:rPr>
          <w:rFonts w:hint="cs"/>
          <w:rtl/>
          <w:lang w:bidi="ar-SY"/>
        </w:rPr>
        <w:t xml:space="preserve"> وصف القائمة المرجعية للتشكيلة القابلة للتوسيع، النسخة </w:t>
      </w:r>
      <w:r w:rsidR="00AC61E0">
        <w:rPr>
          <w:lang w:bidi="ar-SY"/>
        </w:rPr>
        <w:t>1.2</w:t>
      </w:r>
      <w:r w:rsidR="00AC61E0">
        <w:rPr>
          <w:rFonts w:hint="cs"/>
          <w:rtl/>
          <w:lang w:bidi="ar-EG"/>
        </w:rPr>
        <w:t>، وتبيان ما إذا كانت معيارية أو إعلامية.</w:t>
      </w:r>
    </w:p>
    <w:p w:rsidR="00AC61E0" w:rsidRPr="00C763CA" w:rsidRDefault="00AC61E0" w:rsidP="00392D87">
      <w:pPr>
        <w:pStyle w:val="Headingb"/>
        <w:rPr>
          <w:rFonts w:ascii="Times New Roman Bold" w:hAnsi="Times New Roman Bold"/>
          <w:bCs/>
          <w:rtl/>
          <w:lang w:bidi="ar-EG"/>
        </w:rPr>
      </w:pPr>
      <w:r w:rsidRPr="00C763CA">
        <w:rPr>
          <w:rFonts w:ascii="Times New Roman Bold" w:hAnsi="Times New Roman Bold" w:hint="cs"/>
          <w:bCs/>
          <w:rtl/>
          <w:lang w:bidi="ar-EG"/>
        </w:rPr>
        <w:t xml:space="preserve">مشروع التوصية الجديدة </w:t>
      </w:r>
      <w:r w:rsidRPr="00C763CA">
        <w:rPr>
          <w:rFonts w:ascii="Times New Roman Bold" w:hAnsi="Times New Roman Bold"/>
          <w:bCs/>
          <w:lang w:bidi="ar-EG"/>
        </w:rPr>
        <w:t>ITU-T</w:t>
      </w:r>
      <w:r w:rsidR="00392D87">
        <w:rPr>
          <w:rFonts w:ascii="Times New Roman Bold" w:hAnsi="Times New Roman Bold"/>
          <w:bCs/>
          <w:lang w:bidi="ar-EG"/>
        </w:rPr>
        <w:t> </w:t>
      </w:r>
      <w:r w:rsidRPr="00C763CA">
        <w:rPr>
          <w:rFonts w:ascii="Times New Roman Bold" w:hAnsi="Times New Roman Bold"/>
          <w:bCs/>
          <w:lang w:bidi="ar-EG"/>
        </w:rPr>
        <w:t>X.1528 (</w:t>
      </w:r>
      <w:proofErr w:type="spellStart"/>
      <w:r w:rsidRPr="00C763CA">
        <w:rPr>
          <w:rFonts w:ascii="Times New Roman Bold" w:hAnsi="Times New Roman Bold"/>
          <w:bCs/>
          <w:lang w:bidi="ar-EG"/>
        </w:rPr>
        <w:t>X.cpe</w:t>
      </w:r>
      <w:proofErr w:type="spellEnd"/>
      <w:r w:rsidRPr="00C763CA">
        <w:rPr>
          <w:rFonts w:ascii="Times New Roman Bold" w:hAnsi="Times New Roman Bold"/>
          <w:bCs/>
          <w:lang w:bidi="ar-EG"/>
        </w:rPr>
        <w:t>)</w:t>
      </w:r>
      <w:r w:rsidRPr="00C763CA">
        <w:rPr>
          <w:rFonts w:ascii="Times New Roman Bold" w:hAnsi="Times New Roman Bold" w:hint="cs"/>
          <w:bCs/>
          <w:rtl/>
          <w:lang w:bidi="ar-EG"/>
        </w:rPr>
        <w:t>، تعداد المنصة المشترك</w:t>
      </w:r>
      <w:r w:rsidRPr="00C763CA">
        <w:rPr>
          <w:rFonts w:ascii="Times New Roman Bold" w:hAnsi="Times New Roman Bold" w:hint="cs"/>
          <w:bCs/>
          <w:rtl/>
          <w:lang w:bidi="ar-EG"/>
        </w:rPr>
        <w:tab/>
      </w:r>
      <w:r w:rsidRPr="00C763CA">
        <w:rPr>
          <w:rFonts w:ascii="Times New Roman Bold" w:hAnsi="Times New Roman Bold"/>
          <w:bCs/>
          <w:rtl/>
          <w:lang w:bidi="ar-EG"/>
        </w:rPr>
        <w:br/>
      </w:r>
      <w:r w:rsidRPr="00C763CA">
        <w:rPr>
          <w:rFonts w:ascii="Times New Roman Bold" w:hAnsi="Times New Roman Bold" w:hint="cs"/>
          <w:bCs/>
          <w:rtl/>
          <w:lang w:bidi="ar-EG"/>
        </w:rPr>
        <w:t xml:space="preserve">الوثيقة </w:t>
      </w:r>
      <w:r w:rsidRPr="00C763CA">
        <w:rPr>
          <w:rFonts w:ascii="Times New Roman Bold" w:hAnsi="Times New Roman Bold"/>
          <w:bCs/>
          <w:lang w:bidi="ar-EG"/>
        </w:rPr>
        <w:t>COM 17</w:t>
      </w:r>
      <w:r w:rsidR="00B7438C">
        <w:rPr>
          <w:rFonts w:ascii="Times New Roman Bold" w:hAnsi="Times New Roman Bold"/>
          <w:bCs/>
          <w:lang w:bidi="ar-EG"/>
        </w:rPr>
        <w:t> </w:t>
      </w:r>
      <w:r w:rsidRPr="00C763CA">
        <w:rPr>
          <w:rFonts w:ascii="Times New Roman Bold" w:hAnsi="Times New Roman Bold"/>
          <w:bCs/>
          <w:lang w:bidi="ar-EG"/>
        </w:rPr>
        <w:noBreakHyphen/>
      </w:r>
      <w:r w:rsidR="00B7438C">
        <w:rPr>
          <w:rFonts w:ascii="Times New Roman Bold" w:hAnsi="Times New Roman Bold"/>
          <w:bCs/>
          <w:lang w:bidi="ar-EG"/>
        </w:rPr>
        <w:t> </w:t>
      </w:r>
      <w:r w:rsidRPr="00C763CA">
        <w:rPr>
          <w:rFonts w:ascii="Times New Roman Bold" w:hAnsi="Times New Roman Bold"/>
          <w:bCs/>
          <w:lang w:bidi="ar-EG"/>
        </w:rPr>
        <w:t>R 51</w:t>
      </w:r>
    </w:p>
    <w:p w:rsidR="00AC61E0" w:rsidRPr="00F10469" w:rsidRDefault="00AC61E0" w:rsidP="00C763CA">
      <w:pPr>
        <w:pStyle w:val="Headingb"/>
        <w:rPr>
          <w:b w:val="0"/>
          <w:bCs/>
          <w:rtl/>
          <w:lang w:bidi="ar-SY"/>
        </w:rPr>
      </w:pPr>
      <w:r w:rsidRPr="00F10469">
        <w:rPr>
          <w:rFonts w:hint="cs"/>
          <w:b w:val="0"/>
          <w:bCs/>
          <w:rtl/>
          <w:lang w:bidi="ar-SY"/>
        </w:rPr>
        <w:t>ملخص</w:t>
      </w:r>
    </w:p>
    <w:p w:rsidR="00AC61E0" w:rsidRPr="00417A27" w:rsidRDefault="00AC61E0" w:rsidP="00EB0C3C">
      <w:pPr>
        <w:rPr>
          <w:spacing w:val="-4"/>
          <w:rtl/>
          <w:lang w:bidi="ar-EG"/>
        </w:rPr>
      </w:pPr>
      <w:r w:rsidRPr="00417A27">
        <w:rPr>
          <w:rFonts w:hint="cs"/>
          <w:spacing w:val="-4"/>
          <w:rtl/>
          <w:lang w:bidi="ar-SY"/>
        </w:rPr>
        <w:t xml:space="preserve">تقدم هذه التوصية بشأن تعداد المنصة المشترك </w:t>
      </w:r>
      <w:r w:rsidRPr="00417A27">
        <w:rPr>
          <w:spacing w:val="-4"/>
          <w:lang w:bidi="ar-SY"/>
        </w:rPr>
        <w:t>(CPE)</w:t>
      </w:r>
      <w:r w:rsidRPr="00417A27">
        <w:rPr>
          <w:rFonts w:hint="cs"/>
          <w:spacing w:val="-4"/>
          <w:rtl/>
          <w:lang w:bidi="ar-EG"/>
        </w:rPr>
        <w:t xml:space="preserve"> أسلوباً مبنيناً</w:t>
      </w:r>
      <w:r w:rsidRPr="00417A27">
        <w:rPr>
          <w:spacing w:val="-4"/>
          <w:rtl/>
          <w:lang w:bidi="ar-EG"/>
        </w:rPr>
        <w:t xml:space="preserve"> لوصف وتحديد </w:t>
      </w:r>
      <w:r w:rsidR="00A9673C" w:rsidRPr="00417A27">
        <w:rPr>
          <w:rFonts w:hint="cs"/>
          <w:spacing w:val="-4"/>
          <w:rtl/>
          <w:lang w:bidi="ar-EG"/>
        </w:rPr>
        <w:t>أصناف</w:t>
      </w:r>
      <w:r w:rsidRPr="00417A27">
        <w:rPr>
          <w:spacing w:val="-4"/>
          <w:rtl/>
          <w:lang w:bidi="ar-EG"/>
        </w:rPr>
        <w:t xml:space="preserve"> </w:t>
      </w:r>
      <w:r w:rsidRPr="00417A27">
        <w:rPr>
          <w:rFonts w:hint="cs"/>
          <w:spacing w:val="-4"/>
          <w:rtl/>
          <w:lang w:bidi="ar-EG"/>
        </w:rPr>
        <w:t>ا</w:t>
      </w:r>
      <w:r w:rsidRPr="00417A27">
        <w:rPr>
          <w:spacing w:val="-4"/>
          <w:rtl/>
          <w:lang w:bidi="ar-EG"/>
        </w:rPr>
        <w:t xml:space="preserve">لتطبيقات وأنظمة التشغيل والأجهزة </w:t>
      </w:r>
      <w:r w:rsidRPr="00417A27">
        <w:rPr>
          <w:rFonts w:hint="cs"/>
          <w:spacing w:val="-4"/>
          <w:rtl/>
          <w:lang w:bidi="ar-EG"/>
        </w:rPr>
        <w:t>الموجودة ضمن</w:t>
      </w:r>
      <w:r w:rsidRPr="00417A27">
        <w:rPr>
          <w:spacing w:val="-4"/>
          <w:rtl/>
          <w:lang w:bidi="ar-EG"/>
        </w:rPr>
        <w:t xml:space="preserve"> </w:t>
      </w:r>
      <w:r w:rsidRPr="00417A27">
        <w:rPr>
          <w:rFonts w:hint="cs"/>
          <w:spacing w:val="-4"/>
          <w:rtl/>
          <w:lang w:bidi="ar-EG"/>
        </w:rPr>
        <w:t>أصول الحوسبة التابعة للشركة. ويُعرف تعداد المنصة المشترك من خلال مجموعة من المواصفات في</w:t>
      </w:r>
      <w:r w:rsidR="000757BF" w:rsidRPr="00417A27">
        <w:rPr>
          <w:rFonts w:hint="eastAsia"/>
          <w:spacing w:val="-4"/>
          <w:rtl/>
          <w:lang w:bidi="ar-EG"/>
        </w:rPr>
        <w:t> </w:t>
      </w:r>
      <w:r w:rsidRPr="00417A27">
        <w:rPr>
          <w:rFonts w:hint="cs"/>
          <w:spacing w:val="-4"/>
          <w:rtl/>
          <w:lang w:bidi="ar-EG"/>
        </w:rPr>
        <w:t xml:space="preserve">نموذج يقوم على </w:t>
      </w:r>
      <w:r w:rsidR="00A9673C" w:rsidRPr="00417A27">
        <w:rPr>
          <w:rFonts w:hint="cs"/>
          <w:spacing w:val="-4"/>
          <w:rtl/>
          <w:lang w:bidi="ar-EG"/>
        </w:rPr>
        <w:t>الكدسات</w:t>
      </w:r>
      <w:r w:rsidRPr="00417A27">
        <w:rPr>
          <w:rFonts w:hint="cs"/>
          <w:spacing w:val="-4"/>
          <w:rtl/>
          <w:lang w:bidi="ar-EG"/>
        </w:rPr>
        <w:t xml:space="preserve"> </w:t>
      </w:r>
      <w:r w:rsidRPr="00417A27">
        <w:rPr>
          <w:spacing w:val="-4"/>
          <w:rtl/>
          <w:lang w:bidi="ar-EG"/>
        </w:rPr>
        <w:t xml:space="preserve">حيث </w:t>
      </w:r>
      <w:r w:rsidRPr="00417A27">
        <w:rPr>
          <w:rFonts w:hint="cs"/>
          <w:spacing w:val="-4"/>
          <w:rtl/>
          <w:lang w:bidi="ar-EG"/>
        </w:rPr>
        <w:t>تستند ال</w:t>
      </w:r>
      <w:r w:rsidRPr="00417A27">
        <w:rPr>
          <w:spacing w:val="-4"/>
          <w:rtl/>
          <w:lang w:bidi="ar-EG"/>
        </w:rPr>
        <w:t xml:space="preserve">قدرات </w:t>
      </w:r>
      <w:r w:rsidRPr="00417A27">
        <w:rPr>
          <w:rFonts w:hint="cs"/>
          <w:spacing w:val="-4"/>
          <w:rtl/>
          <w:lang w:bidi="ar-EG"/>
        </w:rPr>
        <w:t xml:space="preserve">إلى عناصر أبسط تكون معرّفة بصورة أضيق ومحددة </w:t>
      </w:r>
      <w:r w:rsidR="00A9673C" w:rsidRPr="00417A27">
        <w:rPr>
          <w:rFonts w:hint="cs"/>
          <w:spacing w:val="-4"/>
          <w:rtl/>
          <w:lang w:bidi="ar-EG"/>
        </w:rPr>
        <w:t>بمستوى أدنى في</w:t>
      </w:r>
      <w:r w:rsidR="000757BF" w:rsidRPr="00417A27">
        <w:rPr>
          <w:rFonts w:hint="eastAsia"/>
          <w:spacing w:val="-4"/>
          <w:rtl/>
          <w:lang w:bidi="ar-EG"/>
        </w:rPr>
        <w:t> </w:t>
      </w:r>
      <w:r w:rsidR="00A9673C" w:rsidRPr="00417A27">
        <w:rPr>
          <w:rFonts w:hint="cs"/>
          <w:spacing w:val="-4"/>
          <w:rtl/>
          <w:lang w:bidi="ar-EG"/>
        </w:rPr>
        <w:t>الكدسة</w:t>
      </w:r>
      <w:r w:rsidRPr="00417A27">
        <w:rPr>
          <w:spacing w:val="-4"/>
          <w:rtl/>
          <w:lang w:bidi="ar-EG"/>
        </w:rPr>
        <w:t xml:space="preserve">. </w:t>
      </w:r>
      <w:r w:rsidR="00A9673C" w:rsidRPr="00417A27">
        <w:rPr>
          <w:rFonts w:hint="cs"/>
          <w:spacing w:val="-4"/>
          <w:rtl/>
          <w:lang w:bidi="ar-EG"/>
        </w:rPr>
        <w:t>وتتكون الكدسة</w:t>
      </w:r>
      <w:r w:rsidR="00A9673C" w:rsidRPr="00417A27">
        <w:rPr>
          <w:spacing w:val="-4"/>
          <w:rtl/>
          <w:lang w:bidi="ar-EG"/>
        </w:rPr>
        <w:t xml:space="preserve"> من مواصف</w:t>
      </w:r>
      <w:r w:rsidR="00A9673C" w:rsidRPr="00417A27">
        <w:rPr>
          <w:rFonts w:hint="cs"/>
          <w:spacing w:val="-4"/>
          <w:rtl/>
          <w:lang w:bidi="ar-EG"/>
        </w:rPr>
        <w:t>ة</w:t>
      </w:r>
      <w:r w:rsidRPr="00417A27">
        <w:rPr>
          <w:spacing w:val="-4"/>
          <w:rtl/>
          <w:lang w:bidi="ar-EG"/>
        </w:rPr>
        <w:t xml:space="preserve"> </w:t>
      </w:r>
      <w:r w:rsidRPr="00417A27">
        <w:rPr>
          <w:rFonts w:hint="cs"/>
          <w:spacing w:val="-4"/>
          <w:rtl/>
          <w:lang w:bidi="ar-EG"/>
        </w:rPr>
        <w:t>ال</w:t>
      </w:r>
      <w:r w:rsidRPr="00417A27">
        <w:rPr>
          <w:spacing w:val="-4"/>
          <w:rtl/>
          <w:lang w:bidi="ar-EG"/>
        </w:rPr>
        <w:t>قاموس ومواصف</w:t>
      </w:r>
      <w:r w:rsidR="00A9673C" w:rsidRPr="00417A27">
        <w:rPr>
          <w:rFonts w:hint="cs"/>
          <w:spacing w:val="-4"/>
          <w:rtl/>
          <w:lang w:bidi="ar-EG"/>
        </w:rPr>
        <w:t xml:space="preserve">ة </w:t>
      </w:r>
      <w:r w:rsidRPr="00417A27">
        <w:rPr>
          <w:spacing w:val="-4"/>
          <w:rtl/>
          <w:lang w:bidi="ar-EG"/>
        </w:rPr>
        <w:t>لغ</w:t>
      </w:r>
      <w:r w:rsidR="00A9673C" w:rsidRPr="00417A27">
        <w:rPr>
          <w:spacing w:val="-4"/>
          <w:rtl/>
          <w:lang w:bidi="ar-EG"/>
        </w:rPr>
        <w:t>ة التطبيق التي تعتمد على مواصف</w:t>
      </w:r>
      <w:r w:rsidR="00A9673C" w:rsidRPr="00417A27">
        <w:rPr>
          <w:rFonts w:hint="cs"/>
          <w:spacing w:val="-4"/>
          <w:rtl/>
          <w:lang w:bidi="ar-EG"/>
        </w:rPr>
        <w:t>ة</w:t>
      </w:r>
      <w:r w:rsidRPr="00417A27">
        <w:rPr>
          <w:spacing w:val="-4"/>
          <w:rtl/>
          <w:lang w:bidi="ar-EG"/>
        </w:rPr>
        <w:t xml:space="preserve"> مطابقة الاسم </w:t>
      </w:r>
      <w:r w:rsidRPr="00417A27">
        <w:rPr>
          <w:rFonts w:hint="cs"/>
          <w:spacing w:val="-4"/>
          <w:rtl/>
          <w:lang w:bidi="ar-EG"/>
        </w:rPr>
        <w:t>التي</w:t>
      </w:r>
      <w:r w:rsidRPr="00417A27">
        <w:rPr>
          <w:spacing w:val="-4"/>
          <w:rtl/>
          <w:lang w:bidi="ar-EG"/>
        </w:rPr>
        <w:t xml:space="preserve"> </w:t>
      </w:r>
      <w:r w:rsidRPr="00417A27">
        <w:rPr>
          <w:rFonts w:hint="cs"/>
          <w:spacing w:val="-4"/>
          <w:rtl/>
          <w:lang w:bidi="ar-EG"/>
        </w:rPr>
        <w:t>ت</w:t>
      </w:r>
      <w:r w:rsidR="00A9673C" w:rsidRPr="00417A27">
        <w:rPr>
          <w:spacing w:val="-4"/>
          <w:rtl/>
          <w:lang w:bidi="ar-EG"/>
        </w:rPr>
        <w:t>عتمد على مواصف</w:t>
      </w:r>
      <w:r w:rsidR="00A9673C" w:rsidRPr="00417A27">
        <w:rPr>
          <w:rFonts w:hint="cs"/>
          <w:spacing w:val="-4"/>
          <w:rtl/>
          <w:lang w:bidi="ar-EG"/>
        </w:rPr>
        <w:t>ة</w:t>
      </w:r>
      <w:r w:rsidRPr="00417A27">
        <w:rPr>
          <w:spacing w:val="-4"/>
          <w:rtl/>
          <w:lang w:bidi="ar-EG"/>
        </w:rPr>
        <w:t xml:space="preserve"> </w:t>
      </w:r>
      <w:r w:rsidRPr="00417A27">
        <w:rPr>
          <w:rFonts w:hint="cs"/>
          <w:spacing w:val="-4"/>
          <w:rtl/>
          <w:lang w:bidi="ar-EG"/>
        </w:rPr>
        <w:t>ال</w:t>
      </w:r>
      <w:r w:rsidRPr="00417A27">
        <w:rPr>
          <w:spacing w:val="-4"/>
          <w:rtl/>
          <w:lang w:bidi="ar-EG"/>
        </w:rPr>
        <w:t>تسمية.</w:t>
      </w:r>
    </w:p>
    <w:p w:rsidR="00AC61E0" w:rsidRPr="00C763CA" w:rsidRDefault="00AC61E0" w:rsidP="00392D87">
      <w:pPr>
        <w:pStyle w:val="Headingb"/>
        <w:rPr>
          <w:rFonts w:ascii="Times New Roman Bold" w:hAnsi="Times New Roman Bold"/>
          <w:bCs/>
          <w:rtl/>
          <w:lang w:bidi="ar-EG"/>
        </w:rPr>
      </w:pPr>
      <w:r w:rsidRPr="00C763CA">
        <w:rPr>
          <w:rFonts w:ascii="Times New Roman Bold" w:hAnsi="Times New Roman Bold" w:hint="cs"/>
          <w:bCs/>
          <w:rtl/>
          <w:lang w:bidi="ar-EG"/>
        </w:rPr>
        <w:t xml:space="preserve">مشروع التوصية الجديدة </w:t>
      </w:r>
      <w:r w:rsidRPr="00C763CA">
        <w:rPr>
          <w:rFonts w:ascii="Times New Roman Bold" w:hAnsi="Times New Roman Bold"/>
          <w:bCs/>
          <w:lang w:bidi="ar-EG"/>
        </w:rPr>
        <w:t>ITU-T</w:t>
      </w:r>
      <w:r w:rsidR="00392D87">
        <w:rPr>
          <w:rFonts w:ascii="Times New Roman Bold" w:hAnsi="Times New Roman Bold"/>
          <w:bCs/>
          <w:lang w:bidi="ar-EG"/>
        </w:rPr>
        <w:t> </w:t>
      </w:r>
      <w:r w:rsidRPr="00C763CA">
        <w:rPr>
          <w:rFonts w:ascii="Times New Roman Bold" w:hAnsi="Times New Roman Bold"/>
          <w:bCs/>
          <w:lang w:bidi="ar-EG"/>
        </w:rPr>
        <w:t>X.1528.1 (X.cpe.1)</w:t>
      </w:r>
      <w:r w:rsidRPr="00C763CA">
        <w:rPr>
          <w:rFonts w:ascii="Times New Roman Bold" w:hAnsi="Times New Roman Bold" w:hint="cs"/>
          <w:bCs/>
          <w:rtl/>
          <w:lang w:bidi="ar-EG"/>
        </w:rPr>
        <w:t>، تسمية تعداد المنصة المشترك</w:t>
      </w:r>
      <w:r w:rsidRPr="00C763CA">
        <w:rPr>
          <w:rFonts w:ascii="Times New Roman Bold" w:hAnsi="Times New Roman Bold" w:hint="cs"/>
          <w:bCs/>
          <w:rtl/>
          <w:lang w:bidi="ar-EG"/>
        </w:rPr>
        <w:tab/>
      </w:r>
      <w:r w:rsidRPr="00C763CA">
        <w:rPr>
          <w:rFonts w:ascii="Times New Roman Bold" w:hAnsi="Times New Roman Bold"/>
          <w:bCs/>
          <w:rtl/>
          <w:lang w:bidi="ar-EG"/>
        </w:rPr>
        <w:br/>
      </w:r>
      <w:r w:rsidRPr="00C763CA">
        <w:rPr>
          <w:rFonts w:ascii="Times New Roman Bold" w:hAnsi="Times New Roman Bold" w:hint="cs"/>
          <w:bCs/>
          <w:rtl/>
          <w:lang w:bidi="ar-EG"/>
        </w:rPr>
        <w:t xml:space="preserve">الوثيقة </w:t>
      </w:r>
      <w:r w:rsidRPr="00C763CA">
        <w:rPr>
          <w:rFonts w:ascii="Times New Roman Bold" w:hAnsi="Times New Roman Bold"/>
          <w:bCs/>
          <w:lang w:bidi="ar-EG"/>
        </w:rPr>
        <w:t>COM 17</w:t>
      </w:r>
      <w:r w:rsidR="00B7438C">
        <w:rPr>
          <w:rFonts w:ascii="Times New Roman Bold" w:hAnsi="Times New Roman Bold"/>
          <w:bCs/>
          <w:lang w:bidi="ar-EG"/>
        </w:rPr>
        <w:t> </w:t>
      </w:r>
      <w:r w:rsidRPr="00C763CA">
        <w:rPr>
          <w:rFonts w:ascii="Times New Roman Bold" w:hAnsi="Times New Roman Bold"/>
          <w:bCs/>
          <w:lang w:bidi="ar-EG"/>
        </w:rPr>
        <w:noBreakHyphen/>
      </w:r>
      <w:r w:rsidR="00B7438C">
        <w:rPr>
          <w:rFonts w:ascii="Times New Roman Bold" w:hAnsi="Times New Roman Bold"/>
          <w:bCs/>
          <w:lang w:bidi="ar-EG"/>
        </w:rPr>
        <w:t> </w:t>
      </w:r>
      <w:r w:rsidRPr="00C763CA">
        <w:rPr>
          <w:rFonts w:ascii="Times New Roman Bold" w:hAnsi="Times New Roman Bold"/>
          <w:bCs/>
          <w:lang w:bidi="ar-EG"/>
        </w:rPr>
        <w:t>R 52</w:t>
      </w:r>
    </w:p>
    <w:p w:rsidR="00AC61E0" w:rsidRPr="00C763CA" w:rsidRDefault="00AC61E0" w:rsidP="00C763CA">
      <w:pPr>
        <w:pStyle w:val="Headingb"/>
        <w:rPr>
          <w:rFonts w:ascii="Times New Roman Bold" w:hAnsi="Times New Roman Bold"/>
          <w:bCs/>
          <w:rtl/>
          <w:lang w:bidi="ar-EG"/>
        </w:rPr>
      </w:pPr>
      <w:r w:rsidRPr="00C763CA">
        <w:rPr>
          <w:rFonts w:ascii="Times New Roman Bold" w:hAnsi="Times New Roman Bold" w:hint="cs"/>
          <w:bCs/>
          <w:rtl/>
          <w:lang w:bidi="ar-EG"/>
        </w:rPr>
        <w:t>ملخص</w:t>
      </w:r>
    </w:p>
    <w:p w:rsidR="00AC61E0" w:rsidRPr="002F5191" w:rsidRDefault="00AC61E0" w:rsidP="00EB0C3C">
      <w:pPr>
        <w:rPr>
          <w:spacing w:val="-2"/>
          <w:rtl/>
          <w:lang w:bidi="ar-EG"/>
        </w:rPr>
      </w:pPr>
      <w:r>
        <w:rPr>
          <w:rFonts w:hint="cs"/>
          <w:rtl/>
          <w:lang w:bidi="ar-EG"/>
        </w:rPr>
        <w:t xml:space="preserve">تعرف هذه التوصية بشأن تسمية تعداد المنصة المشترك </w:t>
      </w:r>
      <w:r>
        <w:rPr>
          <w:lang w:bidi="ar-EG"/>
        </w:rPr>
        <w:t>(CPE)</w:t>
      </w:r>
      <w:r>
        <w:rPr>
          <w:rFonts w:hint="cs"/>
          <w:rtl/>
          <w:lang w:bidi="ar-EG"/>
        </w:rPr>
        <w:t xml:space="preserve"> الهيكل المنطقي للأسماء المتعلقة </w:t>
      </w:r>
      <w:r w:rsidR="00A9673C">
        <w:rPr>
          <w:rFonts w:hint="cs"/>
          <w:rtl/>
          <w:lang w:bidi="ar-EG"/>
        </w:rPr>
        <w:t>بأصناف</w:t>
      </w:r>
      <w:r>
        <w:rPr>
          <w:rFonts w:hint="cs"/>
          <w:rtl/>
          <w:lang w:bidi="ar-EG"/>
        </w:rPr>
        <w:t xml:space="preserve"> </w:t>
      </w:r>
      <w:r w:rsidR="00A9673C">
        <w:rPr>
          <w:rFonts w:hint="cs"/>
          <w:rtl/>
          <w:lang w:bidi="ar-EG"/>
        </w:rPr>
        <w:t>منتجات</w:t>
      </w:r>
      <w:r>
        <w:rPr>
          <w:rFonts w:hint="cs"/>
          <w:rtl/>
          <w:lang w:bidi="ar-EG"/>
        </w:rPr>
        <w:t xml:space="preserve"> تكنولوجيا المعلومات والإجراءات الخاصة بربط وفك ربط هذه الأسماء بتشفيرات يمكن قراءتها آلياً. كما تعرف هذه التوصية وتوضح المتطلبات التي يجب أن تفي بها منتجات تكنولوجيا المعلومات لكي تعتبر مطابقة لهذه التوصية. </w:t>
      </w:r>
      <w:r w:rsidRPr="001305F6">
        <w:rPr>
          <w:spacing w:val="-2"/>
          <w:rtl/>
          <w:lang w:bidi="ar-SY"/>
        </w:rPr>
        <w:t xml:space="preserve">ويتحقق ذلك بسرد </w:t>
      </w:r>
      <w:r>
        <w:rPr>
          <w:rFonts w:hint="cs"/>
          <w:spacing w:val="-2"/>
          <w:rtl/>
          <w:lang w:bidi="ar-SY"/>
        </w:rPr>
        <w:t>البنود</w:t>
      </w:r>
      <w:r w:rsidRPr="001305F6">
        <w:rPr>
          <w:spacing w:val="-2"/>
          <w:rtl/>
          <w:lang w:bidi="ar-SY"/>
        </w:rPr>
        <w:t xml:space="preserve"> ذات الصلة</w:t>
      </w:r>
      <w:r>
        <w:rPr>
          <w:rFonts w:hint="cs"/>
          <w:spacing w:val="-2"/>
          <w:rtl/>
          <w:lang w:bidi="ar-SY"/>
        </w:rPr>
        <w:t xml:space="preserve"> </w:t>
      </w:r>
      <w:r>
        <w:rPr>
          <w:rFonts w:hint="cs"/>
          <w:spacing w:val="-2"/>
          <w:rtl/>
          <w:lang w:bidi="ar-EG"/>
        </w:rPr>
        <w:t>في ا</w:t>
      </w:r>
      <w:r>
        <w:rPr>
          <w:rFonts w:hint="cs"/>
          <w:spacing w:val="-2"/>
          <w:rtl/>
          <w:lang w:bidi="ar-SY"/>
        </w:rPr>
        <w:t>لتقرير المشترك بين الوكالات للمعهد الوطني للمعايير والتكنولوجيا</w:t>
      </w:r>
      <w:r>
        <w:rPr>
          <w:rFonts w:hint="cs"/>
          <w:spacing w:val="-2"/>
          <w:rtl/>
          <w:lang w:bidi="ar-EG"/>
        </w:rPr>
        <w:t xml:space="preserve"> </w:t>
      </w:r>
      <w:r w:rsidR="00EB0C3C">
        <w:rPr>
          <w:spacing w:val="-2"/>
          <w:lang w:bidi="ar-EG"/>
        </w:rPr>
        <w:t>7696</w:t>
      </w:r>
      <w:r w:rsidR="00A9673C">
        <w:rPr>
          <w:rFonts w:hint="cs"/>
          <w:spacing w:val="-2"/>
          <w:rtl/>
          <w:lang w:bidi="ar-SY"/>
        </w:rPr>
        <w:t>، تعداد المنصة المشترك: مواصفة</w:t>
      </w:r>
      <w:r>
        <w:rPr>
          <w:rFonts w:hint="cs"/>
          <w:spacing w:val="-2"/>
          <w:rtl/>
          <w:lang w:bidi="ar-SY"/>
        </w:rPr>
        <w:t xml:space="preserve"> مطابقة الاسم، النسخة </w:t>
      </w:r>
      <w:r>
        <w:rPr>
          <w:spacing w:val="-2"/>
          <w:lang w:bidi="ar-SY"/>
        </w:rPr>
        <w:t>2.3</w:t>
      </w:r>
      <w:r>
        <w:rPr>
          <w:rFonts w:hint="cs"/>
          <w:spacing w:val="-2"/>
          <w:rtl/>
          <w:lang w:bidi="ar-EG"/>
        </w:rPr>
        <w:t xml:space="preserve"> وتبيان ما إذا كانت معيارية أو إعلامية.</w:t>
      </w:r>
    </w:p>
    <w:p w:rsidR="00AC61E0" w:rsidRPr="00C763CA" w:rsidRDefault="00AC61E0" w:rsidP="00392D87">
      <w:pPr>
        <w:pStyle w:val="Headingb"/>
        <w:rPr>
          <w:rFonts w:ascii="Times New Roman Bold" w:hAnsi="Times New Roman Bold"/>
          <w:bCs/>
          <w:rtl/>
          <w:lang w:bidi="ar-EG"/>
        </w:rPr>
      </w:pPr>
      <w:r w:rsidRPr="00C763CA">
        <w:rPr>
          <w:rFonts w:ascii="Times New Roman Bold" w:hAnsi="Times New Roman Bold" w:hint="cs"/>
          <w:bCs/>
          <w:rtl/>
          <w:lang w:bidi="ar-EG"/>
        </w:rPr>
        <w:t xml:space="preserve">مشروع التوصية الجديدة </w:t>
      </w:r>
      <w:r w:rsidRPr="00C763CA">
        <w:rPr>
          <w:rFonts w:ascii="Times New Roman Bold" w:hAnsi="Times New Roman Bold"/>
          <w:bCs/>
          <w:lang w:bidi="ar-EG"/>
        </w:rPr>
        <w:t>ITU-T</w:t>
      </w:r>
      <w:r w:rsidR="00392D87">
        <w:rPr>
          <w:rFonts w:ascii="Times New Roman Bold" w:hAnsi="Times New Roman Bold"/>
          <w:bCs/>
          <w:lang w:bidi="ar-EG"/>
        </w:rPr>
        <w:t> </w:t>
      </w:r>
      <w:r w:rsidRPr="00C763CA">
        <w:rPr>
          <w:rFonts w:ascii="Times New Roman Bold" w:hAnsi="Times New Roman Bold"/>
          <w:bCs/>
          <w:lang w:bidi="ar-EG"/>
        </w:rPr>
        <w:t>X.1528.2 (X.cpe.2)</w:t>
      </w:r>
      <w:r w:rsidRPr="00C763CA">
        <w:rPr>
          <w:rFonts w:ascii="Times New Roman Bold" w:hAnsi="Times New Roman Bold" w:hint="cs"/>
          <w:bCs/>
          <w:rtl/>
          <w:lang w:bidi="ar-EG"/>
        </w:rPr>
        <w:t>، مطابقة اسم تعداد المنصة المشترك</w:t>
      </w:r>
      <w:r w:rsidRPr="00C763CA">
        <w:rPr>
          <w:rFonts w:ascii="Times New Roman Bold" w:hAnsi="Times New Roman Bold" w:hint="cs"/>
          <w:bCs/>
          <w:rtl/>
          <w:lang w:bidi="ar-EG"/>
        </w:rPr>
        <w:tab/>
      </w:r>
      <w:r w:rsidRPr="00C763CA">
        <w:rPr>
          <w:rFonts w:ascii="Times New Roman Bold" w:hAnsi="Times New Roman Bold"/>
          <w:bCs/>
          <w:rtl/>
          <w:lang w:bidi="ar-EG"/>
        </w:rPr>
        <w:br/>
      </w:r>
      <w:r w:rsidRPr="00C763CA">
        <w:rPr>
          <w:rFonts w:ascii="Times New Roman Bold" w:hAnsi="Times New Roman Bold" w:hint="cs"/>
          <w:bCs/>
          <w:rtl/>
          <w:lang w:bidi="ar-EG"/>
        </w:rPr>
        <w:t xml:space="preserve">الوثيقة </w:t>
      </w:r>
      <w:r w:rsidRPr="00C763CA">
        <w:rPr>
          <w:rFonts w:ascii="Times New Roman Bold" w:hAnsi="Times New Roman Bold"/>
          <w:bCs/>
          <w:lang w:bidi="ar-EG"/>
        </w:rPr>
        <w:t>COM 17</w:t>
      </w:r>
      <w:r w:rsidR="00B7438C">
        <w:rPr>
          <w:rFonts w:ascii="Times New Roman Bold" w:hAnsi="Times New Roman Bold"/>
          <w:bCs/>
          <w:lang w:bidi="ar-EG"/>
        </w:rPr>
        <w:t> </w:t>
      </w:r>
      <w:r w:rsidRPr="00C763CA">
        <w:rPr>
          <w:rFonts w:ascii="Times New Roman Bold" w:hAnsi="Times New Roman Bold"/>
          <w:bCs/>
          <w:lang w:bidi="ar-EG"/>
        </w:rPr>
        <w:noBreakHyphen/>
      </w:r>
      <w:r w:rsidR="00B7438C">
        <w:rPr>
          <w:rFonts w:ascii="Times New Roman Bold" w:hAnsi="Times New Roman Bold"/>
          <w:bCs/>
          <w:lang w:bidi="ar-EG"/>
        </w:rPr>
        <w:t> </w:t>
      </w:r>
      <w:r w:rsidRPr="00C763CA">
        <w:rPr>
          <w:rFonts w:ascii="Times New Roman Bold" w:hAnsi="Times New Roman Bold"/>
          <w:bCs/>
          <w:lang w:bidi="ar-EG"/>
        </w:rPr>
        <w:t>R 53</w:t>
      </w:r>
    </w:p>
    <w:p w:rsidR="00AC61E0" w:rsidRPr="00C763CA" w:rsidRDefault="00AC61E0" w:rsidP="00C763CA">
      <w:pPr>
        <w:pStyle w:val="Headingb"/>
        <w:rPr>
          <w:rFonts w:ascii="Times New Roman Bold" w:hAnsi="Times New Roman Bold"/>
          <w:bCs/>
          <w:rtl/>
          <w:lang w:bidi="ar-EG"/>
        </w:rPr>
      </w:pPr>
      <w:r w:rsidRPr="00C763CA">
        <w:rPr>
          <w:rFonts w:ascii="Times New Roman Bold" w:hAnsi="Times New Roman Bold" w:hint="cs"/>
          <w:bCs/>
          <w:rtl/>
          <w:lang w:bidi="ar-EG"/>
        </w:rPr>
        <w:t>ملخص</w:t>
      </w:r>
    </w:p>
    <w:p w:rsidR="00AC61E0" w:rsidRPr="00417A27" w:rsidRDefault="00AC61E0" w:rsidP="00270C7D">
      <w:pPr>
        <w:rPr>
          <w:spacing w:val="-4"/>
          <w:rtl/>
          <w:lang w:bidi="ar-EG"/>
        </w:rPr>
      </w:pPr>
      <w:r w:rsidRPr="00417A27">
        <w:rPr>
          <w:rFonts w:hint="cs"/>
          <w:spacing w:val="-4"/>
          <w:rtl/>
          <w:lang w:bidi="ar-EG"/>
        </w:rPr>
        <w:t xml:space="preserve">تعرّف هذه التوصية </w:t>
      </w:r>
      <w:r w:rsidR="00D01229" w:rsidRPr="00417A27">
        <w:rPr>
          <w:rFonts w:hint="cs"/>
          <w:spacing w:val="-4"/>
          <w:rtl/>
          <w:lang w:bidi="ar-SY"/>
        </w:rPr>
        <w:t xml:space="preserve">مواصفة </w:t>
      </w:r>
      <w:r w:rsidRPr="00417A27">
        <w:rPr>
          <w:rFonts w:hint="cs"/>
          <w:spacing w:val="-4"/>
          <w:rtl/>
          <w:lang w:bidi="ar-EG"/>
        </w:rPr>
        <w:t xml:space="preserve">مطابقة اسم تعداد المنصة المشترك </w:t>
      </w:r>
      <w:r w:rsidRPr="00417A27">
        <w:rPr>
          <w:spacing w:val="-4"/>
          <w:lang w:bidi="ar-EG"/>
        </w:rPr>
        <w:t>(CPE)</w:t>
      </w:r>
      <w:r w:rsidRPr="00417A27">
        <w:rPr>
          <w:rFonts w:hint="cs"/>
          <w:spacing w:val="-4"/>
          <w:rtl/>
          <w:lang w:bidi="ar-EG"/>
        </w:rPr>
        <w:t xml:space="preserve">. وتشكل هذه </w:t>
      </w:r>
      <w:r w:rsidR="00CB079A" w:rsidRPr="00417A27">
        <w:rPr>
          <w:rFonts w:hint="cs"/>
          <w:spacing w:val="-4"/>
          <w:rtl/>
          <w:lang w:bidi="ar-EG"/>
        </w:rPr>
        <w:t>المواصفة</w:t>
      </w:r>
      <w:r w:rsidR="00D01229" w:rsidRPr="00417A27">
        <w:rPr>
          <w:rFonts w:hint="cs"/>
          <w:spacing w:val="-4"/>
          <w:rtl/>
          <w:lang w:bidi="ar-SY"/>
        </w:rPr>
        <w:t xml:space="preserve"> </w:t>
      </w:r>
      <w:r w:rsidRPr="00417A27">
        <w:rPr>
          <w:rFonts w:hint="cs"/>
          <w:spacing w:val="-4"/>
          <w:rtl/>
          <w:lang w:bidi="ar-EG"/>
        </w:rPr>
        <w:t xml:space="preserve">جزءاً من </w:t>
      </w:r>
      <w:r w:rsidR="00D01229" w:rsidRPr="00417A27">
        <w:rPr>
          <w:rFonts w:hint="cs"/>
          <w:spacing w:val="-4"/>
          <w:rtl/>
          <w:lang w:bidi="ar-EG"/>
        </w:rPr>
        <w:t>كدسة</w:t>
      </w:r>
      <w:r w:rsidRPr="00417A27">
        <w:rPr>
          <w:rFonts w:hint="cs"/>
          <w:spacing w:val="-4"/>
          <w:rtl/>
          <w:lang w:bidi="ar-EG"/>
        </w:rPr>
        <w:t xml:space="preserve"> مواصفات تعداد المنصة المشترك </w:t>
      </w:r>
      <w:r w:rsidR="00D01229" w:rsidRPr="00417A27">
        <w:rPr>
          <w:rFonts w:hint="cs"/>
          <w:spacing w:val="-4"/>
          <w:rtl/>
          <w:lang w:bidi="ar-EG"/>
        </w:rPr>
        <w:t>التي ت</w:t>
      </w:r>
      <w:r w:rsidRPr="00417A27">
        <w:rPr>
          <w:rFonts w:hint="cs"/>
          <w:spacing w:val="-4"/>
          <w:rtl/>
          <w:lang w:bidi="ar-EG"/>
        </w:rPr>
        <w:t xml:space="preserve">دعم مجموعة متنوعة من حالات الاستخدام فيما يتعلق بوصف منتجات تكنولوجيا المعلومات وتسميتها. وتقدم </w:t>
      </w:r>
      <w:r w:rsidR="00D01229" w:rsidRPr="00417A27">
        <w:rPr>
          <w:rFonts w:hint="cs"/>
          <w:spacing w:val="-4"/>
          <w:rtl/>
          <w:lang w:bidi="ar-SY"/>
        </w:rPr>
        <w:t xml:space="preserve">مواصفة </w:t>
      </w:r>
      <w:r w:rsidRPr="00417A27">
        <w:rPr>
          <w:rFonts w:hint="cs"/>
          <w:spacing w:val="-4"/>
          <w:rtl/>
          <w:lang w:bidi="ar-EG"/>
        </w:rPr>
        <w:t xml:space="preserve">مطابقة اسم تعداد المنصة المشترك طريقة لإجراء مقارنة من </w:t>
      </w:r>
      <w:r w:rsidR="00D01229" w:rsidRPr="00417A27">
        <w:rPr>
          <w:rFonts w:hint="cs"/>
          <w:spacing w:val="-4"/>
          <w:rtl/>
          <w:lang w:bidi="ar-EG"/>
        </w:rPr>
        <w:t>واحد لآخر</w:t>
      </w:r>
      <w:r w:rsidRPr="00417A27">
        <w:rPr>
          <w:rFonts w:hint="cs"/>
          <w:spacing w:val="-4"/>
          <w:rtl/>
          <w:lang w:bidi="ar-EG"/>
        </w:rPr>
        <w:t xml:space="preserve"> بين اسم</w:t>
      </w:r>
      <w:r w:rsidR="00270C7D" w:rsidRPr="00417A27">
        <w:rPr>
          <w:rFonts w:hint="eastAsia"/>
          <w:spacing w:val="-4"/>
          <w:rtl/>
          <w:lang w:bidi="ar-EG"/>
        </w:rPr>
        <w:t> </w:t>
      </w:r>
      <w:r w:rsidRPr="00417A27">
        <w:rPr>
          <w:spacing w:val="-4"/>
          <w:lang w:bidi="ar-SY"/>
        </w:rPr>
        <w:t>CPE</w:t>
      </w:r>
      <w:r w:rsidRPr="00417A27">
        <w:rPr>
          <w:rFonts w:hint="cs"/>
          <w:spacing w:val="-4"/>
          <w:rtl/>
          <w:lang w:bidi="ar-EG"/>
        </w:rPr>
        <w:t xml:space="preserve"> المصدر واسم </w:t>
      </w:r>
      <w:r w:rsidRPr="00417A27">
        <w:rPr>
          <w:spacing w:val="-4"/>
          <w:lang w:bidi="ar-SY"/>
        </w:rPr>
        <w:t>CPE</w:t>
      </w:r>
      <w:r w:rsidRPr="00417A27">
        <w:rPr>
          <w:rFonts w:hint="cs"/>
          <w:spacing w:val="-4"/>
          <w:rtl/>
          <w:lang w:bidi="ar-SY"/>
        </w:rPr>
        <w:t xml:space="preserve"> المستهدف. وبالإضافة إلى </w:t>
      </w:r>
      <w:r w:rsidR="00F22320" w:rsidRPr="00417A27">
        <w:rPr>
          <w:rFonts w:hint="cs"/>
          <w:spacing w:val="-4"/>
          <w:rtl/>
          <w:lang w:bidi="ar-SY"/>
        </w:rPr>
        <w:t>تعريف المواصفة</w:t>
      </w:r>
      <w:r w:rsidRPr="00417A27">
        <w:rPr>
          <w:rFonts w:hint="cs"/>
          <w:spacing w:val="-4"/>
          <w:rtl/>
          <w:lang w:bidi="ar-SY"/>
        </w:rPr>
        <w:t xml:space="preserve">، تعرف هذه التوصية أيضاً وتوضح المتطلبات </w:t>
      </w:r>
      <w:r w:rsidRPr="00417A27">
        <w:rPr>
          <w:rFonts w:hint="cs"/>
          <w:spacing w:val="-4"/>
          <w:rtl/>
          <w:lang w:bidi="ar-EG"/>
        </w:rPr>
        <w:t xml:space="preserve">التي يجب أن تفي بها منتجات تكنولوجيا المعلومات لكي تعتبر مطابقة لهذه التوصية. </w:t>
      </w:r>
      <w:r w:rsidRPr="00417A27">
        <w:rPr>
          <w:spacing w:val="-4"/>
          <w:rtl/>
          <w:lang w:bidi="ar-SY"/>
        </w:rPr>
        <w:t xml:space="preserve">ويتحقق ذلك بسرد </w:t>
      </w:r>
      <w:r w:rsidRPr="00417A27">
        <w:rPr>
          <w:rFonts w:hint="cs"/>
          <w:spacing w:val="-4"/>
          <w:rtl/>
          <w:lang w:bidi="ar-SY"/>
        </w:rPr>
        <w:t>البنود</w:t>
      </w:r>
      <w:r w:rsidRPr="00417A27">
        <w:rPr>
          <w:spacing w:val="-4"/>
          <w:rtl/>
          <w:lang w:bidi="ar-SY"/>
        </w:rPr>
        <w:t xml:space="preserve"> ذات الصلة</w:t>
      </w:r>
      <w:r w:rsidRPr="00417A27">
        <w:rPr>
          <w:rFonts w:hint="cs"/>
          <w:spacing w:val="-4"/>
          <w:rtl/>
          <w:lang w:bidi="ar-SY"/>
        </w:rPr>
        <w:t xml:space="preserve"> </w:t>
      </w:r>
      <w:r w:rsidRPr="00417A27">
        <w:rPr>
          <w:rFonts w:hint="cs"/>
          <w:spacing w:val="-4"/>
          <w:rtl/>
          <w:lang w:bidi="ar-EG"/>
        </w:rPr>
        <w:t>في ا</w:t>
      </w:r>
      <w:r w:rsidRPr="00417A27">
        <w:rPr>
          <w:rFonts w:hint="cs"/>
          <w:spacing w:val="-4"/>
          <w:rtl/>
          <w:lang w:bidi="ar-SY"/>
        </w:rPr>
        <w:t>لتقرير المشترك بين الوكالات للمعهد الوطني للمعايير والتكنولوجيا</w:t>
      </w:r>
      <w:r w:rsidRPr="00417A27">
        <w:rPr>
          <w:rFonts w:hint="cs"/>
          <w:spacing w:val="-4"/>
          <w:rtl/>
          <w:lang w:bidi="ar-EG"/>
        </w:rPr>
        <w:t xml:space="preserve"> </w:t>
      </w:r>
      <w:r w:rsidRPr="00417A27">
        <w:rPr>
          <w:spacing w:val="-4"/>
          <w:lang w:bidi="ar-EG"/>
        </w:rPr>
        <w:t>7696</w:t>
      </w:r>
      <w:r w:rsidRPr="00417A27">
        <w:rPr>
          <w:rFonts w:hint="cs"/>
          <w:spacing w:val="-4"/>
          <w:rtl/>
          <w:lang w:bidi="ar-SY"/>
        </w:rPr>
        <w:t xml:space="preserve">، تعداد المنصة المشترك: </w:t>
      </w:r>
      <w:r w:rsidR="00F22320" w:rsidRPr="00417A27">
        <w:rPr>
          <w:rFonts w:hint="cs"/>
          <w:spacing w:val="-4"/>
          <w:rtl/>
          <w:lang w:bidi="ar-SY"/>
        </w:rPr>
        <w:t xml:space="preserve">مواصفة </w:t>
      </w:r>
      <w:r w:rsidRPr="00417A27">
        <w:rPr>
          <w:rFonts w:hint="cs"/>
          <w:spacing w:val="-4"/>
          <w:rtl/>
          <w:lang w:bidi="ar-SY"/>
        </w:rPr>
        <w:t xml:space="preserve">مطابقة الاسم، النسخة </w:t>
      </w:r>
      <w:r w:rsidRPr="00417A27">
        <w:rPr>
          <w:spacing w:val="-4"/>
          <w:lang w:bidi="ar-SY"/>
        </w:rPr>
        <w:t>2.3</w:t>
      </w:r>
      <w:r w:rsidRPr="00417A27">
        <w:rPr>
          <w:rFonts w:hint="cs"/>
          <w:spacing w:val="-4"/>
          <w:rtl/>
          <w:lang w:bidi="ar-EG"/>
        </w:rPr>
        <w:t xml:space="preserve"> وتبيان ما</w:t>
      </w:r>
      <w:r w:rsidR="000757BF" w:rsidRPr="00417A27">
        <w:rPr>
          <w:rFonts w:hint="eastAsia"/>
          <w:spacing w:val="-4"/>
          <w:rtl/>
          <w:lang w:bidi="ar-EG"/>
        </w:rPr>
        <w:t> </w:t>
      </w:r>
      <w:r w:rsidRPr="00417A27">
        <w:rPr>
          <w:rFonts w:hint="cs"/>
          <w:spacing w:val="-4"/>
          <w:rtl/>
          <w:lang w:bidi="ar-EG"/>
        </w:rPr>
        <w:t>إذا كانت معيارية أو إعلامية.</w:t>
      </w:r>
    </w:p>
    <w:p w:rsidR="00AC61E0" w:rsidRPr="00C763CA" w:rsidRDefault="00AC61E0" w:rsidP="00392D87">
      <w:pPr>
        <w:pStyle w:val="Headingb"/>
        <w:rPr>
          <w:rFonts w:ascii="Times New Roman Bold" w:hAnsi="Times New Roman Bold"/>
          <w:bCs/>
          <w:rtl/>
          <w:lang w:bidi="ar-EG"/>
        </w:rPr>
      </w:pPr>
      <w:r w:rsidRPr="00C763CA">
        <w:rPr>
          <w:rFonts w:ascii="Times New Roman Bold" w:hAnsi="Times New Roman Bold" w:hint="cs"/>
          <w:bCs/>
          <w:rtl/>
          <w:lang w:bidi="ar-EG"/>
        </w:rPr>
        <w:lastRenderedPageBreak/>
        <w:t xml:space="preserve">مشروع التوصية الجديدة </w:t>
      </w:r>
      <w:r w:rsidRPr="00C763CA">
        <w:rPr>
          <w:rFonts w:ascii="Times New Roman Bold" w:hAnsi="Times New Roman Bold"/>
          <w:bCs/>
          <w:lang w:bidi="ar-EG"/>
        </w:rPr>
        <w:t>ITU-T</w:t>
      </w:r>
      <w:r w:rsidR="00392D87">
        <w:rPr>
          <w:rFonts w:ascii="Times New Roman Bold" w:hAnsi="Times New Roman Bold"/>
          <w:bCs/>
          <w:lang w:bidi="ar-EG"/>
        </w:rPr>
        <w:t> </w:t>
      </w:r>
      <w:r w:rsidRPr="00C763CA">
        <w:rPr>
          <w:rFonts w:ascii="Times New Roman Bold" w:hAnsi="Times New Roman Bold"/>
          <w:bCs/>
          <w:lang w:bidi="ar-EG"/>
        </w:rPr>
        <w:t>X.1528.3 (X.cpe.3)</w:t>
      </w:r>
      <w:r w:rsidRPr="00C763CA">
        <w:rPr>
          <w:rFonts w:ascii="Times New Roman Bold" w:hAnsi="Times New Roman Bold" w:hint="cs"/>
          <w:bCs/>
          <w:rtl/>
          <w:lang w:bidi="ar-EG"/>
        </w:rPr>
        <w:t>، قاموس تعداد المنصة المشترك</w:t>
      </w:r>
      <w:r w:rsidRPr="00C763CA">
        <w:rPr>
          <w:rFonts w:ascii="Times New Roman Bold" w:hAnsi="Times New Roman Bold" w:hint="cs"/>
          <w:bCs/>
          <w:rtl/>
          <w:lang w:bidi="ar-EG"/>
        </w:rPr>
        <w:tab/>
      </w:r>
      <w:r w:rsidRPr="00C763CA">
        <w:rPr>
          <w:rFonts w:ascii="Times New Roman Bold" w:hAnsi="Times New Roman Bold"/>
          <w:bCs/>
          <w:rtl/>
          <w:lang w:bidi="ar-EG"/>
        </w:rPr>
        <w:br/>
      </w:r>
      <w:r w:rsidRPr="00C763CA">
        <w:rPr>
          <w:rFonts w:ascii="Times New Roman Bold" w:hAnsi="Times New Roman Bold" w:hint="cs"/>
          <w:bCs/>
          <w:rtl/>
          <w:lang w:bidi="ar-EG"/>
        </w:rPr>
        <w:t xml:space="preserve">الوثيقة </w:t>
      </w:r>
      <w:r w:rsidRPr="00C763CA">
        <w:rPr>
          <w:rFonts w:ascii="Times New Roman Bold" w:hAnsi="Times New Roman Bold"/>
          <w:bCs/>
          <w:lang w:bidi="ar-EG"/>
        </w:rPr>
        <w:t>COM 17</w:t>
      </w:r>
      <w:r w:rsidR="00B7438C">
        <w:rPr>
          <w:rFonts w:ascii="Times New Roman Bold" w:hAnsi="Times New Roman Bold"/>
          <w:bCs/>
          <w:lang w:bidi="ar-EG"/>
        </w:rPr>
        <w:t> </w:t>
      </w:r>
      <w:r w:rsidRPr="00C763CA">
        <w:rPr>
          <w:rFonts w:ascii="Times New Roman Bold" w:hAnsi="Times New Roman Bold"/>
          <w:bCs/>
          <w:lang w:bidi="ar-EG"/>
        </w:rPr>
        <w:noBreakHyphen/>
      </w:r>
      <w:r w:rsidR="00B7438C">
        <w:rPr>
          <w:rFonts w:ascii="Times New Roman Bold" w:hAnsi="Times New Roman Bold"/>
          <w:bCs/>
          <w:lang w:bidi="ar-EG"/>
        </w:rPr>
        <w:t> </w:t>
      </w:r>
      <w:r w:rsidRPr="00C763CA">
        <w:rPr>
          <w:rFonts w:ascii="Times New Roman Bold" w:hAnsi="Times New Roman Bold"/>
          <w:bCs/>
          <w:lang w:bidi="ar-EG"/>
        </w:rPr>
        <w:t>R 54</w:t>
      </w:r>
    </w:p>
    <w:p w:rsidR="00AC61E0" w:rsidRPr="00C763CA" w:rsidRDefault="00AC61E0" w:rsidP="00C763CA">
      <w:pPr>
        <w:pStyle w:val="Headingb"/>
        <w:rPr>
          <w:rFonts w:ascii="Times New Roman Bold" w:hAnsi="Times New Roman Bold"/>
          <w:bCs/>
          <w:rtl/>
          <w:lang w:bidi="ar-EG"/>
        </w:rPr>
      </w:pPr>
      <w:r w:rsidRPr="00C763CA">
        <w:rPr>
          <w:rFonts w:ascii="Times New Roman Bold" w:hAnsi="Times New Roman Bold" w:hint="cs"/>
          <w:bCs/>
          <w:rtl/>
          <w:lang w:bidi="ar-EG"/>
        </w:rPr>
        <w:t>ملخص</w:t>
      </w:r>
    </w:p>
    <w:p w:rsidR="00AC61E0" w:rsidRPr="002F5191" w:rsidRDefault="00AC61E0" w:rsidP="000E52D1">
      <w:pPr>
        <w:rPr>
          <w:spacing w:val="-2"/>
          <w:rtl/>
          <w:lang w:bidi="ar-EG"/>
        </w:rPr>
      </w:pPr>
      <w:r>
        <w:rPr>
          <w:rFonts w:hint="cs"/>
          <w:rtl/>
          <w:lang w:bidi="ar-EG"/>
        </w:rPr>
        <w:t xml:space="preserve">تعرّف هذه التوصية </w:t>
      </w:r>
      <w:r w:rsidR="00F22320">
        <w:rPr>
          <w:rFonts w:hint="cs"/>
          <w:spacing w:val="-2"/>
          <w:rtl/>
          <w:lang w:bidi="ar-SY"/>
        </w:rPr>
        <w:t xml:space="preserve">مواصفة </w:t>
      </w:r>
      <w:r>
        <w:rPr>
          <w:rFonts w:hint="cs"/>
          <w:rtl/>
          <w:lang w:bidi="ar-EG"/>
        </w:rPr>
        <w:t xml:space="preserve">قاموس تعداد المنصة المشترك </w:t>
      </w:r>
      <w:r>
        <w:rPr>
          <w:lang w:bidi="ar-EG"/>
        </w:rPr>
        <w:t>(CPE)</w:t>
      </w:r>
      <w:r>
        <w:rPr>
          <w:rFonts w:hint="cs"/>
          <w:rtl/>
          <w:lang w:bidi="ar-EG"/>
        </w:rPr>
        <w:t xml:space="preserve">. وتشكل هذه </w:t>
      </w:r>
      <w:r w:rsidR="00F22320">
        <w:rPr>
          <w:rFonts w:hint="cs"/>
          <w:spacing w:val="-2"/>
          <w:rtl/>
          <w:lang w:bidi="ar-SY"/>
        </w:rPr>
        <w:t xml:space="preserve">المواصفة </w:t>
      </w:r>
      <w:r>
        <w:rPr>
          <w:rFonts w:hint="cs"/>
          <w:rtl/>
          <w:lang w:bidi="ar-EG"/>
        </w:rPr>
        <w:t xml:space="preserve">جزءاً من </w:t>
      </w:r>
      <w:r w:rsidR="00F22320">
        <w:rPr>
          <w:rFonts w:hint="cs"/>
          <w:rtl/>
          <w:lang w:bidi="ar-EG"/>
        </w:rPr>
        <w:t>كدسة</w:t>
      </w:r>
      <w:r>
        <w:rPr>
          <w:rFonts w:hint="cs"/>
          <w:rtl/>
          <w:lang w:bidi="ar-EG"/>
        </w:rPr>
        <w:t xml:space="preserve"> مواصفات تعداد المنصة المشترك </w:t>
      </w:r>
      <w:r w:rsidR="00F22320">
        <w:rPr>
          <w:rFonts w:hint="cs"/>
          <w:rtl/>
          <w:lang w:bidi="ar-EG"/>
        </w:rPr>
        <w:t>التي ت</w:t>
      </w:r>
      <w:r>
        <w:rPr>
          <w:rFonts w:hint="cs"/>
          <w:rtl/>
          <w:lang w:bidi="ar-EG"/>
        </w:rPr>
        <w:t xml:space="preserve">دعم مجموعة متنوعة من حالات الاستخدام فيما يتعلق بوصف منتجات تكنولوجيا المعلومات وتسميتها. وقاموس </w:t>
      </w:r>
      <w:r>
        <w:rPr>
          <w:lang w:bidi="ar-EG"/>
        </w:rPr>
        <w:t>CPE</w:t>
      </w:r>
      <w:r>
        <w:rPr>
          <w:rFonts w:hint="cs"/>
          <w:rtl/>
          <w:lang w:bidi="ar-EG"/>
        </w:rPr>
        <w:t xml:space="preserve"> الفردي عبارة عن مستودع لأسماء منتجات تكنولوجيا المعلومات حيث يعرّف كل اسم في المستودع </w:t>
      </w:r>
      <w:r w:rsidRPr="000D1DFF">
        <w:rPr>
          <w:rtl/>
          <w:lang w:bidi="ar-EG"/>
        </w:rPr>
        <w:t>فئة فريدة من منتجات تكنولوجيا المعلومات في العالم</w:t>
      </w:r>
      <w:r>
        <w:rPr>
          <w:rFonts w:hint="cs"/>
          <w:rtl/>
          <w:lang w:bidi="ar-EG"/>
        </w:rPr>
        <w:t xml:space="preserve">. وتعرّف هذه </w:t>
      </w:r>
      <w:r w:rsidR="00231DDD">
        <w:rPr>
          <w:rFonts w:hint="cs"/>
          <w:rtl/>
          <w:lang w:bidi="ar-EG"/>
        </w:rPr>
        <w:t>المواصفة</w:t>
      </w:r>
      <w:r w:rsidR="00231DDD">
        <w:rPr>
          <w:rFonts w:hint="cs"/>
          <w:spacing w:val="-2"/>
          <w:rtl/>
          <w:lang w:bidi="ar-SY"/>
        </w:rPr>
        <w:t xml:space="preserve"> </w:t>
      </w:r>
      <w:r w:rsidR="00F22320">
        <w:rPr>
          <w:rFonts w:hint="cs"/>
          <w:rtl/>
          <w:lang w:bidi="ar-EG"/>
        </w:rPr>
        <w:t>ال</w:t>
      </w:r>
      <w:r>
        <w:rPr>
          <w:rFonts w:hint="cs"/>
          <w:rtl/>
          <w:lang w:bidi="ar-EG"/>
        </w:rPr>
        <w:t>دلالات</w:t>
      </w:r>
      <w:r w:rsidR="00F22320">
        <w:rPr>
          <w:rFonts w:hint="cs"/>
          <w:rtl/>
          <w:lang w:bidi="ar-EG"/>
        </w:rPr>
        <w:t xml:space="preserve"> اللفظية ل</w:t>
      </w:r>
      <w:r>
        <w:rPr>
          <w:rFonts w:hint="cs"/>
          <w:rtl/>
          <w:lang w:bidi="ar-EG"/>
        </w:rPr>
        <w:t>نموذج بيانات القاموس</w:t>
      </w:r>
      <w:r w:rsidR="000E52D1">
        <w:rPr>
          <w:rFonts w:hint="eastAsia"/>
          <w:rtl/>
          <w:lang w:bidi="ar-EG"/>
        </w:rPr>
        <w:t> </w:t>
      </w:r>
      <w:r>
        <w:rPr>
          <w:lang w:bidi="ar-EG"/>
        </w:rPr>
        <w:t>CPE</w:t>
      </w:r>
      <w:r>
        <w:rPr>
          <w:rFonts w:hint="cs"/>
          <w:rtl/>
          <w:lang w:bidi="ar-EG"/>
        </w:rPr>
        <w:t xml:space="preserve"> والقواعد المرتبطة بإنشاء قاموس </w:t>
      </w:r>
      <w:r>
        <w:rPr>
          <w:lang w:bidi="ar-EG"/>
        </w:rPr>
        <w:t>CPE</w:t>
      </w:r>
      <w:r>
        <w:rPr>
          <w:rFonts w:hint="cs"/>
          <w:rtl/>
          <w:lang w:bidi="ar-EG"/>
        </w:rPr>
        <w:t xml:space="preserve"> وإدارته. و</w:t>
      </w:r>
      <w:r>
        <w:rPr>
          <w:rFonts w:hint="cs"/>
          <w:rtl/>
          <w:lang w:bidi="ar-SY"/>
        </w:rPr>
        <w:t xml:space="preserve">تعرف هذه التوصية أيضاً وتوضح المتطلبات </w:t>
      </w:r>
      <w:r>
        <w:rPr>
          <w:rFonts w:hint="cs"/>
          <w:rtl/>
          <w:lang w:bidi="ar-EG"/>
        </w:rPr>
        <w:t xml:space="preserve">التي يجب أن تفي بها منتجات تكنولوجيا المعلومات وخدماتها بما في ذلك قواميس </w:t>
      </w:r>
      <w:r>
        <w:rPr>
          <w:lang w:bidi="ar-EG"/>
        </w:rPr>
        <w:t>CPE</w:t>
      </w:r>
      <w:r>
        <w:rPr>
          <w:rFonts w:hint="cs"/>
          <w:rtl/>
          <w:lang w:bidi="ar-EG"/>
        </w:rPr>
        <w:t xml:space="preserve"> لكي تعتبر مطابقة لهذه التوصية. </w:t>
      </w:r>
      <w:r w:rsidRPr="001305F6">
        <w:rPr>
          <w:spacing w:val="-2"/>
          <w:rtl/>
          <w:lang w:bidi="ar-SY"/>
        </w:rPr>
        <w:t xml:space="preserve">ويتحقق ذلك بسرد </w:t>
      </w:r>
      <w:r>
        <w:rPr>
          <w:rFonts w:hint="cs"/>
          <w:spacing w:val="-2"/>
          <w:rtl/>
          <w:lang w:bidi="ar-SY"/>
        </w:rPr>
        <w:t>البنود</w:t>
      </w:r>
      <w:r w:rsidRPr="001305F6">
        <w:rPr>
          <w:spacing w:val="-2"/>
          <w:rtl/>
          <w:lang w:bidi="ar-SY"/>
        </w:rPr>
        <w:t xml:space="preserve"> ذات الصلة</w:t>
      </w:r>
      <w:r>
        <w:rPr>
          <w:rFonts w:hint="cs"/>
          <w:spacing w:val="-2"/>
          <w:rtl/>
          <w:lang w:bidi="ar-SY"/>
        </w:rPr>
        <w:t xml:space="preserve"> </w:t>
      </w:r>
      <w:r>
        <w:rPr>
          <w:rFonts w:hint="cs"/>
          <w:spacing w:val="-2"/>
          <w:rtl/>
          <w:lang w:bidi="ar-EG"/>
        </w:rPr>
        <w:t>في</w:t>
      </w:r>
      <w:r w:rsidR="000757BF">
        <w:rPr>
          <w:rFonts w:hint="eastAsia"/>
          <w:spacing w:val="-2"/>
          <w:rtl/>
          <w:lang w:bidi="ar-EG"/>
        </w:rPr>
        <w:t> </w:t>
      </w:r>
      <w:r>
        <w:rPr>
          <w:rFonts w:hint="cs"/>
          <w:spacing w:val="-2"/>
          <w:rtl/>
          <w:lang w:bidi="ar-EG"/>
        </w:rPr>
        <w:t>ا</w:t>
      </w:r>
      <w:r>
        <w:rPr>
          <w:rFonts w:hint="cs"/>
          <w:spacing w:val="-2"/>
          <w:rtl/>
          <w:lang w:bidi="ar-SY"/>
        </w:rPr>
        <w:t>لتقرير المشترك بين الوكالات للمعهد الوطني للمعايير والتكنولوجيا</w:t>
      </w:r>
      <w:r>
        <w:rPr>
          <w:rFonts w:hint="cs"/>
          <w:spacing w:val="-2"/>
          <w:rtl/>
          <w:lang w:bidi="ar-EG"/>
        </w:rPr>
        <w:t xml:space="preserve"> </w:t>
      </w:r>
      <w:r>
        <w:rPr>
          <w:spacing w:val="-2"/>
          <w:lang w:bidi="ar-EG"/>
        </w:rPr>
        <w:t>7697</w:t>
      </w:r>
      <w:r>
        <w:rPr>
          <w:rFonts w:hint="cs"/>
          <w:spacing w:val="-2"/>
          <w:rtl/>
          <w:lang w:bidi="ar-SY"/>
        </w:rPr>
        <w:t xml:space="preserve">، تعداد المنصة المشترك: </w:t>
      </w:r>
      <w:r w:rsidR="00F22320">
        <w:rPr>
          <w:rFonts w:hint="cs"/>
          <w:spacing w:val="-2"/>
          <w:rtl/>
          <w:lang w:bidi="ar-SY"/>
        </w:rPr>
        <w:t xml:space="preserve">مواصفة </w:t>
      </w:r>
      <w:r>
        <w:rPr>
          <w:rFonts w:hint="cs"/>
          <w:spacing w:val="-2"/>
          <w:rtl/>
          <w:lang w:bidi="ar-SY"/>
        </w:rPr>
        <w:t xml:space="preserve">مطابقة الاسم، النسخة </w:t>
      </w:r>
      <w:r>
        <w:rPr>
          <w:spacing w:val="-2"/>
          <w:lang w:bidi="ar-SY"/>
        </w:rPr>
        <w:t>2.3</w:t>
      </w:r>
      <w:r>
        <w:rPr>
          <w:rFonts w:hint="cs"/>
          <w:spacing w:val="-2"/>
          <w:rtl/>
          <w:lang w:bidi="ar-EG"/>
        </w:rPr>
        <w:t xml:space="preserve"> وتبيان ما إذا كانت معيارية أو إعلامية.</w:t>
      </w:r>
    </w:p>
    <w:p w:rsidR="00AC61E0" w:rsidRPr="00C763CA" w:rsidRDefault="00AC61E0" w:rsidP="00392D87">
      <w:pPr>
        <w:pStyle w:val="Headingb"/>
        <w:rPr>
          <w:rFonts w:ascii="Times New Roman Bold" w:hAnsi="Times New Roman Bold"/>
          <w:bCs/>
          <w:rtl/>
          <w:lang w:bidi="ar-EG"/>
        </w:rPr>
      </w:pPr>
      <w:r w:rsidRPr="00C763CA">
        <w:rPr>
          <w:rFonts w:ascii="Times New Roman Bold" w:hAnsi="Times New Roman Bold" w:hint="cs"/>
          <w:bCs/>
          <w:rtl/>
          <w:lang w:bidi="ar-EG"/>
        </w:rPr>
        <w:t xml:space="preserve">مشروع التوصية الجديدة </w:t>
      </w:r>
      <w:r w:rsidRPr="00C763CA">
        <w:rPr>
          <w:rFonts w:ascii="Times New Roman Bold" w:hAnsi="Times New Roman Bold"/>
          <w:bCs/>
          <w:lang w:bidi="ar-EG"/>
        </w:rPr>
        <w:t>ITU-T</w:t>
      </w:r>
      <w:r w:rsidR="00392D87">
        <w:rPr>
          <w:rFonts w:ascii="Times New Roman Bold" w:hAnsi="Times New Roman Bold"/>
          <w:bCs/>
          <w:lang w:bidi="ar-EG"/>
        </w:rPr>
        <w:t> </w:t>
      </w:r>
      <w:r w:rsidRPr="00C763CA">
        <w:rPr>
          <w:rFonts w:ascii="Times New Roman Bold" w:hAnsi="Times New Roman Bold"/>
          <w:bCs/>
          <w:lang w:bidi="ar-EG"/>
        </w:rPr>
        <w:t>X.1528.4 (X.cpe.4)</w:t>
      </w:r>
      <w:r w:rsidRPr="00C763CA">
        <w:rPr>
          <w:rFonts w:ascii="Times New Roman Bold" w:hAnsi="Times New Roman Bold" w:hint="cs"/>
          <w:bCs/>
          <w:rtl/>
          <w:lang w:bidi="ar-EG"/>
        </w:rPr>
        <w:t>، لغة تطبيق تعداد المنصة المشترك</w:t>
      </w:r>
      <w:r w:rsidRPr="00C763CA">
        <w:rPr>
          <w:rFonts w:ascii="Times New Roman Bold" w:hAnsi="Times New Roman Bold" w:hint="cs"/>
          <w:bCs/>
          <w:rtl/>
          <w:lang w:bidi="ar-EG"/>
        </w:rPr>
        <w:tab/>
      </w:r>
      <w:r w:rsidRPr="00C763CA">
        <w:rPr>
          <w:rFonts w:ascii="Times New Roman Bold" w:hAnsi="Times New Roman Bold"/>
          <w:bCs/>
          <w:rtl/>
          <w:lang w:bidi="ar-EG"/>
        </w:rPr>
        <w:br/>
      </w:r>
      <w:r w:rsidRPr="00C763CA">
        <w:rPr>
          <w:rFonts w:ascii="Times New Roman Bold" w:hAnsi="Times New Roman Bold" w:hint="cs"/>
          <w:bCs/>
          <w:rtl/>
          <w:lang w:bidi="ar-EG"/>
        </w:rPr>
        <w:t xml:space="preserve">الوثيقة </w:t>
      </w:r>
      <w:r w:rsidRPr="00C763CA">
        <w:rPr>
          <w:rFonts w:ascii="Times New Roman Bold" w:hAnsi="Times New Roman Bold"/>
          <w:bCs/>
          <w:lang w:bidi="ar-EG"/>
        </w:rPr>
        <w:t>COM 17</w:t>
      </w:r>
      <w:r w:rsidR="00B7438C">
        <w:rPr>
          <w:rFonts w:ascii="Times New Roman Bold" w:hAnsi="Times New Roman Bold"/>
          <w:bCs/>
          <w:lang w:bidi="ar-EG"/>
        </w:rPr>
        <w:t> </w:t>
      </w:r>
      <w:r w:rsidRPr="00C763CA">
        <w:rPr>
          <w:rFonts w:ascii="Times New Roman Bold" w:hAnsi="Times New Roman Bold"/>
          <w:bCs/>
          <w:lang w:bidi="ar-EG"/>
        </w:rPr>
        <w:noBreakHyphen/>
      </w:r>
      <w:r w:rsidR="00B7438C">
        <w:rPr>
          <w:rFonts w:ascii="Times New Roman Bold" w:hAnsi="Times New Roman Bold"/>
          <w:bCs/>
          <w:lang w:bidi="ar-EG"/>
        </w:rPr>
        <w:t> </w:t>
      </w:r>
      <w:r w:rsidRPr="00C763CA">
        <w:rPr>
          <w:rFonts w:ascii="Times New Roman Bold" w:hAnsi="Times New Roman Bold"/>
          <w:bCs/>
          <w:lang w:bidi="ar-EG"/>
        </w:rPr>
        <w:t>R 55</w:t>
      </w:r>
    </w:p>
    <w:p w:rsidR="00AC61E0" w:rsidRPr="00C763CA" w:rsidRDefault="00AC61E0" w:rsidP="00C763CA">
      <w:pPr>
        <w:pStyle w:val="Headingb"/>
        <w:rPr>
          <w:rFonts w:ascii="Times New Roman Bold" w:hAnsi="Times New Roman Bold"/>
          <w:bCs/>
          <w:rtl/>
          <w:lang w:bidi="ar-EG"/>
        </w:rPr>
      </w:pPr>
      <w:r w:rsidRPr="00C763CA">
        <w:rPr>
          <w:rFonts w:ascii="Times New Roman Bold" w:hAnsi="Times New Roman Bold" w:hint="cs"/>
          <w:bCs/>
          <w:rtl/>
          <w:lang w:bidi="ar-EG"/>
        </w:rPr>
        <w:t>ملخص</w:t>
      </w:r>
    </w:p>
    <w:p w:rsidR="00AC61E0" w:rsidRDefault="00AC61E0" w:rsidP="000757BF">
      <w:pPr>
        <w:rPr>
          <w:rtl/>
          <w:lang w:bidi="ar-EG"/>
        </w:rPr>
      </w:pPr>
      <w:r>
        <w:rPr>
          <w:rFonts w:hint="cs"/>
          <w:rtl/>
          <w:lang w:bidi="ar-EG"/>
        </w:rPr>
        <w:t xml:space="preserve">تعرّف هذه التوصية </w:t>
      </w:r>
      <w:r w:rsidR="00BA32FA">
        <w:rPr>
          <w:rFonts w:hint="cs"/>
          <w:spacing w:val="-2"/>
          <w:rtl/>
          <w:lang w:bidi="ar-SY"/>
        </w:rPr>
        <w:t xml:space="preserve">مواصفة </w:t>
      </w:r>
      <w:r>
        <w:rPr>
          <w:rFonts w:hint="cs"/>
          <w:rtl/>
          <w:lang w:bidi="ar-EG"/>
        </w:rPr>
        <w:t xml:space="preserve">لغة تطبيق تعداد المنصة المشترك </w:t>
      </w:r>
      <w:r>
        <w:rPr>
          <w:lang w:bidi="ar-EG"/>
        </w:rPr>
        <w:t>(CPE)</w:t>
      </w:r>
      <w:r>
        <w:rPr>
          <w:rFonts w:hint="cs"/>
          <w:rtl/>
          <w:lang w:bidi="ar-EG"/>
        </w:rPr>
        <w:t xml:space="preserve">. وتشكل هذه </w:t>
      </w:r>
      <w:r w:rsidR="00BA32FA">
        <w:rPr>
          <w:rFonts w:hint="cs"/>
          <w:spacing w:val="-2"/>
          <w:rtl/>
          <w:lang w:bidi="ar-SY"/>
        </w:rPr>
        <w:t xml:space="preserve">المواصفة </w:t>
      </w:r>
      <w:r>
        <w:rPr>
          <w:rFonts w:hint="cs"/>
          <w:rtl/>
          <w:lang w:bidi="ar-EG"/>
        </w:rPr>
        <w:t xml:space="preserve">جزءاً من </w:t>
      </w:r>
      <w:r w:rsidR="00BA32FA">
        <w:rPr>
          <w:rFonts w:hint="cs"/>
          <w:rtl/>
          <w:lang w:bidi="ar-EG"/>
        </w:rPr>
        <w:t>كدسة</w:t>
      </w:r>
      <w:r>
        <w:rPr>
          <w:rFonts w:hint="cs"/>
          <w:rtl/>
          <w:lang w:bidi="ar-EG"/>
        </w:rPr>
        <w:t xml:space="preserve"> مواصفات تعداد المنصة المشترك </w:t>
      </w:r>
      <w:r w:rsidR="00BA32FA">
        <w:rPr>
          <w:rFonts w:hint="cs"/>
          <w:rtl/>
          <w:lang w:bidi="ar-EG"/>
        </w:rPr>
        <w:t>التي ت</w:t>
      </w:r>
      <w:r>
        <w:rPr>
          <w:rFonts w:hint="cs"/>
          <w:rtl/>
          <w:lang w:bidi="ar-EG"/>
        </w:rPr>
        <w:t xml:space="preserve">دعم مجموعة متنوعة من حالات الاستخدام فيما يتعلق بوصف منتجات تكنولوجيا المعلومات وتسميتها. </w:t>
      </w:r>
      <w:r w:rsidR="00811542">
        <w:rPr>
          <w:rFonts w:hint="cs"/>
          <w:rtl/>
          <w:lang w:bidi="ar-EG"/>
        </w:rPr>
        <w:t>ويعتمد</w:t>
      </w:r>
      <w:r>
        <w:rPr>
          <w:rFonts w:hint="cs"/>
          <w:rtl/>
          <w:lang w:bidi="ar-EG"/>
        </w:rPr>
        <w:t xml:space="preserve"> نموذج بيانات لغة تطبيق </w:t>
      </w:r>
      <w:r>
        <w:rPr>
          <w:lang w:bidi="ar-EG"/>
        </w:rPr>
        <w:t>CPE</w:t>
      </w:r>
      <w:r>
        <w:rPr>
          <w:rFonts w:hint="cs"/>
          <w:rtl/>
          <w:lang w:bidi="ar-EG"/>
        </w:rPr>
        <w:t xml:space="preserve"> </w:t>
      </w:r>
      <w:r w:rsidR="00811542">
        <w:rPr>
          <w:rFonts w:hint="cs"/>
          <w:rtl/>
          <w:lang w:bidi="ar-EG"/>
        </w:rPr>
        <w:t>على</w:t>
      </w:r>
      <w:r>
        <w:rPr>
          <w:rFonts w:hint="cs"/>
          <w:rtl/>
          <w:lang w:bidi="ar-EG"/>
        </w:rPr>
        <w:t xml:space="preserve"> مواصفات </w:t>
      </w:r>
      <w:r>
        <w:rPr>
          <w:lang w:bidi="ar-EG"/>
        </w:rPr>
        <w:t>CPE</w:t>
      </w:r>
      <w:r>
        <w:rPr>
          <w:rFonts w:hint="cs"/>
          <w:rtl/>
          <w:lang w:bidi="ar-EG"/>
        </w:rPr>
        <w:t xml:space="preserve"> الأخرى لتوفير </w:t>
      </w:r>
      <w:r w:rsidRPr="004C20C7">
        <w:rPr>
          <w:rtl/>
          <w:lang w:bidi="ar-EG"/>
        </w:rPr>
        <w:t xml:space="preserve">الوظيفة المطلوبة للسماح لمستخدمي </w:t>
      </w:r>
      <w:r>
        <w:rPr>
          <w:lang w:bidi="ar-EG"/>
        </w:rPr>
        <w:t>CPE</w:t>
      </w:r>
      <w:r w:rsidRPr="004C20C7">
        <w:rPr>
          <w:rtl/>
          <w:lang w:bidi="ar-EG"/>
        </w:rPr>
        <w:t xml:space="preserve"> </w:t>
      </w:r>
      <w:r>
        <w:rPr>
          <w:rFonts w:hint="cs"/>
          <w:rtl/>
          <w:lang w:bidi="ar-EG"/>
        </w:rPr>
        <w:t>بإنشاء مجموعات</w:t>
      </w:r>
      <w:r w:rsidRPr="004C20C7">
        <w:rPr>
          <w:rtl/>
          <w:lang w:bidi="ar-EG"/>
        </w:rPr>
        <w:t xml:space="preserve"> معقدة من أسماء</w:t>
      </w:r>
      <w:r>
        <w:rPr>
          <w:rFonts w:hint="cs"/>
          <w:rtl/>
          <w:lang w:bidi="ar-EG"/>
        </w:rPr>
        <w:t xml:space="preserve"> </w:t>
      </w:r>
      <w:r>
        <w:rPr>
          <w:lang w:bidi="ar-EG"/>
        </w:rPr>
        <w:t>CPE</w:t>
      </w:r>
      <w:r w:rsidRPr="004C20C7">
        <w:rPr>
          <w:rtl/>
          <w:lang w:bidi="ar-EG"/>
        </w:rPr>
        <w:t xml:space="preserve"> لوصف </w:t>
      </w:r>
      <w:r>
        <w:rPr>
          <w:rFonts w:hint="cs"/>
          <w:rtl/>
          <w:lang w:bidi="ar-EG"/>
        </w:rPr>
        <w:t xml:space="preserve">منصات تكنولوجيا المعلومات. ويشار إلى هذه المجموعات بوصفها بيانات تطبيق لأنها تستخدم لتعيين المنصات التي تنطبق عليها إرشادات وسياسات محددة. وتعرّف هذه التوصية </w:t>
      </w:r>
      <w:r w:rsidR="00811542">
        <w:rPr>
          <w:rFonts w:hint="cs"/>
          <w:rtl/>
          <w:lang w:bidi="ar-EG"/>
        </w:rPr>
        <w:t>ال</w:t>
      </w:r>
      <w:r>
        <w:rPr>
          <w:rFonts w:hint="cs"/>
          <w:rtl/>
          <w:lang w:bidi="ar-EG"/>
        </w:rPr>
        <w:t>دلالات</w:t>
      </w:r>
      <w:r w:rsidR="00811542">
        <w:rPr>
          <w:rFonts w:hint="cs"/>
          <w:rtl/>
          <w:lang w:bidi="ar-EG"/>
        </w:rPr>
        <w:t xml:space="preserve"> اللفظية ل</w:t>
      </w:r>
      <w:r>
        <w:rPr>
          <w:rFonts w:hint="cs"/>
          <w:rtl/>
          <w:lang w:bidi="ar-EG"/>
        </w:rPr>
        <w:t xml:space="preserve">نموذج بيانات لغة تطبيق </w:t>
      </w:r>
      <w:r>
        <w:rPr>
          <w:lang w:bidi="ar-EG"/>
        </w:rPr>
        <w:t>CPE</w:t>
      </w:r>
      <w:r>
        <w:rPr>
          <w:rFonts w:hint="cs"/>
          <w:rtl/>
          <w:lang w:bidi="ar-EG"/>
        </w:rPr>
        <w:t xml:space="preserve"> والمتطلبات التي يجب أن تفي بها منتجات تكنولوجيا المعلومات ووثائق لغة تطبيق </w:t>
      </w:r>
      <w:r>
        <w:rPr>
          <w:lang w:bidi="ar-EG"/>
        </w:rPr>
        <w:t>CPE</w:t>
      </w:r>
      <w:r>
        <w:rPr>
          <w:rFonts w:hint="cs"/>
          <w:rtl/>
          <w:lang w:bidi="ar-EG"/>
        </w:rPr>
        <w:t xml:space="preserve"> لكي تعتبر مطابقة لهذه التوصية.</w:t>
      </w:r>
    </w:p>
    <w:p w:rsidR="00AC61E0" w:rsidRPr="002F5191" w:rsidRDefault="00AC61E0" w:rsidP="000757BF">
      <w:pPr>
        <w:rPr>
          <w:rtl/>
          <w:lang w:bidi="ar-EG"/>
        </w:rPr>
      </w:pPr>
      <w:r w:rsidRPr="001305F6">
        <w:rPr>
          <w:rtl/>
          <w:lang w:bidi="ar-SY"/>
        </w:rPr>
        <w:t xml:space="preserve">ويتحقق ذلك بسرد </w:t>
      </w:r>
      <w:r>
        <w:rPr>
          <w:rFonts w:hint="cs"/>
          <w:rtl/>
          <w:lang w:bidi="ar-SY"/>
        </w:rPr>
        <w:t>البنود</w:t>
      </w:r>
      <w:r w:rsidRPr="001305F6">
        <w:rPr>
          <w:rtl/>
          <w:lang w:bidi="ar-SY"/>
        </w:rPr>
        <w:t xml:space="preserve"> ذات الصلة</w:t>
      </w:r>
      <w:r>
        <w:rPr>
          <w:rFonts w:hint="cs"/>
          <w:rtl/>
          <w:lang w:bidi="ar-SY"/>
        </w:rPr>
        <w:t xml:space="preserve"> </w:t>
      </w:r>
      <w:r>
        <w:rPr>
          <w:rFonts w:hint="cs"/>
          <w:rtl/>
          <w:lang w:bidi="ar-EG"/>
        </w:rPr>
        <w:t>في ا</w:t>
      </w:r>
      <w:r>
        <w:rPr>
          <w:rFonts w:hint="cs"/>
          <w:rtl/>
          <w:lang w:bidi="ar-SY"/>
        </w:rPr>
        <w:t>لتقرير المشترك بين الوكالات للمعهد الوطني للمعايير والتكنولوجيا</w:t>
      </w:r>
      <w:r>
        <w:rPr>
          <w:rFonts w:hint="cs"/>
          <w:rtl/>
          <w:lang w:bidi="ar-EG"/>
        </w:rPr>
        <w:t xml:space="preserve"> </w:t>
      </w:r>
      <w:r>
        <w:rPr>
          <w:lang w:bidi="ar-EG"/>
        </w:rPr>
        <w:t>7698</w:t>
      </w:r>
      <w:r>
        <w:rPr>
          <w:rFonts w:hint="cs"/>
          <w:rtl/>
          <w:lang w:bidi="ar-SY"/>
        </w:rPr>
        <w:t xml:space="preserve">، </w:t>
      </w:r>
      <w:r w:rsidR="00811542">
        <w:rPr>
          <w:rFonts w:hint="cs"/>
          <w:rtl/>
          <w:lang w:bidi="ar-SY"/>
        </w:rPr>
        <w:t xml:space="preserve">مواصفة </w:t>
      </w:r>
      <w:r>
        <w:rPr>
          <w:rFonts w:hint="cs"/>
          <w:rtl/>
          <w:lang w:bidi="ar-SY"/>
        </w:rPr>
        <w:t xml:space="preserve">لغة تطبيق تعداد المنصة المشترك، النسخة </w:t>
      </w:r>
      <w:r>
        <w:rPr>
          <w:lang w:bidi="ar-SY"/>
        </w:rPr>
        <w:t>2.3</w:t>
      </w:r>
      <w:r>
        <w:rPr>
          <w:rFonts w:hint="cs"/>
          <w:rtl/>
          <w:lang w:bidi="ar-EG"/>
        </w:rPr>
        <w:t xml:space="preserve"> وتبيان ما إذا كانت معيارية أو إعلامية.</w:t>
      </w:r>
    </w:p>
    <w:p w:rsidR="00AC61E0" w:rsidRPr="00C763CA" w:rsidRDefault="00AC61E0" w:rsidP="00392D87">
      <w:pPr>
        <w:pStyle w:val="Headingb"/>
        <w:rPr>
          <w:rFonts w:ascii="Times New Roman Bold" w:hAnsi="Times New Roman Bold"/>
          <w:bCs/>
          <w:rtl/>
          <w:lang w:bidi="ar-EG"/>
        </w:rPr>
      </w:pPr>
      <w:r w:rsidRPr="00C763CA">
        <w:rPr>
          <w:rFonts w:ascii="Times New Roman Bold" w:hAnsi="Times New Roman Bold" w:hint="cs"/>
          <w:bCs/>
          <w:rtl/>
          <w:lang w:bidi="ar-EG"/>
        </w:rPr>
        <w:t xml:space="preserve">مشروع التوصية الجديدة </w:t>
      </w:r>
      <w:r w:rsidRPr="00C763CA">
        <w:rPr>
          <w:rFonts w:ascii="Times New Roman Bold" w:hAnsi="Times New Roman Bold"/>
          <w:bCs/>
          <w:lang w:bidi="ar-EG"/>
        </w:rPr>
        <w:t>ITU-T</w:t>
      </w:r>
      <w:r w:rsidR="00392D87">
        <w:rPr>
          <w:rFonts w:ascii="Times New Roman Bold" w:hAnsi="Times New Roman Bold"/>
          <w:bCs/>
          <w:lang w:bidi="ar-EG"/>
        </w:rPr>
        <w:t> </w:t>
      </w:r>
      <w:r w:rsidRPr="00C763CA">
        <w:rPr>
          <w:rFonts w:ascii="Times New Roman Bold" w:hAnsi="Times New Roman Bold"/>
          <w:bCs/>
          <w:lang w:bidi="ar-EG"/>
        </w:rPr>
        <w:t>X.1541 (</w:t>
      </w:r>
      <w:proofErr w:type="spellStart"/>
      <w:r w:rsidRPr="00C763CA">
        <w:rPr>
          <w:rFonts w:ascii="Times New Roman Bold" w:hAnsi="Times New Roman Bold"/>
          <w:bCs/>
          <w:lang w:bidi="ar-EG"/>
        </w:rPr>
        <w:t>X.iodef</w:t>
      </w:r>
      <w:proofErr w:type="spellEnd"/>
      <w:r w:rsidRPr="00C763CA">
        <w:rPr>
          <w:rFonts w:ascii="Times New Roman Bold" w:hAnsi="Times New Roman Bold"/>
          <w:bCs/>
          <w:lang w:bidi="ar-EG"/>
        </w:rPr>
        <w:t>)</w:t>
      </w:r>
      <w:r w:rsidRPr="00C763CA">
        <w:rPr>
          <w:rFonts w:ascii="Times New Roman Bold" w:hAnsi="Times New Roman Bold" w:hint="cs"/>
          <w:bCs/>
          <w:rtl/>
          <w:lang w:bidi="ar-EG"/>
        </w:rPr>
        <w:t>، نسق تبادل وصف الشيء المتعلق بالحادث</w:t>
      </w:r>
      <w:r w:rsidRPr="00C763CA">
        <w:rPr>
          <w:rFonts w:ascii="Times New Roman Bold" w:hAnsi="Times New Roman Bold" w:hint="cs"/>
          <w:bCs/>
          <w:rtl/>
          <w:lang w:bidi="ar-EG"/>
        </w:rPr>
        <w:tab/>
      </w:r>
      <w:r w:rsidRPr="00C763CA">
        <w:rPr>
          <w:rFonts w:ascii="Times New Roman Bold" w:hAnsi="Times New Roman Bold"/>
          <w:bCs/>
          <w:rtl/>
          <w:lang w:bidi="ar-EG"/>
        </w:rPr>
        <w:br/>
      </w:r>
      <w:r w:rsidRPr="00C763CA">
        <w:rPr>
          <w:rFonts w:ascii="Times New Roman Bold" w:hAnsi="Times New Roman Bold" w:hint="cs"/>
          <w:bCs/>
          <w:rtl/>
          <w:lang w:bidi="ar-EG"/>
        </w:rPr>
        <w:t xml:space="preserve">الوثيقة </w:t>
      </w:r>
      <w:r w:rsidRPr="00C763CA">
        <w:rPr>
          <w:rFonts w:ascii="Times New Roman Bold" w:hAnsi="Times New Roman Bold"/>
          <w:bCs/>
          <w:lang w:bidi="ar-EG"/>
        </w:rPr>
        <w:t>COM 17</w:t>
      </w:r>
      <w:r w:rsidR="00B7438C">
        <w:rPr>
          <w:rFonts w:ascii="Times New Roman Bold" w:hAnsi="Times New Roman Bold"/>
          <w:bCs/>
          <w:lang w:bidi="ar-EG"/>
        </w:rPr>
        <w:t> </w:t>
      </w:r>
      <w:r w:rsidRPr="00C763CA">
        <w:rPr>
          <w:rFonts w:ascii="Times New Roman Bold" w:hAnsi="Times New Roman Bold"/>
          <w:bCs/>
          <w:lang w:bidi="ar-EG"/>
        </w:rPr>
        <w:noBreakHyphen/>
      </w:r>
      <w:r w:rsidR="00B7438C">
        <w:rPr>
          <w:rFonts w:ascii="Times New Roman Bold" w:hAnsi="Times New Roman Bold"/>
          <w:bCs/>
          <w:lang w:bidi="ar-EG"/>
        </w:rPr>
        <w:t> </w:t>
      </w:r>
      <w:r w:rsidRPr="00C763CA">
        <w:rPr>
          <w:rFonts w:ascii="Times New Roman Bold" w:hAnsi="Times New Roman Bold"/>
          <w:bCs/>
          <w:lang w:bidi="ar-EG"/>
        </w:rPr>
        <w:t>R 56</w:t>
      </w:r>
    </w:p>
    <w:p w:rsidR="00AC61E0" w:rsidRPr="00C763CA" w:rsidRDefault="00AC61E0" w:rsidP="00C763CA">
      <w:pPr>
        <w:pStyle w:val="Headingb"/>
        <w:rPr>
          <w:rFonts w:ascii="Times New Roman Bold" w:hAnsi="Times New Roman Bold"/>
          <w:bCs/>
          <w:rtl/>
          <w:lang w:bidi="ar-EG"/>
        </w:rPr>
      </w:pPr>
      <w:r w:rsidRPr="00C763CA">
        <w:rPr>
          <w:rFonts w:ascii="Times New Roman Bold" w:hAnsi="Times New Roman Bold" w:hint="cs"/>
          <w:bCs/>
          <w:rtl/>
          <w:lang w:bidi="ar-EG"/>
        </w:rPr>
        <w:t>ملخص</w:t>
      </w:r>
    </w:p>
    <w:p w:rsidR="00AC61E0" w:rsidRDefault="00AC61E0" w:rsidP="00B765C6">
      <w:pPr>
        <w:rPr>
          <w:spacing w:val="-2"/>
          <w:rtl/>
          <w:lang w:bidi="ar-EG"/>
        </w:rPr>
      </w:pPr>
      <w:r>
        <w:rPr>
          <w:rFonts w:hint="cs"/>
          <w:rtl/>
          <w:lang w:bidi="ar-EG"/>
        </w:rPr>
        <w:t xml:space="preserve">تصف هذه التوصية نموذج المعلومات الخاص بنسق تبادل وصف الشيء المتعلق بالحادث </w:t>
      </w:r>
      <w:r>
        <w:rPr>
          <w:lang w:bidi="ar-EG"/>
        </w:rPr>
        <w:t>(IODEF)</w:t>
      </w:r>
      <w:r>
        <w:rPr>
          <w:rFonts w:hint="cs"/>
          <w:rtl/>
          <w:lang w:bidi="ar-EG"/>
        </w:rPr>
        <w:t xml:space="preserve"> وتقدم نموذجاً للبيانات المصاحبة يحدد بمخطط</w:t>
      </w:r>
      <w:r w:rsidR="0020561C">
        <w:rPr>
          <w:rFonts w:hint="cs"/>
          <w:rtl/>
          <w:lang w:bidi="ar-EG"/>
        </w:rPr>
        <w:t>ات</w:t>
      </w:r>
      <w:r>
        <w:rPr>
          <w:rFonts w:hint="cs"/>
          <w:rtl/>
          <w:lang w:bidi="ar-EG"/>
        </w:rPr>
        <w:t xml:space="preserve"> </w:t>
      </w:r>
      <w:r>
        <w:rPr>
          <w:lang w:bidi="ar-EG"/>
        </w:rPr>
        <w:t>XML</w:t>
      </w:r>
      <w:r>
        <w:rPr>
          <w:rFonts w:hint="cs"/>
          <w:rtl/>
          <w:lang w:bidi="ar-EG"/>
        </w:rPr>
        <w:t xml:space="preserve">. ويحدد النسق </w:t>
      </w:r>
      <w:r>
        <w:rPr>
          <w:lang w:bidi="ar-EG"/>
        </w:rPr>
        <w:t>IODEF</w:t>
      </w:r>
      <w:r>
        <w:rPr>
          <w:rFonts w:hint="cs"/>
          <w:rtl/>
          <w:lang w:bidi="ar-EG"/>
        </w:rPr>
        <w:t xml:space="preserve"> تمثيلاً لنموذج البيانات من أجل تقاسم المعلومات المتبادلة عموماً بين </w:t>
      </w:r>
      <w:r w:rsidR="0020561C">
        <w:rPr>
          <w:rFonts w:hint="cs"/>
          <w:rtl/>
          <w:lang w:bidi="ar-EG"/>
        </w:rPr>
        <w:t>أ</w:t>
      </w:r>
      <w:r>
        <w:rPr>
          <w:rFonts w:hint="cs"/>
          <w:rtl/>
          <w:lang w:bidi="ar-EG"/>
        </w:rPr>
        <w:t>فرقة الاستجابة لحوادث الأمن الحاسوبي</w:t>
      </w:r>
      <w:r w:rsidR="0020561C">
        <w:rPr>
          <w:rFonts w:hint="cs"/>
          <w:rtl/>
          <w:lang w:bidi="ar-EG"/>
        </w:rPr>
        <w:t>ة</w:t>
      </w:r>
      <w:r>
        <w:rPr>
          <w:rFonts w:hint="cs"/>
          <w:rtl/>
          <w:lang w:bidi="ar-EG"/>
        </w:rPr>
        <w:t xml:space="preserve"> </w:t>
      </w:r>
      <w:r>
        <w:rPr>
          <w:lang w:bidi="ar-EG"/>
        </w:rPr>
        <w:t>(CSIRT)</w:t>
      </w:r>
      <w:r>
        <w:rPr>
          <w:rFonts w:hint="cs"/>
          <w:rtl/>
          <w:lang w:bidi="ar-EG"/>
        </w:rPr>
        <w:t xml:space="preserve"> </w:t>
      </w:r>
      <w:r w:rsidR="0020561C">
        <w:rPr>
          <w:rFonts w:hint="cs"/>
          <w:rtl/>
          <w:lang w:bidi="ar-EG"/>
        </w:rPr>
        <w:t>وموردي</w:t>
      </w:r>
      <w:r>
        <w:rPr>
          <w:rFonts w:hint="cs"/>
          <w:rtl/>
          <w:lang w:bidi="ar-EG"/>
        </w:rPr>
        <w:t xml:space="preserve"> الخدمات </w:t>
      </w:r>
      <w:r w:rsidR="0020561C">
        <w:rPr>
          <w:rFonts w:hint="cs"/>
          <w:rtl/>
          <w:lang w:bidi="ar-EG"/>
        </w:rPr>
        <w:t>بشأن</w:t>
      </w:r>
      <w:r>
        <w:rPr>
          <w:rFonts w:hint="cs"/>
          <w:rtl/>
          <w:lang w:bidi="ar-EG"/>
        </w:rPr>
        <w:t xml:space="preserve"> أمن الحاسوب وأنواع أخرى من الحوادث. </w:t>
      </w:r>
      <w:r w:rsidRPr="001305F6">
        <w:rPr>
          <w:spacing w:val="-2"/>
          <w:rtl/>
          <w:lang w:bidi="ar-SY"/>
        </w:rPr>
        <w:t xml:space="preserve">ويتحقق ذلك بسرد </w:t>
      </w:r>
      <w:r>
        <w:rPr>
          <w:rFonts w:hint="cs"/>
          <w:spacing w:val="-2"/>
          <w:rtl/>
          <w:lang w:bidi="ar-SY"/>
        </w:rPr>
        <w:t>البنود</w:t>
      </w:r>
      <w:r w:rsidRPr="001305F6">
        <w:rPr>
          <w:spacing w:val="-2"/>
          <w:rtl/>
          <w:lang w:bidi="ar-SY"/>
        </w:rPr>
        <w:t xml:space="preserve"> ذات الصلة</w:t>
      </w:r>
      <w:r>
        <w:rPr>
          <w:rFonts w:hint="cs"/>
          <w:spacing w:val="-2"/>
          <w:rtl/>
          <w:lang w:bidi="ar-SY"/>
        </w:rPr>
        <w:t xml:space="preserve"> </w:t>
      </w:r>
      <w:r>
        <w:rPr>
          <w:rFonts w:hint="cs"/>
          <w:spacing w:val="-2"/>
          <w:rtl/>
          <w:lang w:bidi="ar-EG"/>
        </w:rPr>
        <w:t xml:space="preserve">في الوثيقة </w:t>
      </w:r>
      <w:r>
        <w:rPr>
          <w:spacing w:val="-2"/>
          <w:lang w:bidi="ar-EG"/>
        </w:rPr>
        <w:t>RFC 5070</w:t>
      </w:r>
      <w:r>
        <w:rPr>
          <w:rFonts w:hint="cs"/>
          <w:spacing w:val="-2"/>
          <w:rtl/>
          <w:lang w:bidi="ar-SY"/>
        </w:rPr>
        <w:t xml:space="preserve"> </w:t>
      </w:r>
      <w:r>
        <w:rPr>
          <w:rFonts w:hint="cs"/>
          <w:spacing w:val="-2"/>
          <w:rtl/>
          <w:lang w:bidi="ar-EG"/>
        </w:rPr>
        <w:t>وتبيان ما إذا كانت معيارية أو إعلامية.</w:t>
      </w:r>
    </w:p>
    <w:p w:rsidR="00AC61E0" w:rsidRPr="00C763CA" w:rsidRDefault="00AC61E0" w:rsidP="00392D87">
      <w:pPr>
        <w:pStyle w:val="Headingb"/>
        <w:rPr>
          <w:rFonts w:ascii="Times New Roman Bold" w:hAnsi="Times New Roman Bold"/>
          <w:bCs/>
          <w:rtl/>
          <w:lang w:bidi="ar-EG"/>
        </w:rPr>
      </w:pPr>
      <w:r w:rsidRPr="00C763CA">
        <w:rPr>
          <w:rFonts w:ascii="Times New Roman Bold" w:hAnsi="Times New Roman Bold" w:hint="cs"/>
          <w:bCs/>
          <w:rtl/>
          <w:lang w:bidi="ar-EG"/>
        </w:rPr>
        <w:lastRenderedPageBreak/>
        <w:t xml:space="preserve">مشروع التوصية الجديدة </w:t>
      </w:r>
      <w:r w:rsidRPr="00C763CA">
        <w:rPr>
          <w:rFonts w:ascii="Times New Roman Bold" w:hAnsi="Times New Roman Bold"/>
          <w:bCs/>
          <w:lang w:bidi="ar-EG"/>
        </w:rPr>
        <w:t>ITU-T</w:t>
      </w:r>
      <w:r w:rsidR="00392D87">
        <w:rPr>
          <w:rFonts w:ascii="Times New Roman Bold" w:hAnsi="Times New Roman Bold"/>
          <w:bCs/>
          <w:lang w:bidi="ar-EG"/>
        </w:rPr>
        <w:t> </w:t>
      </w:r>
      <w:r w:rsidRPr="00C763CA">
        <w:rPr>
          <w:rFonts w:ascii="Times New Roman Bold" w:hAnsi="Times New Roman Bold"/>
          <w:bCs/>
          <w:lang w:bidi="ar-EG"/>
        </w:rPr>
        <w:t>X.1580 (</w:t>
      </w:r>
      <w:proofErr w:type="spellStart"/>
      <w:r w:rsidRPr="00C763CA">
        <w:rPr>
          <w:rFonts w:ascii="Times New Roman Bold" w:hAnsi="Times New Roman Bold"/>
          <w:bCs/>
          <w:lang w:bidi="ar-EG"/>
        </w:rPr>
        <w:t>X.rid</w:t>
      </w:r>
      <w:proofErr w:type="spellEnd"/>
      <w:r w:rsidRPr="00C763CA">
        <w:rPr>
          <w:rFonts w:ascii="Times New Roman Bold" w:hAnsi="Times New Roman Bold"/>
          <w:bCs/>
          <w:lang w:bidi="ar-EG"/>
        </w:rPr>
        <w:t>)</w:t>
      </w:r>
      <w:r w:rsidRPr="00C763CA">
        <w:rPr>
          <w:rFonts w:ascii="Times New Roman Bold" w:hAnsi="Times New Roman Bold" w:hint="cs"/>
          <w:bCs/>
          <w:rtl/>
          <w:lang w:bidi="ar-EG"/>
        </w:rPr>
        <w:t>، الدفاع بين الشبكات في الوقت الفعلي</w:t>
      </w:r>
      <w:r w:rsidRPr="00C763CA">
        <w:rPr>
          <w:rFonts w:ascii="Times New Roman Bold" w:hAnsi="Times New Roman Bold" w:hint="cs"/>
          <w:bCs/>
          <w:rtl/>
          <w:lang w:bidi="ar-EG"/>
        </w:rPr>
        <w:tab/>
      </w:r>
      <w:r w:rsidRPr="00C763CA">
        <w:rPr>
          <w:rFonts w:ascii="Times New Roman Bold" w:hAnsi="Times New Roman Bold"/>
          <w:bCs/>
          <w:rtl/>
          <w:lang w:bidi="ar-EG"/>
        </w:rPr>
        <w:br/>
      </w:r>
      <w:r w:rsidRPr="00C763CA">
        <w:rPr>
          <w:rFonts w:ascii="Times New Roman Bold" w:hAnsi="Times New Roman Bold" w:hint="cs"/>
          <w:bCs/>
          <w:rtl/>
          <w:lang w:bidi="ar-EG"/>
        </w:rPr>
        <w:t xml:space="preserve">الوثيقة </w:t>
      </w:r>
      <w:r w:rsidRPr="00C763CA">
        <w:rPr>
          <w:rFonts w:ascii="Times New Roman Bold" w:hAnsi="Times New Roman Bold"/>
          <w:bCs/>
          <w:lang w:bidi="ar-EG"/>
        </w:rPr>
        <w:t>COM 17</w:t>
      </w:r>
      <w:r w:rsidR="00B7438C">
        <w:rPr>
          <w:rFonts w:ascii="Times New Roman Bold" w:hAnsi="Times New Roman Bold"/>
          <w:bCs/>
          <w:lang w:bidi="ar-EG"/>
        </w:rPr>
        <w:t> </w:t>
      </w:r>
      <w:r w:rsidRPr="00C763CA">
        <w:rPr>
          <w:rFonts w:ascii="Times New Roman Bold" w:hAnsi="Times New Roman Bold"/>
          <w:bCs/>
          <w:lang w:bidi="ar-EG"/>
        </w:rPr>
        <w:noBreakHyphen/>
      </w:r>
      <w:r w:rsidR="00B7438C">
        <w:rPr>
          <w:rFonts w:ascii="Times New Roman Bold" w:hAnsi="Times New Roman Bold"/>
          <w:bCs/>
          <w:lang w:bidi="ar-EG"/>
        </w:rPr>
        <w:t> </w:t>
      </w:r>
      <w:r w:rsidRPr="00C763CA">
        <w:rPr>
          <w:rFonts w:ascii="Times New Roman Bold" w:hAnsi="Times New Roman Bold"/>
          <w:bCs/>
          <w:lang w:bidi="ar-EG"/>
        </w:rPr>
        <w:t>R 57</w:t>
      </w:r>
    </w:p>
    <w:p w:rsidR="00AC61E0" w:rsidRPr="00C763CA" w:rsidRDefault="00AC61E0" w:rsidP="00C763CA">
      <w:pPr>
        <w:pStyle w:val="Headingb"/>
        <w:rPr>
          <w:rFonts w:ascii="Times New Roman Bold" w:hAnsi="Times New Roman Bold"/>
          <w:bCs/>
          <w:rtl/>
          <w:lang w:bidi="ar-EG"/>
        </w:rPr>
      </w:pPr>
      <w:r w:rsidRPr="00C763CA">
        <w:rPr>
          <w:rFonts w:ascii="Times New Roman Bold" w:hAnsi="Times New Roman Bold" w:hint="cs"/>
          <w:bCs/>
          <w:rtl/>
          <w:lang w:bidi="ar-EG"/>
        </w:rPr>
        <w:t>ملخص</w:t>
      </w:r>
    </w:p>
    <w:p w:rsidR="00AC61E0" w:rsidRDefault="004A16FA" w:rsidP="00B52418">
      <w:pPr>
        <w:rPr>
          <w:rtl/>
          <w:lang w:bidi="ar-EG"/>
        </w:rPr>
      </w:pPr>
      <w:r>
        <w:rPr>
          <w:rFonts w:hint="cs"/>
          <w:rtl/>
          <w:lang w:bidi="ar-EG"/>
        </w:rPr>
        <w:t>تحدد</w:t>
      </w:r>
      <w:r w:rsidR="00AC61E0" w:rsidRPr="00D47F66">
        <w:rPr>
          <w:rtl/>
          <w:lang w:bidi="ar-EG"/>
        </w:rPr>
        <w:t xml:space="preserve"> </w:t>
      </w:r>
      <w:r w:rsidR="00AC61E0">
        <w:rPr>
          <w:rFonts w:hint="cs"/>
          <w:rtl/>
          <w:lang w:bidi="ar-EG"/>
        </w:rPr>
        <w:t xml:space="preserve">هذه التوصية بشأن الدفاع بين الشبكات في الوقت الفعلي </w:t>
      </w:r>
      <w:r w:rsidR="00AC61E0">
        <w:rPr>
          <w:lang w:bidi="ar-EG"/>
        </w:rPr>
        <w:t>(RID)</w:t>
      </w:r>
      <w:r w:rsidR="00AC61E0">
        <w:rPr>
          <w:rFonts w:hint="cs"/>
          <w:rtl/>
          <w:lang w:bidi="ar-EG"/>
        </w:rPr>
        <w:t xml:space="preserve"> </w:t>
      </w:r>
      <w:r w:rsidR="00AC61E0">
        <w:rPr>
          <w:rtl/>
          <w:lang w:bidi="ar-EG"/>
        </w:rPr>
        <w:t xml:space="preserve">طريقة استباقية </w:t>
      </w:r>
      <w:r w:rsidR="00AC61E0">
        <w:rPr>
          <w:rFonts w:hint="cs"/>
          <w:rtl/>
          <w:lang w:bidi="ar-EG"/>
        </w:rPr>
        <w:t xml:space="preserve">للتواصل بين الشبكات من أجل </w:t>
      </w:r>
      <w:r w:rsidR="00AC61E0" w:rsidRPr="00D47F66">
        <w:rPr>
          <w:rtl/>
          <w:lang w:bidi="ar-EG"/>
        </w:rPr>
        <w:t xml:space="preserve">تيسير </w:t>
      </w:r>
      <w:r>
        <w:rPr>
          <w:rFonts w:hint="cs"/>
          <w:rtl/>
          <w:lang w:bidi="ar-EG"/>
        </w:rPr>
        <w:t>أتمتة تبادل</w:t>
      </w:r>
      <w:r w:rsidR="00AC61E0" w:rsidRPr="00D47F66">
        <w:rPr>
          <w:rtl/>
          <w:lang w:bidi="ar-EG"/>
        </w:rPr>
        <w:t xml:space="preserve"> معلومات </w:t>
      </w:r>
      <w:r>
        <w:rPr>
          <w:rFonts w:hint="cs"/>
          <w:rtl/>
          <w:lang w:bidi="ar-EG"/>
        </w:rPr>
        <w:t>التعاطي مع</w:t>
      </w:r>
      <w:r w:rsidR="00AC61E0" w:rsidRPr="00D47F66">
        <w:rPr>
          <w:rtl/>
          <w:lang w:bidi="ar-EG"/>
        </w:rPr>
        <w:t xml:space="preserve"> الحادث. و</w:t>
      </w:r>
      <w:r w:rsidR="00AC61E0">
        <w:rPr>
          <w:rFonts w:hint="cs"/>
          <w:rtl/>
          <w:lang w:bidi="ar-EG"/>
        </w:rPr>
        <w:t>يمكن</w:t>
      </w:r>
      <w:r w:rsidR="00AC61E0" w:rsidRPr="00D47F66">
        <w:rPr>
          <w:rtl/>
          <w:lang w:bidi="ar-EG"/>
        </w:rPr>
        <w:t xml:space="preserve"> دمج </w:t>
      </w:r>
      <w:r w:rsidR="00AC61E0">
        <w:rPr>
          <w:rFonts w:hint="cs"/>
          <w:rtl/>
          <w:lang w:bidi="ar-EG"/>
        </w:rPr>
        <w:t>عمليات التنفيذ</w:t>
      </w:r>
      <w:r w:rsidR="00AC61E0" w:rsidRPr="00D47F66">
        <w:rPr>
          <w:rtl/>
          <w:lang w:bidi="ar-EG"/>
        </w:rPr>
        <w:t xml:space="preserve"> مع </w:t>
      </w:r>
      <w:r w:rsidR="00AC61E0">
        <w:rPr>
          <w:rFonts w:hint="cs"/>
          <w:rtl/>
          <w:lang w:bidi="ar-EG"/>
        </w:rPr>
        <w:t>أ</w:t>
      </w:r>
      <w:r w:rsidR="00AC61E0" w:rsidRPr="00D47F66">
        <w:rPr>
          <w:rtl/>
          <w:lang w:bidi="ar-EG"/>
        </w:rPr>
        <w:t>نظم</w:t>
      </w:r>
      <w:r w:rsidR="00AC61E0">
        <w:rPr>
          <w:rFonts w:hint="cs"/>
          <w:rtl/>
          <w:lang w:bidi="ar-EG"/>
        </w:rPr>
        <w:t>ة</w:t>
      </w:r>
      <w:r w:rsidR="00AC61E0" w:rsidRPr="00D47F66">
        <w:rPr>
          <w:rtl/>
          <w:lang w:bidi="ar-EG"/>
        </w:rPr>
        <w:t xml:space="preserve"> إدارة الحوادث القائمة </w:t>
      </w:r>
      <w:r w:rsidR="00AC61E0">
        <w:rPr>
          <w:rFonts w:hint="cs"/>
          <w:rtl/>
          <w:lang w:bidi="ar-EG"/>
        </w:rPr>
        <w:t>وال</w:t>
      </w:r>
      <w:r w:rsidR="00AC61E0" w:rsidRPr="00D47F66">
        <w:rPr>
          <w:rtl/>
          <w:lang w:bidi="ar-EG"/>
        </w:rPr>
        <w:t xml:space="preserve">كشف </w:t>
      </w:r>
      <w:r>
        <w:rPr>
          <w:rFonts w:hint="cs"/>
          <w:rtl/>
          <w:lang w:bidi="ar-EG"/>
        </w:rPr>
        <w:t>عن</w:t>
      </w:r>
      <w:r w:rsidR="00AC61E0" w:rsidRPr="00D47F66">
        <w:rPr>
          <w:rtl/>
          <w:lang w:bidi="ar-EG"/>
        </w:rPr>
        <w:t xml:space="preserve"> </w:t>
      </w:r>
      <w:r w:rsidR="00AC61E0">
        <w:rPr>
          <w:rFonts w:hint="cs"/>
          <w:rtl/>
          <w:lang w:bidi="ar-EG"/>
        </w:rPr>
        <w:t>ال</w:t>
      </w:r>
      <w:r w:rsidR="00AC61E0" w:rsidRPr="00D47F66">
        <w:rPr>
          <w:rtl/>
          <w:lang w:bidi="ar-EG"/>
        </w:rPr>
        <w:t xml:space="preserve">مصدر </w:t>
      </w:r>
      <w:r w:rsidR="00AC61E0">
        <w:rPr>
          <w:rFonts w:hint="cs"/>
          <w:rtl/>
          <w:lang w:bidi="ar-EG"/>
        </w:rPr>
        <w:t>و</w:t>
      </w:r>
      <w:r>
        <w:rPr>
          <w:rFonts w:hint="cs"/>
          <w:rtl/>
          <w:lang w:bidi="ar-EG"/>
        </w:rPr>
        <w:t xml:space="preserve">تحديد </w:t>
      </w:r>
      <w:r w:rsidR="00AC61E0" w:rsidRPr="00D47F66">
        <w:rPr>
          <w:rtl/>
          <w:lang w:bidi="ar-EG"/>
        </w:rPr>
        <w:t xml:space="preserve">آليات </w:t>
      </w:r>
      <w:r w:rsidR="00AC61E0">
        <w:rPr>
          <w:rFonts w:hint="cs"/>
          <w:rtl/>
          <w:lang w:bidi="ar-EG"/>
        </w:rPr>
        <w:t>ال</w:t>
      </w:r>
      <w:r w:rsidR="00AC61E0" w:rsidRPr="00D47F66">
        <w:rPr>
          <w:rtl/>
          <w:lang w:bidi="ar-EG"/>
        </w:rPr>
        <w:t xml:space="preserve">تخفيف </w:t>
      </w:r>
      <w:r w:rsidR="00AC61E0">
        <w:rPr>
          <w:rFonts w:hint="cs"/>
          <w:rtl/>
          <w:lang w:bidi="ar-EG"/>
        </w:rPr>
        <w:t xml:space="preserve">للحصول على حل </w:t>
      </w:r>
      <w:r w:rsidR="00AC61E0" w:rsidRPr="00D47F66">
        <w:rPr>
          <w:rtl/>
          <w:lang w:bidi="ar-EG"/>
        </w:rPr>
        <w:t xml:space="preserve">أكثر </w:t>
      </w:r>
      <w:r w:rsidR="00AC61E0">
        <w:rPr>
          <w:rFonts w:hint="cs"/>
          <w:rtl/>
          <w:lang w:bidi="ar-EG"/>
        </w:rPr>
        <w:t>شمولاً</w:t>
      </w:r>
      <w:r w:rsidR="00AC61E0" w:rsidRPr="00D47F66">
        <w:rPr>
          <w:rtl/>
          <w:lang w:bidi="ar-EG"/>
        </w:rPr>
        <w:t xml:space="preserve"> </w:t>
      </w:r>
      <w:r>
        <w:rPr>
          <w:rFonts w:hint="cs"/>
          <w:rtl/>
          <w:lang w:bidi="ar-EG"/>
        </w:rPr>
        <w:t>للتعامل مع</w:t>
      </w:r>
      <w:r w:rsidR="00AC61E0" w:rsidRPr="00D47F66">
        <w:rPr>
          <w:rtl/>
          <w:lang w:bidi="ar-EG"/>
        </w:rPr>
        <w:t xml:space="preserve"> </w:t>
      </w:r>
      <w:r w:rsidR="00AC61E0">
        <w:rPr>
          <w:rFonts w:hint="cs"/>
          <w:rtl/>
          <w:lang w:bidi="ar-EG"/>
        </w:rPr>
        <w:t xml:space="preserve">الحوادث. ويحدد الدفاع </w:t>
      </w:r>
      <w:r w:rsidR="00AC61E0">
        <w:rPr>
          <w:lang w:bidi="ar-EG"/>
        </w:rPr>
        <w:t>RID</w:t>
      </w:r>
      <w:r w:rsidR="00AC61E0">
        <w:rPr>
          <w:rFonts w:hint="cs"/>
          <w:rtl/>
          <w:lang w:bidi="ar-EG"/>
        </w:rPr>
        <w:t xml:space="preserve"> طريقة لنقل معلومات الحادث </w:t>
      </w:r>
      <w:r>
        <w:rPr>
          <w:rFonts w:hint="cs"/>
          <w:rtl/>
          <w:lang w:bidi="ar-EG"/>
        </w:rPr>
        <w:t>بصورة مؤمنة</w:t>
      </w:r>
      <w:r w:rsidR="00AC61E0">
        <w:rPr>
          <w:rFonts w:hint="cs"/>
          <w:rtl/>
          <w:lang w:bidi="ar-EG"/>
        </w:rPr>
        <w:t xml:space="preserve">، مما يمكّن من تبادل وثائق لغة الوسم القابلة للتوسيع </w:t>
      </w:r>
      <w:r w:rsidR="00AC61E0">
        <w:rPr>
          <w:lang w:bidi="ar-EG"/>
        </w:rPr>
        <w:t>(XML)</w:t>
      </w:r>
      <w:r w:rsidR="00AC61E0">
        <w:rPr>
          <w:rFonts w:hint="cs"/>
          <w:rtl/>
          <w:lang w:bidi="ar-EG"/>
        </w:rPr>
        <w:t xml:space="preserve"> </w:t>
      </w:r>
      <w:r>
        <w:rPr>
          <w:rFonts w:hint="cs"/>
          <w:rtl/>
          <w:lang w:bidi="ar-EG"/>
        </w:rPr>
        <w:t>ل</w:t>
      </w:r>
      <w:r w:rsidR="00AC61E0">
        <w:rPr>
          <w:rFonts w:hint="cs"/>
          <w:rtl/>
          <w:lang w:bidi="ar-EG"/>
        </w:rPr>
        <w:t>نسق تبادل وصف الشيء المتعلق بالحادث</w:t>
      </w:r>
      <w:r w:rsidR="001E782B">
        <w:rPr>
          <w:rFonts w:hint="eastAsia"/>
          <w:rtl/>
          <w:lang w:bidi="ar-EG"/>
        </w:rPr>
        <w:t> </w:t>
      </w:r>
      <w:r w:rsidR="00AC61E0">
        <w:rPr>
          <w:lang w:bidi="ar-EG"/>
        </w:rPr>
        <w:t>(IODEF)</w:t>
      </w:r>
      <w:r w:rsidR="00AC61E0">
        <w:rPr>
          <w:rFonts w:hint="cs"/>
          <w:rtl/>
          <w:lang w:bidi="ar-EG"/>
        </w:rPr>
        <w:t>. ويقدم الدفاع</w:t>
      </w:r>
      <w:r w:rsidR="00B52418">
        <w:rPr>
          <w:rFonts w:hint="eastAsia"/>
          <w:rtl/>
          <w:lang w:bidi="ar-EG"/>
        </w:rPr>
        <w:t> </w:t>
      </w:r>
      <w:r w:rsidR="00AC61E0">
        <w:rPr>
          <w:lang w:bidi="ar-EG"/>
        </w:rPr>
        <w:t>RID</w:t>
      </w:r>
      <w:r w:rsidR="00AC61E0">
        <w:rPr>
          <w:rFonts w:hint="cs"/>
          <w:rtl/>
          <w:lang w:bidi="ar-EG"/>
        </w:rPr>
        <w:t xml:space="preserve"> وسيلة تقنية </w:t>
      </w:r>
      <w:r w:rsidR="00AC61E0" w:rsidRPr="00A525D2">
        <w:rPr>
          <w:rtl/>
          <w:lang w:bidi="ar-EG"/>
        </w:rPr>
        <w:t xml:space="preserve">لنقل </w:t>
      </w:r>
      <w:r>
        <w:rPr>
          <w:rFonts w:hint="cs"/>
          <w:rtl/>
          <w:lang w:bidi="ar-EG"/>
        </w:rPr>
        <w:t>الضوابط المتعلقة بالأمن والسياسات</w:t>
      </w:r>
      <w:r w:rsidR="00AC61E0" w:rsidRPr="00A525D2">
        <w:rPr>
          <w:rtl/>
          <w:lang w:bidi="ar-EG"/>
        </w:rPr>
        <w:t>، وعناصر التحكم في</w:t>
      </w:r>
      <w:r w:rsidR="00C763CA">
        <w:rPr>
          <w:rFonts w:hint="cs"/>
          <w:rtl/>
          <w:lang w:bidi="ar-EG"/>
        </w:rPr>
        <w:t> </w:t>
      </w:r>
      <w:r w:rsidR="00AC61E0" w:rsidRPr="00A525D2">
        <w:rPr>
          <w:rtl/>
          <w:lang w:bidi="ar-EG"/>
        </w:rPr>
        <w:t xml:space="preserve">الخصوصية لتمكين تبادل المعلومات </w:t>
      </w:r>
      <w:r w:rsidR="00FA7BF5">
        <w:rPr>
          <w:rFonts w:hint="cs"/>
          <w:rtl/>
          <w:lang w:bidi="ar-EG"/>
        </w:rPr>
        <w:t>التي قد تكون حساسة</w:t>
      </w:r>
      <w:r w:rsidR="00AC61E0" w:rsidRPr="00A525D2">
        <w:rPr>
          <w:rtl/>
          <w:lang w:bidi="ar-EG"/>
        </w:rPr>
        <w:t>.</w:t>
      </w:r>
      <w:r w:rsidR="00AC61E0">
        <w:rPr>
          <w:rFonts w:hint="cs"/>
          <w:rtl/>
          <w:lang w:bidi="ar-EG"/>
        </w:rPr>
        <w:t xml:space="preserve"> و</w:t>
      </w:r>
      <w:r w:rsidR="00AC61E0" w:rsidRPr="00A525D2">
        <w:rPr>
          <w:rtl/>
          <w:lang w:bidi="ar-EG"/>
        </w:rPr>
        <w:t>يمكن</w:t>
      </w:r>
      <w:r w:rsidR="00AC61E0">
        <w:rPr>
          <w:rFonts w:hint="cs"/>
          <w:rtl/>
          <w:lang w:bidi="ar-EG"/>
        </w:rPr>
        <w:t xml:space="preserve"> تحقيق</w:t>
      </w:r>
      <w:r w:rsidR="00AC61E0" w:rsidRPr="00A525D2">
        <w:rPr>
          <w:rtl/>
          <w:lang w:bidi="ar-EG"/>
        </w:rPr>
        <w:t xml:space="preserve"> </w:t>
      </w:r>
      <w:r w:rsidR="00AC61E0">
        <w:rPr>
          <w:rFonts w:hint="cs"/>
          <w:rtl/>
          <w:lang w:bidi="ar-EG"/>
        </w:rPr>
        <w:t>تقابل</w:t>
      </w:r>
      <w:r w:rsidR="00AC61E0" w:rsidRPr="00A525D2">
        <w:rPr>
          <w:rtl/>
          <w:lang w:bidi="ar-EG"/>
        </w:rPr>
        <w:t xml:space="preserve"> </w:t>
      </w:r>
      <w:r w:rsidR="00AC61E0">
        <w:rPr>
          <w:rFonts w:hint="cs"/>
          <w:rtl/>
          <w:lang w:bidi="ar-EG"/>
        </w:rPr>
        <w:t xml:space="preserve">بين </w:t>
      </w:r>
      <w:r w:rsidR="00AC61E0" w:rsidRPr="00A525D2">
        <w:rPr>
          <w:rtl/>
          <w:lang w:bidi="ar-EG"/>
        </w:rPr>
        <w:t xml:space="preserve">القدرات التقنية </w:t>
      </w:r>
      <w:r w:rsidR="00AC61E0">
        <w:rPr>
          <w:rFonts w:hint="cs"/>
          <w:rtl/>
          <w:lang w:bidi="ar-EG"/>
        </w:rPr>
        <w:t>وا</w:t>
      </w:r>
      <w:r w:rsidR="00AC61E0" w:rsidRPr="00A525D2">
        <w:rPr>
          <w:rtl/>
          <w:lang w:bidi="ar-EG"/>
        </w:rPr>
        <w:t xml:space="preserve">لسياسات الملائمة لتمكين </w:t>
      </w:r>
      <w:r w:rsidR="00FA7BF5">
        <w:rPr>
          <w:rFonts w:hint="cs"/>
          <w:rtl/>
          <w:lang w:bidi="ar-EG"/>
        </w:rPr>
        <w:t>موردي</w:t>
      </w:r>
      <w:r w:rsidR="00AC61E0" w:rsidRPr="00A525D2">
        <w:rPr>
          <w:rtl/>
          <w:lang w:bidi="ar-EG"/>
        </w:rPr>
        <w:t xml:space="preserve"> الخدمات أو المنظمات </w:t>
      </w:r>
      <w:r w:rsidR="00AC61E0">
        <w:rPr>
          <w:rFonts w:hint="cs"/>
          <w:rtl/>
          <w:lang w:bidi="ar-EG"/>
        </w:rPr>
        <w:t>من</w:t>
      </w:r>
      <w:r w:rsidR="00AC61E0" w:rsidRPr="00A525D2">
        <w:rPr>
          <w:rtl/>
          <w:lang w:bidi="ar-EG"/>
        </w:rPr>
        <w:t xml:space="preserve"> اتخاذ القرارات المناسبة وفقا</w:t>
      </w:r>
      <w:r w:rsidR="00AC61E0">
        <w:rPr>
          <w:rFonts w:hint="cs"/>
          <w:rtl/>
          <w:lang w:bidi="ar-EG"/>
        </w:rPr>
        <w:t>ً</w:t>
      </w:r>
      <w:r w:rsidR="00AC61E0">
        <w:rPr>
          <w:rtl/>
          <w:lang w:bidi="ar-EG"/>
        </w:rPr>
        <w:t xml:space="preserve"> </w:t>
      </w:r>
      <w:r w:rsidR="00AC61E0">
        <w:rPr>
          <w:rFonts w:hint="cs"/>
          <w:rtl/>
          <w:lang w:bidi="ar-EG"/>
        </w:rPr>
        <w:t>للسياسات الخاصة بها.</w:t>
      </w:r>
    </w:p>
    <w:p w:rsidR="00AC61E0" w:rsidRDefault="00AC61E0" w:rsidP="00C763CA">
      <w:pPr>
        <w:rPr>
          <w:spacing w:val="-2"/>
          <w:rtl/>
          <w:lang w:bidi="ar-EG"/>
        </w:rPr>
      </w:pPr>
      <w:r>
        <w:rPr>
          <w:rFonts w:hint="cs"/>
          <w:rtl/>
          <w:lang w:bidi="ar-EG"/>
        </w:rPr>
        <w:t xml:space="preserve">وتحدد هذه التوصية الدفاع بين الشبكات في الوقت الفعلي من خلال سرد البنود ذات الصلة في الوثيقة </w:t>
      </w:r>
      <w:r>
        <w:rPr>
          <w:spacing w:val="-2"/>
          <w:lang w:bidi="ar-EG"/>
        </w:rPr>
        <w:t>RFC 6545</w:t>
      </w:r>
      <w:r>
        <w:rPr>
          <w:rFonts w:hint="cs"/>
          <w:spacing w:val="-2"/>
          <w:rtl/>
          <w:lang w:bidi="ar-SY"/>
        </w:rPr>
        <w:t xml:space="preserve"> </w:t>
      </w:r>
      <w:r>
        <w:rPr>
          <w:rFonts w:hint="cs"/>
          <w:spacing w:val="-2"/>
          <w:rtl/>
          <w:lang w:bidi="ar-EG"/>
        </w:rPr>
        <w:t>وتبيان ما</w:t>
      </w:r>
      <w:r w:rsidR="00C763CA">
        <w:rPr>
          <w:rFonts w:hint="eastAsia"/>
          <w:spacing w:val="-2"/>
          <w:rtl/>
          <w:lang w:bidi="ar-EG"/>
        </w:rPr>
        <w:t> </w:t>
      </w:r>
      <w:r>
        <w:rPr>
          <w:rFonts w:hint="cs"/>
          <w:spacing w:val="-2"/>
          <w:rtl/>
          <w:lang w:bidi="ar-EG"/>
        </w:rPr>
        <w:t>إذا كانت معيارية أو إعلامية.</w:t>
      </w:r>
    </w:p>
    <w:p w:rsidR="00AC61E0" w:rsidRPr="00C763CA" w:rsidRDefault="00AC61E0" w:rsidP="00392D87">
      <w:pPr>
        <w:pStyle w:val="Headingb"/>
        <w:rPr>
          <w:rFonts w:ascii="Times New Roman Bold" w:hAnsi="Times New Roman Bold"/>
          <w:bCs/>
          <w:rtl/>
          <w:lang w:bidi="ar-EG"/>
        </w:rPr>
      </w:pPr>
      <w:r w:rsidRPr="00C763CA">
        <w:rPr>
          <w:rFonts w:ascii="Times New Roman Bold" w:hAnsi="Times New Roman Bold" w:hint="cs"/>
          <w:bCs/>
          <w:rtl/>
          <w:lang w:bidi="ar-EG"/>
        </w:rPr>
        <w:t xml:space="preserve">مشروع التوصية الجديدة </w:t>
      </w:r>
      <w:r w:rsidRPr="00C763CA">
        <w:rPr>
          <w:rFonts w:ascii="Times New Roman Bold" w:hAnsi="Times New Roman Bold"/>
          <w:bCs/>
          <w:lang w:bidi="ar-EG"/>
        </w:rPr>
        <w:t>ITU-T</w:t>
      </w:r>
      <w:r w:rsidR="00392D87">
        <w:rPr>
          <w:rFonts w:ascii="Times New Roman Bold" w:hAnsi="Times New Roman Bold"/>
          <w:bCs/>
          <w:lang w:bidi="ar-EG"/>
        </w:rPr>
        <w:t> </w:t>
      </w:r>
      <w:r w:rsidRPr="00C763CA">
        <w:rPr>
          <w:rFonts w:ascii="Times New Roman Bold" w:hAnsi="Times New Roman Bold"/>
          <w:bCs/>
          <w:lang w:bidi="ar-EG"/>
        </w:rPr>
        <w:t>X.1581 (</w:t>
      </w:r>
      <w:proofErr w:type="spellStart"/>
      <w:r w:rsidRPr="00C763CA">
        <w:rPr>
          <w:rFonts w:ascii="Times New Roman Bold" w:hAnsi="Times New Roman Bold"/>
          <w:bCs/>
          <w:lang w:bidi="ar-EG"/>
        </w:rPr>
        <w:t>X.ridt</w:t>
      </w:r>
      <w:proofErr w:type="spellEnd"/>
      <w:r w:rsidRPr="00C763CA">
        <w:rPr>
          <w:rFonts w:ascii="Times New Roman Bold" w:hAnsi="Times New Roman Bold"/>
          <w:bCs/>
          <w:lang w:bidi="ar-EG"/>
        </w:rPr>
        <w:t>)</w:t>
      </w:r>
      <w:r w:rsidRPr="00C763CA">
        <w:rPr>
          <w:rFonts w:ascii="Times New Roman Bold" w:hAnsi="Times New Roman Bold" w:hint="cs"/>
          <w:bCs/>
          <w:rtl/>
          <w:lang w:bidi="ar-EG"/>
        </w:rPr>
        <w:t>، نقل رسائل الدفاع بين الشبكات في الوقت الفعلي</w:t>
      </w:r>
      <w:r w:rsidRPr="00C763CA">
        <w:rPr>
          <w:rFonts w:ascii="Times New Roman Bold" w:hAnsi="Times New Roman Bold" w:hint="cs"/>
          <w:bCs/>
          <w:rtl/>
          <w:lang w:bidi="ar-EG"/>
        </w:rPr>
        <w:tab/>
      </w:r>
      <w:r w:rsidRPr="00C763CA">
        <w:rPr>
          <w:rFonts w:ascii="Times New Roman Bold" w:hAnsi="Times New Roman Bold"/>
          <w:bCs/>
          <w:rtl/>
          <w:lang w:bidi="ar-EG"/>
        </w:rPr>
        <w:br/>
      </w:r>
      <w:r w:rsidRPr="00C763CA">
        <w:rPr>
          <w:rFonts w:ascii="Times New Roman Bold" w:hAnsi="Times New Roman Bold" w:hint="cs"/>
          <w:bCs/>
          <w:rtl/>
          <w:lang w:bidi="ar-EG"/>
        </w:rPr>
        <w:t xml:space="preserve">الوثيقة </w:t>
      </w:r>
      <w:r w:rsidRPr="00C763CA">
        <w:rPr>
          <w:rFonts w:ascii="Times New Roman Bold" w:hAnsi="Times New Roman Bold"/>
          <w:bCs/>
          <w:lang w:bidi="ar-EG"/>
        </w:rPr>
        <w:t>COM 17</w:t>
      </w:r>
      <w:r w:rsidR="00B7438C">
        <w:rPr>
          <w:rFonts w:ascii="Times New Roman Bold" w:hAnsi="Times New Roman Bold"/>
          <w:bCs/>
          <w:lang w:bidi="ar-EG"/>
        </w:rPr>
        <w:t> </w:t>
      </w:r>
      <w:r w:rsidRPr="00C763CA">
        <w:rPr>
          <w:rFonts w:ascii="Times New Roman Bold" w:hAnsi="Times New Roman Bold"/>
          <w:bCs/>
          <w:lang w:bidi="ar-EG"/>
        </w:rPr>
        <w:noBreakHyphen/>
      </w:r>
      <w:r w:rsidR="00B7438C">
        <w:rPr>
          <w:rFonts w:ascii="Times New Roman Bold" w:hAnsi="Times New Roman Bold"/>
          <w:bCs/>
          <w:lang w:bidi="ar-EG"/>
        </w:rPr>
        <w:t> </w:t>
      </w:r>
      <w:r w:rsidRPr="00C763CA">
        <w:rPr>
          <w:rFonts w:ascii="Times New Roman Bold" w:hAnsi="Times New Roman Bold"/>
          <w:bCs/>
          <w:lang w:bidi="ar-EG"/>
        </w:rPr>
        <w:t>R 58</w:t>
      </w:r>
    </w:p>
    <w:p w:rsidR="00AC61E0" w:rsidRPr="00C763CA" w:rsidRDefault="00AC61E0" w:rsidP="00C763CA">
      <w:pPr>
        <w:pStyle w:val="Headingb"/>
        <w:rPr>
          <w:rFonts w:ascii="Times New Roman Bold" w:hAnsi="Times New Roman Bold"/>
          <w:bCs/>
          <w:rtl/>
          <w:lang w:bidi="ar-EG"/>
        </w:rPr>
      </w:pPr>
      <w:r w:rsidRPr="00C763CA">
        <w:rPr>
          <w:rFonts w:ascii="Times New Roman Bold" w:hAnsi="Times New Roman Bold" w:hint="cs"/>
          <w:bCs/>
          <w:rtl/>
          <w:lang w:bidi="ar-EG"/>
        </w:rPr>
        <w:t>ملخص</w:t>
      </w:r>
    </w:p>
    <w:p w:rsidR="00AC61E0" w:rsidRPr="001052DE" w:rsidRDefault="003637AF" w:rsidP="001052DE">
      <w:pPr>
        <w:rPr>
          <w:spacing w:val="-4"/>
          <w:rtl/>
          <w:lang w:bidi="ar-EG"/>
        </w:rPr>
      </w:pPr>
      <w:r w:rsidRPr="001052DE">
        <w:rPr>
          <w:rFonts w:hint="cs"/>
          <w:spacing w:val="-4"/>
          <w:rtl/>
          <w:lang w:bidi="ar-EG"/>
        </w:rPr>
        <w:t>توصف</w:t>
      </w:r>
      <w:r w:rsidR="00AC61E0" w:rsidRPr="001052DE">
        <w:rPr>
          <w:rFonts w:hint="cs"/>
          <w:spacing w:val="-4"/>
          <w:rtl/>
          <w:lang w:bidi="ar-EG"/>
        </w:rPr>
        <w:t xml:space="preserve"> هذه التوصية بروتوكول نقل من أجل الدفاع بين الشبكات في الوقت الفعلي </w:t>
      </w:r>
      <w:r w:rsidR="00AC61E0" w:rsidRPr="001052DE">
        <w:rPr>
          <w:spacing w:val="-4"/>
          <w:lang w:bidi="ar-EG"/>
        </w:rPr>
        <w:t>(RID)</w:t>
      </w:r>
      <w:r w:rsidR="00AC61E0" w:rsidRPr="001052DE">
        <w:rPr>
          <w:rFonts w:hint="cs"/>
          <w:spacing w:val="-4"/>
          <w:rtl/>
          <w:lang w:bidi="ar-EG"/>
        </w:rPr>
        <w:t xml:space="preserve"> يقوم على نقل الرسائل</w:t>
      </w:r>
      <w:r w:rsidR="00C763CA" w:rsidRPr="001052DE">
        <w:rPr>
          <w:rFonts w:hint="eastAsia"/>
          <w:spacing w:val="-4"/>
          <w:rtl/>
          <w:lang w:bidi="ar-EG"/>
        </w:rPr>
        <w:t> </w:t>
      </w:r>
      <w:r w:rsidR="00AC61E0" w:rsidRPr="001052DE">
        <w:rPr>
          <w:spacing w:val="-4"/>
          <w:lang w:bidi="ar-EG"/>
        </w:rPr>
        <w:t>RID</w:t>
      </w:r>
      <w:r w:rsidR="00AC61E0" w:rsidRPr="001052DE">
        <w:rPr>
          <w:rFonts w:hint="cs"/>
          <w:spacing w:val="-4"/>
          <w:rtl/>
          <w:lang w:bidi="ar-EG"/>
        </w:rPr>
        <w:t xml:space="preserve"> عبر بروتوكول نقل النصوص الترابطية/أمن طبقة النقل </w:t>
      </w:r>
      <w:r w:rsidR="00AC61E0" w:rsidRPr="001052DE">
        <w:rPr>
          <w:spacing w:val="-4"/>
        </w:rPr>
        <w:t>(HTTP/TLS)</w:t>
      </w:r>
      <w:r w:rsidR="00AC61E0" w:rsidRPr="001052DE">
        <w:rPr>
          <w:rFonts w:hint="cs"/>
          <w:spacing w:val="-4"/>
          <w:rtl/>
          <w:lang w:bidi="ar-EG"/>
        </w:rPr>
        <w:t xml:space="preserve">. </w:t>
      </w:r>
      <w:r w:rsidR="00AC61E0" w:rsidRPr="001052DE">
        <w:rPr>
          <w:spacing w:val="-4"/>
          <w:rtl/>
          <w:lang w:bidi="ar-SY"/>
        </w:rPr>
        <w:t xml:space="preserve">ويتحقق ذلك بسرد </w:t>
      </w:r>
      <w:r w:rsidR="00AC61E0" w:rsidRPr="001052DE">
        <w:rPr>
          <w:rFonts w:hint="cs"/>
          <w:spacing w:val="-4"/>
          <w:rtl/>
          <w:lang w:bidi="ar-SY"/>
        </w:rPr>
        <w:t>البنود</w:t>
      </w:r>
      <w:r w:rsidR="00AC61E0" w:rsidRPr="001052DE">
        <w:rPr>
          <w:spacing w:val="-4"/>
          <w:rtl/>
          <w:lang w:bidi="ar-SY"/>
        </w:rPr>
        <w:t xml:space="preserve"> ذات الصلة</w:t>
      </w:r>
      <w:r w:rsidR="00AC61E0" w:rsidRPr="001052DE">
        <w:rPr>
          <w:rFonts w:hint="cs"/>
          <w:spacing w:val="-4"/>
          <w:rtl/>
          <w:lang w:bidi="ar-SY"/>
        </w:rPr>
        <w:t xml:space="preserve"> </w:t>
      </w:r>
      <w:r w:rsidR="00AC61E0" w:rsidRPr="001052DE">
        <w:rPr>
          <w:rFonts w:hint="cs"/>
          <w:spacing w:val="-4"/>
          <w:rtl/>
          <w:lang w:bidi="ar-EG"/>
        </w:rPr>
        <w:t>في</w:t>
      </w:r>
      <w:r w:rsidR="001052DE" w:rsidRPr="001052DE">
        <w:rPr>
          <w:rFonts w:hint="eastAsia"/>
          <w:spacing w:val="-4"/>
          <w:rtl/>
          <w:lang w:bidi="ar-EG"/>
        </w:rPr>
        <w:t> </w:t>
      </w:r>
      <w:r w:rsidR="00AC61E0" w:rsidRPr="001052DE">
        <w:rPr>
          <w:rFonts w:hint="cs"/>
          <w:spacing w:val="-4"/>
          <w:rtl/>
          <w:lang w:bidi="ar-EG"/>
        </w:rPr>
        <w:t>الوثيقة</w:t>
      </w:r>
      <w:r w:rsidR="001052DE" w:rsidRPr="001052DE">
        <w:rPr>
          <w:rFonts w:hint="eastAsia"/>
          <w:spacing w:val="-4"/>
          <w:rtl/>
          <w:lang w:bidi="ar-EG"/>
        </w:rPr>
        <w:t> </w:t>
      </w:r>
      <w:r w:rsidR="00AC61E0" w:rsidRPr="001052DE">
        <w:rPr>
          <w:spacing w:val="-4"/>
          <w:lang w:bidi="ar-EG"/>
        </w:rPr>
        <w:t>RFC 6546</w:t>
      </w:r>
      <w:r w:rsidR="00AC61E0" w:rsidRPr="001052DE">
        <w:rPr>
          <w:rFonts w:hint="cs"/>
          <w:spacing w:val="-4"/>
          <w:rtl/>
          <w:lang w:bidi="ar-SY"/>
        </w:rPr>
        <w:t xml:space="preserve"> </w:t>
      </w:r>
      <w:r w:rsidR="00AC61E0" w:rsidRPr="001052DE">
        <w:rPr>
          <w:rFonts w:hint="cs"/>
          <w:spacing w:val="-4"/>
          <w:rtl/>
          <w:lang w:bidi="ar-EG"/>
        </w:rPr>
        <w:t>وتبيان ما إذا كانت معيارية أو إعلامية.</w:t>
      </w:r>
    </w:p>
    <w:p w:rsidR="00007569" w:rsidRPr="004579B5" w:rsidRDefault="00AC61E0" w:rsidP="00C763CA">
      <w:pPr>
        <w:spacing w:before="600" w:line="240" w:lineRule="auto"/>
        <w:jc w:val="center"/>
        <w:rPr>
          <w:lang w:bidi="ar-EG"/>
        </w:rPr>
      </w:pPr>
      <w:r>
        <w:rPr>
          <w:rFonts w:hint="cs"/>
          <w:rtl/>
          <w:lang w:bidi="ar-EG"/>
        </w:rPr>
        <w:t>__________</w:t>
      </w:r>
    </w:p>
    <w:sectPr w:rsidR="00007569" w:rsidRPr="004579B5" w:rsidSect="00143626">
      <w:headerReference w:type="default" r:id="rId12"/>
      <w:footerReference w:type="default" r:id="rId13"/>
      <w:footerReference w:type="first" r:id="rId14"/>
      <w:pgSz w:w="11901" w:h="16840" w:code="9"/>
      <w:pgMar w:top="1418" w:right="1134" w:bottom="1134" w:left="1134" w:header="567" w:footer="567" w:gutter="0"/>
      <w:paperSrc w:first="15" w:other="15"/>
      <w:pgNumType w:start="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2FA" w:rsidRDefault="00BA32FA">
      <w:r>
        <w:separator/>
      </w:r>
    </w:p>
  </w:endnote>
  <w:endnote w:type="continuationSeparator" w:id="0">
    <w:p w:rsidR="00BA32FA" w:rsidRDefault="00BA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FA" w:rsidRPr="008B0C45" w:rsidRDefault="008B0C45" w:rsidP="008B0C45">
    <w:pPr>
      <w:pStyle w:val="Footer"/>
      <w:bidi w:val="0"/>
      <w:rPr>
        <w:sz w:val="16"/>
        <w:lang w:val="fr-CH"/>
      </w:rPr>
    </w:pPr>
    <w:r>
      <w:rPr>
        <w:sz w:val="16"/>
        <w:lang w:val="fr-CH"/>
      </w:rPr>
      <w:t>ITU-T\BUREAU\CIRC\269A.DOC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143626" w:rsidTr="00FD1773">
      <w:trPr>
        <w:cantSplit/>
      </w:trPr>
      <w:tc>
        <w:tcPr>
          <w:tcW w:w="1062" w:type="pct"/>
          <w:tcBorders>
            <w:top w:val="single" w:sz="6" w:space="0" w:color="auto"/>
          </w:tcBorders>
          <w:tcMar>
            <w:top w:w="57" w:type="dxa"/>
          </w:tcMar>
        </w:tcPr>
        <w:p w:rsidR="00143626" w:rsidRDefault="00143626" w:rsidP="00FD1773">
          <w:pPr>
            <w:pStyle w:val="itu"/>
          </w:pPr>
          <w:r>
            <w:t>Place des Nations</w:t>
          </w:r>
        </w:p>
      </w:tc>
      <w:tc>
        <w:tcPr>
          <w:tcW w:w="1583" w:type="pct"/>
          <w:tcBorders>
            <w:top w:val="single" w:sz="6" w:space="0" w:color="auto"/>
          </w:tcBorders>
          <w:tcMar>
            <w:top w:w="57" w:type="dxa"/>
          </w:tcMar>
        </w:tcPr>
        <w:p w:rsidR="00143626" w:rsidRDefault="00143626" w:rsidP="00FD1773">
          <w:pPr>
            <w:pStyle w:val="itu"/>
          </w:pPr>
          <w:r>
            <w:t>Telephone</w:t>
          </w:r>
          <w:r>
            <w:tab/>
            <w:t>+41 22 730 51 11</w:t>
          </w:r>
        </w:p>
      </w:tc>
      <w:tc>
        <w:tcPr>
          <w:tcW w:w="1224" w:type="pct"/>
          <w:tcBorders>
            <w:top w:val="single" w:sz="6" w:space="0" w:color="auto"/>
          </w:tcBorders>
          <w:tcMar>
            <w:top w:w="57" w:type="dxa"/>
          </w:tcMar>
        </w:tcPr>
        <w:p w:rsidR="00143626" w:rsidRDefault="00143626" w:rsidP="00FD177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43626" w:rsidRDefault="00143626" w:rsidP="00FD1773">
          <w:pPr>
            <w:pStyle w:val="itu"/>
          </w:pPr>
          <w:r>
            <w:t>E-mail:</w:t>
          </w:r>
          <w:r>
            <w:tab/>
            <w:t>itumail@itu.int</w:t>
          </w:r>
        </w:p>
      </w:tc>
    </w:tr>
    <w:tr w:rsidR="00143626" w:rsidTr="00FD1773">
      <w:trPr>
        <w:cantSplit/>
      </w:trPr>
      <w:tc>
        <w:tcPr>
          <w:tcW w:w="1062" w:type="pct"/>
        </w:tcPr>
        <w:p w:rsidR="00143626" w:rsidRPr="008F5E3A" w:rsidRDefault="00143626" w:rsidP="00FD1773">
          <w:pPr>
            <w:pStyle w:val="itu"/>
          </w:pPr>
          <w:r w:rsidRPr="008F5E3A">
            <w:t>CH-1211 Geneva 20</w:t>
          </w:r>
        </w:p>
      </w:tc>
      <w:tc>
        <w:tcPr>
          <w:tcW w:w="1583" w:type="pct"/>
        </w:tcPr>
        <w:p w:rsidR="00143626" w:rsidRPr="008F5E3A" w:rsidRDefault="00143626" w:rsidP="00FD1773">
          <w:pPr>
            <w:pStyle w:val="itu"/>
          </w:pPr>
          <w:r w:rsidRPr="008F5E3A">
            <w:t>Telefax</w:t>
          </w:r>
          <w:r w:rsidRPr="008F5E3A">
            <w:tab/>
            <w:t>Gr3:</w:t>
          </w:r>
          <w:r w:rsidRPr="008F5E3A">
            <w:tab/>
            <w:t>+41 22 733 72 56</w:t>
          </w:r>
        </w:p>
      </w:tc>
      <w:tc>
        <w:tcPr>
          <w:tcW w:w="1224" w:type="pct"/>
        </w:tcPr>
        <w:p w:rsidR="00143626" w:rsidRPr="008F5E3A" w:rsidRDefault="00143626" w:rsidP="00FD1773">
          <w:pPr>
            <w:pStyle w:val="itu"/>
          </w:pPr>
          <w:r w:rsidRPr="008F5E3A">
            <w:t>Telegram ITU GENEVE</w:t>
          </w:r>
        </w:p>
      </w:tc>
      <w:tc>
        <w:tcPr>
          <w:tcW w:w="1131" w:type="pct"/>
        </w:tcPr>
        <w:p w:rsidR="00143626" w:rsidRPr="00724ED5" w:rsidRDefault="00143626" w:rsidP="00FD1773">
          <w:pPr>
            <w:pStyle w:val="itu"/>
            <w:rPr>
              <w:lang w:val="en-US"/>
            </w:rPr>
          </w:pPr>
          <w:r w:rsidRPr="008F5E3A">
            <w:tab/>
          </w:r>
          <w:hyperlink r:id="rId1" w:history="1">
            <w:r w:rsidRPr="0034525D">
              <w:rPr>
                <w:rStyle w:val="Hyperlink"/>
              </w:rPr>
              <w:t>www.itu.int</w:t>
            </w:r>
          </w:hyperlink>
        </w:p>
      </w:tc>
    </w:tr>
    <w:tr w:rsidR="00143626" w:rsidTr="00FD1773">
      <w:trPr>
        <w:cantSplit/>
      </w:trPr>
      <w:tc>
        <w:tcPr>
          <w:tcW w:w="1062" w:type="pct"/>
        </w:tcPr>
        <w:p w:rsidR="00143626" w:rsidRDefault="00143626" w:rsidP="00FD1773">
          <w:pPr>
            <w:pStyle w:val="itu"/>
          </w:pPr>
          <w:r>
            <w:t>Switzerland</w:t>
          </w:r>
        </w:p>
      </w:tc>
      <w:tc>
        <w:tcPr>
          <w:tcW w:w="1583" w:type="pct"/>
        </w:tcPr>
        <w:p w:rsidR="00143626" w:rsidRDefault="00143626" w:rsidP="00FD1773">
          <w:pPr>
            <w:pStyle w:val="itu"/>
          </w:pPr>
          <w:r>
            <w:tab/>
            <w:t>Gr4:</w:t>
          </w:r>
          <w:r>
            <w:tab/>
            <w:t>+41 22 730 65 00</w:t>
          </w:r>
        </w:p>
      </w:tc>
      <w:tc>
        <w:tcPr>
          <w:tcW w:w="1224" w:type="pct"/>
        </w:tcPr>
        <w:p w:rsidR="00143626" w:rsidRDefault="00143626" w:rsidP="00FD1773">
          <w:pPr>
            <w:pStyle w:val="itu"/>
          </w:pPr>
        </w:p>
      </w:tc>
      <w:tc>
        <w:tcPr>
          <w:tcW w:w="1131" w:type="pct"/>
        </w:tcPr>
        <w:p w:rsidR="00143626" w:rsidRDefault="00143626" w:rsidP="00FD1773">
          <w:pPr>
            <w:pStyle w:val="itu"/>
          </w:pPr>
        </w:p>
      </w:tc>
    </w:tr>
  </w:tbl>
  <w:p w:rsidR="00BA32FA" w:rsidRPr="00AE03C4" w:rsidRDefault="00BA32FA" w:rsidP="00143626">
    <w:pPr>
      <w:pStyle w:val="Footer"/>
      <w:bidi w:val="0"/>
      <w:spacing w:before="0"/>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2FA" w:rsidRDefault="00BA32FA">
      <w:r>
        <w:separator/>
      </w:r>
    </w:p>
  </w:footnote>
  <w:footnote w:type="continuationSeparator" w:id="0">
    <w:p w:rsidR="00BA32FA" w:rsidRDefault="00BA3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FA" w:rsidRDefault="00BA32FA"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80FA1">
      <w:rPr>
        <w:rFonts w:cs="Times New Roman"/>
        <w:noProof/>
        <w:szCs w:val="22"/>
      </w:rPr>
      <w:t>6</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525E44"/>
    <w:lvl w:ilvl="0">
      <w:start w:val="1"/>
      <w:numFmt w:val="decimal"/>
      <w:lvlText w:val="%1."/>
      <w:lvlJc w:val="left"/>
      <w:pPr>
        <w:tabs>
          <w:tab w:val="num" w:pos="1492"/>
        </w:tabs>
        <w:ind w:left="1492" w:hanging="360"/>
      </w:pPr>
    </w:lvl>
  </w:abstractNum>
  <w:abstractNum w:abstractNumId="1">
    <w:nsid w:val="FFFFFF7D"/>
    <w:multiLevelType w:val="singleLevel"/>
    <w:tmpl w:val="8D906004"/>
    <w:lvl w:ilvl="0">
      <w:start w:val="1"/>
      <w:numFmt w:val="decimal"/>
      <w:lvlText w:val="%1."/>
      <w:lvlJc w:val="left"/>
      <w:pPr>
        <w:tabs>
          <w:tab w:val="num" w:pos="1209"/>
        </w:tabs>
        <w:ind w:left="1209" w:hanging="360"/>
      </w:pPr>
    </w:lvl>
  </w:abstractNum>
  <w:abstractNum w:abstractNumId="2">
    <w:nsid w:val="FFFFFF7E"/>
    <w:multiLevelType w:val="singleLevel"/>
    <w:tmpl w:val="97C28B90"/>
    <w:lvl w:ilvl="0">
      <w:start w:val="1"/>
      <w:numFmt w:val="decimal"/>
      <w:lvlText w:val="%1."/>
      <w:lvlJc w:val="left"/>
      <w:pPr>
        <w:tabs>
          <w:tab w:val="num" w:pos="926"/>
        </w:tabs>
        <w:ind w:left="926" w:hanging="360"/>
      </w:pPr>
    </w:lvl>
  </w:abstractNum>
  <w:abstractNum w:abstractNumId="3">
    <w:nsid w:val="FFFFFF7F"/>
    <w:multiLevelType w:val="singleLevel"/>
    <w:tmpl w:val="DDE42E38"/>
    <w:lvl w:ilvl="0">
      <w:start w:val="1"/>
      <w:numFmt w:val="decimal"/>
      <w:lvlText w:val="%1."/>
      <w:lvlJc w:val="left"/>
      <w:pPr>
        <w:tabs>
          <w:tab w:val="num" w:pos="643"/>
        </w:tabs>
        <w:ind w:left="643" w:hanging="360"/>
      </w:pPr>
    </w:lvl>
  </w:abstractNum>
  <w:abstractNum w:abstractNumId="4">
    <w:nsid w:val="FFFFFF80"/>
    <w:multiLevelType w:val="singleLevel"/>
    <w:tmpl w:val="9564B2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86A9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968D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C0D2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2A1D48"/>
    <w:lvl w:ilvl="0">
      <w:start w:val="1"/>
      <w:numFmt w:val="decimal"/>
      <w:lvlText w:val="%1."/>
      <w:lvlJc w:val="left"/>
      <w:pPr>
        <w:tabs>
          <w:tab w:val="num" w:pos="360"/>
        </w:tabs>
        <w:ind w:left="360" w:hanging="360"/>
      </w:pPr>
    </w:lvl>
  </w:abstractNum>
  <w:abstractNum w:abstractNumId="9">
    <w:nsid w:val="FFFFFF89"/>
    <w:multiLevelType w:val="singleLevel"/>
    <w:tmpl w:val="D542FC0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26"/>
    <w:rsid w:val="00007569"/>
    <w:rsid w:val="00012BDE"/>
    <w:rsid w:val="000132B7"/>
    <w:rsid w:val="00020DB7"/>
    <w:rsid w:val="000260D5"/>
    <w:rsid w:val="000302D3"/>
    <w:rsid w:val="000440C4"/>
    <w:rsid w:val="000525E5"/>
    <w:rsid w:val="000637D6"/>
    <w:rsid w:val="0006455A"/>
    <w:rsid w:val="00064EC5"/>
    <w:rsid w:val="00073E7E"/>
    <w:rsid w:val="000757BF"/>
    <w:rsid w:val="00075D90"/>
    <w:rsid w:val="00076A45"/>
    <w:rsid w:val="00081D8A"/>
    <w:rsid w:val="000A3EFF"/>
    <w:rsid w:val="000A7621"/>
    <w:rsid w:val="000C2FB2"/>
    <w:rsid w:val="000D3455"/>
    <w:rsid w:val="000D3F69"/>
    <w:rsid w:val="000D6000"/>
    <w:rsid w:val="000E0647"/>
    <w:rsid w:val="000E52D1"/>
    <w:rsid w:val="000F61D5"/>
    <w:rsid w:val="0010144A"/>
    <w:rsid w:val="001014A9"/>
    <w:rsid w:val="001052DE"/>
    <w:rsid w:val="001132C8"/>
    <w:rsid w:val="00127FFE"/>
    <w:rsid w:val="00133BF7"/>
    <w:rsid w:val="001401E7"/>
    <w:rsid w:val="00143626"/>
    <w:rsid w:val="00150879"/>
    <w:rsid w:val="001523BE"/>
    <w:rsid w:val="0016239F"/>
    <w:rsid w:val="00171E80"/>
    <w:rsid w:val="00180899"/>
    <w:rsid w:val="00180FA1"/>
    <w:rsid w:val="001919D1"/>
    <w:rsid w:val="0019658A"/>
    <w:rsid w:val="001A5641"/>
    <w:rsid w:val="001A5E10"/>
    <w:rsid w:val="001B5908"/>
    <w:rsid w:val="001C0EF6"/>
    <w:rsid w:val="001C7ECA"/>
    <w:rsid w:val="001D1DF8"/>
    <w:rsid w:val="001D39B3"/>
    <w:rsid w:val="001D3E3A"/>
    <w:rsid w:val="001D6103"/>
    <w:rsid w:val="001D6F02"/>
    <w:rsid w:val="001E782B"/>
    <w:rsid w:val="001F1051"/>
    <w:rsid w:val="001F6CD8"/>
    <w:rsid w:val="00201E08"/>
    <w:rsid w:val="0020561C"/>
    <w:rsid w:val="0021011A"/>
    <w:rsid w:val="00211671"/>
    <w:rsid w:val="00213FD5"/>
    <w:rsid w:val="00214741"/>
    <w:rsid w:val="0022041F"/>
    <w:rsid w:val="00224522"/>
    <w:rsid w:val="002313E7"/>
    <w:rsid w:val="00231DDD"/>
    <w:rsid w:val="002330BE"/>
    <w:rsid w:val="00235C8A"/>
    <w:rsid w:val="00246AD0"/>
    <w:rsid w:val="00247D96"/>
    <w:rsid w:val="00247D9B"/>
    <w:rsid w:val="00250DC3"/>
    <w:rsid w:val="00252705"/>
    <w:rsid w:val="002561C9"/>
    <w:rsid w:val="00256EA5"/>
    <w:rsid w:val="00264241"/>
    <w:rsid w:val="00270797"/>
    <w:rsid w:val="00270C7D"/>
    <w:rsid w:val="00274B47"/>
    <w:rsid w:val="00286E0F"/>
    <w:rsid w:val="00293F7E"/>
    <w:rsid w:val="002947F9"/>
    <w:rsid w:val="00295451"/>
    <w:rsid w:val="002A7665"/>
    <w:rsid w:val="002B0756"/>
    <w:rsid w:val="002B40C4"/>
    <w:rsid w:val="002B45A1"/>
    <w:rsid w:val="002B634D"/>
    <w:rsid w:val="002C208D"/>
    <w:rsid w:val="002C233F"/>
    <w:rsid w:val="002C5576"/>
    <w:rsid w:val="002C5F64"/>
    <w:rsid w:val="002D2191"/>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03DD"/>
    <w:rsid w:val="003637AF"/>
    <w:rsid w:val="00363805"/>
    <w:rsid w:val="00363E8E"/>
    <w:rsid w:val="00370DF8"/>
    <w:rsid w:val="00392D87"/>
    <w:rsid w:val="00393E7C"/>
    <w:rsid w:val="003B2C5F"/>
    <w:rsid w:val="003B459A"/>
    <w:rsid w:val="003C2AC9"/>
    <w:rsid w:val="003D56B1"/>
    <w:rsid w:val="003E051B"/>
    <w:rsid w:val="003E1CF6"/>
    <w:rsid w:val="003E32A8"/>
    <w:rsid w:val="003E6B7D"/>
    <w:rsid w:val="004067A6"/>
    <w:rsid w:val="00417512"/>
    <w:rsid w:val="00417A27"/>
    <w:rsid w:val="00422171"/>
    <w:rsid w:val="004221D4"/>
    <w:rsid w:val="00425397"/>
    <w:rsid w:val="00431A19"/>
    <w:rsid w:val="004331B3"/>
    <w:rsid w:val="00433C4F"/>
    <w:rsid w:val="00453D64"/>
    <w:rsid w:val="0045475A"/>
    <w:rsid w:val="004558BF"/>
    <w:rsid w:val="004579B5"/>
    <w:rsid w:val="004603FF"/>
    <w:rsid w:val="00460C4B"/>
    <w:rsid w:val="00461C8D"/>
    <w:rsid w:val="00471EC0"/>
    <w:rsid w:val="00474AAB"/>
    <w:rsid w:val="00492FAD"/>
    <w:rsid w:val="0049418C"/>
    <w:rsid w:val="00496580"/>
    <w:rsid w:val="004A0F33"/>
    <w:rsid w:val="004A16FA"/>
    <w:rsid w:val="004A510C"/>
    <w:rsid w:val="004A52B4"/>
    <w:rsid w:val="004A7A1A"/>
    <w:rsid w:val="004B49B9"/>
    <w:rsid w:val="004E1059"/>
    <w:rsid w:val="004E4BB7"/>
    <w:rsid w:val="004F3D50"/>
    <w:rsid w:val="004F7261"/>
    <w:rsid w:val="0051132E"/>
    <w:rsid w:val="00511394"/>
    <w:rsid w:val="00523B5B"/>
    <w:rsid w:val="00535CA0"/>
    <w:rsid w:val="00537B94"/>
    <w:rsid w:val="005429E9"/>
    <w:rsid w:val="00543D04"/>
    <w:rsid w:val="0054515F"/>
    <w:rsid w:val="00550F45"/>
    <w:rsid w:val="00553969"/>
    <w:rsid w:val="005570E4"/>
    <w:rsid w:val="0057474C"/>
    <w:rsid w:val="00575402"/>
    <w:rsid w:val="00575B6C"/>
    <w:rsid w:val="0058156E"/>
    <w:rsid w:val="005821D3"/>
    <w:rsid w:val="00586F78"/>
    <w:rsid w:val="00591E68"/>
    <w:rsid w:val="005960F3"/>
    <w:rsid w:val="005A6657"/>
    <w:rsid w:val="005C447D"/>
    <w:rsid w:val="005D467E"/>
    <w:rsid w:val="005D488B"/>
    <w:rsid w:val="005E007E"/>
    <w:rsid w:val="005F33FD"/>
    <w:rsid w:val="006011E0"/>
    <w:rsid w:val="0060203A"/>
    <w:rsid w:val="00605E96"/>
    <w:rsid w:val="006101B9"/>
    <w:rsid w:val="00614F3F"/>
    <w:rsid w:val="00633EB6"/>
    <w:rsid w:val="006344E2"/>
    <w:rsid w:val="00637FB5"/>
    <w:rsid w:val="0064259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105"/>
    <w:rsid w:val="006C1530"/>
    <w:rsid w:val="006C4FFB"/>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45A4"/>
    <w:rsid w:val="007B5E75"/>
    <w:rsid w:val="007C1AEA"/>
    <w:rsid w:val="007F0AC6"/>
    <w:rsid w:val="0080133D"/>
    <w:rsid w:val="008041A7"/>
    <w:rsid w:val="00811121"/>
    <w:rsid w:val="00811542"/>
    <w:rsid w:val="008165EA"/>
    <w:rsid w:val="0081722F"/>
    <w:rsid w:val="008226F2"/>
    <w:rsid w:val="0082500A"/>
    <w:rsid w:val="0082673E"/>
    <w:rsid w:val="00830F86"/>
    <w:rsid w:val="00852573"/>
    <w:rsid w:val="00866CFB"/>
    <w:rsid w:val="0087077B"/>
    <w:rsid w:val="00875870"/>
    <w:rsid w:val="00876CC0"/>
    <w:rsid w:val="00883E59"/>
    <w:rsid w:val="00886A0C"/>
    <w:rsid w:val="008A11AB"/>
    <w:rsid w:val="008B0C45"/>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21AD"/>
    <w:rsid w:val="009F0B10"/>
    <w:rsid w:val="009F4B09"/>
    <w:rsid w:val="00A14ADB"/>
    <w:rsid w:val="00A22222"/>
    <w:rsid w:val="00A26EA0"/>
    <w:rsid w:val="00A55013"/>
    <w:rsid w:val="00A6296D"/>
    <w:rsid w:val="00A655AC"/>
    <w:rsid w:val="00A77701"/>
    <w:rsid w:val="00A82313"/>
    <w:rsid w:val="00A83A6D"/>
    <w:rsid w:val="00A90460"/>
    <w:rsid w:val="00A95BF9"/>
    <w:rsid w:val="00A9673C"/>
    <w:rsid w:val="00A96CD8"/>
    <w:rsid w:val="00AA0DC1"/>
    <w:rsid w:val="00AA1F42"/>
    <w:rsid w:val="00AB063E"/>
    <w:rsid w:val="00AB321E"/>
    <w:rsid w:val="00AB5A96"/>
    <w:rsid w:val="00AC61E0"/>
    <w:rsid w:val="00AD28DD"/>
    <w:rsid w:val="00B06EFE"/>
    <w:rsid w:val="00B10464"/>
    <w:rsid w:val="00B14AEF"/>
    <w:rsid w:val="00B204CB"/>
    <w:rsid w:val="00B22847"/>
    <w:rsid w:val="00B232BD"/>
    <w:rsid w:val="00B269E5"/>
    <w:rsid w:val="00B40910"/>
    <w:rsid w:val="00B426C0"/>
    <w:rsid w:val="00B51184"/>
    <w:rsid w:val="00B52418"/>
    <w:rsid w:val="00B53712"/>
    <w:rsid w:val="00B57363"/>
    <w:rsid w:val="00B73D95"/>
    <w:rsid w:val="00B7438C"/>
    <w:rsid w:val="00B7558A"/>
    <w:rsid w:val="00B765C6"/>
    <w:rsid w:val="00B77254"/>
    <w:rsid w:val="00B805FD"/>
    <w:rsid w:val="00B80951"/>
    <w:rsid w:val="00B80A6A"/>
    <w:rsid w:val="00B85152"/>
    <w:rsid w:val="00BA32FA"/>
    <w:rsid w:val="00BB2862"/>
    <w:rsid w:val="00BB3AA1"/>
    <w:rsid w:val="00BB639B"/>
    <w:rsid w:val="00BC45BA"/>
    <w:rsid w:val="00BC683A"/>
    <w:rsid w:val="00BD225D"/>
    <w:rsid w:val="00BD2A33"/>
    <w:rsid w:val="00BD51F1"/>
    <w:rsid w:val="00BE7C26"/>
    <w:rsid w:val="00C00AAF"/>
    <w:rsid w:val="00C16CB6"/>
    <w:rsid w:val="00C335A4"/>
    <w:rsid w:val="00C33D50"/>
    <w:rsid w:val="00C42FC9"/>
    <w:rsid w:val="00C47940"/>
    <w:rsid w:val="00C5355E"/>
    <w:rsid w:val="00C53A1D"/>
    <w:rsid w:val="00C5483C"/>
    <w:rsid w:val="00C56944"/>
    <w:rsid w:val="00C66212"/>
    <w:rsid w:val="00C67A47"/>
    <w:rsid w:val="00C714FF"/>
    <w:rsid w:val="00C7616B"/>
    <w:rsid w:val="00C763CA"/>
    <w:rsid w:val="00C766C5"/>
    <w:rsid w:val="00C96833"/>
    <w:rsid w:val="00CB079A"/>
    <w:rsid w:val="00CB63B9"/>
    <w:rsid w:val="00CC0E5D"/>
    <w:rsid w:val="00CC30F9"/>
    <w:rsid w:val="00CD3457"/>
    <w:rsid w:val="00CD49DF"/>
    <w:rsid w:val="00CE2555"/>
    <w:rsid w:val="00CE7C57"/>
    <w:rsid w:val="00CF1B69"/>
    <w:rsid w:val="00CF2045"/>
    <w:rsid w:val="00CF4610"/>
    <w:rsid w:val="00CF7EA1"/>
    <w:rsid w:val="00D01229"/>
    <w:rsid w:val="00D07074"/>
    <w:rsid w:val="00D119B1"/>
    <w:rsid w:val="00D16C82"/>
    <w:rsid w:val="00D177A6"/>
    <w:rsid w:val="00D20AE5"/>
    <w:rsid w:val="00D2765F"/>
    <w:rsid w:val="00D32283"/>
    <w:rsid w:val="00D34A31"/>
    <w:rsid w:val="00D36DE5"/>
    <w:rsid w:val="00D45212"/>
    <w:rsid w:val="00D57797"/>
    <w:rsid w:val="00D61F2A"/>
    <w:rsid w:val="00D61F3A"/>
    <w:rsid w:val="00D668E2"/>
    <w:rsid w:val="00D807A7"/>
    <w:rsid w:val="00D82615"/>
    <w:rsid w:val="00D82763"/>
    <w:rsid w:val="00D84854"/>
    <w:rsid w:val="00D86402"/>
    <w:rsid w:val="00D87242"/>
    <w:rsid w:val="00D90360"/>
    <w:rsid w:val="00DA07ED"/>
    <w:rsid w:val="00DA1155"/>
    <w:rsid w:val="00DA55BB"/>
    <w:rsid w:val="00DB0549"/>
    <w:rsid w:val="00DC2200"/>
    <w:rsid w:val="00DC4DC2"/>
    <w:rsid w:val="00DC5505"/>
    <w:rsid w:val="00DE3A97"/>
    <w:rsid w:val="00DE4D41"/>
    <w:rsid w:val="00DE6116"/>
    <w:rsid w:val="00DE76C6"/>
    <w:rsid w:val="00DE7845"/>
    <w:rsid w:val="00DF0B2F"/>
    <w:rsid w:val="00E11642"/>
    <w:rsid w:val="00E11980"/>
    <w:rsid w:val="00E14185"/>
    <w:rsid w:val="00E24356"/>
    <w:rsid w:val="00E25C6C"/>
    <w:rsid w:val="00E27501"/>
    <w:rsid w:val="00E32073"/>
    <w:rsid w:val="00E36E54"/>
    <w:rsid w:val="00E4218D"/>
    <w:rsid w:val="00E448CA"/>
    <w:rsid w:val="00E507D1"/>
    <w:rsid w:val="00E529E7"/>
    <w:rsid w:val="00E61E5B"/>
    <w:rsid w:val="00E64B81"/>
    <w:rsid w:val="00E65A50"/>
    <w:rsid w:val="00E76382"/>
    <w:rsid w:val="00E764D9"/>
    <w:rsid w:val="00E7666B"/>
    <w:rsid w:val="00E80F95"/>
    <w:rsid w:val="00E96B35"/>
    <w:rsid w:val="00EA5B6B"/>
    <w:rsid w:val="00EA722D"/>
    <w:rsid w:val="00EB0C3C"/>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2320"/>
    <w:rsid w:val="00F23FC1"/>
    <w:rsid w:val="00F318DD"/>
    <w:rsid w:val="00F43260"/>
    <w:rsid w:val="00F53552"/>
    <w:rsid w:val="00F64182"/>
    <w:rsid w:val="00F65153"/>
    <w:rsid w:val="00F6643D"/>
    <w:rsid w:val="00F6747C"/>
    <w:rsid w:val="00F70E06"/>
    <w:rsid w:val="00F71475"/>
    <w:rsid w:val="00F71CA3"/>
    <w:rsid w:val="00F76437"/>
    <w:rsid w:val="00F856AD"/>
    <w:rsid w:val="00F877C1"/>
    <w:rsid w:val="00F91BE5"/>
    <w:rsid w:val="00F968D5"/>
    <w:rsid w:val="00FA5DF5"/>
    <w:rsid w:val="00FA6851"/>
    <w:rsid w:val="00FA7BF5"/>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AC61E0"/>
    <w:pPr>
      <w:spacing w:before="240" w:after="120"/>
      <w:jc w:val="center"/>
    </w:pPr>
    <w:rPr>
      <w:rFonts w:ascii="Times New Roman Bold" w:hAnsi="Times New Roman Bold"/>
      <w:b/>
      <w:bCs/>
      <w:sz w:val="26"/>
      <w:szCs w:val="36"/>
    </w:rPr>
  </w:style>
  <w:style w:type="paragraph" w:customStyle="1" w:styleId="Headingb">
    <w:name w:val="Heading_b"/>
    <w:basedOn w:val="Normal"/>
    <w:next w:val="Normal"/>
    <w:rsid w:val="00B426C0"/>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 w:type="paragraph" w:customStyle="1" w:styleId="enumlev2">
    <w:name w:val="enumlev2"/>
    <w:basedOn w:val="Normal"/>
    <w:rsid w:val="00C763CA"/>
    <w:pPr>
      <w:tabs>
        <w:tab w:val="left" w:pos="794"/>
        <w:tab w:val="left" w:pos="1191"/>
        <w:tab w:val="left" w:pos="1588"/>
        <w:tab w:val="left" w:pos="1985"/>
      </w:tabs>
      <w:overflowPunct w:val="0"/>
      <w:autoSpaceDE w:val="0"/>
      <w:autoSpaceDN w:val="0"/>
      <w:adjustRightInd w:val="0"/>
      <w:spacing w:before="80"/>
      <w:ind w:left="1191" w:right="1191" w:hanging="397"/>
      <w:textAlignment w:val="baseline"/>
    </w:pPr>
    <w:rPr>
      <w:lang w:val="en-GB"/>
    </w:rPr>
  </w:style>
  <w:style w:type="paragraph" w:customStyle="1" w:styleId="enumlev1After0cm">
    <w:name w:val="enumlev1 + After:  0 cm"/>
    <w:basedOn w:val="enumlev2"/>
    <w:rsid w:val="00F6643D"/>
    <w:pPr>
      <w:tabs>
        <w:tab w:val="clear" w:pos="1191"/>
        <w:tab w:val="clear" w:pos="1588"/>
        <w:tab w:val="clear" w:pos="1985"/>
      </w:tabs>
      <w:ind w:left="794" w:right="0" w:hanging="794"/>
    </w:pPr>
    <w:rPr>
      <w:lang w:bidi="ar-EG"/>
    </w:rPr>
  </w:style>
  <w:style w:type="character" w:styleId="FollowedHyperlink">
    <w:name w:val="FollowedHyperlink"/>
    <w:basedOn w:val="DefaultParagraphFont"/>
    <w:rsid w:val="008B0C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qFormat/>
    <w:rsid w:val="00AC61E0"/>
    <w:pPr>
      <w:spacing w:before="240" w:after="120"/>
      <w:jc w:val="center"/>
    </w:pPr>
    <w:rPr>
      <w:rFonts w:ascii="Times New Roman Bold" w:hAnsi="Times New Roman Bold"/>
      <w:b/>
      <w:bCs/>
      <w:sz w:val="26"/>
      <w:szCs w:val="36"/>
    </w:rPr>
  </w:style>
  <w:style w:type="paragraph" w:customStyle="1" w:styleId="Headingb">
    <w:name w:val="Heading_b"/>
    <w:basedOn w:val="Normal"/>
    <w:next w:val="Normal"/>
    <w:rsid w:val="00B426C0"/>
    <w:pPr>
      <w:keepNext/>
      <w:tabs>
        <w:tab w:val="left" w:pos="794"/>
        <w:tab w:val="left" w:pos="1191"/>
        <w:tab w:val="left" w:pos="1588"/>
        <w:tab w:val="left" w:pos="1985"/>
      </w:tabs>
      <w:overflowPunct w:val="0"/>
      <w:autoSpaceDE w:val="0"/>
      <w:autoSpaceDN w:val="0"/>
      <w:adjustRightInd w:val="0"/>
      <w:spacing w:before="160"/>
      <w:textAlignment w:val="baseline"/>
    </w:pPr>
    <w:rPr>
      <w:b/>
      <w:lang w:val="en-GB"/>
    </w:rPr>
  </w:style>
  <w:style w:type="paragraph" w:customStyle="1" w:styleId="enumlev2">
    <w:name w:val="enumlev2"/>
    <w:basedOn w:val="Normal"/>
    <w:rsid w:val="00C763CA"/>
    <w:pPr>
      <w:tabs>
        <w:tab w:val="left" w:pos="794"/>
        <w:tab w:val="left" w:pos="1191"/>
        <w:tab w:val="left" w:pos="1588"/>
        <w:tab w:val="left" w:pos="1985"/>
      </w:tabs>
      <w:overflowPunct w:val="0"/>
      <w:autoSpaceDE w:val="0"/>
      <w:autoSpaceDN w:val="0"/>
      <w:adjustRightInd w:val="0"/>
      <w:spacing w:before="80"/>
      <w:ind w:left="1191" w:right="1191" w:hanging="397"/>
      <w:textAlignment w:val="baseline"/>
    </w:pPr>
    <w:rPr>
      <w:lang w:val="en-GB"/>
    </w:rPr>
  </w:style>
  <w:style w:type="paragraph" w:customStyle="1" w:styleId="enumlev1After0cm">
    <w:name w:val="enumlev1 + After:  0 cm"/>
    <w:basedOn w:val="enumlev2"/>
    <w:rsid w:val="00F6643D"/>
    <w:pPr>
      <w:tabs>
        <w:tab w:val="clear" w:pos="1191"/>
        <w:tab w:val="clear" w:pos="1588"/>
        <w:tab w:val="clear" w:pos="1985"/>
      </w:tabs>
      <w:ind w:left="794" w:right="0" w:hanging="794"/>
    </w:pPr>
    <w:rPr>
      <w:lang w:bidi="ar-EG"/>
    </w:rPr>
  </w:style>
  <w:style w:type="character" w:styleId="FollowedHyperlink">
    <w:name w:val="FollowedHyperlink"/>
    <w:basedOn w:val="DefaultParagraphFont"/>
    <w:rsid w:val="008B0C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13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0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E8143-6C96-4865-B4A7-540EA5B9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0</TotalTime>
  <Pages>6</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11926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vv</dc:creator>
  <cp:lastModifiedBy>Bettini, Nadine</cp:lastModifiedBy>
  <cp:revision>2</cp:revision>
  <cp:lastPrinted>2012-03-16T08:56:00Z</cp:lastPrinted>
  <dcterms:created xsi:type="dcterms:W3CDTF">2012-03-26T08:00:00Z</dcterms:created>
  <dcterms:modified xsi:type="dcterms:W3CDTF">2012-03-26T08:00:00Z</dcterms:modified>
</cp:coreProperties>
</file>