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DC5505" w:rsidRPr="00C56944" w:rsidTr="001631E7">
        <w:trPr>
          <w:cantSplit/>
        </w:trPr>
        <w:tc>
          <w:tcPr>
            <w:tcW w:w="6803" w:type="dxa"/>
            <w:vAlign w:val="center"/>
          </w:tcPr>
          <w:p w:rsidR="00DC5505" w:rsidRPr="00BB168F" w:rsidRDefault="00DC5505" w:rsidP="00CF1B69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DC5505" w:rsidRPr="00C56944" w:rsidRDefault="00DC5505" w:rsidP="00CF1B69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4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05" w:rsidRPr="00617BE4" w:rsidTr="00CF1B69">
        <w:trPr>
          <w:cantSplit/>
        </w:trPr>
        <w:tc>
          <w:tcPr>
            <w:tcW w:w="6803" w:type="dxa"/>
          </w:tcPr>
          <w:p w:rsidR="00DC5505" w:rsidRPr="00617BE4" w:rsidRDefault="00DC5505" w:rsidP="00CF1B69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DC5505" w:rsidRPr="00617BE4" w:rsidRDefault="00DC5505" w:rsidP="00CF1B6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287340" w:rsidRDefault="00287340"/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جنيف،</w:t>
            </w:r>
            <w:r w:rsidR="00072143">
              <w:rPr>
                <w:rFonts w:hint="cs"/>
                <w:rtl/>
              </w:rPr>
              <w:t xml:space="preserve"> </w:t>
            </w:r>
            <w:r w:rsidR="00072143">
              <w:t>16</w:t>
            </w:r>
            <w:r w:rsidR="00072143">
              <w:rPr>
                <w:rFonts w:hint="cs"/>
                <w:rtl/>
              </w:rPr>
              <w:t xml:space="preserve"> </w:t>
            </w:r>
            <w:proofErr w:type="gramStart"/>
            <w:r w:rsidR="00072143">
              <w:rPr>
                <w:rFonts w:hint="cs"/>
                <w:rtl/>
              </w:rPr>
              <w:t>سبتمبر</w:t>
            </w:r>
            <w:proofErr w:type="gramEnd"/>
            <w:r w:rsidR="00072143">
              <w:rPr>
                <w:rFonts w:hint="cs"/>
                <w:rtl/>
              </w:rPr>
              <w:t> </w:t>
            </w:r>
            <w:r w:rsidR="00072143">
              <w:t>2011</w:t>
            </w:r>
          </w:p>
          <w:p w:rsidR="00DC5505" w:rsidRPr="00DC5505" w:rsidRDefault="00DC5505" w:rsidP="009B5009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DC5505" w:rsidRPr="00DC5505" w:rsidTr="00CF1B69">
        <w:trPr>
          <w:cantSplit/>
          <w:trHeight w:val="340"/>
          <w:jc w:val="center"/>
        </w:trPr>
        <w:tc>
          <w:tcPr>
            <w:tcW w:w="1533" w:type="dxa"/>
          </w:tcPr>
          <w:p w:rsidR="00DC5505" w:rsidRPr="00DC5505" w:rsidRDefault="00DC5505" w:rsidP="00CF1B69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DC5505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DC5505" w:rsidRPr="00DC5505" w:rsidRDefault="00CF1B69" w:rsidP="00FF7CD7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>
              <w:rPr>
                <w:b/>
              </w:rPr>
              <w:t>TSB</w:t>
            </w:r>
            <w:r w:rsidR="004F3D50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FF7CD7">
              <w:rPr>
                <w:b/>
              </w:rPr>
              <w:t>231</w:t>
            </w:r>
          </w:p>
          <w:p w:rsidR="00DC5505" w:rsidRPr="00DC5505" w:rsidRDefault="00DC5505" w:rsidP="00FF7CD7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</w:rPr>
            </w:pPr>
            <w:r w:rsidRPr="00DC5505">
              <w:rPr>
                <w:bCs/>
              </w:rPr>
              <w:t>COM</w:t>
            </w:r>
            <w:r w:rsidR="00FF7CD7">
              <w:rPr>
                <w:bCs/>
              </w:rPr>
              <w:t xml:space="preserve"> 15/GJ</w:t>
            </w:r>
          </w:p>
        </w:tc>
        <w:tc>
          <w:tcPr>
            <w:tcW w:w="4760" w:type="dxa"/>
          </w:tcPr>
          <w:p w:rsidR="00DC5505" w:rsidRPr="00DC5505" w:rsidRDefault="00DC5505" w:rsidP="009B5009">
            <w:pPr>
              <w:numPr>
                <w:ilvl w:val="0"/>
                <w:numId w:val="1"/>
              </w:numPr>
              <w:tabs>
                <w:tab w:val="left" w:pos="284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DC5505">
              <w:rPr>
                <w:rFonts w:hint="cs"/>
                <w:rtl/>
              </w:rPr>
              <w:t>الأعضاء</w:t>
            </w:r>
            <w:proofErr w:type="gramEnd"/>
            <w:r w:rsidRPr="00DC5505">
              <w:rPr>
                <w:rFonts w:hint="cs"/>
                <w:rtl/>
              </w:rPr>
              <w:t xml:space="preserve"> في الاتحاد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DC5505" w:rsidRPr="00DC5505" w:rsidTr="00CF1B69">
        <w:trPr>
          <w:cantSplit/>
          <w:jc w:val="center"/>
        </w:trPr>
        <w:tc>
          <w:tcPr>
            <w:tcW w:w="1533" w:type="dxa"/>
          </w:tcPr>
          <w:p w:rsidR="00DC5505" w:rsidRPr="00DC5505" w:rsidRDefault="00DC5505" w:rsidP="007437F9">
            <w:pPr>
              <w:spacing w:before="60" w:after="60" w:line="300" w:lineRule="exact"/>
              <w:ind w:left="57"/>
            </w:pPr>
            <w:r w:rsidRPr="00DC5505">
              <w:rPr>
                <w:rFonts w:hint="cs"/>
                <w:rtl/>
                <w:lang w:bidi="ar-SY"/>
              </w:rPr>
              <w:t>الهاتف</w:t>
            </w:r>
            <w:r w:rsidRPr="00DC5505">
              <w:rPr>
                <w:rFonts w:hint="cs"/>
                <w:rtl/>
              </w:rPr>
              <w:t>:</w:t>
            </w:r>
            <w:r w:rsidR="007437F9">
              <w:rPr>
                <w:rtl/>
              </w:rPr>
              <w:br/>
            </w:r>
            <w:proofErr w:type="gramStart"/>
            <w:r w:rsidRPr="00DC5505">
              <w:rPr>
                <w:rFonts w:hint="cs"/>
                <w:rtl/>
              </w:rPr>
              <w:t>الفاكس</w:t>
            </w:r>
            <w:proofErr w:type="gramEnd"/>
            <w:r w:rsidRPr="00DC5505">
              <w:rPr>
                <w:rFonts w:hint="cs"/>
                <w:rtl/>
              </w:rPr>
              <w:t>:</w:t>
            </w:r>
            <w:r w:rsidR="007437F9">
              <w:rPr>
                <w:rFonts w:hint="cs"/>
                <w:rtl/>
              </w:rPr>
              <w:br/>
            </w:r>
            <w:r w:rsidRPr="00DC550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DC5505" w:rsidRPr="00DC5505" w:rsidRDefault="00FF7CD7" w:rsidP="000B497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</w:rPr>
            </w:pPr>
            <w:r w:rsidRPr="00FF7CD7">
              <w:rPr>
                <w:lang w:val="pt-BR"/>
              </w:rPr>
              <w:t xml:space="preserve">+41 22 730 </w:t>
            </w:r>
            <w:r w:rsidRPr="00FF7CD7">
              <w:rPr>
                <w:rFonts w:hint="eastAsia"/>
                <w:lang w:val="pt-BR"/>
              </w:rPr>
              <w:t>6356</w:t>
            </w:r>
            <w:r w:rsidR="007437F9">
              <w:rPr>
                <w:rtl/>
                <w:lang w:bidi="ar-EG"/>
              </w:rPr>
              <w:br/>
            </w:r>
            <w:r w:rsidRPr="00FF7CD7">
              <w:rPr>
                <w:lang w:val="pt-BR"/>
              </w:rPr>
              <w:t>+41 22 730 5853</w:t>
            </w:r>
            <w:r w:rsidR="007437F9">
              <w:rPr>
                <w:rtl/>
              </w:rPr>
              <w:br/>
            </w:r>
            <w:hyperlink r:id="rId10" w:history="1">
              <w:r w:rsidR="000B4978" w:rsidRPr="000B4978">
                <w:rPr>
                  <w:rStyle w:val="Hyperlink"/>
                  <w:lang w:val="en-GB"/>
                </w:rPr>
                <w:t>tsbsg15@itu.int</w:t>
              </w:r>
            </w:hyperlink>
          </w:p>
        </w:tc>
        <w:tc>
          <w:tcPr>
            <w:tcW w:w="4760" w:type="dxa"/>
          </w:tcPr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proofErr w:type="gramStart"/>
            <w:r w:rsidRPr="00DC5505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DC5505">
              <w:rPr>
                <w:rFonts w:hint="cs"/>
                <w:b/>
                <w:bCs/>
                <w:rtl/>
              </w:rPr>
              <w:t xml:space="preserve"> إلى: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أعضاء قطاع تقييس الاتصالات؛</w:t>
            </w:r>
          </w:p>
          <w:p w:rsid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>المنتسبين إلى قطاع تقييس الاتصالات؛</w:t>
            </w:r>
          </w:p>
          <w:p w:rsidR="00876CC0" w:rsidRPr="00E448CA" w:rsidRDefault="00876CC0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C67A47">
              <w:rPr>
                <w:rFonts w:hint="cs"/>
                <w:rtl/>
              </w:rPr>
              <w:t>-</w:t>
            </w:r>
            <w:r w:rsidRPr="00C67A47">
              <w:rPr>
                <w:rtl/>
                <w:lang w:bidi="ar-EG"/>
              </w:rPr>
              <w:tab/>
            </w:r>
            <w:r w:rsidRPr="00C67A47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DC5505" w:rsidRPr="00DC5505" w:rsidRDefault="00DC5505" w:rsidP="00303506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</w:r>
            <w:r w:rsidRPr="00DC5505">
              <w:rPr>
                <w:rFonts w:hint="cs"/>
                <w:rtl/>
              </w:rPr>
              <w:t xml:space="preserve">رئيس لجنة الدراسات </w:t>
            </w:r>
            <w:r w:rsidR="00303506">
              <w:t>15</w:t>
            </w:r>
            <w:r w:rsidRPr="00DC5505">
              <w:rPr>
                <w:rFonts w:hint="cs"/>
                <w:rtl/>
                <w:lang w:bidi="ar-EG"/>
              </w:rPr>
              <w:t xml:space="preserve"> </w:t>
            </w:r>
            <w:proofErr w:type="gramStart"/>
            <w:r w:rsidRPr="00DC5505">
              <w:rPr>
                <w:rFonts w:hint="cs"/>
                <w:rtl/>
                <w:lang w:bidi="ar-EG"/>
              </w:rPr>
              <w:t>ونوابه</w:t>
            </w:r>
            <w:proofErr w:type="gramEnd"/>
            <w:r w:rsidRPr="00DC5505">
              <w:rPr>
                <w:rFonts w:hint="cs"/>
                <w:rtl/>
                <w:lang w:bidi="ar-EG"/>
              </w:rPr>
              <w:t>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تنمية الاتصالات</w:t>
            </w:r>
            <w:r w:rsidRPr="00DC5505">
              <w:rPr>
                <w:rFonts w:hint="cs"/>
                <w:rtl/>
              </w:rPr>
              <w:t>؛</w:t>
            </w:r>
          </w:p>
          <w:p w:rsidR="00DC5505" w:rsidRPr="00DC5505" w:rsidRDefault="00DC5505" w:rsidP="009B500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57"/>
              <w:rPr>
                <w:rtl/>
              </w:rPr>
            </w:pPr>
            <w:r w:rsidRPr="00DC5505">
              <w:rPr>
                <w:rFonts w:hint="cs"/>
                <w:rtl/>
              </w:rPr>
              <w:t>-</w:t>
            </w:r>
            <w:r w:rsidRPr="00DC5505">
              <w:rPr>
                <w:rtl/>
              </w:rPr>
              <w:tab/>
              <w:t>مدير مكتب الاتصالات الراديوية</w:t>
            </w: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B49B9">
            <w:pPr>
              <w:spacing w:after="12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0C2FB2" w:rsidRPr="00DC5505" w:rsidRDefault="000C2FB2" w:rsidP="004B49B9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0C2FB2" w:rsidRPr="00DC5505" w:rsidRDefault="000C2FB2" w:rsidP="004B49B9">
            <w:pPr>
              <w:tabs>
                <w:tab w:val="left" w:pos="284"/>
                <w:tab w:val="left" w:pos="4111"/>
              </w:tabs>
              <w:spacing w:after="120" w:line="300" w:lineRule="exact"/>
              <w:ind w:left="284" w:hanging="227"/>
              <w:rPr>
                <w:b/>
                <w:bCs/>
                <w:rtl/>
              </w:rPr>
            </w:pPr>
          </w:p>
        </w:tc>
      </w:tr>
      <w:tr w:rsidR="000C2FB2" w:rsidRPr="00DC5505" w:rsidTr="00CF1B69">
        <w:trPr>
          <w:cantSplit/>
          <w:jc w:val="center"/>
        </w:trPr>
        <w:tc>
          <w:tcPr>
            <w:tcW w:w="1533" w:type="dxa"/>
          </w:tcPr>
          <w:p w:rsidR="000C2FB2" w:rsidRPr="00DC5505" w:rsidRDefault="000C2FB2" w:rsidP="00471EC0">
            <w:pPr>
              <w:spacing w:after="120"/>
              <w:ind w:left="57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0C2FB2" w:rsidRPr="00DC5505" w:rsidRDefault="000C2FB2" w:rsidP="00303506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اجتماع لجنة الدراسات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03506">
              <w:rPr>
                <w:b/>
                <w:bCs/>
                <w:lang w:bidi="ar-EG"/>
              </w:rPr>
              <w:t>15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بهدف الموافقة على </w:t>
            </w:r>
            <w:r w:rsidR="00303506">
              <w:rPr>
                <w:rFonts w:hint="cs"/>
                <w:b/>
                <w:bCs/>
                <w:rtl/>
                <w:lang w:bidi="ar-EG"/>
              </w:rPr>
              <w:t>مشروع التوصية الجديدة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EB28A5">
              <w:rPr>
                <w:b/>
                <w:bCs/>
                <w:lang w:bidi="ar-EG"/>
              </w:rPr>
              <w:t>ITU</w:t>
            </w:r>
            <w:r w:rsidR="00303506">
              <w:rPr>
                <w:b/>
                <w:bCs/>
                <w:lang w:bidi="ar-EG"/>
              </w:rPr>
              <w:noBreakHyphen/>
              <w:t>T G.9964</w:t>
            </w:r>
            <w:r w:rsidRPr="00EB28A5">
              <w:rPr>
                <w:rFonts w:hint="cs"/>
                <w:b/>
                <w:bCs/>
                <w:rtl/>
                <w:lang w:bidi="ar-EG"/>
              </w:rPr>
              <w:t>،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عملاً بأحكام القسم </w:t>
            </w:r>
            <w:r>
              <w:rPr>
                <w:b/>
                <w:bCs/>
                <w:lang w:bidi="ar-EG"/>
              </w:rPr>
              <w:t>9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الصادر عن الجمعية العالمية لتقييس الاتصالات (جوهانسبرغ، </w:t>
            </w:r>
            <w:r>
              <w:rPr>
                <w:b/>
                <w:bCs/>
                <w:lang w:bidi="ar-EG"/>
              </w:rPr>
              <w:t>2008</w:t>
            </w:r>
            <w:r>
              <w:rPr>
                <w:rFonts w:hint="cs"/>
                <w:b/>
                <w:bCs/>
                <w:rtl/>
                <w:lang w:bidi="ar-EG"/>
              </w:rPr>
              <w:t>)</w:t>
            </w:r>
            <w:r w:rsidR="00471EC0">
              <w:rPr>
                <w:b/>
                <w:bCs/>
                <w:rtl/>
                <w:lang w:bidi="ar-EG"/>
              </w:rPr>
              <w:tab/>
            </w:r>
            <w:r w:rsidR="00471EC0"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 xml:space="preserve">جنيف، </w:t>
            </w:r>
            <w:r w:rsidR="00303506">
              <w:rPr>
                <w:b/>
                <w:bCs/>
                <w:lang w:bidi="ar-EG"/>
              </w:rPr>
              <w:t>16</w:t>
            </w:r>
            <w:r w:rsidR="00303506">
              <w:rPr>
                <w:rFonts w:hint="cs"/>
                <w:b/>
                <w:bCs/>
                <w:rtl/>
              </w:rPr>
              <w:t xml:space="preserve"> ديسمبر </w:t>
            </w:r>
            <w:r w:rsidR="00303506">
              <w:rPr>
                <w:b/>
                <w:bCs/>
              </w:rPr>
              <w:t>2011</w:t>
            </w:r>
          </w:p>
        </w:tc>
      </w:tr>
    </w:tbl>
    <w:p w:rsidR="00DC5505" w:rsidRPr="005F33FD" w:rsidRDefault="00DC5505" w:rsidP="00DC5505">
      <w:pPr>
        <w:spacing w:before="48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DC5505" w:rsidRPr="005F33FD" w:rsidRDefault="00431A19" w:rsidP="00C5355E">
      <w:pPr>
        <w:tabs>
          <w:tab w:val="left" w:pos="2238"/>
        </w:tabs>
        <w:rPr>
          <w:rtl/>
        </w:rPr>
      </w:pPr>
      <w:r>
        <w:rPr>
          <w:rFonts w:hint="cs"/>
          <w:rtl/>
        </w:rPr>
        <w:t xml:space="preserve">تحية طيبة </w:t>
      </w:r>
      <w:proofErr w:type="gramStart"/>
      <w:r>
        <w:rPr>
          <w:rFonts w:hint="cs"/>
          <w:rtl/>
        </w:rPr>
        <w:t>وبعد</w:t>
      </w:r>
      <w:proofErr w:type="gramEnd"/>
      <w:r>
        <w:rPr>
          <w:rFonts w:hint="cs"/>
          <w:rtl/>
        </w:rPr>
        <w:t>،</w:t>
      </w:r>
    </w:p>
    <w:p w:rsidR="00DC5505" w:rsidRDefault="00DC5505" w:rsidP="00D867BE">
      <w:pPr>
        <w:rPr>
          <w:rtl/>
          <w:lang w:bidi="ar-EG"/>
        </w:rPr>
      </w:pPr>
      <w:r w:rsidRPr="005F33FD">
        <w:t>1</w:t>
      </w:r>
      <w:r w:rsidRPr="005F33FD">
        <w:tab/>
      </w:r>
      <w:r>
        <w:rPr>
          <w:rFonts w:hint="cs"/>
          <w:rtl/>
        </w:rPr>
        <w:t xml:space="preserve">بناءً على طلب رئيس لجنة الدراسات </w:t>
      </w:r>
      <w:r w:rsidR="00221F47">
        <w:t>15</w:t>
      </w:r>
      <w:r>
        <w:rPr>
          <w:rFonts w:hint="cs"/>
          <w:rtl/>
          <w:lang w:bidi="ar-EG"/>
        </w:rPr>
        <w:t xml:space="preserve">، </w:t>
      </w:r>
      <w:r w:rsidR="00221F47" w:rsidRPr="00A55549">
        <w:rPr>
          <w:rFonts w:hint="cs"/>
          <w:i/>
          <w:iCs/>
          <w:rtl/>
          <w:lang w:bidi="ar-EG"/>
        </w:rPr>
        <w:t>البنى التحتية لشبكات النقل والنفاذ البصرية</w:t>
      </w:r>
      <w:r>
        <w:rPr>
          <w:rFonts w:hint="cs"/>
          <w:rtl/>
          <w:lang w:bidi="ar-EG"/>
        </w:rPr>
        <w:t>، أتشرف بأن أُعلِمَكُم أن لجنة الدراسات هذه، التي ستجتمع من</w:t>
      </w:r>
      <w:r w:rsidR="00651058">
        <w:rPr>
          <w:rFonts w:hint="eastAsia"/>
          <w:rtl/>
          <w:lang w:bidi="ar-EG"/>
        </w:rPr>
        <w:t> </w:t>
      </w:r>
      <w:r w:rsidR="00221F47">
        <w:rPr>
          <w:lang w:bidi="ar-EG"/>
        </w:rPr>
        <w:t>5</w:t>
      </w:r>
      <w:r>
        <w:rPr>
          <w:rFonts w:hint="cs"/>
          <w:rtl/>
          <w:lang w:bidi="ar-EG"/>
        </w:rPr>
        <w:t xml:space="preserve"> إلى</w:t>
      </w:r>
      <w:r w:rsidR="00651058">
        <w:rPr>
          <w:rFonts w:hint="eastAsia"/>
          <w:rtl/>
          <w:lang w:bidi="ar-EG"/>
        </w:rPr>
        <w:t> </w:t>
      </w:r>
      <w:r w:rsidR="00221F47">
        <w:rPr>
          <w:lang w:bidi="ar-EG"/>
        </w:rPr>
        <w:t>16</w:t>
      </w:r>
      <w:r w:rsidR="00221F47">
        <w:rPr>
          <w:rFonts w:hint="eastAsia"/>
          <w:rtl/>
        </w:rPr>
        <w:t> ديسمبر </w:t>
      </w:r>
      <w:r w:rsidR="00221F47">
        <w:t>2011</w:t>
      </w:r>
      <w:r>
        <w:rPr>
          <w:rFonts w:hint="cs"/>
          <w:rtl/>
          <w:lang w:bidi="ar-EG"/>
        </w:rPr>
        <w:t>، تنوي تطبيق الإجراءات الموصوفة في القسم</w:t>
      </w:r>
      <w:r w:rsidR="00474AAB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C5355E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الصادر عن الجمعية العالمية لتقييس الاتصالات (جوهانسبرغ،</w:t>
      </w:r>
      <w:r w:rsidR="00523B5B">
        <w:rPr>
          <w:rFonts w:hint="eastAsia"/>
          <w:rtl/>
          <w:lang w:bidi="ar-EG"/>
        </w:rPr>
        <w:t> </w:t>
      </w:r>
      <w:r>
        <w:rPr>
          <w:lang w:bidi="ar-EG"/>
        </w:rPr>
        <w:t>2008</w:t>
      </w:r>
      <w:r>
        <w:rPr>
          <w:rFonts w:hint="cs"/>
          <w:rtl/>
          <w:lang w:bidi="ar-EG"/>
        </w:rPr>
        <w:t xml:space="preserve">) وذلك من أجل الموافقة على </w:t>
      </w:r>
      <w:r w:rsidR="00D867BE">
        <w:rPr>
          <w:rFonts w:hint="cs"/>
          <w:rtl/>
          <w:lang w:bidi="ar-EG"/>
        </w:rPr>
        <w:t>مشروع</w:t>
      </w:r>
      <w:r>
        <w:rPr>
          <w:rFonts w:hint="cs"/>
          <w:rtl/>
          <w:lang w:bidi="ar-EG"/>
        </w:rPr>
        <w:t xml:space="preserve"> التوصية </w:t>
      </w:r>
      <w:r w:rsidR="00651058">
        <w:rPr>
          <w:rFonts w:hint="cs"/>
          <w:rtl/>
          <w:lang w:bidi="ar-EG"/>
        </w:rPr>
        <w:t>الجديدة</w:t>
      </w:r>
      <w:r>
        <w:rPr>
          <w:rFonts w:hint="cs"/>
          <w:rtl/>
          <w:lang w:bidi="ar-EG"/>
        </w:rPr>
        <w:t xml:space="preserve"> المذكورة</w:t>
      </w:r>
      <w:r w:rsidR="00651058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أعلاه.</w:t>
      </w:r>
    </w:p>
    <w:p w:rsidR="00DC5505" w:rsidRDefault="00DC5505" w:rsidP="007D4FB9">
      <w:pPr>
        <w:rPr>
          <w:rtl/>
          <w:lang w:bidi="ar-EG"/>
        </w:rPr>
      </w:pPr>
      <w:proofErr w:type="gramStart"/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ويشتمل </w:t>
      </w:r>
      <w:r>
        <w:rPr>
          <w:rFonts w:hint="cs"/>
          <w:b/>
          <w:bCs/>
          <w:rtl/>
          <w:lang w:bidi="ar-EG"/>
        </w:rPr>
        <w:t>الملحق</w:t>
      </w:r>
      <w:r w:rsidR="00274B47">
        <w:rPr>
          <w:rFonts w:hint="eastAsia"/>
          <w:b/>
          <w:bCs/>
          <w:rtl/>
          <w:lang w:bidi="ar-EG"/>
        </w:rPr>
        <w:t> </w:t>
      </w:r>
      <w:r>
        <w:rPr>
          <w:b/>
          <w:bCs/>
          <w:lang w:bidi="ar-EG"/>
        </w:rPr>
        <w:t>1</w:t>
      </w:r>
      <w:r>
        <w:rPr>
          <w:rFonts w:hint="cs"/>
          <w:rtl/>
          <w:lang w:bidi="ar-EG"/>
        </w:rPr>
        <w:t xml:space="preserve"> بهذه الرسالة على ملخص مشروع </w:t>
      </w:r>
      <w:r w:rsidR="007D4FB9">
        <w:rPr>
          <w:rFonts w:hint="cs"/>
          <w:rtl/>
          <w:lang w:bidi="ar-EG"/>
        </w:rPr>
        <w:t>التوصية الجديدة</w:t>
      </w:r>
      <w:r>
        <w:rPr>
          <w:rFonts w:hint="cs"/>
          <w:rtl/>
          <w:lang w:bidi="ar-EG"/>
        </w:rPr>
        <w:t xml:space="preserve"> لقطاع تقييس الاتصالات المقترح الموافقة عليها، وعلى عنوانها </w:t>
      </w:r>
      <w:r w:rsidR="007D4FB9">
        <w:rPr>
          <w:rFonts w:hint="cs"/>
          <w:rtl/>
          <w:lang w:bidi="ar-EG"/>
        </w:rPr>
        <w:t>والوثيقة التي ترد فيها.</w:t>
      </w:r>
      <w:proofErr w:type="gramEnd"/>
    </w:p>
    <w:p w:rsidR="00DC5505" w:rsidRDefault="00DC5505" w:rsidP="00B269E5">
      <w:pPr>
        <w:rPr>
          <w:lang w:bidi="ar-EG"/>
        </w:rPr>
      </w:pPr>
      <w:r>
        <w:rPr>
          <w:lang w:bidi="ar-EG"/>
        </w:rPr>
        <w:t>3</w:t>
      </w:r>
      <w:r>
        <w:rPr>
          <w:rFonts w:hint="cs"/>
          <w:rtl/>
          <w:lang w:bidi="ar-EG"/>
        </w:rPr>
        <w:tab/>
      </w:r>
      <w:r w:rsidRPr="00460C4B">
        <w:rPr>
          <w:rFonts w:hint="cs"/>
          <w:spacing w:val="-4"/>
          <w:rtl/>
          <w:lang w:bidi="ar-EG"/>
        </w:rPr>
        <w:t xml:space="preserve">يرجى من أي دولة عضو في الاتحاد أو عضو في القطاع أو منتسب إليه </w:t>
      </w:r>
      <w:r w:rsidR="00980D9A" w:rsidRPr="00C67A47">
        <w:rPr>
          <w:rFonts w:hint="cs"/>
          <w:spacing w:val="-4"/>
          <w:rtl/>
          <w:lang w:bidi="ar-EG"/>
        </w:rPr>
        <w:t xml:space="preserve">أو </w:t>
      </w:r>
      <w:r w:rsidR="00C67A47">
        <w:rPr>
          <w:rFonts w:hint="cs"/>
          <w:spacing w:val="-4"/>
          <w:rtl/>
          <w:lang w:bidi="ar-EG"/>
        </w:rPr>
        <w:t>هيئة</w:t>
      </w:r>
      <w:r w:rsidR="00980D9A" w:rsidRPr="00C67A47">
        <w:rPr>
          <w:rFonts w:hint="cs"/>
          <w:spacing w:val="-4"/>
          <w:rtl/>
          <w:lang w:bidi="ar-EG"/>
        </w:rPr>
        <w:t xml:space="preserve"> أكاديمية</w:t>
      </w:r>
      <w:r w:rsidR="00247D9B" w:rsidRPr="00460C4B">
        <w:rPr>
          <w:rFonts w:hint="cs"/>
          <w:spacing w:val="-4"/>
          <w:rtl/>
          <w:lang w:bidi="ar-EG"/>
        </w:rPr>
        <w:t>،</w:t>
      </w:r>
      <w:r w:rsidR="00980D9A" w:rsidRPr="00460C4B">
        <w:rPr>
          <w:rFonts w:hint="cs"/>
          <w:spacing w:val="-4"/>
          <w:rtl/>
          <w:lang w:bidi="ar-EG"/>
        </w:rPr>
        <w:t xml:space="preserve"> </w:t>
      </w:r>
      <w:r w:rsidR="00C67A47">
        <w:rPr>
          <w:rFonts w:hint="cs"/>
          <w:spacing w:val="-4"/>
          <w:rtl/>
          <w:lang w:bidi="ar-EG"/>
        </w:rPr>
        <w:t>ت</w:t>
      </w:r>
      <w:r w:rsidRPr="00460C4B">
        <w:rPr>
          <w:rFonts w:hint="cs"/>
          <w:spacing w:val="-4"/>
          <w:rtl/>
          <w:lang w:bidi="ar-EG"/>
        </w:rPr>
        <w:t>علم بوجود براءة اختراع في حيازته</w:t>
      </w:r>
      <w:r w:rsidR="00C67A47">
        <w:rPr>
          <w:rFonts w:hint="cs"/>
          <w:spacing w:val="-4"/>
          <w:rtl/>
          <w:lang w:bidi="ar-EG"/>
        </w:rPr>
        <w:t>ا</w:t>
      </w:r>
      <w:r w:rsidRPr="00460C4B">
        <w:rPr>
          <w:rFonts w:hint="cs"/>
          <w:spacing w:val="-4"/>
          <w:rtl/>
          <w:lang w:bidi="ar-EG"/>
        </w:rPr>
        <w:t xml:space="preserve"> أو في حيازة الغير من شأنها أن تشمل كلياً أو جزئياً ع</w:t>
      </w:r>
      <w:r w:rsidR="00D867BE">
        <w:rPr>
          <w:rFonts w:hint="cs"/>
          <w:spacing w:val="-4"/>
          <w:rtl/>
          <w:lang w:bidi="ar-EG"/>
        </w:rPr>
        <w:t>ناصر من مشروع التوصية</w:t>
      </w:r>
      <w:r w:rsidRPr="00460C4B">
        <w:rPr>
          <w:rFonts w:hint="cs"/>
          <w:spacing w:val="-4"/>
          <w:rtl/>
          <w:lang w:bidi="ar-EG"/>
        </w:rPr>
        <w:t xml:space="preserve"> المقترح الموافقة عليها</w:t>
      </w:r>
      <w:r w:rsidR="00C67A47">
        <w:rPr>
          <w:rFonts w:hint="cs"/>
          <w:spacing w:val="-4"/>
          <w:rtl/>
          <w:lang w:bidi="ar-EG"/>
        </w:rPr>
        <w:t>،</w:t>
      </w:r>
      <w:r w:rsidRPr="00460C4B">
        <w:rPr>
          <w:rFonts w:hint="cs"/>
          <w:spacing w:val="-4"/>
          <w:rtl/>
          <w:lang w:bidi="ar-EG"/>
        </w:rPr>
        <w:t xml:space="preserve"> أن</w:t>
      </w:r>
      <w:r w:rsidR="00C67A47">
        <w:rPr>
          <w:rFonts w:hint="eastAsia"/>
          <w:spacing w:val="-4"/>
          <w:rtl/>
          <w:lang w:bidi="ar-EG"/>
        </w:rPr>
        <w:t> </w:t>
      </w:r>
      <w:r w:rsidR="00C67A47">
        <w:rPr>
          <w:rFonts w:hint="cs"/>
          <w:spacing w:val="-4"/>
          <w:rtl/>
          <w:lang w:bidi="ar-EG"/>
        </w:rPr>
        <w:t>ت</w:t>
      </w:r>
      <w:r w:rsidRPr="00460C4B">
        <w:rPr>
          <w:rFonts w:hint="cs"/>
          <w:spacing w:val="-4"/>
          <w:rtl/>
          <w:lang w:bidi="ar-EG"/>
        </w:rPr>
        <w:t xml:space="preserve">كشف عن مثل هذه المعلومات لمكتب تقييس الاتصالات، عملاً بالسياسة المشتركة للبراءات المعتمدة لدى قطاع تقييس الاتصالات/قطاع الاتصالات الراديوية/المنظمة الدولية للتوحيد القياسي/اللجنة </w:t>
      </w:r>
      <w:proofErr w:type="spellStart"/>
      <w:r w:rsidRPr="00460C4B">
        <w:rPr>
          <w:rFonts w:hint="cs"/>
          <w:spacing w:val="-4"/>
          <w:rtl/>
          <w:lang w:bidi="ar-EG"/>
        </w:rPr>
        <w:t>الكهرتقنية</w:t>
      </w:r>
      <w:proofErr w:type="spellEnd"/>
      <w:r w:rsidRPr="00460C4B">
        <w:rPr>
          <w:rFonts w:hint="cs"/>
          <w:spacing w:val="-4"/>
          <w:rtl/>
          <w:lang w:bidi="ar-EG"/>
        </w:rPr>
        <w:t xml:space="preserve"> الدولية</w:t>
      </w:r>
      <w:r w:rsidR="00B269E5">
        <w:rPr>
          <w:rFonts w:hint="eastAsia"/>
          <w:spacing w:val="-4"/>
          <w:rtl/>
          <w:lang w:bidi="ar-EG"/>
        </w:rPr>
        <w:t> </w:t>
      </w:r>
      <w:r w:rsidRPr="00460C4B">
        <w:rPr>
          <w:spacing w:val="-4"/>
          <w:lang w:bidi="ar-EG"/>
        </w:rPr>
        <w:t>(ITU-T/ITU-R/ISO/IEC)</w:t>
      </w:r>
      <w:r w:rsidRPr="00460C4B">
        <w:rPr>
          <w:rFonts w:hint="cs"/>
          <w:spacing w:val="-4"/>
          <w:rtl/>
          <w:lang w:bidi="ar-EG"/>
        </w:rPr>
        <w:t>.</w:t>
      </w:r>
    </w:p>
    <w:p w:rsidR="00DC5505" w:rsidRPr="006F493F" w:rsidRDefault="00DC5505" w:rsidP="00C5355E">
      <w:pPr>
        <w:rPr>
          <w:spacing w:val="-6"/>
          <w:rtl/>
          <w:lang w:bidi="ar-EG"/>
        </w:rPr>
      </w:pPr>
      <w:r w:rsidRPr="006F493F">
        <w:rPr>
          <w:rFonts w:hint="cs"/>
          <w:spacing w:val="-6"/>
          <w:rtl/>
          <w:lang w:bidi="ar-EG"/>
        </w:rPr>
        <w:t xml:space="preserve">ويمكن الاطلاع على معلومات براءات الاختراع المتاحة مباشرة على الخط في الموقع الإلكتروني للقطاع </w:t>
      </w:r>
      <w:r w:rsidR="00980D9A">
        <w:rPr>
          <w:spacing w:val="-6"/>
          <w:lang w:bidi="ar-EG"/>
        </w:rPr>
        <w:t>(</w:t>
      </w:r>
      <w:hyperlink r:id="rId11" w:history="1">
        <w:r w:rsidRPr="006F493F">
          <w:rPr>
            <w:rStyle w:val="Hyperlink"/>
            <w:spacing w:val="-6"/>
            <w:lang w:bidi="ar-EG"/>
          </w:rPr>
          <w:t>www.itu.int/ITU-T/ipr/</w:t>
        </w:r>
      </w:hyperlink>
      <w:r w:rsidR="00980D9A">
        <w:rPr>
          <w:spacing w:val="-6"/>
          <w:lang w:bidi="ar-EG"/>
        </w:rPr>
        <w:t>)</w:t>
      </w:r>
      <w:r w:rsidRPr="006F493F">
        <w:rPr>
          <w:rFonts w:hint="cs"/>
          <w:spacing w:val="-6"/>
          <w:rtl/>
          <w:lang w:bidi="ar-EG"/>
        </w:rPr>
        <w:t>.</w:t>
      </w:r>
    </w:p>
    <w:p w:rsidR="00DC5505" w:rsidRDefault="00DC5505" w:rsidP="004D72C6">
      <w:pPr>
        <w:keepNext/>
        <w:keepLines/>
        <w:rPr>
          <w:rtl/>
          <w:lang w:bidi="ar-EG"/>
        </w:rPr>
      </w:pPr>
      <w:r>
        <w:rPr>
          <w:lang w:bidi="ar-EG"/>
        </w:rPr>
        <w:lastRenderedPageBreak/>
        <w:t>4</w:t>
      </w:r>
      <w:r>
        <w:rPr>
          <w:rFonts w:hint="cs"/>
          <w:rtl/>
          <w:lang w:bidi="ar-EG"/>
        </w:rPr>
        <w:tab/>
        <w:t>وتبعاً لأحكام القسم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القرار</w:t>
      </w:r>
      <w:r w:rsidR="00274B47"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سأكون ممتناً لو تفضلتم بإعلامي في موعد أقصاه منتصف الليل بالتوقيت العالمي المنسَّق </w:t>
      </w:r>
      <w:r>
        <w:rPr>
          <w:rFonts w:hint="cs"/>
          <w:b/>
          <w:bCs/>
          <w:rtl/>
          <w:lang w:bidi="ar-EG"/>
        </w:rPr>
        <w:t xml:space="preserve">في </w:t>
      </w:r>
      <w:r w:rsidR="007D4188" w:rsidRPr="00EF4503">
        <w:rPr>
          <w:b/>
          <w:bCs/>
        </w:rPr>
        <w:t>25</w:t>
      </w:r>
      <w:r w:rsidR="007D4188" w:rsidRPr="00EF4503">
        <w:rPr>
          <w:rFonts w:hint="cs"/>
          <w:b/>
          <w:bCs/>
          <w:rtl/>
        </w:rPr>
        <w:t xml:space="preserve"> نوفمبر </w:t>
      </w:r>
      <w:r w:rsidR="007D4188" w:rsidRPr="00EF4503">
        <w:rPr>
          <w:b/>
          <w:bCs/>
        </w:rPr>
        <w:t>2011</w:t>
      </w:r>
      <w:r w:rsidR="007D4188">
        <w:rPr>
          <w:rFonts w:hint="cs"/>
          <w:rtl/>
        </w:rPr>
        <w:t xml:space="preserve"> </w:t>
      </w:r>
      <w:r w:rsidR="0071546D">
        <w:rPr>
          <w:rFonts w:hint="cs"/>
          <w:rtl/>
          <w:lang w:bidi="ar-EG"/>
        </w:rPr>
        <w:t>ما </w:t>
      </w:r>
      <w:r>
        <w:rPr>
          <w:rFonts w:hint="cs"/>
          <w:rtl/>
          <w:lang w:bidi="ar-EG"/>
        </w:rPr>
        <w:t>إذا كانت إدارتكم تفوِّض السلطة إلى لجنة الدراسات</w:t>
      </w:r>
      <w:r w:rsidR="008B23E8">
        <w:rPr>
          <w:rFonts w:hint="eastAsia"/>
          <w:rtl/>
          <w:lang w:bidi="ar-EG"/>
        </w:rPr>
        <w:t> </w:t>
      </w:r>
      <w:r w:rsidR="00951117">
        <w:rPr>
          <w:lang w:bidi="ar-EG"/>
        </w:rPr>
        <w:t>15</w:t>
      </w:r>
      <w:r w:rsidR="0095111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للنظر في </w:t>
      </w:r>
      <w:r w:rsidR="00427E2F">
        <w:rPr>
          <w:rFonts w:hint="cs"/>
          <w:rtl/>
          <w:lang w:bidi="ar-EG"/>
        </w:rPr>
        <w:t>مشروع التوصية الجديدة هذا</w:t>
      </w:r>
      <w:r>
        <w:rPr>
          <w:rFonts w:hint="cs"/>
          <w:rtl/>
          <w:lang w:bidi="ar-EG"/>
        </w:rPr>
        <w:t xml:space="preserve"> بغرض الموافقة عليها في اجتماع لجنة الدراسات.</w:t>
      </w:r>
    </w:p>
    <w:p w:rsidR="00DC5505" w:rsidRDefault="00DC5505" w:rsidP="00427E2F">
      <w:pPr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وإذا</w:t>
      </w:r>
      <w:proofErr w:type="gramEnd"/>
      <w:r>
        <w:rPr>
          <w:rFonts w:hint="cs"/>
          <w:rtl/>
          <w:lang w:bidi="ar-EG"/>
        </w:rPr>
        <w:t xml:space="preserve"> رأت أي دولة عضو أن عملية النظر بغرض الموافقة ينبغي أ</w:t>
      </w:r>
      <w:r w:rsidR="0071546D">
        <w:rPr>
          <w:rFonts w:hint="cs"/>
          <w:rtl/>
          <w:lang w:bidi="ar-EG"/>
        </w:rPr>
        <w:t>لا </w:t>
      </w:r>
      <w:r>
        <w:rPr>
          <w:rFonts w:hint="cs"/>
          <w:rtl/>
          <w:lang w:bidi="ar-EG"/>
        </w:rPr>
        <w:t>تستمر فعليها أن تبيّن أسباب ذلك الاعتراض وأن تشير إلى التغييرات الممكنة التي من شأنها تيسير مواصل</w:t>
      </w:r>
      <w:r w:rsidR="00427E2F">
        <w:rPr>
          <w:rFonts w:hint="cs"/>
          <w:rtl/>
          <w:lang w:bidi="ar-EG"/>
        </w:rPr>
        <w:t>ة النظر في مشروع التوصية</w:t>
      </w:r>
      <w:r>
        <w:rPr>
          <w:rFonts w:hint="cs"/>
          <w:rtl/>
          <w:lang w:bidi="ar-EG"/>
        </w:rPr>
        <w:t xml:space="preserve"> الجديدة والموافقة عليها.</w:t>
      </w:r>
    </w:p>
    <w:p w:rsidR="00DC5505" w:rsidRDefault="00DC5505" w:rsidP="00214E77">
      <w:pPr>
        <w:rPr>
          <w:rtl/>
          <w:lang w:bidi="ar-EG"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فإذا كان</w:t>
      </w:r>
      <w:r w:rsidR="001B5908">
        <w:rPr>
          <w:rFonts w:hint="eastAsia"/>
          <w:rtl/>
          <w:lang w:bidi="ar-EG"/>
        </w:rPr>
        <w:t> </w:t>
      </w:r>
      <w:r>
        <w:rPr>
          <w:lang w:bidi="ar-EG"/>
        </w:rPr>
        <w:t>70</w:t>
      </w:r>
      <w:r>
        <w:rPr>
          <w:rFonts w:hint="cs"/>
          <w:rtl/>
          <w:lang w:bidi="ar-EG"/>
        </w:rPr>
        <w:t xml:space="preserve"> في المائة أو أكثر من الردود الواردة من الدول الأعضاء تؤيد النظر في </w:t>
      </w:r>
      <w:r w:rsidR="00427E2F">
        <w:rPr>
          <w:rFonts w:hint="cs"/>
          <w:rtl/>
          <w:lang w:bidi="ar-EG"/>
        </w:rPr>
        <w:t>مشروع التوصية الجديدة هذا</w:t>
      </w:r>
      <w:r>
        <w:rPr>
          <w:rFonts w:hint="cs"/>
          <w:rtl/>
          <w:lang w:bidi="ar-EG"/>
        </w:rPr>
        <w:t xml:space="preserve"> بغرض الموافقة عليها في اجتماع لجنة الدراسات، عندئذ سوف تُكرَّس جلسة عامة</w:t>
      </w:r>
      <w:r w:rsidR="005522DC">
        <w:rPr>
          <w:rFonts w:hint="cs"/>
          <w:rtl/>
          <w:lang w:bidi="ar-EG"/>
        </w:rPr>
        <w:t xml:space="preserve"> </w:t>
      </w:r>
      <w:r w:rsidR="00023570">
        <w:rPr>
          <w:rFonts w:hint="cs"/>
          <w:b/>
          <w:bCs/>
          <w:rtl/>
          <w:lang w:bidi="ar-EG"/>
        </w:rPr>
        <w:t>في </w:t>
      </w:r>
      <w:r w:rsidR="00023570">
        <w:rPr>
          <w:b/>
          <w:bCs/>
          <w:lang w:bidi="ar-EG"/>
        </w:rPr>
        <w:t>16</w:t>
      </w:r>
      <w:r w:rsidR="005522DC">
        <w:rPr>
          <w:rFonts w:hint="eastAsia"/>
          <w:b/>
          <w:bCs/>
          <w:rtl/>
        </w:rPr>
        <w:t> </w:t>
      </w:r>
      <w:r w:rsidR="00023570">
        <w:rPr>
          <w:rFonts w:hint="cs"/>
          <w:b/>
          <w:bCs/>
          <w:rtl/>
        </w:rPr>
        <w:t>ديسمبر </w:t>
      </w:r>
      <w:r w:rsidR="00023570">
        <w:rPr>
          <w:b/>
          <w:bCs/>
        </w:rPr>
        <w:t>2011</w:t>
      </w:r>
      <w:r w:rsidR="00023570">
        <w:rPr>
          <w:rFonts w:hint="cs"/>
          <w:b/>
          <w:bCs/>
          <w:rtl/>
        </w:rPr>
        <w:t xml:space="preserve"> </w:t>
      </w:r>
      <w:r w:rsidR="00B16BED">
        <w:rPr>
          <w:rFonts w:hint="cs"/>
          <w:rtl/>
          <w:lang w:bidi="ar-EG"/>
        </w:rPr>
        <w:t>لتطبيق إجراء</w:t>
      </w:r>
      <w:r w:rsidR="00214E77">
        <w:rPr>
          <w:rFonts w:hint="eastAsia"/>
          <w:rtl/>
          <w:lang w:bidi="ar-EG"/>
        </w:rPr>
        <w:t> </w:t>
      </w:r>
      <w:r w:rsidRPr="00F0698D">
        <w:rPr>
          <w:rFonts w:hint="cs"/>
          <w:rtl/>
          <w:lang w:bidi="ar-EG"/>
        </w:rPr>
        <w:t>الموافقة.</w:t>
      </w:r>
      <w:proofErr w:type="gramEnd"/>
    </w:p>
    <w:p w:rsidR="00DC5505" w:rsidRPr="00F11BC4" w:rsidRDefault="00DC5505" w:rsidP="00274B47">
      <w:pPr>
        <w:rPr>
          <w:spacing w:val="2"/>
          <w:rtl/>
          <w:lang w:bidi="ar-EG"/>
        </w:rPr>
      </w:pPr>
      <w:r w:rsidRPr="00F11BC4">
        <w:rPr>
          <w:rFonts w:hint="cs"/>
          <w:spacing w:val="2"/>
          <w:rtl/>
          <w:lang w:bidi="ar-EG"/>
        </w:rPr>
        <w:t xml:space="preserve">ولذلك </w:t>
      </w:r>
      <w:proofErr w:type="gramStart"/>
      <w:r w:rsidRPr="00F11BC4">
        <w:rPr>
          <w:rFonts w:hint="cs"/>
          <w:spacing w:val="2"/>
          <w:rtl/>
          <w:lang w:bidi="ar-EG"/>
        </w:rPr>
        <w:t>فإنني</w:t>
      </w:r>
      <w:proofErr w:type="gramEnd"/>
      <w:r w:rsidRPr="00F11BC4">
        <w:rPr>
          <w:rFonts w:hint="cs"/>
          <w:spacing w:val="2"/>
          <w:rtl/>
          <w:lang w:bidi="ar-EG"/>
        </w:rPr>
        <w:t xml:space="preserve"> أدعو إدارتكم إلى </w:t>
      </w:r>
      <w:r>
        <w:rPr>
          <w:rFonts w:hint="cs"/>
          <w:spacing w:val="2"/>
          <w:rtl/>
          <w:lang w:bidi="ar-EG"/>
        </w:rPr>
        <w:t>إيفاد</w:t>
      </w:r>
      <w:r w:rsidRPr="00F11BC4">
        <w:rPr>
          <w:rFonts w:hint="cs"/>
          <w:spacing w:val="2"/>
          <w:rtl/>
          <w:lang w:bidi="ar-EG"/>
        </w:rPr>
        <w:t xml:space="preserve"> ممثل إلى الاجتماع. </w:t>
      </w:r>
      <w:r w:rsidRPr="00F11BC4">
        <w:rPr>
          <w:rFonts w:hint="cs"/>
          <w:b/>
          <w:bCs/>
          <w:spacing w:val="2"/>
          <w:rtl/>
          <w:lang w:bidi="ar-EG"/>
        </w:rPr>
        <w:t>ويرجى من إدارات الدول الأعضاء في الاتحاد</w:t>
      </w:r>
      <w:r w:rsidRPr="00F11BC4">
        <w:rPr>
          <w:rFonts w:hint="cs"/>
          <w:spacing w:val="2"/>
          <w:rtl/>
          <w:lang w:bidi="ar-EG"/>
        </w:rPr>
        <w:t xml:space="preserve"> بيان </w:t>
      </w:r>
      <w:proofErr w:type="gramStart"/>
      <w:r w:rsidRPr="00F11BC4">
        <w:rPr>
          <w:rFonts w:hint="cs"/>
          <w:spacing w:val="2"/>
          <w:rtl/>
          <w:lang w:bidi="ar-EG"/>
        </w:rPr>
        <w:t>اسم</w:t>
      </w:r>
      <w:proofErr w:type="gramEnd"/>
      <w:r w:rsidRPr="00F11BC4">
        <w:rPr>
          <w:rFonts w:hint="cs"/>
          <w:spacing w:val="2"/>
          <w:rtl/>
          <w:lang w:bidi="ar-EG"/>
        </w:rPr>
        <w:t xml:space="preserve"> رئيس وفدها. </w:t>
      </w:r>
      <w:proofErr w:type="gramStart"/>
      <w:r w:rsidRPr="00F11BC4">
        <w:rPr>
          <w:rFonts w:hint="cs"/>
          <w:spacing w:val="2"/>
          <w:rtl/>
          <w:lang w:bidi="ar-EG"/>
        </w:rPr>
        <w:t>وإذا</w:t>
      </w:r>
      <w:proofErr w:type="gramEnd"/>
      <w:r w:rsidRPr="00F11BC4">
        <w:rPr>
          <w:rFonts w:hint="cs"/>
          <w:spacing w:val="2"/>
          <w:rtl/>
          <w:lang w:bidi="ar-EG"/>
        </w:rPr>
        <w:t xml:space="preserve"> كانت إدارتكم ترغب في أن يمثلها في الاجتماع وكالة تشغيل معتمدة أو منظمة علمية أو صناعية أو أي كيان آخر يتعامل في مسائل الاتصالات</w:t>
      </w:r>
      <w:r>
        <w:rPr>
          <w:rFonts w:hint="cs"/>
          <w:spacing w:val="2"/>
          <w:rtl/>
          <w:lang w:bidi="ar-EG"/>
        </w:rPr>
        <w:t>،</w:t>
      </w:r>
      <w:r w:rsidRPr="00F11BC4">
        <w:rPr>
          <w:rFonts w:hint="cs"/>
          <w:spacing w:val="2"/>
          <w:rtl/>
          <w:lang w:bidi="ar-EG"/>
        </w:rPr>
        <w:t xml:space="preserve"> </w:t>
      </w:r>
      <w:r>
        <w:rPr>
          <w:rFonts w:hint="cs"/>
          <w:spacing w:val="2"/>
          <w:rtl/>
          <w:lang w:bidi="ar-EG"/>
        </w:rPr>
        <w:t>ينبغي</w:t>
      </w:r>
      <w:r w:rsidRPr="00F11BC4">
        <w:rPr>
          <w:rFonts w:hint="cs"/>
          <w:spacing w:val="2"/>
          <w:rtl/>
          <w:lang w:bidi="ar-EG"/>
        </w:rPr>
        <w:t xml:space="preserve"> إبلاغ </w:t>
      </w:r>
      <w:r>
        <w:rPr>
          <w:rFonts w:hint="cs"/>
          <w:spacing w:val="2"/>
          <w:rtl/>
          <w:lang w:bidi="ar-EG"/>
        </w:rPr>
        <w:t>المدير</w:t>
      </w:r>
      <w:r w:rsidRPr="00F11BC4">
        <w:rPr>
          <w:rFonts w:hint="cs"/>
          <w:spacing w:val="2"/>
          <w:rtl/>
          <w:lang w:bidi="ar-EG"/>
        </w:rPr>
        <w:t xml:space="preserve"> بذلك طبقاً لأحكام الرقم</w:t>
      </w:r>
      <w:r w:rsidR="00274B47">
        <w:rPr>
          <w:rFonts w:hint="eastAsia"/>
          <w:spacing w:val="2"/>
          <w:rtl/>
          <w:lang w:bidi="ar-EG"/>
        </w:rPr>
        <w:t> </w:t>
      </w:r>
      <w:r w:rsidRPr="00F11BC4">
        <w:rPr>
          <w:spacing w:val="2"/>
          <w:lang w:bidi="ar-EG"/>
        </w:rPr>
        <w:t>239</w:t>
      </w:r>
      <w:r w:rsidRPr="00F11BC4">
        <w:rPr>
          <w:rFonts w:hint="cs"/>
          <w:spacing w:val="2"/>
          <w:rtl/>
          <w:lang w:bidi="ar-EG"/>
        </w:rPr>
        <w:t xml:space="preserve"> من المادة</w:t>
      </w:r>
      <w:r w:rsidR="00274B47">
        <w:rPr>
          <w:rFonts w:hint="eastAsia"/>
          <w:spacing w:val="2"/>
          <w:rtl/>
          <w:lang w:bidi="ar-EG"/>
        </w:rPr>
        <w:t> </w:t>
      </w:r>
      <w:r w:rsidRPr="00F11BC4">
        <w:rPr>
          <w:spacing w:val="2"/>
          <w:lang w:bidi="ar-EG"/>
        </w:rPr>
        <w:t>19</w:t>
      </w:r>
      <w:r w:rsidRPr="00F11BC4">
        <w:rPr>
          <w:rFonts w:hint="cs"/>
          <w:spacing w:val="2"/>
          <w:rtl/>
          <w:lang w:bidi="ar-EG"/>
        </w:rPr>
        <w:t xml:space="preserve"> من اتفاقية الاتحاد.</w:t>
      </w:r>
    </w:p>
    <w:p w:rsidR="00DC5505" w:rsidRPr="00A221C3" w:rsidRDefault="00DC5505" w:rsidP="00951117">
      <w:pPr>
        <w:rPr>
          <w:rtl/>
        </w:rPr>
      </w:pPr>
      <w:proofErr w:type="gramStart"/>
      <w:r>
        <w:rPr>
          <w:lang w:bidi="ar-EG"/>
        </w:rPr>
        <w:t>6</w:t>
      </w:r>
      <w:r>
        <w:rPr>
          <w:rFonts w:hint="cs"/>
          <w:rtl/>
          <w:lang w:bidi="ar-EG"/>
        </w:rPr>
        <w:tab/>
        <w:t>ويمكن الاطلاع على جدول الأعمال وجميع المعلومات ذات الصلة في</w:t>
      </w:r>
      <w:r w:rsidR="0071546D">
        <w:rPr>
          <w:rFonts w:hint="cs"/>
          <w:rtl/>
          <w:lang w:bidi="ar-EG"/>
        </w:rPr>
        <w:t>ما </w:t>
      </w:r>
      <w:r>
        <w:rPr>
          <w:rFonts w:hint="cs"/>
          <w:rtl/>
          <w:lang w:bidi="ar-EG"/>
        </w:rPr>
        <w:t>يتعلق باجتماع لجنة الدراسات</w:t>
      </w:r>
      <w:r w:rsidR="00951117">
        <w:rPr>
          <w:rFonts w:hint="eastAsia"/>
          <w:rtl/>
          <w:lang w:bidi="ar-EG"/>
        </w:rPr>
        <w:t> </w:t>
      </w:r>
      <w:r w:rsidR="00A221C3">
        <w:rPr>
          <w:lang w:bidi="ar-EG"/>
        </w:rPr>
        <w:t>15</w:t>
      </w:r>
      <w:r w:rsidR="00A221C3">
        <w:rPr>
          <w:rFonts w:hint="cs"/>
          <w:rtl/>
        </w:rPr>
        <w:t xml:space="preserve"> </w:t>
      </w:r>
      <w:r>
        <w:rPr>
          <w:rFonts w:hint="cs"/>
          <w:rtl/>
          <w:lang w:bidi="ar-EG"/>
        </w:rPr>
        <w:t>في</w:t>
      </w:r>
      <w:r w:rsidR="00A221C3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الرسالة الجماعية</w:t>
      </w:r>
      <w:r w:rsidR="005522DC">
        <w:rPr>
          <w:rFonts w:hint="eastAsia"/>
          <w:rtl/>
          <w:lang w:bidi="ar-EG"/>
        </w:rPr>
        <w:t> </w:t>
      </w:r>
      <w:r w:rsidR="00A221C3">
        <w:rPr>
          <w:lang w:bidi="ar-EG"/>
        </w:rPr>
        <w:t>8/15</w:t>
      </w:r>
      <w:r w:rsidR="00A221C3">
        <w:rPr>
          <w:rFonts w:hint="cs"/>
          <w:rtl/>
        </w:rPr>
        <w:t>.</w:t>
      </w:r>
      <w:proofErr w:type="gramEnd"/>
    </w:p>
    <w:p w:rsidR="00DC5505" w:rsidRPr="004579B5" w:rsidRDefault="00DC5505" w:rsidP="005522DC">
      <w:pPr>
        <w:rPr>
          <w:rtl/>
          <w:lang w:bidi="ar-EG"/>
        </w:rPr>
      </w:pPr>
      <w:proofErr w:type="gramStart"/>
      <w:r>
        <w:rPr>
          <w:lang w:bidi="ar-EG"/>
        </w:rPr>
        <w:t>7</w:t>
      </w:r>
      <w:r>
        <w:rPr>
          <w:rFonts w:hint="cs"/>
          <w:rtl/>
          <w:lang w:bidi="ar-EG"/>
        </w:rPr>
        <w:tab/>
        <w:t>وفي أعقاب الاجتماع سوف يعلن مدير مكتب تقييس الاتصالات، في رسالة معممة، عن القرار المُتَخّذ بشأن هذه التوصية ولسوف تُنشر هذه المعلومات أيضاً في النشرة التشغيلية</w:t>
      </w:r>
      <w:r w:rsidR="005522DC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للاتحاد.</w:t>
      </w:r>
      <w:proofErr w:type="gramEnd"/>
    </w:p>
    <w:p w:rsidR="00DC5505" w:rsidRPr="005F33FD" w:rsidRDefault="00DC5505" w:rsidP="00C5355E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</w:t>
      </w:r>
      <w:proofErr w:type="gramStart"/>
      <w:r>
        <w:rPr>
          <w:rFonts w:hint="cs"/>
          <w:rtl/>
          <w:lang w:bidi="ar-EG"/>
        </w:rPr>
        <w:t>و</w:t>
      </w:r>
      <w:r w:rsidRPr="005F33FD">
        <w:rPr>
          <w:rFonts w:hint="cs"/>
          <w:rtl/>
          <w:lang w:bidi="ar-EG"/>
        </w:rPr>
        <w:t>الاحترام</w:t>
      </w:r>
      <w:proofErr w:type="gramEnd"/>
      <w:r w:rsidRPr="005F33FD">
        <w:rPr>
          <w:rFonts w:hint="cs"/>
          <w:rtl/>
          <w:lang w:bidi="ar-EG"/>
        </w:rPr>
        <w:t>.</w:t>
      </w:r>
    </w:p>
    <w:p w:rsidR="00DC5505" w:rsidRDefault="00DC5505" w:rsidP="00C5355E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p w:rsidR="003D7888" w:rsidRDefault="00DC5505" w:rsidP="00C5355E">
      <w:pPr>
        <w:tabs>
          <w:tab w:val="left" w:pos="1173"/>
        </w:tabs>
        <w:spacing w:before="1320"/>
        <w:ind w:left="1174" w:hanging="1174"/>
        <w:jc w:val="left"/>
        <w:rPr>
          <w:lang w:bidi="ar-EG"/>
        </w:rPr>
      </w:pPr>
      <w:r>
        <w:rPr>
          <w:rFonts w:hint="cs"/>
          <w:b/>
          <w:bCs/>
          <w:rtl/>
          <w:lang w:bidi="ar-EG"/>
        </w:rPr>
        <w:t>الملحقات:</w:t>
      </w:r>
      <w:r w:rsidR="008C4385">
        <w:rPr>
          <w:rFonts w:hint="cs"/>
          <w:rtl/>
          <w:lang w:bidi="ar-EG"/>
        </w:rPr>
        <w:t xml:space="preserve"> </w:t>
      </w:r>
      <w:r w:rsidR="003D7888" w:rsidRPr="00EF4503">
        <w:rPr>
          <w:b/>
          <w:bCs/>
          <w:lang w:bidi="ar-EG"/>
        </w:rPr>
        <w:t>1</w:t>
      </w:r>
    </w:p>
    <w:p w:rsidR="003D7888" w:rsidRDefault="003D7888">
      <w:pPr>
        <w:bidi w:val="0"/>
        <w:spacing w:before="0" w:line="240" w:lineRule="auto"/>
        <w:jc w:val="left"/>
        <w:rPr>
          <w:lang w:bidi="ar-EG"/>
        </w:rPr>
      </w:pPr>
    </w:p>
    <w:p w:rsidR="003D7888" w:rsidRDefault="003D7888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:rsidR="003D7888" w:rsidRDefault="003D7888" w:rsidP="001829F8">
      <w:pPr>
        <w:jc w:val="center"/>
        <w:rPr>
          <w:rtl/>
        </w:rPr>
      </w:pPr>
      <w:r w:rsidRPr="00F664B4">
        <w:rPr>
          <w:rStyle w:val="AnnexNotitleChar"/>
          <w:rFonts w:hint="cs"/>
          <w:sz w:val="32"/>
          <w:szCs w:val="40"/>
          <w:rtl/>
        </w:rPr>
        <w:lastRenderedPageBreak/>
        <w:t>الملحـق</w:t>
      </w:r>
      <w:r w:rsidRPr="00F664B4">
        <w:rPr>
          <w:rFonts w:hint="cs"/>
          <w:b/>
          <w:bCs/>
          <w:sz w:val="32"/>
          <w:szCs w:val="40"/>
          <w:rtl/>
        </w:rPr>
        <w:t> </w:t>
      </w:r>
      <w:r w:rsidRPr="00F664B4">
        <w:rPr>
          <w:b/>
          <w:bCs/>
          <w:sz w:val="32"/>
          <w:szCs w:val="40"/>
        </w:rPr>
        <w:t>1</w:t>
      </w:r>
      <w:r w:rsidR="001829F8">
        <w:rPr>
          <w:rFonts w:hint="cs"/>
          <w:b/>
          <w:bCs/>
          <w:sz w:val="32"/>
          <w:szCs w:val="40"/>
          <w:rtl/>
        </w:rPr>
        <w:br/>
      </w:r>
      <w:r>
        <w:rPr>
          <w:rFonts w:hint="cs"/>
          <w:rtl/>
        </w:rPr>
        <w:t xml:space="preserve">(بالرسالة المعممة </w:t>
      </w:r>
      <w:r>
        <w:t>TSB 231</w:t>
      </w:r>
      <w:r>
        <w:rPr>
          <w:rFonts w:hint="cs"/>
          <w:rtl/>
        </w:rPr>
        <w:t>)</w:t>
      </w:r>
    </w:p>
    <w:p w:rsidR="003D7888" w:rsidRPr="00E8673B" w:rsidRDefault="003D7888" w:rsidP="00E8673B">
      <w:pPr>
        <w:spacing w:before="480"/>
        <w:jc w:val="center"/>
        <w:rPr>
          <w:rStyle w:val="AnnexNotitleChar"/>
          <w:rtl/>
        </w:rPr>
      </w:pPr>
      <w:proofErr w:type="gramStart"/>
      <w:r w:rsidRPr="00E8673B">
        <w:rPr>
          <w:rStyle w:val="AnnexNotitleChar"/>
          <w:rFonts w:hint="cs"/>
          <w:rtl/>
        </w:rPr>
        <w:t>ملخص</w:t>
      </w:r>
      <w:proofErr w:type="gramEnd"/>
      <w:r w:rsidRPr="00E8673B">
        <w:rPr>
          <w:rStyle w:val="AnnexNotitleChar"/>
          <w:rFonts w:hint="cs"/>
          <w:rtl/>
        </w:rPr>
        <w:t xml:space="preserve"> نص التوصية والوثيقة التي ترد فيها</w:t>
      </w:r>
    </w:p>
    <w:p w:rsidR="003D7888" w:rsidRPr="00FD6D93" w:rsidRDefault="00000778" w:rsidP="00D74357">
      <w:pPr>
        <w:spacing w:before="480"/>
        <w:rPr>
          <w:b/>
          <w:bCs/>
          <w:rtl/>
          <w:lang w:bidi="ar-EG"/>
        </w:rPr>
      </w:pPr>
      <w:proofErr w:type="gramStart"/>
      <w:r w:rsidRPr="00E8673B">
        <w:rPr>
          <w:rFonts w:hint="cs"/>
          <w:b/>
          <w:bCs/>
          <w:rtl/>
        </w:rPr>
        <w:t>مشروع</w:t>
      </w:r>
      <w:proofErr w:type="gramEnd"/>
      <w:r w:rsidRPr="00E8673B">
        <w:rPr>
          <w:rFonts w:hint="cs"/>
          <w:b/>
          <w:bCs/>
          <w:rtl/>
        </w:rPr>
        <w:t xml:space="preserve"> التوصية الجديدة </w:t>
      </w:r>
      <w:r w:rsidRPr="00E8673B">
        <w:rPr>
          <w:b/>
          <w:bCs/>
        </w:rPr>
        <w:t>ITU</w:t>
      </w:r>
      <w:r w:rsidRPr="00E8673B">
        <w:rPr>
          <w:b/>
          <w:bCs/>
        </w:rPr>
        <w:noBreakHyphen/>
        <w:t>T G.9964</w:t>
      </w:r>
      <w:r w:rsidRPr="00E8673B">
        <w:rPr>
          <w:rFonts w:hint="cs"/>
          <w:b/>
          <w:bCs/>
          <w:rtl/>
        </w:rPr>
        <w:t xml:space="preserve">، </w:t>
      </w:r>
      <w:r w:rsidR="00D74357" w:rsidRPr="00D74357">
        <w:rPr>
          <w:b/>
          <w:bCs/>
          <w:rtl/>
        </w:rPr>
        <w:t>أجهزة الإرسال والاستقبال الموحدة القائمة على خط سلكي عالي السرعة والمستعملة للتواصل الشبكي المن‍زلي - المواصفة الخاصة بالمكونات المتعلقة بالطيف</w:t>
      </w:r>
      <w:r w:rsidR="00FD6D93">
        <w:rPr>
          <w:rFonts w:hint="cs"/>
          <w:b/>
          <w:bCs/>
          <w:rtl/>
          <w:lang w:bidi="ar-EG"/>
        </w:rPr>
        <w:tab/>
      </w:r>
      <w:r w:rsidR="00FD6D93">
        <w:rPr>
          <w:b/>
          <w:bCs/>
          <w:rtl/>
          <w:lang w:bidi="ar-EG"/>
        </w:rPr>
        <w:br/>
      </w:r>
      <w:r w:rsidR="00FD6D93" w:rsidRPr="00FD6D93">
        <w:rPr>
          <w:b/>
          <w:bCs/>
        </w:rPr>
        <w:t>COM 15 - R 23</w:t>
      </w:r>
      <w:r w:rsidR="00FD6D93" w:rsidRPr="00FD6D93">
        <w:rPr>
          <w:rFonts w:hint="cs"/>
          <w:b/>
          <w:bCs/>
          <w:rtl/>
          <w:lang w:bidi="ar-EG"/>
        </w:rPr>
        <w:t xml:space="preserve"> (تحدد فيما بعد)</w:t>
      </w:r>
    </w:p>
    <w:p w:rsidR="00000778" w:rsidRPr="00E8673B" w:rsidRDefault="00000778" w:rsidP="00E8673B">
      <w:pPr>
        <w:spacing w:before="360"/>
        <w:rPr>
          <w:rFonts w:ascii="Times New Roman Bold" w:hAnsi="Times New Roman Bold"/>
          <w:b/>
          <w:bCs/>
          <w:sz w:val="24"/>
          <w:szCs w:val="32"/>
          <w:rtl/>
        </w:rPr>
      </w:pPr>
      <w:r w:rsidRPr="00E8673B">
        <w:rPr>
          <w:rFonts w:ascii="Times New Roman Bold" w:hAnsi="Times New Roman Bold" w:hint="cs"/>
          <w:b/>
          <w:bCs/>
          <w:sz w:val="24"/>
          <w:szCs w:val="32"/>
          <w:rtl/>
        </w:rPr>
        <w:t>الملخص</w:t>
      </w:r>
    </w:p>
    <w:p w:rsidR="00000778" w:rsidRPr="00000778" w:rsidRDefault="00000778" w:rsidP="001829F8">
      <w:pPr>
        <w:rPr>
          <w:rtl/>
        </w:rPr>
      </w:pPr>
      <w:r>
        <w:rPr>
          <w:rFonts w:hint="cs"/>
          <w:rtl/>
        </w:rPr>
        <w:t>توصف التوصية</w:t>
      </w:r>
      <w:r w:rsidR="001829F8">
        <w:rPr>
          <w:rFonts w:hint="eastAsia"/>
          <w:rtl/>
        </w:rPr>
        <w:t> </w:t>
      </w:r>
      <w:r>
        <w:t>ITU</w:t>
      </w:r>
      <w:r>
        <w:noBreakHyphen/>
        <w:t>T G.</w:t>
      </w:r>
      <w:proofErr w:type="gramStart"/>
      <w:r>
        <w:t>9964</w:t>
      </w:r>
      <w:r>
        <w:rPr>
          <w:rFonts w:hint="cs"/>
          <w:rtl/>
        </w:rPr>
        <w:t xml:space="preserve"> معلمات التحكم التي تحدد المحتوى الطيفي ومتطلبات قناع الكثافة الطيفية للقدرة</w:t>
      </w:r>
      <w:r w:rsidR="00C31BFE">
        <w:rPr>
          <w:rFonts w:hint="eastAsia"/>
          <w:rtl/>
        </w:rPr>
        <w:t> </w:t>
      </w:r>
      <w:r>
        <w:t>(PSD)</w:t>
      </w:r>
      <w:r>
        <w:rPr>
          <w:rFonts w:hint="cs"/>
          <w:rtl/>
        </w:rPr>
        <w:t xml:space="preserve"> ومجموعة من الأدوات التي تدعم خفض الكثافة </w:t>
      </w:r>
      <w:r>
        <w:t>PSD</w:t>
      </w:r>
      <w:r>
        <w:rPr>
          <w:rFonts w:hint="cs"/>
          <w:rtl/>
        </w:rPr>
        <w:t xml:space="preserve"> الخاصة بالإرسال ووسيلة لقياس هذه الكثافة لإرسالها عبر خطوط الهاتف وخطوط الإمداد بالطاقة </w:t>
      </w:r>
      <w:proofErr w:type="spellStart"/>
      <w:r>
        <w:rPr>
          <w:rFonts w:hint="cs"/>
          <w:rtl/>
        </w:rPr>
        <w:t>والكبلات</w:t>
      </w:r>
      <w:proofErr w:type="spellEnd"/>
      <w:r>
        <w:rPr>
          <w:rFonts w:hint="cs"/>
          <w:rtl/>
        </w:rPr>
        <w:t xml:space="preserve"> المحورية فضلاً عن قدرة الإرسال الإجمالية المسموح بها تجاه </w:t>
      </w:r>
      <w:proofErr w:type="spellStart"/>
      <w:r>
        <w:rPr>
          <w:rFonts w:hint="cs"/>
          <w:rtl/>
        </w:rPr>
        <w:t>معاوقة</w:t>
      </w:r>
      <w:proofErr w:type="spellEnd"/>
      <w:r>
        <w:rPr>
          <w:rFonts w:hint="cs"/>
          <w:rtl/>
        </w:rPr>
        <w:t xml:space="preserve"> محددة </w:t>
      </w:r>
      <w:proofErr w:type="spellStart"/>
      <w:r>
        <w:rPr>
          <w:rFonts w:hint="cs"/>
          <w:rtl/>
        </w:rPr>
        <w:t>للانتهائية</w:t>
      </w:r>
      <w:proofErr w:type="spellEnd"/>
      <w:r>
        <w:rPr>
          <w:rFonts w:hint="cs"/>
          <w:rtl/>
        </w:rPr>
        <w:t>.</w:t>
      </w:r>
      <w:proofErr w:type="gramEnd"/>
      <w:r w:rsidR="00E8673B">
        <w:rPr>
          <w:rFonts w:hint="cs"/>
          <w:rtl/>
        </w:rPr>
        <w:t xml:space="preserve"> </w:t>
      </w:r>
      <w:r>
        <w:rPr>
          <w:rFonts w:hint="cs"/>
          <w:rtl/>
        </w:rPr>
        <w:t xml:space="preserve">وتكمل هذه المواصفة </w:t>
      </w:r>
      <w:proofErr w:type="spellStart"/>
      <w:proofErr w:type="gramStart"/>
      <w:r>
        <w:rPr>
          <w:rFonts w:hint="cs"/>
          <w:rtl/>
        </w:rPr>
        <w:t>المواصفة</w:t>
      </w:r>
      <w:proofErr w:type="spellEnd"/>
      <w:proofErr w:type="gramEnd"/>
      <w:r>
        <w:rPr>
          <w:rFonts w:hint="cs"/>
          <w:rtl/>
        </w:rPr>
        <w:t xml:space="preserve"> الخاصة بمعمارية النظام والطبقة المادية الواردة في التوصية</w:t>
      </w:r>
      <w:r w:rsidR="007E411D">
        <w:rPr>
          <w:rFonts w:hint="eastAsia"/>
          <w:rtl/>
        </w:rPr>
        <w:t> </w:t>
      </w:r>
      <w:r>
        <w:t>ITU</w:t>
      </w:r>
      <w:r>
        <w:noBreakHyphen/>
        <w:t>T G.</w:t>
      </w:r>
      <w:proofErr w:type="gramStart"/>
      <w:r>
        <w:t>9960</w:t>
      </w:r>
      <w:r>
        <w:rPr>
          <w:rFonts w:hint="cs"/>
          <w:rtl/>
        </w:rPr>
        <w:t xml:space="preserve"> ومواصفة طبقة وصلة البيانات الواردة في التوصية</w:t>
      </w:r>
      <w:r w:rsidR="007E411D">
        <w:rPr>
          <w:rFonts w:hint="eastAsia"/>
          <w:rtl/>
        </w:rPr>
        <w:t> </w:t>
      </w:r>
      <w:r>
        <w:t>ITU</w:t>
      </w:r>
      <w:r>
        <w:noBreakHyphen/>
        <w:t>T G.9961</w:t>
      </w:r>
      <w:r>
        <w:rPr>
          <w:rFonts w:hint="cs"/>
          <w:rtl/>
        </w:rPr>
        <w:t xml:space="preserve"> فضلاً عن التعديلات والإضافات على هاتين التوصيتين والتي توصف جهاز الإرسال والاستقبال متعدد المدخلات </w:t>
      </w:r>
      <w:r w:rsidR="0023501C">
        <w:rPr>
          <w:rFonts w:hint="cs"/>
          <w:rtl/>
        </w:rPr>
        <w:t>-</w:t>
      </w:r>
      <w:r>
        <w:rPr>
          <w:rFonts w:hint="cs"/>
          <w:rtl/>
        </w:rPr>
        <w:t> متعدد المخرجات</w:t>
      </w:r>
      <w:r w:rsidR="007E411D">
        <w:rPr>
          <w:rFonts w:hint="eastAsia"/>
          <w:rtl/>
        </w:rPr>
        <w:t> </w:t>
      </w:r>
      <w:r>
        <w:t>(MIMO)</w:t>
      </w:r>
      <w:r>
        <w:rPr>
          <w:rFonts w:hint="cs"/>
          <w:rtl/>
        </w:rPr>
        <w:t xml:space="preserve"> المستعمل في التواصل الشبكي </w:t>
      </w:r>
      <w:proofErr w:type="spellStart"/>
      <w:r>
        <w:rPr>
          <w:rFonts w:hint="cs"/>
          <w:rtl/>
        </w:rPr>
        <w:t>المن‍زلي</w:t>
      </w:r>
      <w:proofErr w:type="spellEnd"/>
      <w:r>
        <w:rPr>
          <w:rFonts w:hint="cs"/>
          <w:rtl/>
        </w:rPr>
        <w:t xml:space="preserve"> في التوصية</w:t>
      </w:r>
      <w:r w:rsidR="007E411D">
        <w:rPr>
          <w:rFonts w:hint="eastAsia"/>
          <w:rtl/>
        </w:rPr>
        <w:t> </w:t>
      </w:r>
      <w:r>
        <w:t>ITU</w:t>
      </w:r>
      <w:r>
        <w:noBreakHyphen/>
        <w:t>T G.9963</w:t>
      </w:r>
      <w:r>
        <w:rPr>
          <w:rFonts w:hint="cs"/>
          <w:rtl/>
        </w:rPr>
        <w:t>.</w:t>
      </w:r>
      <w:proofErr w:type="gramEnd"/>
    </w:p>
    <w:p w:rsidR="00000778" w:rsidRPr="00000778" w:rsidRDefault="00A55549" w:rsidP="00A55549">
      <w:pPr>
        <w:spacing w:before="600"/>
        <w:jc w:val="center"/>
        <w:rPr>
          <w:rtl/>
        </w:rPr>
      </w:pPr>
      <w:r>
        <w:rPr>
          <w:rFonts w:hint="cs"/>
          <w:rtl/>
        </w:rPr>
        <w:t>____________</w:t>
      </w:r>
    </w:p>
    <w:sectPr w:rsidR="00000778" w:rsidRPr="00000778" w:rsidSect="00163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1" w:h="16840" w:code="9"/>
      <w:pgMar w:top="1418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9B" w:rsidRDefault="00076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885316" w:rsidRDefault="00885316" w:rsidP="00885316">
    <w:pPr>
      <w:pStyle w:val="Footer"/>
      <w:jc w:val="right"/>
      <w:rPr>
        <w:sz w:val="16"/>
        <w:lang w:val="fr-CH"/>
      </w:rPr>
    </w:pPr>
    <w:r>
      <w:rPr>
        <w:sz w:val="16"/>
        <w:lang w:val="fr-CH"/>
      </w:rPr>
      <w:t>ITU-T\BUREAU\CIRC\231A.DOCX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1631E7" w:rsidTr="004A03B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631E7" w:rsidRDefault="001631E7" w:rsidP="004A03B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631E7" w:rsidTr="004A03BA">
      <w:trPr>
        <w:cantSplit/>
      </w:trPr>
      <w:tc>
        <w:tcPr>
          <w:tcW w:w="1062" w:type="pct"/>
        </w:tcPr>
        <w:p w:rsidR="001631E7" w:rsidRPr="008F5E3A" w:rsidRDefault="001631E7" w:rsidP="004A03B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1631E7" w:rsidRPr="008F5E3A" w:rsidRDefault="001631E7" w:rsidP="004A03B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1631E7" w:rsidRPr="008F5E3A" w:rsidRDefault="001631E7" w:rsidP="004A03B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1631E7" w:rsidRPr="00724ED5" w:rsidRDefault="001631E7" w:rsidP="004A03B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1631E7" w:rsidTr="004A03BA">
      <w:trPr>
        <w:cantSplit/>
      </w:trPr>
      <w:tc>
        <w:tcPr>
          <w:tcW w:w="1062" w:type="pct"/>
        </w:tcPr>
        <w:p w:rsidR="001631E7" w:rsidRDefault="001631E7" w:rsidP="004A03BA">
          <w:pPr>
            <w:pStyle w:val="itu"/>
          </w:pPr>
          <w:r>
            <w:t>S</w:t>
          </w:r>
          <w:r w:rsidR="00D867BE">
            <w:t>witzerland</w:t>
          </w:r>
        </w:p>
      </w:tc>
      <w:tc>
        <w:tcPr>
          <w:tcW w:w="1583" w:type="pct"/>
        </w:tcPr>
        <w:p w:rsidR="001631E7" w:rsidRDefault="001631E7" w:rsidP="004A03B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631E7" w:rsidRDefault="001631E7" w:rsidP="004A03BA">
          <w:pPr>
            <w:pStyle w:val="itu"/>
          </w:pPr>
        </w:p>
      </w:tc>
      <w:tc>
        <w:tcPr>
          <w:tcW w:w="1131" w:type="pct"/>
        </w:tcPr>
        <w:p w:rsidR="001631E7" w:rsidRDefault="001631E7" w:rsidP="004A03BA">
          <w:pPr>
            <w:pStyle w:val="itu"/>
          </w:pPr>
        </w:p>
      </w:tc>
    </w:tr>
  </w:tbl>
  <w:p w:rsidR="00CF1B69" w:rsidRPr="00AE03C4" w:rsidRDefault="00CF1B69" w:rsidP="001631E7">
    <w:pPr>
      <w:pStyle w:val="Footer"/>
      <w:bidi w:val="0"/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9B" w:rsidRDefault="00076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07659B">
    <w:pPr>
      <w:pStyle w:val="Header"/>
      <w:bidi w:val="0"/>
      <w:spacing w:after="240"/>
      <w:jc w:val="center"/>
    </w:pPr>
    <w:r>
      <w:t> </w:t>
    </w:r>
    <w:r w:rsidR="00073182"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 w:rsidR="00073182">
      <w:rPr>
        <w:rFonts w:cs="Times New Roman"/>
        <w:szCs w:val="22"/>
      </w:rPr>
      <w:fldChar w:fldCharType="separate"/>
    </w:r>
    <w:r w:rsidR="0007659B">
      <w:rPr>
        <w:rFonts w:cs="Times New Roman"/>
        <w:noProof/>
        <w:szCs w:val="22"/>
      </w:rPr>
      <w:t>2</w:t>
    </w:r>
    <w:r w:rsidR="00073182">
      <w:rPr>
        <w:rFonts w:cs="Times New Roman"/>
        <w:szCs w:val="22"/>
      </w:rPr>
      <w:fldChar w:fldCharType="end"/>
    </w:r>
    <w:r>
      <w:t> 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9B" w:rsidRDefault="00076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B09"/>
    <w:rsid w:val="00000778"/>
    <w:rsid w:val="00007569"/>
    <w:rsid w:val="00012BDE"/>
    <w:rsid w:val="000132B7"/>
    <w:rsid w:val="00020DB7"/>
    <w:rsid w:val="00023570"/>
    <w:rsid w:val="000260D5"/>
    <w:rsid w:val="000302D3"/>
    <w:rsid w:val="000440C4"/>
    <w:rsid w:val="000525E5"/>
    <w:rsid w:val="000637D6"/>
    <w:rsid w:val="0006455A"/>
    <w:rsid w:val="00064EC5"/>
    <w:rsid w:val="00071718"/>
    <w:rsid w:val="00072143"/>
    <w:rsid w:val="00072AC5"/>
    <w:rsid w:val="00073182"/>
    <w:rsid w:val="00073E7E"/>
    <w:rsid w:val="0007659B"/>
    <w:rsid w:val="00076A45"/>
    <w:rsid w:val="00081D8A"/>
    <w:rsid w:val="000A3EFF"/>
    <w:rsid w:val="000A7621"/>
    <w:rsid w:val="000B4978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631E7"/>
    <w:rsid w:val="00180899"/>
    <w:rsid w:val="001829F8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14E77"/>
    <w:rsid w:val="0022041F"/>
    <w:rsid w:val="00220FEB"/>
    <w:rsid w:val="00221F47"/>
    <w:rsid w:val="00224522"/>
    <w:rsid w:val="002313E7"/>
    <w:rsid w:val="002330BE"/>
    <w:rsid w:val="0023501C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87340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1350"/>
    <w:rsid w:val="00303506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D7888"/>
    <w:rsid w:val="003E051B"/>
    <w:rsid w:val="003E32A8"/>
    <w:rsid w:val="003E4924"/>
    <w:rsid w:val="003E6B7D"/>
    <w:rsid w:val="004067A6"/>
    <w:rsid w:val="00417512"/>
    <w:rsid w:val="00422171"/>
    <w:rsid w:val="004221D4"/>
    <w:rsid w:val="00425397"/>
    <w:rsid w:val="00427E2F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5EE3"/>
    <w:rsid w:val="004A7A1A"/>
    <w:rsid w:val="004B49B9"/>
    <w:rsid w:val="004C14D1"/>
    <w:rsid w:val="004D72C6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22DC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1058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1546D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D4188"/>
    <w:rsid w:val="007D4FB9"/>
    <w:rsid w:val="007E411D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6CC0"/>
    <w:rsid w:val="00883E59"/>
    <w:rsid w:val="00885316"/>
    <w:rsid w:val="00886A0C"/>
    <w:rsid w:val="008B23E8"/>
    <w:rsid w:val="008B61CA"/>
    <w:rsid w:val="008C3899"/>
    <w:rsid w:val="008C4385"/>
    <w:rsid w:val="008C7D86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51117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1C3"/>
    <w:rsid w:val="00A22222"/>
    <w:rsid w:val="00A26EA0"/>
    <w:rsid w:val="00A55013"/>
    <w:rsid w:val="00A55549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6BED"/>
    <w:rsid w:val="00B204CB"/>
    <w:rsid w:val="00B22847"/>
    <w:rsid w:val="00B232BD"/>
    <w:rsid w:val="00B269E5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1BFE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74357"/>
    <w:rsid w:val="00D807A7"/>
    <w:rsid w:val="00D82615"/>
    <w:rsid w:val="00D84854"/>
    <w:rsid w:val="00D86402"/>
    <w:rsid w:val="00D867BE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8673B"/>
    <w:rsid w:val="00E96B35"/>
    <w:rsid w:val="00EA5B6B"/>
    <w:rsid w:val="00EA722D"/>
    <w:rsid w:val="00EB28A5"/>
    <w:rsid w:val="00EB661D"/>
    <w:rsid w:val="00EC0515"/>
    <w:rsid w:val="00EC38BA"/>
    <w:rsid w:val="00ED30C0"/>
    <w:rsid w:val="00ED3E50"/>
    <w:rsid w:val="00ED6CD3"/>
    <w:rsid w:val="00EF1712"/>
    <w:rsid w:val="00EF4503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3260"/>
    <w:rsid w:val="00F53552"/>
    <w:rsid w:val="00F64182"/>
    <w:rsid w:val="00F65153"/>
    <w:rsid w:val="00F664B4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18D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D6D93"/>
    <w:rsid w:val="00FE7226"/>
    <w:rsid w:val="00FF7CD7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A5EE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A5EE3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4A5EE3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0765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5C99-A63F-4E89-839D-6CA882250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663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4206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Bettini, Nadine</cp:lastModifiedBy>
  <cp:revision>39</cp:revision>
  <cp:lastPrinted>2011-09-22T07:46:00Z</cp:lastPrinted>
  <dcterms:created xsi:type="dcterms:W3CDTF">2011-09-21T15:28:00Z</dcterms:created>
  <dcterms:modified xsi:type="dcterms:W3CDTF">2011-09-29T08:36:00Z</dcterms:modified>
</cp:coreProperties>
</file>