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F494561" wp14:editId="08F74986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D944B0">
        <w:t>6 de septiembre de 2011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C34772" w:rsidP="00D944B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D944B0">
              <w:rPr>
                <w:b/>
              </w:rPr>
              <w:t>225</w:t>
            </w:r>
          </w:p>
          <w:p w:rsidR="00C34772" w:rsidRDefault="00C34772" w:rsidP="00D944B0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D944B0">
              <w:t>17</w:t>
            </w:r>
            <w:r>
              <w:t>/</w:t>
            </w:r>
            <w:r w:rsidR="00D944B0">
              <w:t>MEU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D944B0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D944B0">
              <w:t xml:space="preserve"> 5866</w:t>
            </w:r>
            <w:r>
              <w:br/>
              <w:t>+41 22 730 5853</w:t>
            </w:r>
            <w:r>
              <w:br/>
            </w:r>
            <w:hyperlink r:id="rId10" w:history="1">
              <w:r w:rsidR="00D944B0" w:rsidRPr="00895F6D">
                <w:rPr>
                  <w:rStyle w:val="Hyperlink"/>
                </w:rPr>
                <w:t>tsbsg17@itu.int</w:t>
              </w:r>
            </w:hyperlink>
            <w:r>
              <w:t xml:space="preserve"> </w:t>
            </w: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 del UIT-T;</w:t>
            </w:r>
          </w:p>
          <w:p w:rsidR="00C34772" w:rsidRDefault="00C34772" w:rsidP="00D944B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la Comisión de Estudio </w:t>
            </w:r>
            <w:r w:rsidR="00D944B0">
              <w:t>17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C34772" w:rsidTr="00303D62">
        <w:trPr>
          <w:cantSplit/>
          <w:trHeight w:val="680"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4959" w:type="dxa"/>
          </w:tcPr>
          <w:p w:rsidR="00D944B0" w:rsidRDefault="00C34772" w:rsidP="00D944B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Aprobación de las</w:t>
            </w:r>
            <w:r w:rsidR="00D944B0">
              <w:rPr>
                <w:b/>
              </w:rPr>
              <w:t xml:space="preserve"> nueva</w:t>
            </w:r>
            <w:r w:rsidR="00833106">
              <w:rPr>
                <w:b/>
              </w:rPr>
              <w:t>s</w:t>
            </w:r>
            <w:r>
              <w:rPr>
                <w:b/>
              </w:rPr>
              <w:t xml:space="preserve"> Recomendaciones UIT-T </w:t>
            </w:r>
            <w:r w:rsidR="00D944B0">
              <w:rPr>
                <w:b/>
              </w:rPr>
              <w:t xml:space="preserve">X.1253 y </w:t>
            </w:r>
            <w:r w:rsidR="00833106">
              <w:rPr>
                <w:b/>
              </w:rPr>
              <w:t>X.</w:t>
            </w:r>
            <w:r w:rsidR="00D944B0">
              <w:rPr>
                <w:b/>
              </w:rPr>
              <w:t>1570</w:t>
            </w:r>
          </w:p>
          <w:p w:rsidR="00C34772" w:rsidRDefault="00D944B0" w:rsidP="00833106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No aprobación de los proyectos de nueva</w:t>
            </w:r>
            <w:r w:rsidR="00833106">
              <w:rPr>
                <w:b/>
              </w:rPr>
              <w:t>s</w:t>
            </w:r>
            <w:r>
              <w:rPr>
                <w:b/>
              </w:rPr>
              <w:t xml:space="preserve"> Recomendaci</w:t>
            </w:r>
            <w:r w:rsidR="00833106">
              <w:rPr>
                <w:b/>
              </w:rPr>
              <w:t>o</w:t>
            </w:r>
            <w:r>
              <w:rPr>
                <w:b/>
              </w:rPr>
              <w:t>n</w:t>
            </w:r>
            <w:r w:rsidR="00833106">
              <w:rPr>
                <w:b/>
              </w:rPr>
              <w:t>es UIT</w:t>
            </w:r>
            <w:r w:rsidR="00833106">
              <w:rPr>
                <w:b/>
              </w:rPr>
              <w:noBreakHyphen/>
              <w:t>T</w:t>
            </w:r>
            <w:r>
              <w:rPr>
                <w:b/>
              </w:rPr>
              <w:t xml:space="preserve"> X.1211 y X.1246</w:t>
            </w:r>
          </w:p>
        </w:tc>
      </w:tr>
    </w:tbl>
    <w:p w:rsidR="00C34772" w:rsidRDefault="00C34772" w:rsidP="00303D62"/>
    <w:p w:rsidR="00C34772" w:rsidRDefault="00C34772" w:rsidP="00303D62">
      <w:r>
        <w:t>Muy Señora mía/Muy Señor mío:</w:t>
      </w:r>
    </w:p>
    <w:p w:rsidR="00D944B0" w:rsidRDefault="00C34772" w:rsidP="00D944B0">
      <w:pPr>
        <w:ind w:right="-143"/>
      </w:pPr>
      <w:r>
        <w:rPr>
          <w:bCs/>
        </w:rPr>
        <w:t>1</w:t>
      </w:r>
      <w:r>
        <w:tab/>
        <w:t xml:space="preserve">Tras la Circular TSB </w:t>
      </w:r>
      <w:r w:rsidR="00D944B0">
        <w:t>190</w:t>
      </w:r>
      <w:r>
        <w:t xml:space="preserve"> de </w:t>
      </w:r>
      <w:r w:rsidR="00D944B0">
        <w:t>fecha 28 de abril de 2011</w:t>
      </w:r>
      <w:r>
        <w:t xml:space="preserve">, tengo el honor de comunicarle que </w:t>
      </w:r>
      <w:r w:rsidR="00D944B0">
        <w:t>21</w:t>
      </w:r>
      <w:r w:rsidR="00833106">
        <w:t> </w:t>
      </w:r>
      <w:r>
        <w:t xml:space="preserve">Estados Miembros participantes en la última reunión de la Comisión de Estudio </w:t>
      </w:r>
      <w:r w:rsidR="00D944B0">
        <w:t>17,</w:t>
      </w:r>
      <w:r>
        <w:t xml:space="preserve"> </w:t>
      </w:r>
      <w:r w:rsidR="00833106">
        <w:t>en su Sesión P</w:t>
      </w:r>
      <w:r w:rsidR="00D944B0">
        <w:t>lenaria celebrada el 2 de septiembre de 2011:</w:t>
      </w:r>
    </w:p>
    <w:p w:rsidR="00C34772" w:rsidRDefault="00D944B0" w:rsidP="00D944B0">
      <w:pPr>
        <w:ind w:right="-143"/>
      </w:pPr>
      <w:r w:rsidRPr="00D944B0">
        <w:rPr>
          <w:bCs/>
        </w:rPr>
        <w:t>1.1</w:t>
      </w:r>
      <w:r w:rsidRPr="00D944B0">
        <w:rPr>
          <w:bCs/>
        </w:rPr>
        <w:tab/>
      </w:r>
      <w:r w:rsidR="00C34772">
        <w:rPr>
          <w:b/>
        </w:rPr>
        <w:t>aprobaron</w:t>
      </w:r>
      <w:r w:rsidR="00C34772">
        <w:t xml:space="preserve"> el texto de </w:t>
      </w:r>
      <w:r>
        <w:t>dos</w:t>
      </w:r>
      <w:r w:rsidR="00C34772">
        <w:t xml:space="preserve"> proyectos de </w:t>
      </w:r>
      <w:r>
        <w:t>nueva Recomendación</w:t>
      </w:r>
      <w:r w:rsidR="000363BB">
        <w:t xml:space="preserve"> UIT-T.</w:t>
      </w:r>
    </w:p>
    <w:p w:rsidR="00C34772" w:rsidRDefault="00D944B0" w:rsidP="00D944B0">
      <w:r>
        <w:t>Los</w:t>
      </w:r>
      <w:r w:rsidR="00C34772">
        <w:t xml:space="preserve"> títulos de esta</w:t>
      </w:r>
      <w:r>
        <w:t>s nuevas Recomendaciones</w:t>
      </w:r>
      <w:r w:rsidR="000363BB">
        <w:t xml:space="preserve"> </w:t>
      </w:r>
      <w:r w:rsidR="00C34772">
        <w:t>UIT</w:t>
      </w:r>
      <w:r w:rsidR="00C34772">
        <w:noBreakHyphen/>
        <w:t>T que se aprobaron</w:t>
      </w:r>
      <w:r>
        <w:t xml:space="preserve"> s</w:t>
      </w:r>
      <w:r w:rsidR="00C34772">
        <w:t>on</w:t>
      </w:r>
      <w:r>
        <w:t xml:space="preserve"> </w:t>
      </w:r>
      <w:r w:rsidR="00C34772">
        <w:t>los siguientes:</w:t>
      </w:r>
    </w:p>
    <w:p w:rsidR="00D944B0" w:rsidRPr="000363BB" w:rsidRDefault="00D944B0" w:rsidP="000363B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val="es-ES"/>
        </w:rPr>
      </w:pPr>
      <w:r w:rsidRPr="000363BB">
        <w:rPr>
          <w:b/>
          <w:bCs/>
          <w:lang w:val="es-ES"/>
        </w:rPr>
        <w:t>X.1253</w:t>
      </w:r>
      <w:r w:rsidR="000363BB" w:rsidRPr="000363BB">
        <w:rPr>
          <w:b/>
          <w:bCs/>
          <w:lang w:val="es-ES"/>
        </w:rPr>
        <w:tab/>
      </w:r>
      <w:r w:rsidR="00921EF1" w:rsidRPr="000363BB">
        <w:rPr>
          <w:b/>
          <w:bCs/>
          <w:lang w:val="es-ES"/>
        </w:rPr>
        <w:t>Directrices de seguridad para los sistemas de gestión de identidad</w:t>
      </w:r>
    </w:p>
    <w:p w:rsidR="00C34772" w:rsidRPr="000363BB" w:rsidRDefault="00D944B0" w:rsidP="000363B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val="es-ES"/>
        </w:rPr>
      </w:pPr>
      <w:r w:rsidRPr="000363BB">
        <w:rPr>
          <w:b/>
          <w:bCs/>
          <w:lang w:val="es-ES"/>
        </w:rPr>
        <w:t>X.1570</w:t>
      </w:r>
      <w:r w:rsidR="000363BB" w:rsidRPr="000363BB">
        <w:rPr>
          <w:b/>
          <w:bCs/>
          <w:lang w:val="es-ES"/>
        </w:rPr>
        <w:tab/>
      </w:r>
      <w:r w:rsidR="00921EF1" w:rsidRPr="000363BB">
        <w:rPr>
          <w:b/>
          <w:bCs/>
          <w:lang w:val="es-ES"/>
        </w:rPr>
        <w:t xml:space="preserve">Mecanismos de descubrimiento en el intercambio de información de </w:t>
      </w:r>
      <w:proofErr w:type="spellStart"/>
      <w:r w:rsidR="00921EF1" w:rsidRPr="000363BB">
        <w:rPr>
          <w:b/>
          <w:bCs/>
          <w:lang w:val="es-ES"/>
        </w:rPr>
        <w:t>ciberseguridad</w:t>
      </w:r>
      <w:proofErr w:type="spellEnd"/>
    </w:p>
    <w:p w:rsidR="00D944B0" w:rsidRDefault="00D944B0" w:rsidP="00303D62">
      <w:r>
        <w:rPr>
          <w:bCs/>
        </w:rPr>
        <w:t>1.2</w:t>
      </w:r>
      <w:r>
        <w:rPr>
          <w:bCs/>
        </w:rPr>
        <w:tab/>
      </w:r>
      <w:r w:rsidRPr="00921EF1">
        <w:rPr>
          <w:b/>
        </w:rPr>
        <w:t>no aprobaron</w:t>
      </w:r>
      <w:r>
        <w:rPr>
          <w:bCs/>
        </w:rPr>
        <w:t xml:space="preserve"> </w:t>
      </w:r>
      <w:r>
        <w:t>el texto de dos proyect</w:t>
      </w:r>
      <w:r w:rsidR="000363BB">
        <w:t>os de nueva Recomendación UIT-T.</w:t>
      </w:r>
    </w:p>
    <w:p w:rsidR="00D944B0" w:rsidRDefault="00D944B0" w:rsidP="00D944B0">
      <w:r>
        <w:t>Los títulos de estas nuevas Recomendaciones  UIT</w:t>
      </w:r>
      <w:r>
        <w:noBreakHyphen/>
        <w:t>T que no se aprobaron son los siguientes:</w:t>
      </w:r>
    </w:p>
    <w:p w:rsidR="00D944B0" w:rsidRPr="000363BB" w:rsidRDefault="00D944B0" w:rsidP="000363B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val="es-ES"/>
        </w:rPr>
      </w:pPr>
      <w:r w:rsidRPr="000363BB">
        <w:rPr>
          <w:b/>
          <w:bCs/>
          <w:lang w:val="es-ES"/>
        </w:rPr>
        <w:t>X.1211</w:t>
      </w:r>
      <w:r w:rsidR="000363BB">
        <w:rPr>
          <w:b/>
          <w:bCs/>
          <w:lang w:val="es-ES"/>
        </w:rPr>
        <w:tab/>
      </w:r>
      <w:r w:rsidR="00921EF1" w:rsidRPr="000363BB">
        <w:rPr>
          <w:b/>
          <w:bCs/>
          <w:lang w:val="es-ES"/>
        </w:rPr>
        <w:t>Facilidad de uso del rastreo de redes</w:t>
      </w:r>
    </w:p>
    <w:p w:rsidR="00D944B0" w:rsidRPr="000363BB" w:rsidRDefault="00D944B0" w:rsidP="000363BB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val="es-ES"/>
        </w:rPr>
      </w:pPr>
      <w:r w:rsidRPr="000363BB">
        <w:rPr>
          <w:b/>
          <w:bCs/>
          <w:lang w:val="es-ES"/>
        </w:rPr>
        <w:t>X.1246</w:t>
      </w:r>
      <w:r w:rsidR="000363BB">
        <w:rPr>
          <w:b/>
          <w:bCs/>
          <w:lang w:val="es-ES"/>
        </w:rPr>
        <w:tab/>
      </w:r>
      <w:r w:rsidR="00921EF1" w:rsidRPr="000363BB">
        <w:rPr>
          <w:b/>
          <w:bCs/>
          <w:lang w:val="es-ES"/>
        </w:rPr>
        <w:t xml:space="preserve">Marco basado en listas negras en tiempo real (RBL) para la lucha contra el </w:t>
      </w:r>
      <w:proofErr w:type="spellStart"/>
      <w:r w:rsidR="00921EF1" w:rsidRPr="000363BB">
        <w:rPr>
          <w:b/>
          <w:bCs/>
          <w:lang w:val="es-ES"/>
        </w:rPr>
        <w:t>spam</w:t>
      </w:r>
      <w:proofErr w:type="spellEnd"/>
      <w:r w:rsidR="00921EF1" w:rsidRPr="000363BB">
        <w:rPr>
          <w:b/>
          <w:bCs/>
          <w:lang w:val="es-ES"/>
        </w:rPr>
        <w:t xml:space="preserve"> de </w:t>
      </w:r>
      <w:proofErr w:type="spellStart"/>
      <w:r w:rsidR="00921EF1" w:rsidRPr="000363BB">
        <w:rPr>
          <w:b/>
          <w:bCs/>
          <w:lang w:val="es-ES"/>
        </w:rPr>
        <w:t>VoIP</w:t>
      </w:r>
      <w:proofErr w:type="spellEnd"/>
    </w:p>
    <w:p w:rsidR="00D944B0" w:rsidRPr="00833106" w:rsidRDefault="00D944B0" w:rsidP="000363BB">
      <w:pPr>
        <w:tabs>
          <w:tab w:val="clear" w:pos="794"/>
          <w:tab w:val="left" w:pos="0"/>
        </w:tabs>
        <w:rPr>
          <w:sz w:val="20"/>
        </w:rPr>
      </w:pPr>
      <w:r w:rsidRPr="00833106">
        <w:rPr>
          <w:sz w:val="20"/>
        </w:rPr>
        <w:t>Not</w:t>
      </w:r>
      <w:r w:rsidR="00921EF1" w:rsidRPr="00833106">
        <w:rPr>
          <w:sz w:val="20"/>
        </w:rPr>
        <w:t>a</w:t>
      </w:r>
      <w:r w:rsidRPr="00833106">
        <w:rPr>
          <w:sz w:val="20"/>
        </w:rPr>
        <w:t>s:</w:t>
      </w:r>
    </w:p>
    <w:p w:rsidR="00D944B0" w:rsidRDefault="00D944B0" w:rsidP="00D944B0">
      <w:pPr>
        <w:tabs>
          <w:tab w:val="clear" w:pos="794"/>
          <w:tab w:val="left" w:pos="0"/>
        </w:tabs>
        <w:ind w:left="720"/>
        <w:rPr>
          <w:sz w:val="20"/>
        </w:rPr>
      </w:pPr>
      <w:r>
        <w:rPr>
          <w:sz w:val="20"/>
        </w:rPr>
        <w:t xml:space="preserve">Se interrumpen las labores sobre los proyectos de Recomendación UIT-T </w:t>
      </w:r>
      <w:r w:rsidRPr="00093314">
        <w:rPr>
          <w:sz w:val="20"/>
        </w:rPr>
        <w:t>X.</w:t>
      </w:r>
      <w:r>
        <w:rPr>
          <w:sz w:val="20"/>
        </w:rPr>
        <w:t>1211 y X.</w:t>
      </w:r>
      <w:r w:rsidR="003812B0">
        <w:rPr>
          <w:sz w:val="20"/>
        </w:rPr>
        <w:t>1246</w:t>
      </w:r>
      <w:r w:rsidRPr="00093314">
        <w:rPr>
          <w:sz w:val="20"/>
        </w:rPr>
        <w:t>.</w:t>
      </w:r>
    </w:p>
    <w:p w:rsidR="00D944B0" w:rsidRPr="00DF46D7" w:rsidRDefault="00D944B0" w:rsidP="003812B0">
      <w:pPr>
        <w:ind w:left="720"/>
        <w:rPr>
          <w:sz w:val="20"/>
        </w:rPr>
      </w:pPr>
      <w:r>
        <w:rPr>
          <w:sz w:val="20"/>
        </w:rPr>
        <w:t>El proyecto de nueva Recomendación UIT-T</w:t>
      </w:r>
      <w:r w:rsidRPr="00DF46D7">
        <w:rPr>
          <w:sz w:val="20"/>
        </w:rPr>
        <w:t xml:space="preserve"> X.1211 (</w:t>
      </w:r>
      <w:proofErr w:type="spellStart"/>
      <w:r w:rsidRPr="00DF46D7">
        <w:rPr>
          <w:sz w:val="20"/>
        </w:rPr>
        <w:t>X.tb-ucc</w:t>
      </w:r>
      <w:proofErr w:type="spellEnd"/>
      <w:r w:rsidRPr="00DF46D7">
        <w:rPr>
          <w:sz w:val="20"/>
        </w:rPr>
        <w:t xml:space="preserve">), </w:t>
      </w:r>
      <w:r w:rsidR="00042333" w:rsidRPr="00042333">
        <w:rPr>
          <w:sz w:val="20"/>
        </w:rPr>
        <w:t xml:space="preserve">Facilidad de uso del rastreo de redes </w:t>
      </w:r>
      <w:r w:rsidRPr="00DF46D7">
        <w:rPr>
          <w:sz w:val="20"/>
        </w:rPr>
        <w:t>(COM</w:t>
      </w:r>
      <w:r w:rsidR="003812B0">
        <w:rPr>
          <w:sz w:val="20"/>
        </w:rPr>
        <w:t> </w:t>
      </w:r>
      <w:r w:rsidRPr="00DF46D7">
        <w:rPr>
          <w:sz w:val="20"/>
        </w:rPr>
        <w:t xml:space="preserve">17 – R 33 </w:t>
      </w:r>
      <w:r w:rsidR="00921EF1">
        <w:rPr>
          <w:sz w:val="20"/>
        </w:rPr>
        <w:t>para aprobación</w:t>
      </w:r>
      <w:r w:rsidRPr="00DF46D7">
        <w:rPr>
          <w:sz w:val="20"/>
        </w:rPr>
        <w:t xml:space="preserve"> TAP) </w:t>
      </w:r>
      <w:r>
        <w:rPr>
          <w:sz w:val="20"/>
        </w:rPr>
        <w:t>se ha transformado en el</w:t>
      </w:r>
      <w:r w:rsidRPr="00DF46D7">
        <w:rPr>
          <w:sz w:val="20"/>
        </w:rPr>
        <w:t xml:space="preserve"> Suplemento 10 </w:t>
      </w:r>
      <w:r>
        <w:rPr>
          <w:sz w:val="20"/>
        </w:rPr>
        <w:t>a las Recomendaciones UIT</w:t>
      </w:r>
      <w:r w:rsidR="00833106">
        <w:rPr>
          <w:sz w:val="20"/>
        </w:rPr>
        <w:noBreakHyphen/>
      </w:r>
      <w:r>
        <w:rPr>
          <w:sz w:val="20"/>
        </w:rPr>
        <w:t xml:space="preserve">T de la serie X – UIT-T </w:t>
      </w:r>
      <w:r w:rsidRPr="00DF46D7">
        <w:rPr>
          <w:sz w:val="20"/>
        </w:rPr>
        <w:t xml:space="preserve">X.1205: </w:t>
      </w:r>
      <w:r w:rsidR="00921EF1" w:rsidRPr="00DF46D7">
        <w:rPr>
          <w:sz w:val="20"/>
        </w:rPr>
        <w:t>Suplemento</w:t>
      </w:r>
      <w:r w:rsidR="00921EF1">
        <w:rPr>
          <w:sz w:val="20"/>
        </w:rPr>
        <w:t xml:space="preserve"> sobre </w:t>
      </w:r>
      <w:r w:rsidR="00042333">
        <w:rPr>
          <w:sz w:val="20"/>
        </w:rPr>
        <w:t xml:space="preserve">la </w:t>
      </w:r>
      <w:r w:rsidR="00921EF1">
        <w:rPr>
          <w:sz w:val="20"/>
        </w:rPr>
        <w:t>f</w:t>
      </w:r>
      <w:r w:rsidR="00921EF1" w:rsidRPr="00921EF1">
        <w:rPr>
          <w:sz w:val="20"/>
        </w:rPr>
        <w:t xml:space="preserve">acilidad de uso del rastreo de redes </w:t>
      </w:r>
      <w:r w:rsidRPr="00DF46D7">
        <w:rPr>
          <w:sz w:val="20"/>
        </w:rPr>
        <w:t>(</w:t>
      </w:r>
      <w:proofErr w:type="spellStart"/>
      <w:r w:rsidRPr="00DF46D7">
        <w:rPr>
          <w:sz w:val="20"/>
        </w:rPr>
        <w:t>X.tb-ucc</w:t>
      </w:r>
      <w:proofErr w:type="spellEnd"/>
      <w:r w:rsidRPr="00DF46D7">
        <w:rPr>
          <w:sz w:val="20"/>
        </w:rPr>
        <w:t xml:space="preserve">), </w:t>
      </w:r>
      <w:r w:rsidR="00921EF1">
        <w:rPr>
          <w:sz w:val="20"/>
        </w:rPr>
        <w:t>y fue acordado</w:t>
      </w:r>
      <w:r w:rsidRPr="00DF46D7">
        <w:rPr>
          <w:sz w:val="20"/>
        </w:rPr>
        <w:t>.</w:t>
      </w:r>
    </w:p>
    <w:p w:rsidR="00D944B0" w:rsidRPr="00DF46D7" w:rsidRDefault="00921EF1" w:rsidP="000363BB">
      <w:pPr>
        <w:keepNext/>
        <w:keepLines/>
        <w:ind w:left="720"/>
        <w:rPr>
          <w:sz w:val="20"/>
        </w:rPr>
      </w:pPr>
      <w:r>
        <w:rPr>
          <w:sz w:val="20"/>
        </w:rPr>
        <w:lastRenderedPageBreak/>
        <w:t>El proyecto de nueva Recomendación UIT-T</w:t>
      </w:r>
      <w:r w:rsidRPr="00DF46D7">
        <w:rPr>
          <w:sz w:val="20"/>
        </w:rPr>
        <w:t xml:space="preserve"> </w:t>
      </w:r>
      <w:r w:rsidR="00D944B0" w:rsidRPr="00DF46D7">
        <w:rPr>
          <w:sz w:val="20"/>
        </w:rPr>
        <w:t xml:space="preserve">X.1246 (X.tcs-2), </w:t>
      </w:r>
      <w:r w:rsidRPr="00921EF1">
        <w:rPr>
          <w:sz w:val="20"/>
        </w:rPr>
        <w:t xml:space="preserve">Marco basado en listas negras en tiempo real (RBL) para la lucha contra el </w:t>
      </w:r>
      <w:proofErr w:type="spellStart"/>
      <w:r w:rsidRPr="00921EF1">
        <w:rPr>
          <w:sz w:val="20"/>
        </w:rPr>
        <w:t>spam</w:t>
      </w:r>
      <w:proofErr w:type="spellEnd"/>
      <w:r w:rsidRPr="00921EF1">
        <w:rPr>
          <w:sz w:val="20"/>
        </w:rPr>
        <w:t xml:space="preserve"> de </w:t>
      </w:r>
      <w:proofErr w:type="spellStart"/>
      <w:r w:rsidRPr="00921EF1">
        <w:rPr>
          <w:sz w:val="20"/>
        </w:rPr>
        <w:t>VoIP</w:t>
      </w:r>
      <w:proofErr w:type="spellEnd"/>
      <w:r w:rsidRPr="00921EF1">
        <w:rPr>
          <w:sz w:val="20"/>
        </w:rPr>
        <w:t xml:space="preserve"> </w:t>
      </w:r>
      <w:r w:rsidR="00D944B0" w:rsidRPr="00DF46D7">
        <w:rPr>
          <w:sz w:val="20"/>
        </w:rPr>
        <w:t xml:space="preserve">(COM 17 – R 34 </w:t>
      </w:r>
      <w:r>
        <w:rPr>
          <w:sz w:val="20"/>
        </w:rPr>
        <w:t>para aprobación</w:t>
      </w:r>
      <w:r w:rsidR="00D944B0" w:rsidRPr="00DF46D7">
        <w:rPr>
          <w:sz w:val="20"/>
        </w:rPr>
        <w:t xml:space="preserve"> TAP) </w:t>
      </w:r>
      <w:r w:rsidRPr="00921EF1">
        <w:rPr>
          <w:sz w:val="20"/>
        </w:rPr>
        <w:t>se ha transformado en el Suplemento 1</w:t>
      </w:r>
      <w:r>
        <w:rPr>
          <w:sz w:val="20"/>
        </w:rPr>
        <w:t>1</w:t>
      </w:r>
      <w:r w:rsidRPr="00921EF1">
        <w:rPr>
          <w:sz w:val="20"/>
        </w:rPr>
        <w:t xml:space="preserve"> a las Recomendaciones UIT-T de la serie </w:t>
      </w:r>
      <w:r w:rsidR="00D944B0" w:rsidRPr="00DF46D7">
        <w:rPr>
          <w:sz w:val="20"/>
        </w:rPr>
        <w:t xml:space="preserve">X.1245: </w:t>
      </w:r>
      <w:r w:rsidRPr="00921EF1">
        <w:rPr>
          <w:sz w:val="20"/>
        </w:rPr>
        <w:t xml:space="preserve">Marco basado en listas negras en tiempo real (RBL) para la lucha contra el </w:t>
      </w:r>
      <w:proofErr w:type="spellStart"/>
      <w:r w:rsidRPr="00921EF1">
        <w:rPr>
          <w:sz w:val="20"/>
        </w:rPr>
        <w:t>spam</w:t>
      </w:r>
      <w:proofErr w:type="spellEnd"/>
      <w:r w:rsidRPr="00921EF1">
        <w:rPr>
          <w:sz w:val="20"/>
        </w:rPr>
        <w:t xml:space="preserve"> de </w:t>
      </w:r>
      <w:proofErr w:type="spellStart"/>
      <w:r w:rsidRPr="00921EF1">
        <w:rPr>
          <w:sz w:val="20"/>
        </w:rPr>
        <w:t>VoIP</w:t>
      </w:r>
      <w:proofErr w:type="spellEnd"/>
      <w:r w:rsidR="00D944B0" w:rsidRPr="00DF46D7">
        <w:rPr>
          <w:sz w:val="20"/>
        </w:rPr>
        <w:t xml:space="preserve">, </w:t>
      </w:r>
      <w:r>
        <w:rPr>
          <w:sz w:val="20"/>
        </w:rPr>
        <w:t>y fue acordado</w:t>
      </w:r>
      <w:r w:rsidR="00D944B0">
        <w:rPr>
          <w:sz w:val="20"/>
        </w:rPr>
        <w:t>.</w:t>
      </w:r>
    </w:p>
    <w:p w:rsidR="00C34772" w:rsidRDefault="00921EF1" w:rsidP="00303D62">
      <w:r>
        <w:rPr>
          <w:bCs/>
        </w:rPr>
        <w:t>2</w:t>
      </w:r>
      <w:r w:rsidR="00C34772">
        <w:tab/>
        <w:t>Puede accederse en línea a la información disponible sobre patentes a través del sitio web del UIT</w:t>
      </w:r>
      <w:r w:rsidR="00C34772">
        <w:noBreakHyphen/>
        <w:t>T.</w:t>
      </w:r>
    </w:p>
    <w:p w:rsidR="00C34772" w:rsidRDefault="00921EF1" w:rsidP="00921EF1">
      <w:r>
        <w:t>3</w:t>
      </w:r>
      <w:r w:rsidR="00C34772">
        <w:tab/>
        <w:t xml:space="preserve">El texto de las </w:t>
      </w:r>
      <w:r>
        <w:t>Recomendaciones</w:t>
      </w:r>
      <w:r w:rsidR="00C34772">
        <w:t xml:space="preserve"> </w:t>
      </w:r>
      <w:proofErr w:type="spellStart"/>
      <w:r w:rsidR="00C34772">
        <w:t>prepublicadas</w:t>
      </w:r>
      <w:proofErr w:type="spellEnd"/>
      <w:r w:rsidR="00C34772">
        <w:t xml:space="preserve"> pronto estará disponible en el sitio web del UIT-T.</w:t>
      </w:r>
    </w:p>
    <w:p w:rsidR="00C34772" w:rsidRDefault="00833106" w:rsidP="00921EF1">
      <w:r>
        <w:t>4</w:t>
      </w:r>
      <w:r w:rsidR="00C34772">
        <w:tab/>
        <w:t xml:space="preserve">La UIT publicará lo antes posible los textos de estas </w:t>
      </w:r>
      <w:r w:rsidR="00921EF1">
        <w:t>Recomendaciones</w:t>
      </w:r>
      <w:r w:rsidR="00C34772">
        <w:t>.</w:t>
      </w:r>
    </w:p>
    <w:p w:rsidR="00C34772" w:rsidRPr="00833106" w:rsidRDefault="00C34772" w:rsidP="000363BB">
      <w:pPr>
        <w:spacing w:before="240"/>
      </w:pPr>
      <w:r w:rsidRPr="00833106">
        <w:t>Le saluda muy atentamente</w:t>
      </w:r>
      <w:r w:rsidR="003812B0" w:rsidRPr="00833106">
        <w:t>,</w:t>
      </w:r>
    </w:p>
    <w:p w:rsidR="00401C20" w:rsidRPr="003812B0" w:rsidRDefault="00C34772" w:rsidP="000363BB">
      <w:pPr>
        <w:spacing w:before="1800"/>
        <w:rPr>
          <w:lang w:val="es-ES"/>
        </w:rPr>
      </w:pPr>
      <w:r w:rsidRPr="003812B0">
        <w:rPr>
          <w:lang w:val="es-ES"/>
        </w:rPr>
        <w:t>Malcolm Johnson</w:t>
      </w:r>
      <w:r w:rsidRPr="003812B0">
        <w:rPr>
          <w:lang w:val="es-ES"/>
        </w:rPr>
        <w:br/>
        <w:t>Director de la Oficina de</w:t>
      </w:r>
      <w:r w:rsidRPr="003812B0">
        <w:rPr>
          <w:lang w:val="es-ES"/>
        </w:rPr>
        <w:br/>
        <w:t>Normalización de las Telecomunicaciones</w:t>
      </w:r>
    </w:p>
    <w:sectPr w:rsidR="00401C20" w:rsidRPr="003812B0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BB" w:rsidRDefault="000363BB">
      <w:r>
        <w:separator/>
      </w:r>
    </w:p>
  </w:endnote>
  <w:endnote w:type="continuationSeparator" w:id="0">
    <w:p w:rsidR="000363BB" w:rsidRDefault="0003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BB" w:rsidRPr="004F229D" w:rsidRDefault="004F229D" w:rsidP="004F229D">
    <w:pPr>
      <w:pStyle w:val="Footer"/>
      <w:rPr>
        <w:sz w:val="16"/>
        <w:lang w:val="fr-CH"/>
      </w:rPr>
    </w:pPr>
    <w:r>
      <w:rPr>
        <w:sz w:val="16"/>
        <w:lang w:val="fr-CH"/>
      </w:rPr>
      <w:t>ITU-T\BUREAU\CIRC\225</w:t>
    </w:r>
    <w:r>
      <w:rPr>
        <w:sz w:val="16"/>
        <w:lang w:val="fr-CH"/>
      </w:rPr>
      <w:t>S</w:t>
    </w:r>
    <w:r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9F5F05" w:rsidRPr="003D673B" w:rsidTr="00120490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9F5F05" w:rsidRDefault="009F5F05" w:rsidP="00120490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9F5F05" w:rsidRDefault="009F5F05" w:rsidP="00120490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9F5F05" w:rsidRDefault="009F5F05" w:rsidP="00120490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9F5F05" w:rsidRDefault="009F5F05" w:rsidP="00120490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9F5F05" w:rsidTr="00120490">
      <w:tc>
        <w:tcPr>
          <w:tcW w:w="1985" w:type="dxa"/>
        </w:tcPr>
        <w:p w:rsidR="009F5F05" w:rsidRDefault="009F5F05" w:rsidP="0012049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9F5F05" w:rsidRDefault="009F5F05" w:rsidP="00120490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9F5F05" w:rsidRDefault="009F5F05" w:rsidP="0012049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9F5F05" w:rsidRDefault="009F5F05" w:rsidP="00120490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9F5F05" w:rsidTr="00120490">
      <w:tc>
        <w:tcPr>
          <w:tcW w:w="1985" w:type="dxa"/>
        </w:tcPr>
        <w:p w:rsidR="009F5F05" w:rsidRDefault="009F5F05" w:rsidP="00120490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9F5F05" w:rsidRDefault="009F5F05" w:rsidP="00120490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9F5F05" w:rsidRDefault="009F5F05" w:rsidP="00120490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9F5F05" w:rsidRDefault="009F5F05" w:rsidP="00120490">
          <w:pPr>
            <w:pStyle w:val="FirstFooter"/>
            <w:rPr>
              <w:rFonts w:ascii="Futura Lt BT" w:hAnsi="Futura Lt BT"/>
            </w:rPr>
          </w:pPr>
        </w:p>
      </w:tc>
    </w:tr>
  </w:tbl>
  <w:p w:rsidR="009F5F05" w:rsidRDefault="009F5F05" w:rsidP="009F5F0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BB" w:rsidRDefault="000363BB">
      <w:r>
        <w:t>____________________</w:t>
      </w:r>
    </w:p>
  </w:footnote>
  <w:footnote w:type="continuationSeparator" w:id="0">
    <w:p w:rsidR="000363BB" w:rsidRDefault="00036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BB" w:rsidRPr="00303D62" w:rsidRDefault="000363BB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4F229D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363BB"/>
    <w:rsid w:val="00042333"/>
    <w:rsid w:val="000C382F"/>
    <w:rsid w:val="001173CC"/>
    <w:rsid w:val="001A54CC"/>
    <w:rsid w:val="001D3ED8"/>
    <w:rsid w:val="00257FB4"/>
    <w:rsid w:val="00303D62"/>
    <w:rsid w:val="00335367"/>
    <w:rsid w:val="00370C2D"/>
    <w:rsid w:val="003812B0"/>
    <w:rsid w:val="003D1E8D"/>
    <w:rsid w:val="003D673B"/>
    <w:rsid w:val="003F2855"/>
    <w:rsid w:val="00401C20"/>
    <w:rsid w:val="004C4144"/>
    <w:rsid w:val="004F229D"/>
    <w:rsid w:val="00692954"/>
    <w:rsid w:val="006969B4"/>
    <w:rsid w:val="006A3320"/>
    <w:rsid w:val="00766C24"/>
    <w:rsid w:val="00781E2A"/>
    <w:rsid w:val="008258C2"/>
    <w:rsid w:val="00833106"/>
    <w:rsid w:val="008505BD"/>
    <w:rsid w:val="00850C78"/>
    <w:rsid w:val="008C17AD"/>
    <w:rsid w:val="008D02CD"/>
    <w:rsid w:val="00921EF1"/>
    <w:rsid w:val="0095172A"/>
    <w:rsid w:val="009F5F05"/>
    <w:rsid w:val="00A54E47"/>
    <w:rsid w:val="00AE7093"/>
    <w:rsid w:val="00B422BC"/>
    <w:rsid w:val="00B43F77"/>
    <w:rsid w:val="00B95F0A"/>
    <w:rsid w:val="00B96180"/>
    <w:rsid w:val="00C17AC0"/>
    <w:rsid w:val="00C24CB3"/>
    <w:rsid w:val="00C34772"/>
    <w:rsid w:val="00CA29C1"/>
    <w:rsid w:val="00CD591A"/>
    <w:rsid w:val="00D81346"/>
    <w:rsid w:val="00D944B0"/>
    <w:rsid w:val="00DD77C9"/>
    <w:rsid w:val="00E839B0"/>
    <w:rsid w:val="00E9195D"/>
    <w:rsid w:val="00E92C09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A33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320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D94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A33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320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D9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al\Application%20Data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1AA9-4EAA-42FF-B02B-6C6A27D7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33</TotalTime>
  <Pages>2</Pages>
  <Words>458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2815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Norton Viard, Emma</cp:lastModifiedBy>
  <cp:revision>9</cp:revision>
  <cp:lastPrinted>2011-09-12T10:22:00Z</cp:lastPrinted>
  <dcterms:created xsi:type="dcterms:W3CDTF">2011-09-09T11:59:00Z</dcterms:created>
  <dcterms:modified xsi:type="dcterms:W3CDTF">2011-09-15T09:24:00Z</dcterms:modified>
</cp:coreProperties>
</file>