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F346AB" w:rsidRPr="00F50108">
        <w:trPr>
          <w:cantSplit/>
        </w:trPr>
        <w:tc>
          <w:tcPr>
            <w:tcW w:w="6237" w:type="dxa"/>
            <w:vAlign w:val="center"/>
          </w:tcPr>
          <w:p w:rsidR="00F346AB" w:rsidRPr="00B73F4D" w:rsidRDefault="00F346AB" w:rsidP="00F346AB">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F346AB" w:rsidRPr="00F50108" w:rsidRDefault="0043266B" w:rsidP="00F346AB">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704850"/>
                  <wp:effectExtent l="19050" t="0" r="9525"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6" cstate="print"/>
                          <a:srcRect/>
                          <a:stretch>
                            <a:fillRect/>
                          </a:stretch>
                        </pic:blipFill>
                        <pic:spPr bwMode="auto">
                          <a:xfrm>
                            <a:off x="0" y="0"/>
                            <a:ext cx="1666875" cy="704850"/>
                          </a:xfrm>
                          <a:prstGeom prst="rect">
                            <a:avLst/>
                          </a:prstGeom>
                          <a:noFill/>
                          <a:ln w="9525">
                            <a:noFill/>
                            <a:miter lim="800000"/>
                            <a:headEnd/>
                            <a:tailEnd/>
                          </a:ln>
                        </pic:spPr>
                      </pic:pic>
                    </a:graphicData>
                  </a:graphic>
                </wp:inline>
              </w:drawing>
            </w:r>
          </w:p>
        </w:tc>
      </w:tr>
      <w:tr w:rsidR="00F346AB" w:rsidRPr="00F50108">
        <w:trPr>
          <w:cantSplit/>
        </w:trPr>
        <w:tc>
          <w:tcPr>
            <w:tcW w:w="6237" w:type="dxa"/>
            <w:vAlign w:val="center"/>
          </w:tcPr>
          <w:p w:rsidR="00F346AB" w:rsidRPr="00F50108" w:rsidRDefault="00F346AB" w:rsidP="00F346AB">
            <w:pPr>
              <w:tabs>
                <w:tab w:val="right" w:pos="8732"/>
              </w:tabs>
              <w:spacing w:before="0"/>
              <w:rPr>
                <w:rFonts w:ascii="Verdana" w:hAnsi="Verdana"/>
                <w:b/>
                <w:bCs/>
                <w:iCs/>
                <w:sz w:val="18"/>
                <w:szCs w:val="18"/>
              </w:rPr>
            </w:pPr>
          </w:p>
        </w:tc>
        <w:tc>
          <w:tcPr>
            <w:tcW w:w="3261" w:type="dxa"/>
            <w:vAlign w:val="center"/>
          </w:tcPr>
          <w:p w:rsidR="00F346AB" w:rsidRPr="00F50108" w:rsidRDefault="00F346AB" w:rsidP="00F346AB">
            <w:pPr>
              <w:spacing w:before="0"/>
              <w:ind w:left="993" w:hanging="993"/>
              <w:jc w:val="right"/>
              <w:rPr>
                <w:rFonts w:ascii="Verdana" w:hAnsi="Verdana"/>
                <w:sz w:val="18"/>
                <w:szCs w:val="18"/>
                <w:lang w:val="en-US"/>
              </w:rPr>
            </w:pPr>
          </w:p>
        </w:tc>
      </w:tr>
    </w:tbl>
    <w:p w:rsidR="0063445E" w:rsidRDefault="0063445E" w:rsidP="0063445E">
      <w:pPr>
        <w:pStyle w:val="Index1"/>
        <w:tabs>
          <w:tab w:val="clear" w:pos="794"/>
          <w:tab w:val="clear" w:pos="1191"/>
          <w:tab w:val="clear" w:pos="1588"/>
          <w:tab w:val="clear" w:pos="1985"/>
          <w:tab w:val="left" w:pos="5387"/>
        </w:tabs>
        <w:rPr>
          <w:lang w:eastAsia="zh-CN"/>
        </w:rPr>
      </w:pPr>
    </w:p>
    <w:p w:rsidR="0063445E" w:rsidRDefault="0063445E" w:rsidP="0063445E">
      <w:pPr>
        <w:pStyle w:val="Index1"/>
        <w:tabs>
          <w:tab w:val="clear" w:pos="794"/>
          <w:tab w:val="clear" w:pos="1191"/>
          <w:tab w:val="clear" w:pos="1588"/>
          <w:tab w:val="clear" w:pos="1985"/>
          <w:tab w:val="left" w:pos="5387"/>
        </w:tabs>
        <w:rPr>
          <w:lang w:eastAsia="zh-CN"/>
        </w:rPr>
      </w:pPr>
      <w:r>
        <w:rPr>
          <w:lang w:eastAsia="zh-CN"/>
        </w:rPr>
        <w:tab/>
      </w:r>
      <w:r w:rsidR="00966C7D">
        <w:rPr>
          <w:lang w:eastAsia="zh-CN"/>
        </w:rPr>
        <w:t>2011</w:t>
      </w:r>
      <w:r w:rsidR="00966C7D">
        <w:rPr>
          <w:rFonts w:hint="eastAsia"/>
          <w:lang w:eastAsia="zh-CN"/>
        </w:rPr>
        <w:t>年</w:t>
      </w:r>
      <w:r w:rsidR="00966C7D">
        <w:rPr>
          <w:rFonts w:hint="eastAsia"/>
          <w:lang w:eastAsia="zh-CN"/>
        </w:rPr>
        <w:t>1</w:t>
      </w:r>
      <w:r w:rsidR="00966C7D">
        <w:rPr>
          <w:rFonts w:hint="eastAsia"/>
          <w:lang w:eastAsia="zh-CN"/>
        </w:rPr>
        <w:t>月</w:t>
      </w:r>
      <w:r w:rsidR="00966C7D">
        <w:rPr>
          <w:rFonts w:hint="eastAsia"/>
          <w:lang w:eastAsia="zh-CN"/>
        </w:rPr>
        <w:t>7</w:t>
      </w:r>
      <w:r w:rsidR="00966C7D">
        <w:rPr>
          <w:rFonts w:hint="eastAsia"/>
          <w:lang w:eastAsia="zh-CN"/>
        </w:rPr>
        <w:t>日</w:t>
      </w:r>
      <w:r w:rsidR="007568DA">
        <w:rPr>
          <w:rFonts w:hint="eastAsia"/>
          <w:lang w:eastAsia="zh-CN"/>
        </w:rPr>
        <w:t>，</w:t>
      </w:r>
      <w:r>
        <w:rPr>
          <w:rFonts w:hint="eastAsia"/>
          <w:lang w:eastAsia="zh-CN"/>
        </w:rPr>
        <w:t>日内瓦</w:t>
      </w:r>
    </w:p>
    <w:p w:rsidR="0063445E" w:rsidRDefault="0063445E" w:rsidP="0063445E"/>
    <w:tbl>
      <w:tblPr>
        <w:tblW w:w="0" w:type="auto"/>
        <w:tblInd w:w="8" w:type="dxa"/>
        <w:tblLayout w:type="fixed"/>
        <w:tblCellMar>
          <w:left w:w="0" w:type="dxa"/>
          <w:right w:w="0" w:type="dxa"/>
        </w:tblCellMar>
        <w:tblLook w:val="0000"/>
      </w:tblPr>
      <w:tblGrid>
        <w:gridCol w:w="993"/>
        <w:gridCol w:w="4436"/>
        <w:gridCol w:w="4436"/>
      </w:tblGrid>
      <w:tr w:rsidR="0063445E">
        <w:trPr>
          <w:cantSplit/>
        </w:trPr>
        <w:tc>
          <w:tcPr>
            <w:tcW w:w="993" w:type="dxa"/>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rPr>
            </w:pPr>
          </w:p>
          <w:p w:rsidR="0063445E" w:rsidRPr="00841612" w:rsidRDefault="0063445E" w:rsidP="00956D38">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956D38">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63445E" w:rsidRPr="00841612" w:rsidRDefault="0063445E" w:rsidP="00966C7D">
            <w:pPr>
              <w:tabs>
                <w:tab w:val="left" w:pos="4111"/>
              </w:tabs>
              <w:spacing w:before="0"/>
              <w:rPr>
                <w:b/>
                <w:szCs w:val="24"/>
                <w:lang w:eastAsia="zh-CN"/>
              </w:rPr>
            </w:pPr>
            <w:r w:rsidRPr="00841612">
              <w:rPr>
                <w:rFonts w:hint="eastAsia"/>
                <w:b/>
                <w:szCs w:val="24"/>
                <w:lang w:eastAsia="zh-CN"/>
              </w:rPr>
              <w:t>电信标准化局第</w:t>
            </w:r>
            <w:r w:rsidR="00966C7D">
              <w:rPr>
                <w:b/>
                <w:szCs w:val="24"/>
                <w:lang w:val="en-US" w:eastAsia="zh-CN"/>
              </w:rPr>
              <w:t>158</w:t>
            </w:r>
            <w:r w:rsidRPr="00841612">
              <w:rPr>
                <w:rFonts w:hint="eastAsia"/>
                <w:b/>
                <w:szCs w:val="24"/>
                <w:lang w:eastAsia="zh-CN"/>
              </w:rPr>
              <w:t>号通函</w:t>
            </w:r>
          </w:p>
          <w:p w:rsidR="0063445E" w:rsidRPr="00841612" w:rsidRDefault="0063445E" w:rsidP="00966C7D">
            <w:pPr>
              <w:tabs>
                <w:tab w:val="left" w:pos="4111"/>
              </w:tabs>
              <w:spacing w:before="0"/>
              <w:rPr>
                <w:b/>
                <w:szCs w:val="24"/>
                <w:lang w:eastAsia="zh-CN"/>
              </w:rPr>
            </w:pPr>
            <w:r w:rsidRPr="00841612">
              <w:rPr>
                <w:szCs w:val="24"/>
                <w:lang w:eastAsia="zh-CN"/>
              </w:rPr>
              <w:t>COM</w:t>
            </w:r>
            <w:r w:rsidR="00966C7D">
              <w:rPr>
                <w:szCs w:val="24"/>
                <w:lang w:eastAsia="zh-CN"/>
              </w:rPr>
              <w:t>17</w:t>
            </w:r>
            <w:r w:rsidRPr="00841612">
              <w:rPr>
                <w:szCs w:val="24"/>
                <w:lang w:eastAsia="zh-CN"/>
              </w:rPr>
              <w:t>/</w:t>
            </w:r>
            <w:r w:rsidR="00966C7D">
              <w:rPr>
                <w:szCs w:val="24"/>
                <w:lang w:eastAsia="zh-CN"/>
              </w:rPr>
              <w:t>MEU</w:t>
            </w:r>
          </w:p>
          <w:p w:rsidR="005C26FD" w:rsidRPr="00841612" w:rsidRDefault="00395948" w:rsidP="00841612">
            <w:pPr>
              <w:tabs>
                <w:tab w:val="left" w:pos="4111"/>
              </w:tabs>
              <w:spacing w:before="80"/>
              <w:rPr>
                <w:szCs w:val="24"/>
                <w:lang w:val="en-US" w:eastAsia="zh-CN"/>
              </w:rPr>
            </w:pPr>
            <w:r>
              <w:rPr>
                <w:szCs w:val="24"/>
                <w:lang w:eastAsia="zh-CN"/>
              </w:rPr>
              <w:br/>
              <w:t xml:space="preserve">+41 22 730 </w:t>
            </w:r>
            <w:r>
              <w:rPr>
                <w:rFonts w:hint="eastAsia"/>
                <w:szCs w:val="24"/>
                <w:lang w:eastAsia="zh-CN"/>
              </w:rPr>
              <w:t>5866</w:t>
            </w:r>
          </w:p>
          <w:p w:rsidR="0063445E" w:rsidRPr="00841612" w:rsidRDefault="0063445E" w:rsidP="00841612">
            <w:pPr>
              <w:tabs>
                <w:tab w:val="left" w:pos="4111"/>
              </w:tabs>
              <w:spacing w:before="40"/>
              <w:rPr>
                <w:szCs w:val="24"/>
                <w:lang w:eastAsia="zh-CN"/>
              </w:rPr>
            </w:pPr>
            <w:r w:rsidRPr="00841612">
              <w:rPr>
                <w:szCs w:val="24"/>
                <w:lang w:eastAsia="zh-CN"/>
              </w:rPr>
              <w:t>+41 22 730 5853</w:t>
            </w:r>
          </w:p>
        </w:tc>
        <w:tc>
          <w:tcPr>
            <w:tcW w:w="4436" w:type="dxa"/>
          </w:tcPr>
          <w:p w:rsidR="0063445E" w:rsidRDefault="0063445E" w:rsidP="00956D38">
            <w:pPr>
              <w:tabs>
                <w:tab w:val="clear" w:pos="794"/>
                <w:tab w:val="clear" w:pos="1191"/>
                <w:tab w:val="clear" w:pos="1588"/>
                <w:tab w:val="clear" w:pos="1985"/>
                <w:tab w:val="left" w:pos="284"/>
              </w:tabs>
              <w:spacing w:before="0"/>
              <w:ind w:left="284" w:hanging="284"/>
              <w:rPr>
                <w:lang w:eastAsia="zh-CN"/>
              </w:rPr>
            </w:pPr>
            <w:bookmarkStart w:id="1" w:name="Addressee_E"/>
            <w:bookmarkEnd w:id="1"/>
            <w:r>
              <w:rPr>
                <w:lang w:eastAsia="zh-CN"/>
              </w:rPr>
              <w:t>-</w:t>
            </w:r>
            <w:r>
              <w:rPr>
                <w:lang w:eastAsia="zh-CN"/>
              </w:rPr>
              <w:tab/>
            </w:r>
            <w:r w:rsidR="007568DA">
              <w:rPr>
                <w:rFonts w:hint="eastAsia"/>
                <w:lang w:eastAsia="zh-CN"/>
              </w:rPr>
              <w:t>致国际电联</w:t>
            </w:r>
            <w:r w:rsidR="00F9383A">
              <w:rPr>
                <w:rFonts w:hint="eastAsia"/>
                <w:lang w:eastAsia="zh-CN"/>
              </w:rPr>
              <w:t>各</w:t>
            </w:r>
            <w:r w:rsidR="007568DA">
              <w:rPr>
                <w:rFonts w:hint="eastAsia"/>
                <w:lang w:eastAsia="zh-CN"/>
              </w:rPr>
              <w:t>成</w:t>
            </w:r>
            <w:r>
              <w:rPr>
                <w:rFonts w:hint="eastAsia"/>
                <w:lang w:eastAsia="zh-CN"/>
              </w:rPr>
              <w:t>员国主管部门</w:t>
            </w:r>
          </w:p>
        </w:tc>
      </w:tr>
      <w:tr w:rsidR="0063445E">
        <w:trPr>
          <w:cantSplit/>
        </w:trPr>
        <w:tc>
          <w:tcPr>
            <w:tcW w:w="993" w:type="dxa"/>
          </w:tcPr>
          <w:p w:rsidR="0063445E" w:rsidRPr="00841612" w:rsidRDefault="0063445E" w:rsidP="005C26FD">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160A43" w:rsidRDefault="002D55D1" w:rsidP="00395948">
            <w:pPr>
              <w:tabs>
                <w:tab w:val="left" w:pos="4111"/>
              </w:tabs>
              <w:spacing w:before="0"/>
              <w:rPr>
                <w:lang w:eastAsia="zh-CN"/>
              </w:rPr>
            </w:pPr>
            <w:hyperlink r:id="rId7" w:history="1">
              <w:r w:rsidR="00395948" w:rsidRPr="00C652F9">
                <w:rPr>
                  <w:rStyle w:val="Hyperlink"/>
                  <w:lang w:eastAsia="zh-CN"/>
                </w:rPr>
                <w:t>tsbsg</w:t>
              </w:r>
              <w:r w:rsidR="00395948" w:rsidRPr="00C652F9">
                <w:rPr>
                  <w:rStyle w:val="Hyperlink"/>
                  <w:rFonts w:hint="eastAsia"/>
                  <w:lang w:eastAsia="zh-CN"/>
                </w:rPr>
                <w:t>17</w:t>
              </w:r>
              <w:r w:rsidR="00395948" w:rsidRPr="00C652F9">
                <w:rPr>
                  <w:rStyle w:val="Hyperlink"/>
                  <w:lang w:eastAsia="zh-CN"/>
                </w:rPr>
                <w:t>@itu.int</w:t>
              </w:r>
            </w:hyperlink>
          </w:p>
          <w:p w:rsidR="007568DA" w:rsidRPr="00841612" w:rsidRDefault="007568DA" w:rsidP="005C26FD">
            <w:pPr>
              <w:tabs>
                <w:tab w:val="left" w:pos="4111"/>
              </w:tabs>
              <w:spacing w:before="40"/>
              <w:rPr>
                <w:szCs w:val="24"/>
                <w:lang w:eastAsia="zh-CN"/>
              </w:rPr>
            </w:pPr>
          </w:p>
        </w:tc>
        <w:tc>
          <w:tcPr>
            <w:tcW w:w="4436" w:type="dxa"/>
          </w:tcPr>
          <w:p w:rsidR="0063445E" w:rsidRDefault="0063445E" w:rsidP="00956D38">
            <w:pPr>
              <w:tabs>
                <w:tab w:val="left" w:pos="4111"/>
              </w:tabs>
              <w:spacing w:before="0"/>
              <w:rPr>
                <w:b/>
                <w:lang w:eastAsia="zh-CN"/>
              </w:rPr>
            </w:pPr>
            <w:r>
              <w:rPr>
                <w:rFonts w:hint="eastAsia"/>
                <w:b/>
                <w:lang w:eastAsia="zh-CN"/>
              </w:rPr>
              <w:t>抄送：</w:t>
            </w:r>
          </w:p>
          <w:p w:rsidR="0063445E" w:rsidRDefault="0063445E" w:rsidP="00956D38">
            <w:pPr>
              <w:tabs>
                <w:tab w:val="clear" w:pos="794"/>
                <w:tab w:val="left" w:pos="141"/>
                <w:tab w:val="left" w:pos="4111"/>
              </w:tabs>
              <w:spacing w:before="0"/>
              <w:rPr>
                <w:lang w:eastAsia="zh-CN"/>
              </w:rPr>
            </w:pPr>
            <w:r>
              <w:rPr>
                <w:lang w:eastAsia="zh-CN"/>
              </w:rPr>
              <w:t>-</w:t>
            </w:r>
            <w:r>
              <w:rPr>
                <w:lang w:eastAsia="zh-CN"/>
              </w:rPr>
              <w:tab/>
              <w:t>ITU-T</w:t>
            </w:r>
            <w:r>
              <w:rPr>
                <w:rFonts w:hint="eastAsia"/>
                <w:lang w:eastAsia="zh-CN"/>
              </w:rPr>
              <w:t>部门成员；</w:t>
            </w:r>
          </w:p>
          <w:p w:rsidR="0063445E" w:rsidRDefault="0063445E" w:rsidP="00956D38">
            <w:pPr>
              <w:tabs>
                <w:tab w:val="clear" w:pos="794"/>
                <w:tab w:val="left" w:pos="141"/>
                <w:tab w:val="left" w:pos="4111"/>
              </w:tabs>
              <w:spacing w:before="0"/>
              <w:rPr>
                <w:lang w:eastAsia="zh-CN"/>
              </w:rPr>
            </w:pPr>
            <w:r>
              <w:rPr>
                <w:lang w:eastAsia="zh-CN"/>
              </w:rPr>
              <w:t>- ITU-T</w:t>
            </w:r>
            <w:r>
              <w:rPr>
                <w:rFonts w:hint="eastAsia"/>
                <w:lang w:eastAsia="zh-CN"/>
              </w:rPr>
              <w:t>部门准成员；</w:t>
            </w:r>
          </w:p>
          <w:p w:rsidR="0063445E" w:rsidRDefault="0063445E" w:rsidP="00966C7D">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第</w:t>
            </w:r>
            <w:r w:rsidR="00966C7D">
              <w:rPr>
                <w:rFonts w:hint="eastAsia"/>
                <w:lang w:eastAsia="zh-CN"/>
              </w:rPr>
              <w:t>17</w:t>
            </w:r>
            <w:r>
              <w:rPr>
                <w:rFonts w:hint="eastAsia"/>
                <w:lang w:eastAsia="zh-CN"/>
              </w:rPr>
              <w:t>研究组正副主席；</w:t>
            </w:r>
          </w:p>
          <w:p w:rsidR="0063445E" w:rsidRDefault="0063445E" w:rsidP="00956D38">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63445E" w:rsidRDefault="0063445E" w:rsidP="00956D38">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p w:rsidR="0063445E" w:rsidRDefault="0063445E" w:rsidP="00956D38">
            <w:pPr>
              <w:tabs>
                <w:tab w:val="clear" w:pos="794"/>
                <w:tab w:val="clear" w:pos="1191"/>
                <w:tab w:val="clear" w:pos="1588"/>
                <w:tab w:val="clear" w:pos="1985"/>
                <w:tab w:val="left" w:pos="284"/>
              </w:tabs>
              <w:spacing w:before="0"/>
              <w:ind w:left="284" w:hanging="284"/>
              <w:rPr>
                <w:lang w:eastAsia="zh-CN"/>
              </w:rPr>
            </w:pPr>
          </w:p>
        </w:tc>
      </w:tr>
    </w:tbl>
    <w:p w:rsidR="0063445E" w:rsidRDefault="0063445E" w:rsidP="0063445E">
      <w:pPr>
        <w:spacing w:before="0"/>
        <w:rPr>
          <w:lang w:eastAsia="zh-CN"/>
        </w:rPr>
      </w:pPr>
    </w:p>
    <w:tbl>
      <w:tblPr>
        <w:tblW w:w="0" w:type="auto"/>
        <w:tblLayout w:type="fixed"/>
        <w:tblCellMar>
          <w:left w:w="107" w:type="dxa"/>
          <w:right w:w="107" w:type="dxa"/>
        </w:tblCellMar>
        <w:tblLook w:val="0000"/>
      </w:tblPr>
      <w:tblGrid>
        <w:gridCol w:w="1100"/>
        <w:gridCol w:w="7087"/>
      </w:tblGrid>
      <w:tr w:rsidR="0063445E">
        <w:trPr>
          <w:cantSplit/>
        </w:trPr>
        <w:tc>
          <w:tcPr>
            <w:tcW w:w="1100" w:type="dxa"/>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7087" w:type="dxa"/>
          </w:tcPr>
          <w:p w:rsidR="0063445E" w:rsidRDefault="0063445E" w:rsidP="00966C7D">
            <w:pPr>
              <w:tabs>
                <w:tab w:val="left" w:pos="4111"/>
              </w:tabs>
              <w:spacing w:before="0"/>
              <w:ind w:left="57" w:right="28"/>
              <w:rPr>
                <w:b/>
                <w:lang w:eastAsia="zh-CN"/>
              </w:rPr>
            </w:pPr>
            <w:r>
              <w:rPr>
                <w:rFonts w:hint="eastAsia"/>
                <w:b/>
                <w:lang w:eastAsia="zh-CN"/>
              </w:rPr>
              <w:t>第</w:t>
            </w:r>
            <w:r w:rsidR="00966C7D">
              <w:rPr>
                <w:rFonts w:hint="eastAsia"/>
                <w:b/>
                <w:lang w:eastAsia="zh-CN"/>
              </w:rPr>
              <w:t>17</w:t>
            </w:r>
            <w:r>
              <w:rPr>
                <w:rFonts w:hint="eastAsia"/>
                <w:b/>
                <w:lang w:eastAsia="zh-CN"/>
              </w:rPr>
              <w:t>研究组按照世界电信标准化全会（</w:t>
            </w:r>
            <w:r>
              <w:rPr>
                <w:rFonts w:hint="eastAsia"/>
                <w:b/>
                <w:lang w:eastAsia="zh-CN"/>
              </w:rPr>
              <w:t>200</w:t>
            </w:r>
            <w:r w:rsidR="00C916ED">
              <w:rPr>
                <w:rFonts w:hint="eastAsia"/>
                <w:b/>
                <w:lang w:eastAsia="zh-CN"/>
              </w:rPr>
              <w:t>8</w:t>
            </w:r>
            <w:r>
              <w:rPr>
                <w:rFonts w:hint="eastAsia"/>
                <w:b/>
                <w:lang w:eastAsia="zh-CN"/>
              </w:rPr>
              <w:t>年，</w:t>
            </w:r>
            <w:r w:rsidR="00C916ED">
              <w:rPr>
                <w:rFonts w:hint="eastAsia"/>
                <w:b/>
                <w:lang w:eastAsia="zh-CN"/>
              </w:rPr>
              <w:t>约翰内斯堡</w:t>
            </w:r>
            <w:r>
              <w:rPr>
                <w:rFonts w:hint="eastAsia"/>
                <w:b/>
                <w:lang w:eastAsia="zh-CN"/>
              </w:rPr>
              <w:t>）第</w:t>
            </w:r>
            <w:r>
              <w:rPr>
                <w:rFonts w:hint="eastAsia"/>
                <w:b/>
                <w:lang w:eastAsia="zh-CN"/>
              </w:rPr>
              <w:t>1</w:t>
            </w:r>
            <w:r>
              <w:rPr>
                <w:rFonts w:hint="eastAsia"/>
                <w:b/>
                <w:lang w:eastAsia="zh-CN"/>
              </w:rPr>
              <w:t>号决议第</w:t>
            </w:r>
            <w:r>
              <w:rPr>
                <w:rFonts w:hint="eastAsia"/>
                <w:b/>
                <w:lang w:eastAsia="zh-CN"/>
              </w:rPr>
              <w:t>9</w:t>
            </w:r>
            <w:r>
              <w:rPr>
                <w:rFonts w:hint="eastAsia"/>
                <w:b/>
                <w:lang w:eastAsia="zh-CN"/>
              </w:rPr>
              <w:t>节的规定为批准</w:t>
            </w:r>
            <w:r w:rsidR="00966C7D">
              <w:rPr>
                <w:b/>
                <w:lang w:eastAsia="zh-CN"/>
              </w:rPr>
              <w:t>ITU-T X.1261</w:t>
            </w:r>
            <w:r w:rsidR="00966C7D">
              <w:rPr>
                <w:rFonts w:hint="eastAsia"/>
                <w:b/>
                <w:lang w:eastAsia="zh-CN"/>
              </w:rPr>
              <w:t>、</w:t>
            </w:r>
            <w:r w:rsidR="00966C7D">
              <w:rPr>
                <w:b/>
                <w:lang w:eastAsia="zh-CN"/>
              </w:rPr>
              <w:t>X.1500</w:t>
            </w:r>
            <w:r w:rsidR="00966C7D">
              <w:rPr>
                <w:rFonts w:hint="eastAsia"/>
                <w:b/>
                <w:lang w:eastAsia="zh-CN"/>
              </w:rPr>
              <w:t>、</w:t>
            </w:r>
            <w:r w:rsidR="00966C7D">
              <w:rPr>
                <w:b/>
                <w:lang w:eastAsia="zh-CN"/>
              </w:rPr>
              <w:t>X.1520</w:t>
            </w:r>
            <w:r w:rsidR="00966C7D">
              <w:rPr>
                <w:rFonts w:hint="eastAsia"/>
                <w:b/>
                <w:lang w:eastAsia="zh-CN"/>
              </w:rPr>
              <w:t>和</w:t>
            </w:r>
            <w:r w:rsidR="00966C7D">
              <w:rPr>
                <w:b/>
                <w:lang w:eastAsia="zh-CN"/>
              </w:rPr>
              <w:t>X.1521</w:t>
            </w:r>
            <w:r>
              <w:rPr>
                <w:rFonts w:hint="eastAsia"/>
                <w:b/>
                <w:lang w:eastAsia="zh-CN"/>
              </w:rPr>
              <w:t>新建议书草案而召开的会议</w:t>
            </w:r>
          </w:p>
          <w:p w:rsidR="0063445E" w:rsidRDefault="00966C7D" w:rsidP="00966C7D">
            <w:pPr>
              <w:tabs>
                <w:tab w:val="left" w:pos="4111"/>
              </w:tabs>
              <w:spacing w:before="0"/>
              <w:ind w:left="57" w:right="28"/>
              <w:rPr>
                <w:lang w:eastAsia="zh-CN"/>
              </w:rPr>
            </w:pPr>
            <w:r>
              <w:rPr>
                <w:rFonts w:hint="eastAsia"/>
                <w:b/>
                <w:lang w:eastAsia="zh-CN"/>
              </w:rPr>
              <w:t>2011</w:t>
            </w:r>
            <w:r>
              <w:rPr>
                <w:rFonts w:hint="eastAsia"/>
                <w:b/>
                <w:lang w:eastAsia="zh-CN"/>
              </w:rPr>
              <w:t>年</w:t>
            </w:r>
            <w:r>
              <w:rPr>
                <w:rFonts w:hint="eastAsia"/>
                <w:b/>
                <w:lang w:eastAsia="zh-CN"/>
              </w:rPr>
              <w:t>4</w:t>
            </w:r>
            <w:r>
              <w:rPr>
                <w:rFonts w:hint="eastAsia"/>
                <w:b/>
                <w:lang w:eastAsia="zh-CN"/>
              </w:rPr>
              <w:t>月</w:t>
            </w:r>
            <w:r>
              <w:rPr>
                <w:rFonts w:hint="eastAsia"/>
                <w:b/>
                <w:lang w:eastAsia="zh-CN"/>
              </w:rPr>
              <w:t>20</w:t>
            </w:r>
            <w:r>
              <w:rPr>
                <w:rFonts w:hint="eastAsia"/>
                <w:b/>
                <w:lang w:eastAsia="zh-CN"/>
              </w:rPr>
              <w:t>日</w:t>
            </w:r>
            <w:r w:rsidR="0063445E">
              <w:rPr>
                <w:rFonts w:hint="eastAsia"/>
                <w:b/>
                <w:lang w:eastAsia="zh-CN"/>
              </w:rPr>
              <w:t>，日内瓦</w:t>
            </w:r>
          </w:p>
        </w:tc>
      </w:tr>
    </w:tbl>
    <w:p w:rsidR="0063445E" w:rsidRDefault="0063445E" w:rsidP="0063445E">
      <w:pPr>
        <w:rPr>
          <w:lang w:eastAsia="zh-CN"/>
        </w:rPr>
      </w:pPr>
      <w:bookmarkStart w:id="2" w:name="StartTyping_E"/>
      <w:bookmarkEnd w:id="2"/>
    </w:p>
    <w:p w:rsidR="0063445E" w:rsidRDefault="0063445E" w:rsidP="0063445E">
      <w:pPr>
        <w:rPr>
          <w:lang w:eastAsia="zh-CN"/>
        </w:rPr>
      </w:pPr>
    </w:p>
    <w:p w:rsidR="0063445E" w:rsidRDefault="0063445E" w:rsidP="0063445E">
      <w:pPr>
        <w:rPr>
          <w:lang w:eastAsia="zh-CN"/>
        </w:rPr>
      </w:pPr>
      <w:r>
        <w:rPr>
          <w:rFonts w:hint="eastAsia"/>
          <w:lang w:eastAsia="zh-CN"/>
        </w:rPr>
        <w:t>尊敬的先生</w:t>
      </w:r>
      <w:r>
        <w:rPr>
          <w:rFonts w:hint="eastAsia"/>
          <w:lang w:eastAsia="zh-CN"/>
        </w:rPr>
        <w:t>/</w:t>
      </w:r>
      <w:r>
        <w:rPr>
          <w:rFonts w:hint="eastAsia"/>
          <w:lang w:eastAsia="zh-CN"/>
        </w:rPr>
        <w:t>女士：</w:t>
      </w:r>
    </w:p>
    <w:p w:rsidR="0063445E" w:rsidRDefault="0063445E" w:rsidP="00966C7D">
      <w:pPr>
        <w:jc w:val="both"/>
        <w:rPr>
          <w:lang w:eastAsia="zh-CN"/>
        </w:rPr>
      </w:pPr>
      <w:r>
        <w:rPr>
          <w:bCs/>
          <w:lang w:eastAsia="zh-CN"/>
        </w:rPr>
        <w:t>1</w:t>
      </w:r>
      <w:r>
        <w:rPr>
          <w:lang w:eastAsia="zh-CN"/>
        </w:rPr>
        <w:tab/>
      </w:r>
      <w:r>
        <w:rPr>
          <w:rFonts w:hint="eastAsia"/>
          <w:lang w:eastAsia="zh-CN"/>
        </w:rPr>
        <w:t>应第</w:t>
      </w:r>
      <w:r w:rsidR="00966C7D">
        <w:rPr>
          <w:rFonts w:hint="eastAsia"/>
          <w:lang w:eastAsia="zh-CN"/>
        </w:rPr>
        <w:t>17</w:t>
      </w:r>
      <w:r>
        <w:rPr>
          <w:rFonts w:hint="eastAsia"/>
          <w:lang w:eastAsia="zh-CN"/>
        </w:rPr>
        <w:t>研究组（</w:t>
      </w:r>
      <w:r w:rsidR="00966C7D">
        <w:rPr>
          <w:rFonts w:ascii="STKaiti" w:eastAsia="STKaiti" w:hAnsi="STKaiti" w:hint="eastAsia"/>
          <w:lang w:eastAsia="zh-CN"/>
        </w:rPr>
        <w:t>安全</w:t>
      </w:r>
      <w:r>
        <w:rPr>
          <w:rFonts w:hint="eastAsia"/>
          <w:lang w:eastAsia="zh-CN"/>
        </w:rPr>
        <w:t>）主席的请求，我荣幸地告知您，该研究组将于</w:t>
      </w:r>
      <w:r w:rsidR="00966C7D">
        <w:rPr>
          <w:rFonts w:hint="eastAsia"/>
          <w:lang w:eastAsia="zh-CN"/>
        </w:rPr>
        <w:t>2011</w:t>
      </w:r>
      <w:r>
        <w:rPr>
          <w:rFonts w:hint="eastAsia"/>
          <w:lang w:eastAsia="zh-CN"/>
        </w:rPr>
        <w:t>年</w:t>
      </w:r>
      <w:r w:rsidR="00966C7D">
        <w:rPr>
          <w:rFonts w:hint="eastAsia"/>
          <w:lang w:eastAsia="zh-CN"/>
        </w:rPr>
        <w:t>4</w:t>
      </w:r>
      <w:r>
        <w:rPr>
          <w:rFonts w:hint="eastAsia"/>
          <w:lang w:eastAsia="zh-CN"/>
        </w:rPr>
        <w:t>月</w:t>
      </w:r>
      <w:r w:rsidR="00966C7D">
        <w:rPr>
          <w:rFonts w:hint="eastAsia"/>
          <w:lang w:eastAsia="zh-CN"/>
        </w:rPr>
        <w:t>11</w:t>
      </w:r>
      <w:r>
        <w:rPr>
          <w:rFonts w:hint="eastAsia"/>
          <w:lang w:eastAsia="zh-CN"/>
        </w:rPr>
        <w:t>至</w:t>
      </w:r>
      <w:r w:rsidR="00966C7D">
        <w:rPr>
          <w:rFonts w:hint="eastAsia"/>
          <w:lang w:eastAsia="zh-CN"/>
        </w:rPr>
        <w:t>20</w:t>
      </w:r>
      <w:r>
        <w:rPr>
          <w:rFonts w:hint="eastAsia"/>
          <w:lang w:eastAsia="zh-CN"/>
        </w:rPr>
        <w:t>日召开会议，并将采用世界电信标准化全会（</w:t>
      </w:r>
      <w:r>
        <w:rPr>
          <w:rFonts w:hint="eastAsia"/>
          <w:lang w:eastAsia="zh-CN"/>
        </w:rPr>
        <w:t>200</w:t>
      </w:r>
      <w:r w:rsidR="00C916ED">
        <w:rPr>
          <w:rFonts w:hint="eastAsia"/>
          <w:lang w:eastAsia="zh-CN"/>
        </w:rPr>
        <w:t>8</w:t>
      </w:r>
      <w:r>
        <w:rPr>
          <w:rFonts w:hint="eastAsia"/>
          <w:lang w:eastAsia="zh-CN"/>
        </w:rPr>
        <w:t>年，</w:t>
      </w:r>
      <w:r w:rsidR="00C916ED">
        <w:rPr>
          <w:rFonts w:hint="eastAsia"/>
          <w:lang w:eastAsia="zh-CN"/>
        </w:rPr>
        <w:t>约翰内斯堡</w:t>
      </w:r>
      <w:r>
        <w:rPr>
          <w:rFonts w:hint="eastAsia"/>
          <w:lang w:eastAsia="zh-CN"/>
        </w:rPr>
        <w:t>）第</w:t>
      </w:r>
      <w:r>
        <w:rPr>
          <w:rFonts w:hint="eastAsia"/>
          <w:lang w:eastAsia="zh-CN"/>
        </w:rPr>
        <w:t>1</w:t>
      </w:r>
      <w:r>
        <w:rPr>
          <w:rFonts w:hint="eastAsia"/>
          <w:lang w:eastAsia="zh-CN"/>
        </w:rPr>
        <w:t>号决议第</w:t>
      </w:r>
      <w:r>
        <w:rPr>
          <w:rFonts w:hint="eastAsia"/>
          <w:lang w:eastAsia="zh-CN"/>
        </w:rPr>
        <w:t>9</w:t>
      </w:r>
      <w:r>
        <w:rPr>
          <w:rFonts w:hint="eastAsia"/>
          <w:lang w:eastAsia="zh-CN"/>
        </w:rPr>
        <w:t>节规定的程序来批准</w:t>
      </w:r>
      <w:r w:rsidR="00F9383A">
        <w:rPr>
          <w:rFonts w:hint="eastAsia"/>
          <w:lang w:eastAsia="zh-CN"/>
        </w:rPr>
        <w:t>上述</w:t>
      </w:r>
      <w:r w:rsidRPr="008D5B8C">
        <w:rPr>
          <w:rFonts w:hint="eastAsia"/>
          <w:bCs/>
          <w:lang w:eastAsia="zh-CN"/>
        </w:rPr>
        <w:t>新建议书</w:t>
      </w:r>
      <w:r w:rsidR="00F9383A">
        <w:rPr>
          <w:rFonts w:hint="eastAsia"/>
          <w:bCs/>
          <w:lang w:eastAsia="zh-CN"/>
        </w:rPr>
        <w:t>草案</w:t>
      </w:r>
      <w:r>
        <w:rPr>
          <w:rFonts w:hint="eastAsia"/>
          <w:lang w:eastAsia="zh-CN"/>
        </w:rPr>
        <w:t>。</w:t>
      </w:r>
    </w:p>
    <w:p w:rsidR="0063445E" w:rsidRDefault="0063445E" w:rsidP="00966C7D">
      <w:pPr>
        <w:jc w:val="both"/>
        <w:rPr>
          <w:lang w:eastAsia="zh-CN"/>
        </w:rPr>
      </w:pPr>
      <w:r>
        <w:rPr>
          <w:bCs/>
          <w:lang w:eastAsia="zh-CN"/>
        </w:rPr>
        <w:t>2</w:t>
      </w:r>
      <w:r>
        <w:rPr>
          <w:lang w:eastAsia="zh-CN"/>
        </w:rPr>
        <w:tab/>
      </w:r>
      <w:r>
        <w:rPr>
          <w:rFonts w:hint="eastAsia"/>
          <w:lang w:eastAsia="zh-CN"/>
        </w:rPr>
        <w:t>建议批准的新</w:t>
      </w:r>
      <w:r>
        <w:rPr>
          <w:rFonts w:hint="eastAsia"/>
          <w:lang w:eastAsia="zh-CN"/>
        </w:rPr>
        <w:t>ITU-T</w:t>
      </w:r>
      <w:r>
        <w:rPr>
          <w:rFonts w:hint="eastAsia"/>
          <w:lang w:eastAsia="zh-CN"/>
        </w:rPr>
        <w:t>建议书草案的摘要及其</w:t>
      </w:r>
      <w:r w:rsidR="00F9383A">
        <w:rPr>
          <w:rFonts w:hint="eastAsia"/>
          <w:lang w:eastAsia="zh-CN"/>
        </w:rPr>
        <w:t>出处</w:t>
      </w:r>
      <w:r>
        <w:rPr>
          <w:rFonts w:hint="eastAsia"/>
          <w:lang w:eastAsia="zh-CN"/>
        </w:rPr>
        <w:t>见</w:t>
      </w:r>
      <w:r>
        <w:rPr>
          <w:rFonts w:hint="eastAsia"/>
          <w:b/>
          <w:bCs/>
          <w:lang w:eastAsia="zh-CN"/>
        </w:rPr>
        <w:t>附件</w:t>
      </w:r>
      <w:r>
        <w:rPr>
          <w:rFonts w:hint="eastAsia"/>
          <w:b/>
          <w:bCs/>
          <w:lang w:eastAsia="zh-CN"/>
        </w:rPr>
        <w:t>1</w:t>
      </w:r>
      <w:r>
        <w:rPr>
          <w:rFonts w:hint="eastAsia"/>
          <w:lang w:eastAsia="zh-CN"/>
        </w:rPr>
        <w:t>。</w:t>
      </w:r>
    </w:p>
    <w:p w:rsidR="0063445E" w:rsidRDefault="0063445E" w:rsidP="00841612">
      <w:pPr>
        <w:jc w:val="both"/>
        <w:rPr>
          <w:lang w:eastAsia="zh-CN"/>
        </w:rPr>
      </w:pPr>
      <w:r>
        <w:rPr>
          <w:rFonts w:hint="eastAsia"/>
          <w:lang w:eastAsia="zh-CN"/>
        </w:rPr>
        <w:t>3</w:t>
      </w:r>
      <w:r>
        <w:rPr>
          <w:rFonts w:hint="eastAsia"/>
          <w:lang w:eastAsia="zh-CN"/>
        </w:rPr>
        <w:tab/>
      </w:r>
      <w:r>
        <w:rPr>
          <w:rFonts w:hint="eastAsia"/>
          <w:lang w:eastAsia="zh-CN"/>
        </w:rPr>
        <w:t>所有了解自己或他人持有的专利可能整体或部分地涉及建议批准的（一</w:t>
      </w:r>
      <w:r w:rsidR="00F9383A">
        <w:rPr>
          <w:rFonts w:hint="eastAsia"/>
          <w:lang w:eastAsia="zh-CN"/>
        </w:rPr>
        <w:t>项</w:t>
      </w:r>
      <w:r>
        <w:rPr>
          <w:rFonts w:hint="eastAsia"/>
          <w:lang w:eastAsia="zh-CN"/>
        </w:rPr>
        <w:t>或多</w:t>
      </w:r>
      <w:r w:rsidR="00F9383A">
        <w:rPr>
          <w:rFonts w:hint="eastAsia"/>
          <w:lang w:eastAsia="zh-CN"/>
        </w:rPr>
        <w:t>项</w:t>
      </w:r>
      <w:r>
        <w:rPr>
          <w:rFonts w:hint="eastAsia"/>
          <w:lang w:eastAsia="zh-CN"/>
        </w:rPr>
        <w:t>）建议书草案内容的国际电联</w:t>
      </w:r>
      <w:r w:rsidR="00C916ED">
        <w:rPr>
          <w:rFonts w:hint="eastAsia"/>
          <w:lang w:eastAsia="zh-CN"/>
        </w:rPr>
        <w:t>成员国</w:t>
      </w:r>
      <w:r>
        <w:rPr>
          <w:rFonts w:hint="eastAsia"/>
          <w:lang w:eastAsia="zh-CN"/>
        </w:rPr>
        <w:t>、部门成员或部门准成员，</w:t>
      </w:r>
      <w:r w:rsidR="00F9383A">
        <w:rPr>
          <w:rFonts w:hint="eastAsia"/>
          <w:lang w:eastAsia="zh-CN"/>
        </w:rPr>
        <w:t>均需</w:t>
      </w:r>
      <w:r>
        <w:rPr>
          <w:rFonts w:hint="eastAsia"/>
          <w:lang w:eastAsia="zh-CN"/>
        </w:rPr>
        <w:t>按照</w:t>
      </w:r>
      <w:r>
        <w:rPr>
          <w:lang w:eastAsia="zh-CN"/>
        </w:rPr>
        <w:t xml:space="preserve"> ITU-T/ITU-R/ISO</w:t>
      </w:r>
      <w:r>
        <w:rPr>
          <w:rFonts w:hint="eastAsia"/>
          <w:lang w:eastAsia="zh-CN"/>
        </w:rPr>
        <w:t>（国际标准化组织）</w:t>
      </w:r>
      <w:r>
        <w:rPr>
          <w:lang w:eastAsia="zh-CN"/>
        </w:rPr>
        <w:t>/IEC</w:t>
      </w:r>
      <w:r>
        <w:rPr>
          <w:rFonts w:hint="eastAsia"/>
          <w:lang w:eastAsia="zh-CN"/>
        </w:rPr>
        <w:t>（</w:t>
      </w:r>
      <w:r w:rsidRPr="0063445E">
        <w:rPr>
          <w:rFonts w:ascii="Arial" w:hAnsi="Arial" w:cs="Arial"/>
          <w:color w:val="000000"/>
          <w:szCs w:val="24"/>
          <w:lang w:eastAsia="zh-CN"/>
        </w:rPr>
        <w:t>国际电工委员会</w:t>
      </w:r>
      <w:r>
        <w:rPr>
          <w:rFonts w:ascii="Arial" w:hAnsi="Arial" w:cs="Arial" w:hint="eastAsia"/>
          <w:color w:val="000000"/>
          <w:sz w:val="20"/>
          <w:lang w:eastAsia="zh-CN"/>
        </w:rPr>
        <w:t>）</w:t>
      </w:r>
      <w:r>
        <w:rPr>
          <w:rFonts w:hint="eastAsia"/>
          <w:lang w:eastAsia="zh-CN"/>
        </w:rPr>
        <w:t>的</w:t>
      </w:r>
      <w:r w:rsidR="00F9383A">
        <w:rPr>
          <w:rFonts w:hint="eastAsia"/>
          <w:lang w:eastAsia="zh-CN"/>
        </w:rPr>
        <w:t>共同</w:t>
      </w:r>
      <w:r>
        <w:rPr>
          <w:rFonts w:hint="eastAsia"/>
          <w:lang w:eastAsia="zh-CN"/>
        </w:rPr>
        <w:t>专利政策，向电信标准化局披露这类信息。</w:t>
      </w:r>
    </w:p>
    <w:p w:rsidR="0063445E" w:rsidRDefault="0063445E" w:rsidP="00395948">
      <w:pPr>
        <w:ind w:firstLineChars="200" w:firstLine="480"/>
        <w:rPr>
          <w:lang w:eastAsia="zh-CN"/>
        </w:rPr>
      </w:pPr>
      <w:r>
        <w:rPr>
          <w:rFonts w:hint="eastAsia"/>
          <w:lang w:eastAsia="zh-CN"/>
        </w:rPr>
        <w:t>可</w:t>
      </w:r>
      <w:r w:rsidR="00F9383A">
        <w:rPr>
          <w:rFonts w:hint="eastAsia"/>
          <w:lang w:eastAsia="zh-CN"/>
        </w:rPr>
        <w:t>通过</w:t>
      </w:r>
      <w:r>
        <w:rPr>
          <w:rFonts w:hint="eastAsia"/>
          <w:lang w:eastAsia="zh-CN"/>
        </w:rPr>
        <w:t>ITU-T</w:t>
      </w:r>
      <w:r>
        <w:rPr>
          <w:rFonts w:hint="eastAsia"/>
          <w:lang w:eastAsia="zh-CN"/>
        </w:rPr>
        <w:t>网站（</w:t>
      </w:r>
      <w:r w:rsidR="002D55D1">
        <w:fldChar w:fldCharType="begin"/>
      </w:r>
      <w:r w:rsidR="00E278E1">
        <w:instrText>HYPERLINK "http://www.itu.int/itu-t/ipr/"</w:instrText>
      </w:r>
      <w:r w:rsidR="002D55D1">
        <w:fldChar w:fldCharType="separate"/>
      </w:r>
      <w:r w:rsidRPr="002A7750">
        <w:rPr>
          <w:rStyle w:val="Hyperlink"/>
        </w:rPr>
        <w:t>www.itu.int/ITU-T/ipr/</w:t>
      </w:r>
      <w:r w:rsidR="002D55D1">
        <w:fldChar w:fldCharType="end"/>
      </w:r>
      <w:r>
        <w:rPr>
          <w:rFonts w:hint="eastAsia"/>
          <w:lang w:eastAsia="zh-CN"/>
        </w:rPr>
        <w:t>）</w:t>
      </w:r>
      <w:r w:rsidR="00F9383A">
        <w:rPr>
          <w:rFonts w:hint="eastAsia"/>
          <w:lang w:eastAsia="zh-CN"/>
        </w:rPr>
        <w:t>在网上</w:t>
      </w:r>
      <w:r>
        <w:rPr>
          <w:rFonts w:hint="eastAsia"/>
          <w:lang w:eastAsia="zh-CN"/>
        </w:rPr>
        <w:t>获</w:t>
      </w:r>
      <w:r w:rsidR="00F9383A">
        <w:rPr>
          <w:rFonts w:hint="eastAsia"/>
          <w:lang w:eastAsia="zh-CN"/>
        </w:rPr>
        <w:t>取</w:t>
      </w:r>
      <w:r>
        <w:rPr>
          <w:rFonts w:hint="eastAsia"/>
          <w:lang w:eastAsia="zh-CN"/>
        </w:rPr>
        <w:t>已公布的专利信息。</w:t>
      </w:r>
    </w:p>
    <w:p w:rsidR="0063445E" w:rsidRDefault="0063445E" w:rsidP="00966C7D">
      <w:pPr>
        <w:rPr>
          <w:lang w:eastAsia="zh-CN"/>
        </w:rPr>
      </w:pPr>
      <w:r>
        <w:rPr>
          <w:rFonts w:hint="eastAsia"/>
          <w:lang w:eastAsia="zh-CN"/>
        </w:rPr>
        <w:t>4</w:t>
      </w:r>
      <w:r>
        <w:rPr>
          <w:lang w:eastAsia="zh-CN"/>
        </w:rPr>
        <w:tab/>
      </w:r>
      <w:r>
        <w:rPr>
          <w:rFonts w:hint="eastAsia"/>
          <w:lang w:eastAsia="zh-CN"/>
        </w:rPr>
        <w:t>考虑到第</w:t>
      </w:r>
      <w:r>
        <w:rPr>
          <w:rFonts w:hint="eastAsia"/>
          <w:lang w:eastAsia="zh-CN"/>
        </w:rPr>
        <w:t>1</w:t>
      </w:r>
      <w:r>
        <w:rPr>
          <w:rFonts w:hint="eastAsia"/>
          <w:lang w:eastAsia="zh-CN"/>
        </w:rPr>
        <w:t>号决议第</w:t>
      </w:r>
      <w:r>
        <w:rPr>
          <w:rFonts w:hint="eastAsia"/>
          <w:lang w:eastAsia="zh-CN"/>
        </w:rPr>
        <w:t>9</w:t>
      </w:r>
      <w:r>
        <w:rPr>
          <w:rFonts w:hint="eastAsia"/>
          <w:lang w:eastAsia="zh-CN"/>
        </w:rPr>
        <w:t>节的规定，请您在</w:t>
      </w:r>
      <w:r w:rsidR="00966C7D">
        <w:rPr>
          <w:rFonts w:hint="eastAsia"/>
          <w:b/>
          <w:bCs/>
          <w:lang w:eastAsia="zh-CN"/>
        </w:rPr>
        <w:t>2011</w:t>
      </w:r>
      <w:r>
        <w:rPr>
          <w:rFonts w:hint="eastAsia"/>
          <w:b/>
          <w:bCs/>
          <w:lang w:eastAsia="zh-CN"/>
        </w:rPr>
        <w:t>年</w:t>
      </w:r>
      <w:r w:rsidR="00966C7D">
        <w:rPr>
          <w:rFonts w:hint="eastAsia"/>
          <w:b/>
          <w:bCs/>
          <w:lang w:eastAsia="zh-CN"/>
        </w:rPr>
        <w:t>3</w:t>
      </w:r>
      <w:r>
        <w:rPr>
          <w:rFonts w:hint="eastAsia"/>
          <w:b/>
          <w:bCs/>
          <w:lang w:eastAsia="zh-CN"/>
        </w:rPr>
        <w:t>月</w:t>
      </w:r>
      <w:r w:rsidR="00966C7D">
        <w:rPr>
          <w:rFonts w:hint="eastAsia"/>
          <w:b/>
          <w:bCs/>
          <w:lang w:eastAsia="zh-CN"/>
        </w:rPr>
        <w:t>30</w:t>
      </w:r>
      <w:r>
        <w:rPr>
          <w:rFonts w:hint="eastAsia"/>
          <w:b/>
          <w:bCs/>
          <w:lang w:eastAsia="zh-CN"/>
        </w:rPr>
        <w:t>日</w:t>
      </w:r>
      <w:r>
        <w:rPr>
          <w:rFonts w:hint="eastAsia"/>
          <w:lang w:eastAsia="zh-CN"/>
        </w:rPr>
        <w:t>协调世界时</w:t>
      </w:r>
      <w:r>
        <w:rPr>
          <w:rFonts w:hint="eastAsia"/>
          <w:lang w:eastAsia="zh-CN"/>
        </w:rPr>
        <w:t>24</w:t>
      </w:r>
      <w:r>
        <w:rPr>
          <w:rFonts w:hint="eastAsia"/>
          <w:lang w:eastAsia="zh-CN"/>
        </w:rPr>
        <w:t>时</w:t>
      </w:r>
      <w:r w:rsidR="00966C7D">
        <w:rPr>
          <w:rFonts w:hint="eastAsia"/>
          <w:lang w:eastAsia="zh-CN"/>
        </w:rPr>
        <w:t>前</w:t>
      </w:r>
      <w:r>
        <w:rPr>
          <w:rFonts w:hint="eastAsia"/>
          <w:lang w:eastAsia="zh-CN"/>
        </w:rPr>
        <w:t>告知我，贵主管部门是否同意授权第</w:t>
      </w:r>
      <w:r w:rsidR="00966C7D">
        <w:rPr>
          <w:rFonts w:hint="eastAsia"/>
          <w:lang w:eastAsia="zh-CN"/>
        </w:rPr>
        <w:t>17</w:t>
      </w:r>
      <w:r>
        <w:rPr>
          <w:rFonts w:hint="eastAsia"/>
          <w:lang w:eastAsia="zh-CN"/>
        </w:rPr>
        <w:t>研究组在该研究组会议上审议并批准上述</w:t>
      </w:r>
      <w:r w:rsidR="00F9383A">
        <w:rPr>
          <w:rFonts w:hint="eastAsia"/>
          <w:lang w:eastAsia="zh-CN"/>
        </w:rPr>
        <w:t>新建议书草案</w:t>
      </w:r>
      <w:r>
        <w:rPr>
          <w:rFonts w:hint="eastAsia"/>
          <w:lang w:eastAsia="zh-CN"/>
        </w:rPr>
        <w:t>。</w:t>
      </w:r>
    </w:p>
    <w:p w:rsidR="0063445E" w:rsidRDefault="0063445E" w:rsidP="00841612">
      <w:pPr>
        <w:ind w:firstLine="490"/>
        <w:jc w:val="both"/>
        <w:rPr>
          <w:lang w:eastAsia="zh-CN"/>
        </w:rPr>
      </w:pPr>
      <w:r>
        <w:rPr>
          <w:rFonts w:hint="eastAsia"/>
          <w:lang w:eastAsia="zh-CN"/>
        </w:rPr>
        <w:t>如有</w:t>
      </w:r>
      <w:r w:rsidR="00C916ED">
        <w:rPr>
          <w:rFonts w:hint="eastAsia"/>
          <w:lang w:eastAsia="zh-CN"/>
        </w:rPr>
        <w:t>成员国</w:t>
      </w:r>
      <w:r w:rsidR="00F9383A">
        <w:rPr>
          <w:rFonts w:hint="eastAsia"/>
          <w:lang w:eastAsia="zh-CN"/>
        </w:rPr>
        <w:t>认为不应进入审议批准程序，</w:t>
      </w:r>
      <w:r>
        <w:rPr>
          <w:rFonts w:hint="eastAsia"/>
          <w:lang w:eastAsia="zh-CN"/>
        </w:rPr>
        <w:t>应阐明其反对原因并提出可能的修改意见，以推动对</w:t>
      </w:r>
      <w:r w:rsidR="00F9383A">
        <w:rPr>
          <w:rFonts w:hint="eastAsia"/>
          <w:lang w:eastAsia="zh-CN"/>
        </w:rPr>
        <w:t>相关</w:t>
      </w:r>
      <w:r>
        <w:rPr>
          <w:rFonts w:hint="eastAsia"/>
          <w:lang w:eastAsia="zh-CN"/>
        </w:rPr>
        <w:t>修订建议书草案</w:t>
      </w:r>
      <w:r w:rsidR="00F9383A">
        <w:rPr>
          <w:rFonts w:hint="eastAsia"/>
          <w:lang w:eastAsia="zh-CN"/>
        </w:rPr>
        <w:t>或新建议书草案</w:t>
      </w:r>
      <w:r>
        <w:rPr>
          <w:rFonts w:hint="eastAsia"/>
          <w:lang w:eastAsia="zh-CN"/>
        </w:rPr>
        <w:t>的进一步审议，以便批准。</w:t>
      </w:r>
    </w:p>
    <w:p w:rsidR="0063445E" w:rsidRDefault="0063445E" w:rsidP="00966C7D">
      <w:pPr>
        <w:jc w:val="both"/>
        <w:rPr>
          <w:lang w:eastAsia="zh-CN"/>
        </w:rPr>
      </w:pPr>
      <w:r>
        <w:rPr>
          <w:rFonts w:hint="eastAsia"/>
          <w:lang w:eastAsia="zh-CN"/>
        </w:rPr>
        <w:t>5</w:t>
      </w:r>
      <w:r>
        <w:rPr>
          <w:lang w:eastAsia="zh-CN"/>
        </w:rPr>
        <w:tab/>
      </w:r>
      <w:r>
        <w:rPr>
          <w:rFonts w:hint="eastAsia"/>
          <w:lang w:eastAsia="zh-CN"/>
        </w:rPr>
        <w:t>如果</w:t>
      </w:r>
      <w:r>
        <w:rPr>
          <w:rFonts w:hint="eastAsia"/>
          <w:lang w:eastAsia="zh-CN"/>
        </w:rPr>
        <w:t>70</w:t>
      </w:r>
      <w:r>
        <w:rPr>
          <w:rFonts w:hint="eastAsia"/>
          <w:lang w:eastAsia="zh-CN"/>
        </w:rPr>
        <w:t>％以上的</w:t>
      </w:r>
      <w:r w:rsidR="00C916ED">
        <w:rPr>
          <w:rFonts w:hint="eastAsia"/>
          <w:lang w:eastAsia="zh-CN"/>
        </w:rPr>
        <w:t>成员国</w:t>
      </w:r>
      <w:r>
        <w:rPr>
          <w:rFonts w:hint="eastAsia"/>
          <w:lang w:eastAsia="zh-CN"/>
        </w:rPr>
        <w:t>在回复中支持在该研究组会议上审议并批准上述修订建议书草案</w:t>
      </w:r>
      <w:r w:rsidR="00F9383A">
        <w:rPr>
          <w:rFonts w:hint="eastAsia"/>
          <w:lang w:eastAsia="zh-CN"/>
        </w:rPr>
        <w:t>或新建议书草案</w:t>
      </w:r>
      <w:r>
        <w:rPr>
          <w:rFonts w:hint="eastAsia"/>
          <w:lang w:eastAsia="zh-CN"/>
        </w:rPr>
        <w:t>，则将</w:t>
      </w:r>
      <w:r w:rsidR="00F9383A">
        <w:rPr>
          <w:rFonts w:hint="eastAsia"/>
          <w:lang w:eastAsia="zh-CN"/>
        </w:rPr>
        <w:t>于</w:t>
      </w:r>
      <w:r w:rsidR="00966C7D">
        <w:rPr>
          <w:rFonts w:hint="eastAsia"/>
          <w:b/>
          <w:lang w:eastAsia="zh-CN"/>
        </w:rPr>
        <w:t>2011</w:t>
      </w:r>
      <w:r w:rsidRPr="00F9383A">
        <w:rPr>
          <w:rFonts w:hint="eastAsia"/>
          <w:b/>
          <w:lang w:eastAsia="zh-CN"/>
        </w:rPr>
        <w:t>年</w:t>
      </w:r>
      <w:r w:rsidR="00966C7D">
        <w:rPr>
          <w:rFonts w:hint="eastAsia"/>
          <w:b/>
          <w:lang w:eastAsia="zh-CN"/>
        </w:rPr>
        <w:t>4</w:t>
      </w:r>
      <w:r w:rsidRPr="00F9383A">
        <w:rPr>
          <w:rFonts w:hint="eastAsia"/>
          <w:b/>
          <w:lang w:eastAsia="zh-CN"/>
        </w:rPr>
        <w:t>月</w:t>
      </w:r>
      <w:r w:rsidR="00966C7D">
        <w:rPr>
          <w:rFonts w:hint="eastAsia"/>
          <w:b/>
          <w:lang w:eastAsia="zh-CN"/>
        </w:rPr>
        <w:t>20</w:t>
      </w:r>
      <w:r w:rsidRPr="00F9383A">
        <w:rPr>
          <w:rFonts w:hint="eastAsia"/>
          <w:b/>
          <w:lang w:eastAsia="zh-CN"/>
        </w:rPr>
        <w:t>日</w:t>
      </w:r>
      <w:r>
        <w:rPr>
          <w:rFonts w:hint="eastAsia"/>
          <w:lang w:eastAsia="zh-CN"/>
        </w:rPr>
        <w:t>召开一次</w:t>
      </w:r>
      <w:r w:rsidR="00F9383A">
        <w:rPr>
          <w:rFonts w:hint="eastAsia"/>
          <w:lang w:eastAsia="zh-CN"/>
        </w:rPr>
        <w:t>全体会议，实施</w:t>
      </w:r>
      <w:r>
        <w:rPr>
          <w:rFonts w:hint="eastAsia"/>
          <w:lang w:eastAsia="zh-CN"/>
        </w:rPr>
        <w:t>该批准程序。</w:t>
      </w:r>
    </w:p>
    <w:p w:rsidR="0063445E" w:rsidRDefault="0063445E" w:rsidP="00395948">
      <w:pPr>
        <w:ind w:firstLineChars="200" w:firstLine="480"/>
        <w:rPr>
          <w:lang w:eastAsia="zh-CN"/>
        </w:rPr>
      </w:pPr>
      <w:r>
        <w:rPr>
          <w:rFonts w:hint="eastAsia"/>
          <w:lang w:eastAsia="zh-CN"/>
        </w:rPr>
        <w:lastRenderedPageBreak/>
        <w:t>为此，我邀请贵主管部门派出一名代表参加会议。请</w:t>
      </w:r>
      <w:r>
        <w:rPr>
          <w:rFonts w:hint="eastAsia"/>
          <w:b/>
          <w:bCs/>
          <w:lang w:eastAsia="zh-CN"/>
        </w:rPr>
        <w:t>国际电联</w:t>
      </w:r>
      <w:r w:rsidR="00C916ED">
        <w:rPr>
          <w:rFonts w:hint="eastAsia"/>
          <w:b/>
          <w:bCs/>
          <w:lang w:eastAsia="zh-CN"/>
        </w:rPr>
        <w:t>成员国</w:t>
      </w:r>
      <w:r>
        <w:rPr>
          <w:rFonts w:hint="eastAsia"/>
          <w:b/>
          <w:bCs/>
          <w:lang w:eastAsia="zh-CN"/>
        </w:rPr>
        <w:t>的主管部门</w:t>
      </w:r>
      <w:r>
        <w:rPr>
          <w:rFonts w:hint="eastAsia"/>
          <w:lang w:eastAsia="zh-CN"/>
        </w:rPr>
        <w:t>提供其代表团团长的姓名。如果贵主管部门希望由一家经认可的</w:t>
      </w:r>
      <w:r w:rsidR="007F4FEB" w:rsidRPr="007F4FEB">
        <w:rPr>
          <w:rFonts w:ascii="STKaiti" w:eastAsia="STKaiti" w:hAnsi="STKaiti" w:hint="eastAsia"/>
          <w:lang w:eastAsia="zh-CN"/>
        </w:rPr>
        <w:t>运行</w:t>
      </w:r>
      <w:r>
        <w:rPr>
          <w:rFonts w:hint="eastAsia"/>
          <w:lang w:eastAsia="zh-CN"/>
        </w:rPr>
        <w:t>机构、一个科学或工业组织或处理电信问题的另一实体作为代表参加会议，则应按照国际电联《公约》第</w:t>
      </w:r>
      <w:r>
        <w:rPr>
          <w:rFonts w:hint="eastAsia"/>
          <w:lang w:eastAsia="zh-CN"/>
        </w:rPr>
        <w:t>19</w:t>
      </w:r>
      <w:r>
        <w:rPr>
          <w:rFonts w:hint="eastAsia"/>
          <w:lang w:eastAsia="zh-CN"/>
        </w:rPr>
        <w:t>条第</w:t>
      </w:r>
      <w:r>
        <w:rPr>
          <w:rFonts w:hint="eastAsia"/>
          <w:lang w:eastAsia="zh-CN"/>
        </w:rPr>
        <w:t>239</w:t>
      </w:r>
      <w:r>
        <w:rPr>
          <w:rFonts w:hint="eastAsia"/>
          <w:lang w:eastAsia="zh-CN"/>
        </w:rPr>
        <w:t>款的规定</w:t>
      </w:r>
      <w:r w:rsidR="00F9383A">
        <w:rPr>
          <w:rFonts w:hint="eastAsia"/>
          <w:lang w:eastAsia="zh-CN"/>
        </w:rPr>
        <w:t>，</w:t>
      </w:r>
      <w:r>
        <w:rPr>
          <w:rFonts w:hint="eastAsia"/>
          <w:lang w:eastAsia="zh-CN"/>
        </w:rPr>
        <w:t>将有关情况适时</w:t>
      </w:r>
      <w:r w:rsidR="00F9383A">
        <w:rPr>
          <w:rFonts w:hint="eastAsia"/>
          <w:lang w:eastAsia="zh-CN"/>
        </w:rPr>
        <w:t>向</w:t>
      </w:r>
      <w:r>
        <w:rPr>
          <w:rFonts w:hint="eastAsia"/>
          <w:lang w:eastAsia="zh-CN"/>
        </w:rPr>
        <w:t>主任</w:t>
      </w:r>
      <w:r w:rsidR="00F9383A">
        <w:rPr>
          <w:rFonts w:hint="eastAsia"/>
          <w:lang w:eastAsia="zh-CN"/>
        </w:rPr>
        <w:t>通报</w:t>
      </w:r>
      <w:r>
        <w:rPr>
          <w:rFonts w:hint="eastAsia"/>
          <w:lang w:eastAsia="zh-CN"/>
        </w:rPr>
        <w:t>。</w:t>
      </w:r>
    </w:p>
    <w:p w:rsidR="0063445E" w:rsidRDefault="0063445E" w:rsidP="00966C7D">
      <w:pPr>
        <w:jc w:val="both"/>
        <w:rPr>
          <w:lang w:eastAsia="zh-CN"/>
        </w:rPr>
      </w:pPr>
      <w:r>
        <w:rPr>
          <w:rFonts w:hint="eastAsia"/>
          <w:lang w:eastAsia="zh-CN"/>
        </w:rPr>
        <w:t>6</w:t>
      </w:r>
      <w:r>
        <w:rPr>
          <w:lang w:eastAsia="zh-CN"/>
        </w:rPr>
        <w:tab/>
      </w:r>
      <w:r>
        <w:rPr>
          <w:rFonts w:hint="eastAsia"/>
          <w:lang w:eastAsia="zh-CN"/>
        </w:rPr>
        <w:t>有关第</w:t>
      </w:r>
      <w:r w:rsidR="00966C7D">
        <w:rPr>
          <w:rFonts w:hint="eastAsia"/>
          <w:lang w:eastAsia="zh-CN"/>
        </w:rPr>
        <w:t>17</w:t>
      </w:r>
      <w:r>
        <w:rPr>
          <w:rFonts w:hint="eastAsia"/>
          <w:lang w:eastAsia="zh-CN"/>
        </w:rPr>
        <w:t>研究组会议的议程</w:t>
      </w:r>
      <w:r w:rsidR="00303A2A">
        <w:rPr>
          <w:rFonts w:hint="eastAsia"/>
          <w:lang w:eastAsia="zh-CN"/>
        </w:rPr>
        <w:t>和</w:t>
      </w:r>
      <w:r>
        <w:rPr>
          <w:rFonts w:hint="eastAsia"/>
          <w:lang w:eastAsia="zh-CN"/>
        </w:rPr>
        <w:t>所有相关信息将在第</w:t>
      </w:r>
      <w:r w:rsidR="00966C7D">
        <w:rPr>
          <w:rFonts w:hint="eastAsia"/>
          <w:lang w:eastAsia="zh-CN"/>
        </w:rPr>
        <w:t>5</w:t>
      </w:r>
      <w:r>
        <w:rPr>
          <w:rFonts w:hint="eastAsia"/>
          <w:lang w:eastAsia="zh-CN"/>
        </w:rPr>
        <w:t>/</w:t>
      </w:r>
      <w:r w:rsidR="00966C7D">
        <w:rPr>
          <w:rFonts w:hint="eastAsia"/>
          <w:lang w:eastAsia="zh-CN"/>
        </w:rPr>
        <w:t>17</w:t>
      </w:r>
      <w:r>
        <w:rPr>
          <w:rFonts w:hint="eastAsia"/>
          <w:lang w:eastAsia="zh-CN"/>
        </w:rPr>
        <w:t>号集体函中提供。</w:t>
      </w:r>
    </w:p>
    <w:p w:rsidR="0063445E" w:rsidRDefault="0063445E" w:rsidP="00841612">
      <w:pPr>
        <w:jc w:val="both"/>
        <w:rPr>
          <w:lang w:eastAsia="zh-CN"/>
        </w:rPr>
      </w:pPr>
      <w:r>
        <w:rPr>
          <w:rFonts w:hint="eastAsia"/>
          <w:lang w:eastAsia="zh-CN"/>
        </w:rPr>
        <w:t>7</w:t>
      </w:r>
      <w:r>
        <w:rPr>
          <w:lang w:eastAsia="zh-CN"/>
        </w:rPr>
        <w:tab/>
      </w:r>
      <w:r w:rsidR="00F9383A">
        <w:rPr>
          <w:rFonts w:hint="eastAsia"/>
          <w:lang w:eastAsia="zh-CN"/>
        </w:rPr>
        <w:t>会后</w:t>
      </w:r>
      <w:r>
        <w:rPr>
          <w:rFonts w:hint="eastAsia"/>
          <w:lang w:eastAsia="zh-CN"/>
        </w:rPr>
        <w:t>电信标准化局主任将以通函的形式通报就</w:t>
      </w:r>
      <w:r w:rsidR="00F9383A">
        <w:rPr>
          <w:rFonts w:hint="eastAsia"/>
          <w:lang w:eastAsia="zh-CN"/>
        </w:rPr>
        <w:t>此</w:t>
      </w:r>
      <w:r>
        <w:rPr>
          <w:rFonts w:hint="eastAsia"/>
          <w:lang w:eastAsia="zh-CN"/>
        </w:rPr>
        <w:t>（</w:t>
      </w:r>
      <w:r w:rsidR="00F9383A">
        <w:rPr>
          <w:rFonts w:hint="eastAsia"/>
          <w:lang w:eastAsia="zh-CN"/>
        </w:rPr>
        <w:t>这</w:t>
      </w:r>
      <w:r>
        <w:rPr>
          <w:rFonts w:hint="eastAsia"/>
          <w:lang w:eastAsia="zh-CN"/>
        </w:rPr>
        <w:t>几</w:t>
      </w:r>
      <w:r w:rsidR="00F9383A">
        <w:rPr>
          <w:rFonts w:hint="eastAsia"/>
          <w:lang w:eastAsia="zh-CN"/>
        </w:rPr>
        <w:t>份</w:t>
      </w:r>
      <w:r>
        <w:rPr>
          <w:rFonts w:hint="eastAsia"/>
          <w:lang w:eastAsia="zh-CN"/>
        </w:rPr>
        <w:t>）建议书做出的决定。此信息还将在《</w:t>
      </w:r>
      <w:r w:rsidR="00F9383A">
        <w:rPr>
          <w:rFonts w:hint="eastAsia"/>
          <w:lang w:eastAsia="zh-CN"/>
        </w:rPr>
        <w:t>国际电联</w:t>
      </w:r>
      <w:r>
        <w:rPr>
          <w:rFonts w:hint="eastAsia"/>
          <w:lang w:eastAsia="zh-CN"/>
        </w:rPr>
        <w:t>操作公报》中公布。</w:t>
      </w:r>
    </w:p>
    <w:p w:rsidR="0063445E" w:rsidRPr="004663B4" w:rsidRDefault="0063445E" w:rsidP="0063445E">
      <w:pPr>
        <w:spacing w:before="480"/>
        <w:rPr>
          <w:lang w:val="en-US" w:eastAsia="zh-CN"/>
        </w:rPr>
      </w:pPr>
      <w:r>
        <w:rPr>
          <w:rFonts w:hint="eastAsia"/>
          <w:lang w:eastAsia="zh-CN"/>
        </w:rPr>
        <w:t>顺致敬意</w:t>
      </w:r>
      <w:r>
        <w:rPr>
          <w:lang w:val="en-US" w:eastAsia="zh-CN"/>
        </w:rPr>
        <w:t>!</w:t>
      </w:r>
    </w:p>
    <w:p w:rsidR="0063445E" w:rsidRDefault="00284869" w:rsidP="00284869">
      <w:pPr>
        <w:spacing w:before="1701"/>
        <w:rPr>
          <w:lang w:eastAsia="zh-CN"/>
        </w:rPr>
      </w:pPr>
      <w:r>
        <w:rPr>
          <w:rFonts w:hint="eastAsia"/>
          <w:lang w:eastAsia="zh-CN"/>
        </w:rPr>
        <w:t>电信标准化局主任</w:t>
      </w:r>
      <w:r>
        <w:rPr>
          <w:lang w:eastAsia="zh-CN"/>
        </w:rPr>
        <w:br/>
      </w:r>
      <w:r>
        <w:rPr>
          <w:rFonts w:hint="eastAsia"/>
          <w:lang w:eastAsia="zh-CN"/>
        </w:rPr>
        <w:t xml:space="preserve">  </w:t>
      </w:r>
      <w:r w:rsidR="0063445E">
        <w:rPr>
          <w:rFonts w:hint="eastAsia"/>
          <w:lang w:eastAsia="zh-CN"/>
        </w:rPr>
        <w:t>马尔科姆</w:t>
      </w:r>
      <w:r w:rsidR="0063445E" w:rsidRPr="00B54FD5">
        <w:rPr>
          <w:sz w:val="20"/>
          <w:lang w:eastAsia="zh-CN"/>
        </w:rPr>
        <w:t>•</w:t>
      </w:r>
      <w:r w:rsidR="0063445E">
        <w:rPr>
          <w:rFonts w:hint="eastAsia"/>
          <w:lang w:eastAsia="zh-CN"/>
        </w:rPr>
        <w:t>琼森</w:t>
      </w:r>
    </w:p>
    <w:p w:rsidR="00284869" w:rsidRDefault="00284869" w:rsidP="00284869">
      <w:pPr>
        <w:spacing w:before="1701"/>
        <w:rPr>
          <w:lang w:eastAsia="zh-CN"/>
        </w:rPr>
      </w:pPr>
    </w:p>
    <w:p w:rsidR="0063445E" w:rsidRDefault="0063445E" w:rsidP="0063445E">
      <w:pPr>
        <w:spacing w:before="720"/>
        <w:rPr>
          <w:lang w:eastAsia="zh-CN"/>
        </w:rPr>
      </w:pPr>
    </w:p>
    <w:p w:rsidR="0063445E" w:rsidRPr="00D43D86" w:rsidRDefault="0063445E" w:rsidP="0063445E">
      <w:pPr>
        <w:spacing w:before="720"/>
        <w:rPr>
          <w:b/>
          <w:bCs/>
          <w:lang w:eastAsia="zh-CN"/>
        </w:rPr>
      </w:pPr>
      <w:r w:rsidRPr="00D43D86">
        <w:rPr>
          <w:rFonts w:hint="eastAsia"/>
          <w:b/>
          <w:bCs/>
          <w:lang w:eastAsia="zh-CN"/>
        </w:rPr>
        <w:t>附件：</w:t>
      </w:r>
      <w:r w:rsidR="00966C7D">
        <w:rPr>
          <w:rFonts w:hint="eastAsia"/>
          <w:b/>
          <w:bCs/>
          <w:lang w:eastAsia="zh-CN"/>
        </w:rPr>
        <w:t>1</w:t>
      </w:r>
      <w:r w:rsidR="00966C7D">
        <w:rPr>
          <w:rFonts w:hint="eastAsia"/>
          <w:b/>
          <w:bCs/>
          <w:lang w:eastAsia="zh-CN"/>
        </w:rPr>
        <w:t>件</w:t>
      </w:r>
    </w:p>
    <w:p w:rsidR="00966C7D" w:rsidRDefault="00966C7D" w:rsidP="00A02449">
      <w:pPr>
        <w:pStyle w:val="AppendixRef"/>
        <w:rPr>
          <w:lang w:eastAsia="zh-CN"/>
        </w:rPr>
      </w:pPr>
      <w:r>
        <w:rPr>
          <w:lang w:eastAsia="zh-CN"/>
        </w:rPr>
        <w:br w:type="page"/>
      </w:r>
      <w:r>
        <w:rPr>
          <w:rFonts w:eastAsia="SimSun" w:hint="eastAsia"/>
          <w:lang w:eastAsia="zh-CN"/>
        </w:rPr>
        <w:lastRenderedPageBreak/>
        <w:t>附件</w:t>
      </w:r>
      <w:r>
        <w:rPr>
          <w:rFonts w:eastAsia="SimSun" w:hint="eastAsia"/>
          <w:lang w:eastAsia="zh-CN"/>
        </w:rPr>
        <w:t xml:space="preserve"> </w:t>
      </w:r>
      <w:r>
        <w:rPr>
          <w:lang w:eastAsia="zh-CN"/>
        </w:rPr>
        <w:t>1</w:t>
      </w:r>
      <w:r w:rsidR="00A02449">
        <w:rPr>
          <w:rFonts w:eastAsia="SimSun" w:hint="eastAsia"/>
          <w:lang w:eastAsia="zh-CN"/>
        </w:rPr>
        <w:br/>
      </w:r>
      <w:r>
        <w:rPr>
          <w:rFonts w:eastAsia="SimSun" w:hint="eastAsia"/>
          <w:lang w:eastAsia="zh-CN"/>
        </w:rPr>
        <w:t>（电信标准化局</w:t>
      </w:r>
      <w:r w:rsidRPr="0048406A">
        <w:rPr>
          <w:lang w:eastAsia="zh-CN"/>
        </w:rPr>
        <w:t>158</w:t>
      </w:r>
      <w:r>
        <w:rPr>
          <w:rFonts w:eastAsia="SimSun" w:hint="eastAsia"/>
          <w:lang w:eastAsia="zh-CN"/>
        </w:rPr>
        <w:t>号通函）</w:t>
      </w:r>
    </w:p>
    <w:p w:rsidR="00966C7D" w:rsidRPr="008728E0" w:rsidRDefault="00966C7D" w:rsidP="00966C7D">
      <w:pPr>
        <w:spacing w:before="240"/>
        <w:jc w:val="center"/>
        <w:rPr>
          <w:szCs w:val="24"/>
          <w:lang w:eastAsia="zh-CN"/>
        </w:rPr>
      </w:pPr>
      <w:r>
        <w:rPr>
          <w:rFonts w:hint="eastAsia"/>
          <w:b/>
          <w:bCs/>
          <w:szCs w:val="24"/>
          <w:lang w:eastAsia="zh-CN"/>
        </w:rPr>
        <w:t>案文摘要和出处</w:t>
      </w:r>
    </w:p>
    <w:p w:rsidR="00966C7D" w:rsidRPr="00966C7D" w:rsidRDefault="00966C7D" w:rsidP="00966C7D">
      <w:pPr>
        <w:spacing w:before="720"/>
        <w:rPr>
          <w:b/>
          <w:bCs/>
          <w:sz w:val="28"/>
          <w:szCs w:val="28"/>
          <w:lang w:val="en-US" w:eastAsia="zh-CN"/>
        </w:rPr>
      </w:pPr>
      <w:r w:rsidRPr="00966C7D">
        <w:rPr>
          <w:b/>
          <w:bCs/>
          <w:lang w:val="en-US" w:eastAsia="zh-CN"/>
        </w:rPr>
        <w:t>ITU-T X.1500</w:t>
      </w:r>
      <w:r>
        <w:rPr>
          <w:rFonts w:hint="eastAsia"/>
          <w:b/>
          <w:bCs/>
          <w:lang w:val="en-US" w:eastAsia="zh-CN"/>
        </w:rPr>
        <w:t>新建议书草案</w:t>
      </w:r>
      <w:r w:rsidRPr="00966C7D">
        <w:rPr>
          <w:b/>
          <w:bCs/>
          <w:lang w:val="en-US" w:eastAsia="zh-CN"/>
        </w:rPr>
        <w:t xml:space="preserve"> (</w:t>
      </w:r>
      <w:proofErr w:type="spellStart"/>
      <w:r w:rsidRPr="00966C7D">
        <w:rPr>
          <w:b/>
          <w:bCs/>
          <w:lang w:val="en-US" w:eastAsia="zh-CN"/>
        </w:rPr>
        <w:t>X.cybex</w:t>
      </w:r>
      <w:proofErr w:type="spellEnd"/>
      <w:r w:rsidRPr="00966C7D">
        <w:rPr>
          <w:b/>
          <w:bCs/>
          <w:lang w:val="en-US" w:eastAsia="zh-CN"/>
        </w:rPr>
        <w:t>)</w:t>
      </w:r>
      <w:r>
        <w:rPr>
          <w:rFonts w:hint="eastAsia"/>
          <w:b/>
          <w:bCs/>
          <w:lang w:val="en-US" w:eastAsia="zh-CN"/>
        </w:rPr>
        <w:t>“网络安全信息</w:t>
      </w:r>
      <w:r w:rsidR="0043266B">
        <w:rPr>
          <w:rFonts w:hint="eastAsia"/>
          <w:b/>
          <w:bCs/>
          <w:lang w:val="en-US" w:eastAsia="zh-CN"/>
        </w:rPr>
        <w:t>的</w:t>
      </w:r>
      <w:r>
        <w:rPr>
          <w:rFonts w:hint="eastAsia"/>
          <w:b/>
          <w:bCs/>
          <w:lang w:val="en-US" w:eastAsia="zh-CN"/>
        </w:rPr>
        <w:t>交换方法”</w:t>
      </w:r>
      <w:r w:rsidRPr="00966C7D">
        <w:rPr>
          <w:b/>
          <w:bCs/>
          <w:lang w:val="en-US" w:eastAsia="zh-CN"/>
        </w:rPr>
        <w:t xml:space="preserve"> </w:t>
      </w:r>
      <w:r w:rsidRPr="00966C7D">
        <w:rPr>
          <w:b/>
          <w:bCs/>
          <w:lang w:val="en-US" w:eastAsia="zh-CN"/>
        </w:rPr>
        <w:br/>
      </w:r>
      <w:r w:rsidR="0043266B">
        <w:rPr>
          <w:b/>
          <w:bCs/>
          <w:szCs w:val="24"/>
          <w:lang w:val="en-US" w:eastAsia="zh-CN"/>
        </w:rPr>
        <w:t>COM 17 – R 25</w:t>
      </w:r>
      <w:r w:rsidR="0043266B">
        <w:rPr>
          <w:rFonts w:hint="eastAsia"/>
          <w:b/>
          <w:bCs/>
          <w:szCs w:val="24"/>
          <w:lang w:val="en-US" w:eastAsia="zh-CN"/>
        </w:rPr>
        <w:t>号文件</w:t>
      </w:r>
      <w:r w:rsidRPr="00A02449">
        <w:rPr>
          <w:rFonts w:ascii="STKaiti" w:eastAsia="STKaiti" w:hAnsi="STKaiti" w:hint="eastAsia"/>
          <w:szCs w:val="24"/>
          <w:lang w:val="en-US" w:eastAsia="zh-CN"/>
        </w:rPr>
        <w:t>（</w:t>
      </w:r>
      <w:r w:rsidRPr="00A02449">
        <w:rPr>
          <w:rFonts w:ascii="STKaiti" w:eastAsia="STKaiti" w:hAnsi="STKaiti" w:hint="eastAsia"/>
          <w:iCs/>
          <w:szCs w:val="24"/>
          <w:lang w:val="en-US" w:eastAsia="zh-CN"/>
        </w:rPr>
        <w:t>将很快在网上公布）</w:t>
      </w:r>
    </w:p>
    <w:p w:rsidR="00966C7D" w:rsidRPr="00E126DB" w:rsidRDefault="00966C7D" w:rsidP="00A02449">
      <w:pPr>
        <w:pStyle w:val="Headingb"/>
        <w:rPr>
          <w:lang w:eastAsia="zh-CN"/>
        </w:rPr>
      </w:pPr>
      <w:r>
        <w:rPr>
          <w:rFonts w:hint="eastAsia"/>
          <w:lang w:eastAsia="zh-CN"/>
        </w:rPr>
        <w:t>摘要</w:t>
      </w:r>
    </w:p>
    <w:p w:rsidR="00966C7D" w:rsidRDefault="00966C7D" w:rsidP="00A02449">
      <w:pPr>
        <w:ind w:firstLineChars="200" w:firstLine="480"/>
        <w:rPr>
          <w:lang w:eastAsia="zh-CN"/>
        </w:rPr>
      </w:pPr>
      <w:proofErr w:type="spellStart"/>
      <w:r>
        <w:rPr>
          <w:rFonts w:hint="eastAsia"/>
        </w:rPr>
        <w:t>本建议书描述了交换网络安全信息的方法</w:t>
      </w:r>
      <w:proofErr w:type="spellEnd"/>
      <w:r>
        <w:rPr>
          <w:rFonts w:hint="eastAsia"/>
        </w:rPr>
        <w:t>。</w:t>
      </w:r>
      <w:proofErr w:type="spellStart"/>
      <w:r>
        <w:rPr>
          <w:rFonts w:hint="eastAsia"/>
        </w:rPr>
        <w:t>这些方法可根据需要或酌情单独使用，也可组合</w:t>
      </w:r>
      <w:proofErr w:type="spellEnd"/>
      <w:r>
        <w:rPr>
          <w:rFonts w:hint="eastAsia"/>
          <w:lang w:eastAsia="zh-CN"/>
        </w:rPr>
        <w:t>使用，</w:t>
      </w:r>
      <w:r w:rsidR="00FB5930">
        <w:rPr>
          <w:rFonts w:hint="eastAsia"/>
          <w:lang w:eastAsia="zh-CN"/>
        </w:rPr>
        <w:t>以便通过前后一致、综合、全面、及时和有保障地交换信息来改善网络安全。</w:t>
      </w:r>
      <w:r w:rsidR="0043266B">
        <w:rPr>
          <w:rFonts w:hint="eastAsia"/>
          <w:lang w:eastAsia="zh-CN"/>
        </w:rPr>
        <w:t>此举</w:t>
      </w:r>
      <w:r w:rsidR="00FB5930">
        <w:rPr>
          <w:rFonts w:hint="eastAsia"/>
          <w:lang w:eastAsia="zh-CN"/>
        </w:rPr>
        <w:t>并不意味着有交换信息的义务，也不涉及所处理信息的获取方式或最终使用。</w:t>
      </w:r>
    </w:p>
    <w:p w:rsidR="00966C7D" w:rsidRDefault="00966C7D" w:rsidP="007F4FEB">
      <w:pPr>
        <w:spacing w:before="240"/>
        <w:rPr>
          <w:b/>
          <w:bCs/>
          <w:sz w:val="28"/>
          <w:szCs w:val="28"/>
          <w:lang w:val="en-US" w:eastAsia="zh-CN"/>
        </w:rPr>
      </w:pPr>
      <w:r w:rsidRPr="00725E00">
        <w:rPr>
          <w:b/>
          <w:bCs/>
          <w:lang w:eastAsia="zh-CN"/>
        </w:rPr>
        <w:t>ITU-T X.1520</w:t>
      </w:r>
      <w:r w:rsidR="00FB5930">
        <w:rPr>
          <w:rFonts w:hint="eastAsia"/>
          <w:b/>
          <w:bCs/>
          <w:lang w:val="en-US" w:eastAsia="zh-CN"/>
        </w:rPr>
        <w:t>新建议书草案</w:t>
      </w:r>
      <w:r w:rsidRPr="00725E00">
        <w:rPr>
          <w:b/>
          <w:bCs/>
          <w:lang w:eastAsia="zh-CN"/>
        </w:rPr>
        <w:t>(X.cve)</w:t>
      </w:r>
      <w:r w:rsidR="00FB5930">
        <w:rPr>
          <w:rFonts w:hint="eastAsia"/>
          <w:b/>
          <w:bCs/>
          <w:lang w:eastAsia="zh-CN"/>
        </w:rPr>
        <w:t>“</w:t>
      </w:r>
      <w:r w:rsidR="007F4FEB">
        <w:rPr>
          <w:rFonts w:hint="eastAsia"/>
          <w:b/>
          <w:bCs/>
          <w:lang w:eastAsia="zh-CN"/>
        </w:rPr>
        <w:t>通用</w:t>
      </w:r>
      <w:r w:rsidR="008F05A4">
        <w:rPr>
          <w:rFonts w:hint="eastAsia"/>
          <w:b/>
          <w:bCs/>
          <w:lang w:eastAsia="zh-CN"/>
        </w:rPr>
        <w:t>漏洞和暴露</w:t>
      </w:r>
      <w:r w:rsidR="00FB5930">
        <w:rPr>
          <w:rFonts w:hint="eastAsia"/>
          <w:b/>
          <w:bCs/>
          <w:lang w:eastAsia="zh-CN"/>
        </w:rPr>
        <w:t>”</w:t>
      </w:r>
      <w:r w:rsidR="008F05A4">
        <w:rPr>
          <w:rFonts w:hint="eastAsia"/>
          <w:b/>
          <w:bCs/>
          <w:lang w:eastAsia="zh-CN"/>
        </w:rPr>
        <w:t>（</w:t>
      </w:r>
      <w:r>
        <w:rPr>
          <w:b/>
          <w:bCs/>
          <w:lang w:eastAsia="zh-CN"/>
        </w:rPr>
        <w:t>CVE</w:t>
      </w:r>
      <w:r w:rsidR="008F05A4">
        <w:rPr>
          <w:rFonts w:hint="eastAsia"/>
          <w:b/>
          <w:bCs/>
          <w:lang w:eastAsia="zh-CN"/>
        </w:rPr>
        <w:t>）</w:t>
      </w:r>
      <w:r>
        <w:rPr>
          <w:b/>
          <w:bCs/>
          <w:lang w:eastAsia="zh-CN"/>
        </w:rPr>
        <w:br/>
      </w:r>
      <w:r w:rsidRPr="009F48A0">
        <w:rPr>
          <w:b/>
          <w:bCs/>
          <w:szCs w:val="24"/>
          <w:lang w:val="en-US" w:eastAsia="zh-CN"/>
        </w:rPr>
        <w:t xml:space="preserve">COM 17 – R </w:t>
      </w:r>
      <w:r w:rsidRPr="0048406A">
        <w:rPr>
          <w:b/>
          <w:bCs/>
          <w:szCs w:val="24"/>
          <w:lang w:val="en-US" w:eastAsia="zh-CN"/>
        </w:rPr>
        <w:t>26</w:t>
      </w:r>
      <w:r w:rsidR="0043266B">
        <w:rPr>
          <w:rFonts w:hint="eastAsia"/>
          <w:b/>
          <w:bCs/>
          <w:szCs w:val="24"/>
          <w:lang w:val="en-US" w:eastAsia="zh-CN"/>
        </w:rPr>
        <w:t>号文件</w:t>
      </w:r>
    </w:p>
    <w:p w:rsidR="00966C7D" w:rsidRPr="00D046B7" w:rsidRDefault="008F05A4" w:rsidP="00A02449">
      <w:pPr>
        <w:pStyle w:val="Headingb"/>
        <w:rPr>
          <w:lang w:val="en-US" w:eastAsia="zh-CN"/>
        </w:rPr>
      </w:pPr>
      <w:r>
        <w:rPr>
          <w:rFonts w:hint="eastAsia"/>
          <w:lang w:val="en-US" w:eastAsia="zh-CN"/>
        </w:rPr>
        <w:t>摘要</w:t>
      </w:r>
    </w:p>
    <w:p w:rsidR="00966C7D" w:rsidRPr="00725E00" w:rsidRDefault="00761D01" w:rsidP="00A02449">
      <w:pPr>
        <w:ind w:firstLineChars="200" w:firstLine="480"/>
        <w:rPr>
          <w:lang w:val="en-US" w:eastAsia="zh-CN"/>
        </w:rPr>
      </w:pPr>
      <w:r>
        <w:rPr>
          <w:rFonts w:hint="eastAsia"/>
          <w:lang w:val="en-US" w:eastAsia="zh-CN"/>
        </w:rPr>
        <w:t>本建议书涉及一种交换</w:t>
      </w:r>
      <w:r w:rsidR="007F4FEB">
        <w:rPr>
          <w:rFonts w:hint="eastAsia"/>
          <w:lang w:val="en-US" w:eastAsia="zh-CN"/>
        </w:rPr>
        <w:t>通用</w:t>
      </w:r>
      <w:r>
        <w:rPr>
          <w:rFonts w:hint="eastAsia"/>
          <w:lang w:val="en-US" w:eastAsia="zh-CN"/>
        </w:rPr>
        <w:t>信息安全漏洞和暴露（</w:t>
      </w:r>
      <w:r>
        <w:rPr>
          <w:lang w:val="en-US" w:eastAsia="zh-CN"/>
        </w:rPr>
        <w:t>CVE</w:t>
      </w:r>
      <w:r>
        <w:rPr>
          <w:rFonts w:hint="eastAsia"/>
          <w:lang w:val="en-US" w:eastAsia="zh-CN"/>
        </w:rPr>
        <w:t>）的结构性方法，该方法旨在提供在通信网络、最终用户设备或任何其他可</w:t>
      </w:r>
      <w:r w:rsidR="007F4FEB" w:rsidRPr="007F4FEB">
        <w:rPr>
          <w:rFonts w:hint="eastAsia"/>
          <w:lang w:val="en-US" w:eastAsia="zh-CN"/>
        </w:rPr>
        <w:t>运行</w:t>
      </w:r>
      <w:r>
        <w:rPr>
          <w:rFonts w:hint="eastAsia"/>
          <w:lang w:val="en-US" w:eastAsia="zh-CN"/>
        </w:rPr>
        <w:t>软件的信息通信技术（</w:t>
      </w:r>
      <w:r>
        <w:rPr>
          <w:rFonts w:hint="eastAsia"/>
          <w:lang w:val="en-US" w:eastAsia="zh-CN"/>
        </w:rPr>
        <w:t>ICT</w:t>
      </w:r>
      <w:r>
        <w:rPr>
          <w:rFonts w:hint="eastAsia"/>
          <w:lang w:val="en-US" w:eastAsia="zh-CN"/>
        </w:rPr>
        <w:t>）中所使用的商业或开源软件中众所周知问题的通用名称。本建议书的目标是借助该通用命名，更加容易地在不同的漏洞能力（工具、存储库、服务）之间分享数据。</w:t>
      </w:r>
      <w:r w:rsidR="00036611">
        <w:rPr>
          <w:rFonts w:hint="eastAsia"/>
          <w:lang w:val="en-US" w:eastAsia="zh-CN"/>
        </w:rPr>
        <w:t>本建议书旨在允许漏洞数据库和其他能力可连结在一起并有助于安全工具和服务的比较。如此，本建议书并不包含风险、影响、调整信息或详细技术信息等信息。本建议书只包含标准标识符号码以及状态指示符、简要描述以及对相关漏洞报告和公告的参引。</w:t>
      </w:r>
    </w:p>
    <w:p w:rsidR="00966C7D" w:rsidRDefault="00036611" w:rsidP="00A02449">
      <w:pPr>
        <w:ind w:firstLineChars="200" w:firstLine="480"/>
        <w:rPr>
          <w:lang w:val="en-US" w:eastAsia="zh-CN"/>
        </w:rPr>
      </w:pPr>
      <w:r>
        <w:rPr>
          <w:rFonts w:hint="eastAsia"/>
          <w:lang w:val="en-US" w:eastAsia="zh-CN"/>
        </w:rPr>
        <w:t>本建议书的目的是在所有众所周知的漏洞和暴露方面</w:t>
      </w:r>
      <w:r w:rsidR="007F4FEB">
        <w:rPr>
          <w:rFonts w:hint="eastAsia"/>
          <w:lang w:val="en-US" w:eastAsia="zh-CN"/>
        </w:rPr>
        <w:t>做到详尽、全面。尽管此建议书有意包含成熟</w:t>
      </w:r>
      <w:r w:rsidR="0043266B">
        <w:rPr>
          <w:rFonts w:hint="eastAsia"/>
          <w:lang w:val="en-US" w:eastAsia="zh-CN"/>
        </w:rPr>
        <w:t>可靠</w:t>
      </w:r>
      <w:r w:rsidR="007F4FEB">
        <w:rPr>
          <w:rFonts w:hint="eastAsia"/>
          <w:lang w:val="en-US" w:eastAsia="zh-CN"/>
        </w:rPr>
        <w:t>的信息，</w:t>
      </w:r>
      <w:r w:rsidR="0043266B">
        <w:rPr>
          <w:rFonts w:hint="eastAsia"/>
          <w:lang w:val="en-US" w:eastAsia="zh-CN"/>
        </w:rPr>
        <w:t>但</w:t>
      </w:r>
      <w:r w:rsidR="007F4FEB">
        <w:rPr>
          <w:rFonts w:hint="eastAsia"/>
          <w:lang w:val="en-US" w:eastAsia="zh-CN"/>
        </w:rPr>
        <w:t>其主要重点还是确定由安全工具发现的漏洞和暴露以及为公众所知的任何新问题，并随后解决需要验证的任何陈旧安全问题。</w:t>
      </w:r>
    </w:p>
    <w:p w:rsidR="00966C7D" w:rsidRPr="00036D9B" w:rsidRDefault="00966C7D" w:rsidP="00A02449">
      <w:pPr>
        <w:spacing w:before="240"/>
        <w:rPr>
          <w:b/>
          <w:bCs/>
          <w:szCs w:val="24"/>
          <w:lang w:val="en-US" w:eastAsia="zh-CN"/>
        </w:rPr>
      </w:pPr>
      <w:r w:rsidRPr="00557349">
        <w:rPr>
          <w:b/>
          <w:bCs/>
          <w:lang w:eastAsia="zh-CN"/>
        </w:rPr>
        <w:t>ITU-T X.1521</w:t>
      </w:r>
      <w:r w:rsidR="007F4FEB">
        <w:rPr>
          <w:rFonts w:hint="eastAsia"/>
          <w:b/>
          <w:bCs/>
          <w:lang w:val="en-US" w:eastAsia="zh-CN"/>
        </w:rPr>
        <w:t>新建议书草案</w:t>
      </w:r>
      <w:r w:rsidRPr="00557349">
        <w:rPr>
          <w:b/>
          <w:bCs/>
          <w:lang w:eastAsia="zh-CN"/>
        </w:rPr>
        <w:t>(</w:t>
      </w:r>
      <w:proofErr w:type="spellStart"/>
      <w:r w:rsidRPr="00557349">
        <w:rPr>
          <w:b/>
          <w:bCs/>
          <w:lang w:eastAsia="zh-CN"/>
        </w:rPr>
        <w:t>X.cvss</w:t>
      </w:r>
      <w:proofErr w:type="spellEnd"/>
      <w:r w:rsidRPr="00557349">
        <w:rPr>
          <w:b/>
          <w:bCs/>
          <w:lang w:eastAsia="zh-CN"/>
        </w:rPr>
        <w:t>)</w:t>
      </w:r>
      <w:r w:rsidR="007F4FEB">
        <w:rPr>
          <w:rFonts w:hint="eastAsia"/>
          <w:b/>
          <w:bCs/>
          <w:lang w:eastAsia="zh-CN"/>
        </w:rPr>
        <w:t>“通用漏洞评估系统”（</w:t>
      </w:r>
      <w:r w:rsidRPr="00557349">
        <w:rPr>
          <w:b/>
          <w:bCs/>
          <w:lang w:eastAsia="zh-CN"/>
        </w:rPr>
        <w:t>CVSS</w:t>
      </w:r>
      <w:r w:rsidR="007F4FEB">
        <w:rPr>
          <w:rFonts w:hint="eastAsia"/>
          <w:b/>
          <w:bCs/>
          <w:lang w:eastAsia="zh-CN"/>
        </w:rPr>
        <w:t>）</w:t>
      </w:r>
      <w:r>
        <w:rPr>
          <w:b/>
          <w:bCs/>
          <w:lang w:eastAsia="zh-CN"/>
        </w:rPr>
        <w:br/>
      </w:r>
      <w:r w:rsidRPr="009F48A0">
        <w:rPr>
          <w:b/>
          <w:bCs/>
          <w:szCs w:val="24"/>
          <w:lang w:val="en-US" w:eastAsia="zh-CN"/>
        </w:rPr>
        <w:t xml:space="preserve">COM 17 – R </w:t>
      </w:r>
      <w:r w:rsidRPr="0048406A">
        <w:rPr>
          <w:b/>
          <w:bCs/>
          <w:szCs w:val="24"/>
          <w:lang w:val="en-US" w:eastAsia="zh-CN"/>
        </w:rPr>
        <w:t>27</w:t>
      </w:r>
      <w:r w:rsidR="0043266B">
        <w:rPr>
          <w:rFonts w:hint="eastAsia"/>
          <w:b/>
          <w:bCs/>
          <w:szCs w:val="24"/>
          <w:lang w:val="en-US" w:eastAsia="zh-CN"/>
        </w:rPr>
        <w:t>号文件</w:t>
      </w:r>
      <w:r w:rsidR="007F4FEB" w:rsidRPr="00A02449">
        <w:rPr>
          <w:rFonts w:ascii="STKaiti" w:eastAsia="STKaiti" w:hAnsi="STKaiti" w:hint="eastAsia"/>
          <w:szCs w:val="24"/>
          <w:lang w:val="en-US" w:eastAsia="zh-CN"/>
        </w:rPr>
        <w:t>（</w:t>
      </w:r>
      <w:r w:rsidR="007F4FEB" w:rsidRPr="007F4FEB">
        <w:rPr>
          <w:rFonts w:ascii="STKaiti" w:eastAsia="STKaiti" w:hAnsi="STKaiti" w:hint="eastAsia"/>
          <w:iCs/>
          <w:szCs w:val="24"/>
          <w:lang w:val="en-US" w:eastAsia="zh-CN"/>
        </w:rPr>
        <w:t>将很快在网上公布）</w:t>
      </w:r>
    </w:p>
    <w:p w:rsidR="00966C7D" w:rsidRPr="00C80684" w:rsidRDefault="007F4FEB" w:rsidP="00A02449">
      <w:pPr>
        <w:pStyle w:val="Headingb"/>
        <w:rPr>
          <w:lang w:val="en-US" w:eastAsia="ja-JP"/>
        </w:rPr>
      </w:pPr>
      <w:r>
        <w:rPr>
          <w:rFonts w:hint="eastAsia"/>
          <w:lang w:val="en-US" w:eastAsia="zh-CN"/>
        </w:rPr>
        <w:t>摘要</w:t>
      </w:r>
    </w:p>
    <w:p w:rsidR="00966C7D" w:rsidRDefault="007F4FEB" w:rsidP="00A02449">
      <w:pPr>
        <w:ind w:firstLineChars="200" w:firstLine="480"/>
        <w:rPr>
          <w:lang w:val="en-US" w:eastAsia="zh-CN"/>
        </w:rPr>
      </w:pPr>
      <w:r>
        <w:rPr>
          <w:rFonts w:hint="eastAsia"/>
          <w:lang w:val="en-US" w:eastAsia="zh-CN"/>
        </w:rPr>
        <w:t>本建议书提供了在通信网络、最终用户设备或任何其他可</w:t>
      </w:r>
      <w:r w:rsidRPr="007F4FEB">
        <w:rPr>
          <w:rFonts w:hint="eastAsia"/>
          <w:lang w:val="en-US" w:eastAsia="zh-CN"/>
        </w:rPr>
        <w:t>运行</w:t>
      </w:r>
      <w:r>
        <w:rPr>
          <w:rFonts w:hint="eastAsia"/>
          <w:lang w:val="en-US" w:eastAsia="zh-CN"/>
        </w:rPr>
        <w:t>软件的信息通信技术（</w:t>
      </w:r>
      <w:r>
        <w:rPr>
          <w:rFonts w:hint="eastAsia"/>
          <w:lang w:val="en-US" w:eastAsia="zh-CN"/>
        </w:rPr>
        <w:t>ICT</w:t>
      </w:r>
      <w:r>
        <w:rPr>
          <w:rFonts w:hint="eastAsia"/>
          <w:lang w:val="en-US" w:eastAsia="zh-CN"/>
        </w:rPr>
        <w:t>）中</w:t>
      </w:r>
      <w:r w:rsidR="00474236">
        <w:rPr>
          <w:rFonts w:hint="eastAsia"/>
          <w:lang w:val="en-US" w:eastAsia="zh-CN"/>
        </w:rPr>
        <w:t>交流</w:t>
      </w:r>
      <w:r>
        <w:rPr>
          <w:rFonts w:hint="eastAsia"/>
          <w:lang w:val="en-US" w:eastAsia="zh-CN"/>
        </w:rPr>
        <w:t>漏洞特性和影响的开放性框架</w:t>
      </w:r>
      <w:r w:rsidR="00474236">
        <w:rPr>
          <w:rFonts w:hint="eastAsia"/>
          <w:lang w:val="en-US" w:eastAsia="zh-CN"/>
        </w:rPr>
        <w:t>。本建议书涵盖了</w:t>
      </w:r>
      <w:r w:rsidR="00474236" w:rsidRPr="00474236">
        <w:rPr>
          <w:rFonts w:hint="eastAsia"/>
          <w:lang w:val="en-US" w:eastAsia="zh-CN"/>
        </w:rPr>
        <w:t>通用漏洞评估系统</w:t>
      </w:r>
      <w:r w:rsidR="003C3F37">
        <w:rPr>
          <w:rFonts w:hint="eastAsia"/>
          <w:lang w:val="en-US" w:eastAsia="zh-CN"/>
        </w:rPr>
        <w:t>（</w:t>
      </w:r>
      <w:r w:rsidR="00966C7D" w:rsidRPr="001B6AD7">
        <w:rPr>
          <w:lang w:val="en-US" w:eastAsia="zh-CN"/>
        </w:rPr>
        <w:t>CVSS</w:t>
      </w:r>
      <w:r w:rsidR="003C3F37">
        <w:rPr>
          <w:rFonts w:hint="eastAsia"/>
          <w:lang w:val="en-US" w:eastAsia="zh-CN"/>
        </w:rPr>
        <w:t>），</w:t>
      </w:r>
      <w:r w:rsidR="00A4031D">
        <w:rPr>
          <w:rFonts w:hint="eastAsia"/>
          <w:lang w:val="en-US" w:eastAsia="zh-CN"/>
        </w:rPr>
        <w:t>其目标是使</w:t>
      </w:r>
      <w:r w:rsidR="00A4031D">
        <w:rPr>
          <w:rFonts w:hint="eastAsia"/>
          <w:lang w:val="en-US" w:eastAsia="zh-CN"/>
        </w:rPr>
        <w:t>ICT</w:t>
      </w:r>
      <w:r w:rsidR="00A4031D">
        <w:rPr>
          <w:rFonts w:hint="eastAsia"/>
          <w:lang w:val="en-US" w:eastAsia="zh-CN"/>
        </w:rPr>
        <w:t>管理人员、漏洞公告人员、安全服务销售商、应用销售商和研究人员在评估</w:t>
      </w:r>
      <w:r w:rsidR="00A4031D">
        <w:rPr>
          <w:rFonts w:hint="eastAsia"/>
          <w:lang w:val="en-US" w:eastAsia="zh-CN"/>
        </w:rPr>
        <w:t>ICT</w:t>
      </w:r>
      <w:r w:rsidR="00A4031D">
        <w:rPr>
          <w:rFonts w:hint="eastAsia"/>
          <w:lang w:val="en-US" w:eastAsia="zh-CN"/>
        </w:rPr>
        <w:t>漏洞时采用统一的措辞。</w:t>
      </w:r>
    </w:p>
    <w:p w:rsidR="00A02449" w:rsidRDefault="00A02449">
      <w:pPr>
        <w:tabs>
          <w:tab w:val="clear" w:pos="794"/>
          <w:tab w:val="clear" w:pos="1191"/>
          <w:tab w:val="clear" w:pos="1588"/>
          <w:tab w:val="clear" w:pos="1985"/>
        </w:tabs>
        <w:overflowPunct/>
        <w:autoSpaceDE/>
        <w:autoSpaceDN/>
        <w:adjustRightInd/>
        <w:spacing w:before="0"/>
        <w:textAlignment w:val="auto"/>
        <w:rPr>
          <w:b/>
          <w:bCs/>
          <w:szCs w:val="24"/>
          <w:lang w:eastAsia="zh-CN"/>
        </w:rPr>
      </w:pPr>
      <w:r>
        <w:rPr>
          <w:b/>
          <w:bCs/>
          <w:szCs w:val="24"/>
          <w:lang w:eastAsia="zh-CN"/>
        </w:rPr>
        <w:br w:type="page"/>
      </w:r>
    </w:p>
    <w:p w:rsidR="00966C7D" w:rsidRPr="009F48A0" w:rsidRDefault="00966C7D" w:rsidP="00A02449">
      <w:pPr>
        <w:keepNext/>
        <w:spacing w:before="240"/>
        <w:rPr>
          <w:b/>
          <w:bCs/>
          <w:szCs w:val="24"/>
          <w:lang w:val="en-US" w:eastAsia="zh-CN"/>
        </w:rPr>
      </w:pPr>
      <w:r w:rsidRPr="007E262B">
        <w:rPr>
          <w:b/>
          <w:bCs/>
          <w:szCs w:val="24"/>
          <w:lang w:eastAsia="zh-CN"/>
        </w:rPr>
        <w:lastRenderedPageBreak/>
        <w:t>ITU-T X.1261 (</w:t>
      </w:r>
      <w:proofErr w:type="spellStart"/>
      <w:r w:rsidRPr="007E262B">
        <w:rPr>
          <w:b/>
          <w:bCs/>
          <w:szCs w:val="24"/>
          <w:lang w:eastAsia="zh-CN"/>
        </w:rPr>
        <w:t>X.EVcert</w:t>
      </w:r>
      <w:proofErr w:type="spellEnd"/>
      <w:r w:rsidRPr="007E262B">
        <w:rPr>
          <w:b/>
          <w:bCs/>
          <w:szCs w:val="24"/>
          <w:lang w:eastAsia="zh-CN"/>
        </w:rPr>
        <w:t>)</w:t>
      </w:r>
      <w:r w:rsidR="00A4031D" w:rsidRPr="00A4031D">
        <w:rPr>
          <w:rFonts w:hint="eastAsia"/>
          <w:b/>
          <w:bCs/>
          <w:lang w:val="en-US" w:eastAsia="zh-CN"/>
        </w:rPr>
        <w:t xml:space="preserve"> </w:t>
      </w:r>
      <w:r w:rsidR="00A4031D">
        <w:rPr>
          <w:rFonts w:hint="eastAsia"/>
          <w:b/>
          <w:bCs/>
          <w:lang w:val="en-US" w:eastAsia="zh-CN"/>
        </w:rPr>
        <w:t>新建议书草案“扩展验证证书框架”（</w:t>
      </w:r>
      <w:proofErr w:type="spellStart"/>
      <w:r>
        <w:rPr>
          <w:b/>
          <w:bCs/>
          <w:szCs w:val="24"/>
          <w:lang w:eastAsia="zh-CN"/>
        </w:rPr>
        <w:t>EVcert</w:t>
      </w:r>
      <w:proofErr w:type="spellEnd"/>
      <w:r w:rsidR="00A4031D">
        <w:rPr>
          <w:rFonts w:hint="eastAsia"/>
          <w:b/>
          <w:bCs/>
          <w:szCs w:val="24"/>
          <w:lang w:eastAsia="zh-CN"/>
        </w:rPr>
        <w:t>）</w:t>
      </w:r>
      <w:r w:rsidRPr="009F48A0">
        <w:rPr>
          <w:b/>
          <w:bCs/>
          <w:szCs w:val="24"/>
          <w:lang w:eastAsia="zh-CN"/>
        </w:rPr>
        <w:br/>
      </w:r>
      <w:r w:rsidRPr="009F48A0">
        <w:rPr>
          <w:b/>
          <w:bCs/>
          <w:szCs w:val="24"/>
          <w:lang w:val="en-US" w:eastAsia="zh-CN"/>
        </w:rPr>
        <w:t xml:space="preserve">COM 17 – R </w:t>
      </w:r>
      <w:r w:rsidRPr="0048406A">
        <w:rPr>
          <w:b/>
          <w:bCs/>
          <w:szCs w:val="24"/>
          <w:lang w:val="en-US" w:eastAsia="zh-CN"/>
        </w:rPr>
        <w:t>30</w:t>
      </w:r>
      <w:r w:rsidR="0043266B">
        <w:rPr>
          <w:rFonts w:hint="eastAsia"/>
          <w:b/>
          <w:bCs/>
          <w:szCs w:val="24"/>
          <w:lang w:val="en-US" w:eastAsia="zh-CN"/>
        </w:rPr>
        <w:t>号文件</w:t>
      </w:r>
    </w:p>
    <w:p w:rsidR="00966C7D" w:rsidRDefault="00A4031D" w:rsidP="00A02449">
      <w:pPr>
        <w:pStyle w:val="Headingb"/>
        <w:rPr>
          <w:lang w:eastAsia="zh-CN"/>
        </w:rPr>
      </w:pPr>
      <w:proofErr w:type="spellStart"/>
      <w:r w:rsidRPr="00A02449">
        <w:rPr>
          <w:rFonts w:hint="eastAsia"/>
        </w:rPr>
        <w:t>摘要</w:t>
      </w:r>
      <w:proofErr w:type="spellEnd"/>
    </w:p>
    <w:p w:rsidR="009011D7" w:rsidRDefault="00A4031D" w:rsidP="0043266B">
      <w:pPr>
        <w:ind w:firstLineChars="200" w:firstLine="480"/>
        <w:rPr>
          <w:lang w:eastAsia="zh-CN"/>
        </w:rPr>
      </w:pPr>
      <w:r>
        <w:rPr>
          <w:rFonts w:hint="eastAsia"/>
          <w:lang w:eastAsia="zh-CN"/>
        </w:rPr>
        <w:t>本建议书涵盖了扩展验证证书框架</w:t>
      </w:r>
      <w:r w:rsidR="00461A73">
        <w:rPr>
          <w:rFonts w:hint="eastAsia"/>
          <w:lang w:eastAsia="zh-CN"/>
        </w:rPr>
        <w:t>且是技术、协议、身份证明、周期管理和审核实践等描述必须满足的最低要求，以便发放和持有涉及一个组织扩展验证证书（</w:t>
      </w:r>
      <w:r w:rsidR="00966C7D">
        <w:rPr>
          <w:lang w:eastAsia="zh-CN"/>
        </w:rPr>
        <w:t>EV Certificate</w:t>
      </w:r>
      <w:r w:rsidR="00461A73">
        <w:rPr>
          <w:rFonts w:hint="eastAsia"/>
          <w:lang w:eastAsia="zh-CN"/>
        </w:rPr>
        <w:t>）的整体组合。随后，有效“扩展验证证书”的管理信息可通过某些可信赖方软件应用（如浏览器软件等）以特别的方式显示，以便向用户提供控制网站</w:t>
      </w:r>
      <w:r w:rsidR="009011D7">
        <w:rPr>
          <w:rFonts w:hint="eastAsia"/>
          <w:lang w:eastAsia="zh-CN"/>
        </w:rPr>
        <w:t>的</w:t>
      </w:r>
      <w:r w:rsidR="00461A73">
        <w:rPr>
          <w:rFonts w:hint="eastAsia"/>
          <w:lang w:eastAsia="zh-CN"/>
        </w:rPr>
        <w:t>实体身份</w:t>
      </w:r>
      <w:r w:rsidR="009011D7">
        <w:rPr>
          <w:rFonts w:hint="eastAsia"/>
          <w:lang w:eastAsia="zh-CN"/>
        </w:rPr>
        <w:t>或其正在获取的其他服务</w:t>
      </w:r>
      <w:r w:rsidR="00461A73">
        <w:rPr>
          <w:rFonts w:hint="eastAsia"/>
          <w:lang w:eastAsia="zh-CN"/>
        </w:rPr>
        <w:t>的可靠确认。</w:t>
      </w:r>
      <w:r w:rsidR="009011D7">
        <w:rPr>
          <w:rFonts w:hint="eastAsia"/>
          <w:lang w:eastAsia="zh-CN"/>
        </w:rPr>
        <w:t>尽管起初是计划用于通过传输层保密或</w:t>
      </w:r>
      <w:r w:rsidR="009011D7">
        <w:rPr>
          <w:rFonts w:ascii="Arial" w:hAnsi="Arial" w:cs="Arial"/>
          <w:color w:val="000000"/>
          <w:lang w:eastAsia="zh-CN"/>
        </w:rPr>
        <w:t>安全套接</w:t>
      </w:r>
      <w:r w:rsidR="009011D7">
        <w:rPr>
          <w:rFonts w:ascii="SimSun" w:hAnsi="SimSun" w:cs="SimSun" w:hint="eastAsia"/>
          <w:color w:val="000000"/>
          <w:lang w:eastAsia="zh-CN"/>
        </w:rPr>
        <w:t>层保密（</w:t>
      </w:r>
      <w:r w:rsidR="009011D7">
        <w:rPr>
          <w:lang w:eastAsia="zh-CN"/>
        </w:rPr>
        <w:t>TLS/SSL</w:t>
      </w:r>
      <w:r w:rsidR="009011D7">
        <w:rPr>
          <w:rFonts w:ascii="SimSun" w:hAnsi="SimSun" w:cs="SimSun" w:hint="eastAsia"/>
          <w:color w:val="000000"/>
          <w:lang w:eastAsia="zh-CN"/>
        </w:rPr>
        <w:t>）协议来建立网页数据交流渠道，</w:t>
      </w:r>
      <w:r w:rsidR="0043266B">
        <w:rPr>
          <w:rFonts w:ascii="SimSun" w:hAnsi="SimSun" w:cs="SimSun" w:hint="eastAsia"/>
          <w:color w:val="000000"/>
          <w:lang w:eastAsia="zh-CN"/>
        </w:rPr>
        <w:t>但</w:t>
      </w:r>
      <w:r w:rsidR="009011D7">
        <w:rPr>
          <w:rFonts w:ascii="SimSun" w:hAnsi="SimSun" w:cs="SimSun" w:hint="eastAsia"/>
          <w:color w:val="000000"/>
          <w:lang w:eastAsia="zh-CN"/>
        </w:rPr>
        <w:t>扩展被设想用于</w:t>
      </w:r>
      <w:r w:rsidR="009011D7">
        <w:rPr>
          <w:rFonts w:ascii="Arial" w:hAnsi="Arial" w:cs="Arial"/>
          <w:color w:val="000000"/>
          <w:lang w:eastAsia="zh-CN"/>
        </w:rPr>
        <w:t>安全多功能</w:t>
      </w:r>
      <w:r w:rsidR="009011D7" w:rsidRPr="00A02449">
        <w:rPr>
          <w:rStyle w:val="Emphasis"/>
          <w:rFonts w:ascii="Arial" w:hAnsi="Arial" w:cs="Arial"/>
          <w:color w:val="auto"/>
          <w:lang w:eastAsia="zh-CN"/>
        </w:rPr>
        <w:t>互联网</w:t>
      </w:r>
      <w:r w:rsidR="009011D7">
        <w:rPr>
          <w:rFonts w:ascii="Arial" w:hAnsi="Arial" w:cs="Arial"/>
          <w:color w:val="000000"/>
          <w:lang w:eastAsia="zh-CN"/>
        </w:rPr>
        <w:t>邮件扩</w:t>
      </w:r>
      <w:r w:rsidR="009011D7">
        <w:rPr>
          <w:rFonts w:ascii="SimSun" w:hAnsi="SimSun" w:cs="SimSun" w:hint="eastAsia"/>
          <w:color w:val="000000"/>
          <w:lang w:eastAsia="zh-CN"/>
        </w:rPr>
        <w:t>展（</w:t>
      </w:r>
      <w:r w:rsidR="009011D7">
        <w:rPr>
          <w:lang w:eastAsia="zh-CN"/>
        </w:rPr>
        <w:t>S/MIME</w:t>
      </w:r>
      <w:r w:rsidR="009011D7">
        <w:rPr>
          <w:rFonts w:ascii="SimSun" w:hAnsi="SimSun" w:cs="SimSun" w:hint="eastAsia"/>
          <w:color w:val="000000"/>
          <w:lang w:eastAsia="zh-CN"/>
        </w:rPr>
        <w:t>）、时戳、网络电话、即时通信、网络服务等。</w:t>
      </w:r>
    </w:p>
    <w:p w:rsidR="00966C7D" w:rsidRDefault="009011D7" w:rsidP="00FE63E5">
      <w:pPr>
        <w:ind w:firstLineChars="200" w:firstLine="480"/>
        <w:rPr>
          <w:b/>
          <w:bCs/>
          <w:lang w:eastAsia="zh-CN"/>
        </w:rPr>
      </w:pPr>
      <w:r>
        <w:rPr>
          <w:rFonts w:hint="eastAsia"/>
          <w:lang w:eastAsia="zh-CN"/>
        </w:rPr>
        <w:t>本建议书的主要目标有：</w:t>
      </w:r>
      <w:r w:rsidR="00966C7D">
        <w:rPr>
          <w:lang w:eastAsia="zh-CN"/>
        </w:rPr>
        <w:t>1)</w:t>
      </w:r>
      <w:r w:rsidR="00FE63E5">
        <w:rPr>
          <w:rFonts w:hint="eastAsia"/>
          <w:lang w:eastAsia="zh-CN"/>
        </w:rPr>
        <w:t xml:space="preserve"> </w:t>
      </w:r>
      <w:r>
        <w:rPr>
          <w:rFonts w:hint="eastAsia"/>
          <w:lang w:eastAsia="zh-CN"/>
        </w:rPr>
        <w:t>确定控制网站或服务</w:t>
      </w:r>
      <w:r w:rsidR="0043266B">
        <w:rPr>
          <w:rFonts w:hint="eastAsia"/>
          <w:lang w:eastAsia="zh-CN"/>
        </w:rPr>
        <w:t>站点</w:t>
      </w:r>
      <w:r>
        <w:rPr>
          <w:rFonts w:hint="eastAsia"/>
          <w:lang w:eastAsia="zh-CN"/>
        </w:rPr>
        <w:t>的法律实体，以及</w:t>
      </w:r>
      <w:r w:rsidR="00966C7D">
        <w:rPr>
          <w:lang w:eastAsia="zh-CN"/>
        </w:rPr>
        <w:t>2)</w:t>
      </w:r>
      <w:r w:rsidR="00FE63E5">
        <w:rPr>
          <w:rFonts w:hint="eastAsia"/>
          <w:lang w:eastAsia="zh-CN"/>
        </w:rPr>
        <w:t xml:space="preserve"> </w:t>
      </w:r>
      <w:r w:rsidR="00A90010">
        <w:rPr>
          <w:rFonts w:hint="eastAsia"/>
          <w:lang w:eastAsia="zh-CN"/>
        </w:rPr>
        <w:t>实现与该站点的加密通信。第二个目标包含通过帮助确立宣称运营</w:t>
      </w:r>
      <w:r w:rsidR="0043266B">
        <w:rPr>
          <w:rFonts w:hint="eastAsia"/>
          <w:lang w:eastAsia="zh-CN"/>
        </w:rPr>
        <w:t>某</w:t>
      </w:r>
      <w:r w:rsidR="00A90010">
        <w:rPr>
          <w:rFonts w:hint="eastAsia"/>
          <w:lang w:eastAsia="zh-CN"/>
        </w:rPr>
        <w:t>个网站的</w:t>
      </w:r>
      <w:r w:rsidR="0043266B">
        <w:rPr>
          <w:rFonts w:hint="eastAsia"/>
          <w:lang w:eastAsia="zh-CN"/>
        </w:rPr>
        <w:t>一个</w:t>
      </w:r>
      <w:r w:rsidR="00A90010">
        <w:rPr>
          <w:rFonts w:hint="eastAsia"/>
          <w:lang w:eastAsia="zh-CN"/>
        </w:rPr>
        <w:t>组织的合法性并提供可用来协助解决与传播恶意软件、身份盗窃和各种在线诈骗等有关问题的载体，来显著改善网络安全。</w:t>
      </w:r>
    </w:p>
    <w:p w:rsidR="00966C7D" w:rsidRPr="005500A5" w:rsidRDefault="00966C7D" w:rsidP="00966C7D">
      <w:pPr>
        <w:spacing w:before="240"/>
        <w:jc w:val="center"/>
      </w:pPr>
      <w:r w:rsidRPr="005500A5">
        <w:t>____________</w:t>
      </w:r>
    </w:p>
    <w:p w:rsidR="0063445E" w:rsidRDefault="0063445E"/>
    <w:sectPr w:rsidR="0063445E" w:rsidSect="00395948">
      <w:headerReference w:type="default" r:id="rId8"/>
      <w:footerReference w:type="default" r:id="rId9"/>
      <w:footerReference w:type="first" r:id="rId10"/>
      <w:pgSz w:w="11907" w:h="16840" w:code="9"/>
      <w:pgMar w:top="1418" w:right="1134" w:bottom="1418" w:left="1134" w:header="720" w:footer="720" w:gutter="0"/>
      <w:paperSrc w:first="15" w:other="15"/>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FC3" w:rsidRDefault="00C82FC3">
      <w:r>
        <w:separator/>
      </w:r>
    </w:p>
  </w:endnote>
  <w:endnote w:type="continuationSeparator" w:id="0">
    <w:p w:rsidR="00C82FC3" w:rsidRDefault="00C82F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STKaiti">
    <w:altName w:val="SimSun"/>
    <w:charset w:val="86"/>
    <w:family w:val="auto"/>
    <w:pitch w:val="variable"/>
    <w:sig w:usb0="00000000"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FC3" w:rsidRPr="00D315AC" w:rsidRDefault="00D315AC" w:rsidP="00D315AC">
    <w:pPr>
      <w:pStyle w:val="Footer"/>
      <w:rPr>
        <w:sz w:val="16"/>
        <w:lang w:val="fr-CH"/>
      </w:rPr>
    </w:pPr>
    <w:r>
      <w:rPr>
        <w:sz w:val="16"/>
        <w:lang w:val="fr-CH"/>
      </w:rPr>
      <w:t>ITU-T\BUREAU\CIRC\158C.DOC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FC3" w:rsidRDefault="00C82FC3">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C82FC3" w:rsidRDefault="00C82FC3">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C82FC3" w:rsidRDefault="00C82FC3">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FC3" w:rsidRDefault="00C82FC3">
      <w:r>
        <w:separator/>
      </w:r>
    </w:p>
  </w:footnote>
  <w:footnote w:type="continuationSeparator" w:id="0">
    <w:p w:rsidR="00C82FC3" w:rsidRDefault="00C82F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FC3" w:rsidRPr="00395948" w:rsidRDefault="00C82FC3">
    <w:pPr>
      <w:pStyle w:val="Header"/>
      <w:rPr>
        <w:sz w:val="18"/>
        <w:szCs w:val="18"/>
      </w:rPr>
    </w:pPr>
    <w:r w:rsidRPr="00395948">
      <w:rPr>
        <w:sz w:val="18"/>
        <w:szCs w:val="18"/>
      </w:rPr>
      <w:t xml:space="preserve">- </w:t>
    </w:r>
    <w:r w:rsidR="002D55D1" w:rsidRPr="00395948">
      <w:rPr>
        <w:sz w:val="18"/>
        <w:szCs w:val="18"/>
      </w:rPr>
      <w:fldChar w:fldCharType="begin"/>
    </w:r>
    <w:r w:rsidRPr="00395948">
      <w:rPr>
        <w:sz w:val="18"/>
        <w:szCs w:val="18"/>
      </w:rPr>
      <w:instrText>PAGE</w:instrText>
    </w:r>
    <w:r w:rsidR="002D55D1" w:rsidRPr="00395948">
      <w:rPr>
        <w:sz w:val="18"/>
        <w:szCs w:val="18"/>
      </w:rPr>
      <w:fldChar w:fldCharType="separate"/>
    </w:r>
    <w:r w:rsidR="00971B1A">
      <w:rPr>
        <w:noProof/>
        <w:sz w:val="18"/>
        <w:szCs w:val="18"/>
      </w:rPr>
      <w:t>4</w:t>
    </w:r>
    <w:r w:rsidR="002D55D1" w:rsidRPr="00395948">
      <w:rPr>
        <w:sz w:val="18"/>
        <w:szCs w:val="18"/>
      </w:rPr>
      <w:fldChar w:fldCharType="end"/>
    </w:r>
    <w:r w:rsidRPr="00395948">
      <w:rPr>
        <w:sz w:val="18"/>
        <w:szCs w:val="18"/>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801"/>
  <w:defaultTabStop w:val="720"/>
  <w:characterSpacingControl w:val="doNotCompress"/>
  <w:hdrShapeDefaults>
    <o:shapedefaults v:ext="edit" spidmax="7169"/>
  </w:hdrShapeDefaults>
  <w:footnotePr>
    <w:footnote w:id="-1"/>
    <w:footnote w:id="0"/>
  </w:footnotePr>
  <w:endnotePr>
    <w:endnote w:id="-1"/>
    <w:endnote w:id="0"/>
  </w:endnotePr>
  <w:compat>
    <w:useFELayout/>
  </w:compat>
  <w:rsids>
    <w:rsidRoot w:val="0063445E"/>
    <w:rsid w:val="00036611"/>
    <w:rsid w:val="00041669"/>
    <w:rsid w:val="000568CD"/>
    <w:rsid w:val="00081BA5"/>
    <w:rsid w:val="00090E72"/>
    <w:rsid w:val="00117471"/>
    <w:rsid w:val="00160A43"/>
    <w:rsid w:val="001A5B8A"/>
    <w:rsid w:val="00225BFB"/>
    <w:rsid w:val="00234A9B"/>
    <w:rsid w:val="00282732"/>
    <w:rsid w:val="00284869"/>
    <w:rsid w:val="002D55D1"/>
    <w:rsid w:val="002E05E3"/>
    <w:rsid w:val="00303A2A"/>
    <w:rsid w:val="00334A24"/>
    <w:rsid w:val="0035674D"/>
    <w:rsid w:val="00395948"/>
    <w:rsid w:val="003B290E"/>
    <w:rsid w:val="003C3F37"/>
    <w:rsid w:val="003F1CCA"/>
    <w:rsid w:val="0043266B"/>
    <w:rsid w:val="00461A73"/>
    <w:rsid w:val="00464015"/>
    <w:rsid w:val="00474236"/>
    <w:rsid w:val="005C26FD"/>
    <w:rsid w:val="00627AE8"/>
    <w:rsid w:val="0063445E"/>
    <w:rsid w:val="006D22B1"/>
    <w:rsid w:val="006D42C6"/>
    <w:rsid w:val="007568DA"/>
    <w:rsid w:val="00761D01"/>
    <w:rsid w:val="007F4FEB"/>
    <w:rsid w:val="00841612"/>
    <w:rsid w:val="008B2BDA"/>
    <w:rsid w:val="008F05A4"/>
    <w:rsid w:val="009011D7"/>
    <w:rsid w:val="009128F1"/>
    <w:rsid w:val="00956D38"/>
    <w:rsid w:val="00966C7D"/>
    <w:rsid w:val="00971B1A"/>
    <w:rsid w:val="009C2FF6"/>
    <w:rsid w:val="00A02449"/>
    <w:rsid w:val="00A1090D"/>
    <w:rsid w:val="00A16AB0"/>
    <w:rsid w:val="00A4031D"/>
    <w:rsid w:val="00A90010"/>
    <w:rsid w:val="00B56B75"/>
    <w:rsid w:val="00BB5392"/>
    <w:rsid w:val="00BC7AEE"/>
    <w:rsid w:val="00BE339D"/>
    <w:rsid w:val="00C03E87"/>
    <w:rsid w:val="00C6016A"/>
    <w:rsid w:val="00C7008A"/>
    <w:rsid w:val="00C82FC3"/>
    <w:rsid w:val="00C916ED"/>
    <w:rsid w:val="00D315AC"/>
    <w:rsid w:val="00D34F86"/>
    <w:rsid w:val="00DD14CB"/>
    <w:rsid w:val="00E278E1"/>
    <w:rsid w:val="00E35907"/>
    <w:rsid w:val="00E47AFF"/>
    <w:rsid w:val="00E754AA"/>
    <w:rsid w:val="00F346AB"/>
    <w:rsid w:val="00F9383A"/>
    <w:rsid w:val="00FB5930"/>
    <w:rsid w:val="00FE63E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449"/>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Ref">
    <w:name w:val="Appendix_Ref"/>
    <w:basedOn w:val="Normal"/>
    <w:next w:val="Normal"/>
    <w:rsid w:val="00966C7D"/>
    <w:pPr>
      <w:keepNext/>
      <w:keepLines/>
      <w:jc w:val="center"/>
    </w:pPr>
    <w:rPr>
      <w:rFonts w:eastAsia="Times New Roman"/>
    </w:rPr>
  </w:style>
  <w:style w:type="paragraph" w:customStyle="1" w:styleId="Headingb">
    <w:name w:val="Heading_b"/>
    <w:basedOn w:val="Normal"/>
    <w:next w:val="Normal"/>
    <w:rsid w:val="00966C7D"/>
    <w:pPr>
      <w:keepNext/>
      <w:spacing w:before="160"/>
    </w:pPr>
    <w:rPr>
      <w:rFonts w:eastAsia="MS Mincho"/>
      <w:b/>
    </w:rPr>
  </w:style>
  <w:style w:type="character" w:styleId="Emphasis">
    <w:name w:val="Emphasis"/>
    <w:basedOn w:val="DefaultParagraphFont"/>
    <w:uiPriority w:val="20"/>
    <w:qFormat/>
    <w:rsid w:val="009011D7"/>
    <w:rPr>
      <w:b w:val="0"/>
      <w:bCs w:val="0"/>
      <w:i w:val="0"/>
      <w:iCs w:val="0"/>
      <w:color w:val="CC0033"/>
    </w:rPr>
  </w:style>
  <w:style w:type="character" w:styleId="FollowedHyperlink">
    <w:name w:val="FollowedHyperlink"/>
    <w:basedOn w:val="DefaultParagraphFont"/>
    <w:rsid w:val="00D315AC"/>
    <w:rPr>
      <w:color w:val="800080" w:themeColor="followedHyperlink"/>
      <w:u w:val="single"/>
    </w:rPr>
  </w:style>
  <w:style w:type="character" w:customStyle="1" w:styleId="FooterChar">
    <w:name w:val="Footer Char"/>
    <w:basedOn w:val="DefaultParagraphFont"/>
    <w:link w:val="Footer"/>
    <w:rsid w:val="00D315AC"/>
    <w:rPr>
      <w:caps/>
      <w:sz w:val="18"/>
      <w:lang w:val="en-GB" w:eastAsia="en-US"/>
    </w:rPr>
  </w:style>
</w:styles>
</file>

<file path=word/webSettings.xml><?xml version="1.0" encoding="utf-8"?>
<w:webSettings xmlns:r="http://schemas.openxmlformats.org/officeDocument/2006/relationships" xmlns:w="http://schemas.openxmlformats.org/wordprocessingml/2006/main">
  <w:divs>
    <w:div w:id="65072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sbsg17@itu.in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2040</Words>
  <Characters>519</Characters>
  <Application>Microsoft Office Word</Application>
  <DocSecurity>0</DocSecurity>
  <Lines>4</Lines>
  <Paragraphs>5</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2554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subject/>
  <dc:creator>chi</dc:creator>
  <cp:keywords/>
  <dc:description/>
  <cp:lastModifiedBy>bettini</cp:lastModifiedBy>
  <cp:revision>2</cp:revision>
  <cp:lastPrinted>2011-01-11T15:41:00Z</cp:lastPrinted>
  <dcterms:created xsi:type="dcterms:W3CDTF">2011-01-18T09:38:00Z</dcterms:created>
  <dcterms:modified xsi:type="dcterms:W3CDTF">2011-01-18T09:38:00Z</dcterms:modified>
</cp:coreProperties>
</file>