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365821">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49754E">
        <w:t>28 April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49754E" w:rsidP="00571330">
            <w:pPr>
              <w:tabs>
                <w:tab w:val="left" w:pos="4111"/>
              </w:tabs>
              <w:spacing w:before="0"/>
              <w:ind w:left="57"/>
              <w:rPr>
                <w:b/>
              </w:rPr>
            </w:pPr>
            <w:r>
              <w:rPr>
                <w:b/>
              </w:rPr>
              <w:t>TSB Collective letter 4/SG3RG-LAC</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49754E">
            <w:pPr>
              <w:tabs>
                <w:tab w:val="left" w:pos="4111"/>
              </w:tabs>
              <w:spacing w:before="0"/>
              <w:ind w:left="57"/>
            </w:pPr>
            <w:r>
              <w:t>+41 22 730</w:t>
            </w:r>
            <w:r w:rsidR="0049754E">
              <w:t xml:space="preserve"> 5887</w:t>
            </w:r>
            <w:r>
              <w:br/>
              <w:t>+41 22 730 5853</w:t>
            </w:r>
            <w:r>
              <w:br/>
            </w:r>
            <w:hyperlink r:id="rId8" w:history="1">
              <w:r w:rsidR="0049754E" w:rsidRPr="003B43E0">
                <w:rPr>
                  <w:rStyle w:val="Hyperlink"/>
                </w:rPr>
                <w:t>tsbsg3@itu.int</w:t>
              </w:r>
            </w:hyperlink>
          </w:p>
          <w:p w:rsidR="00825FC5" w:rsidRDefault="00825FC5" w:rsidP="00571330">
            <w:pPr>
              <w:tabs>
                <w:tab w:val="left" w:pos="4111"/>
              </w:tabs>
              <w:spacing w:before="0"/>
              <w:ind w:left="57"/>
            </w:pPr>
          </w:p>
        </w:tc>
        <w:tc>
          <w:tcPr>
            <w:tcW w:w="4536" w:type="dxa"/>
          </w:tcPr>
          <w:p w:rsidR="00E643A2" w:rsidRDefault="00E643A2" w:rsidP="0049754E">
            <w:pPr>
              <w:tabs>
                <w:tab w:val="clear" w:pos="794"/>
                <w:tab w:val="left" w:pos="284"/>
                <w:tab w:val="left" w:pos="4111"/>
              </w:tabs>
              <w:spacing w:before="0"/>
              <w:ind w:left="284" w:hanging="8"/>
            </w:pPr>
            <w:r>
              <w:t xml:space="preserve">To </w:t>
            </w:r>
            <w:r w:rsidR="0049754E">
              <w:t>the members of the Study Group 3 Regional Group for Latin America and the Caribbean (SG3RG-LAC)</w:t>
            </w:r>
          </w:p>
        </w:tc>
      </w:tr>
    </w:tbl>
    <w:p w:rsidR="00E643A2" w:rsidRDefault="00E643A2" w:rsidP="00E643A2"/>
    <w:tbl>
      <w:tblPr>
        <w:tblW w:w="9773" w:type="dxa"/>
        <w:tblInd w:w="8" w:type="dxa"/>
        <w:tblLayout w:type="fixed"/>
        <w:tblCellMar>
          <w:left w:w="0" w:type="dxa"/>
          <w:right w:w="0" w:type="dxa"/>
        </w:tblCellMar>
        <w:tblLook w:val="0000"/>
      </w:tblPr>
      <w:tblGrid>
        <w:gridCol w:w="822"/>
        <w:gridCol w:w="8951"/>
      </w:tblGrid>
      <w:tr w:rsidR="00E643A2" w:rsidTr="0040295F">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8951" w:type="dxa"/>
          </w:tcPr>
          <w:p w:rsidR="00E643A2" w:rsidRPr="009E0E56" w:rsidRDefault="0040295F" w:rsidP="0040295F">
            <w:pPr>
              <w:tabs>
                <w:tab w:val="left" w:pos="4111"/>
              </w:tabs>
              <w:spacing w:before="0"/>
              <w:ind w:left="57"/>
              <w:rPr>
                <w:b/>
                <w:bCs/>
              </w:rPr>
            </w:pPr>
            <w:r>
              <w:rPr>
                <w:b/>
                <w:bCs/>
              </w:rPr>
              <w:t>Meeting of the Study Group 3 Regional Group for Latin America and the Caribbean (SG3RG-LAC) and the associated BDT Seminar, Santo Domingo, Dominican Republic, 6-9 July 2010</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047F47">
      <w:r>
        <w:rPr>
          <w:bCs/>
        </w:rPr>
        <w:t>1</w:t>
      </w:r>
      <w:r>
        <w:tab/>
      </w:r>
      <w:r w:rsidR="00BD5897">
        <w:t xml:space="preserve">I am pleased to inform you that the Study Group 3 Regional Group for Latin America and the Caribbean (SG3RG-LAC) is to meet in Santo Domingo, Dominican Republic, </w:t>
      </w:r>
      <w:r w:rsidR="00047F47">
        <w:t>on 8 and</w:t>
      </w:r>
      <w:r w:rsidR="00BD5897">
        <w:t xml:space="preserve"> 9 July 2010, at the kind invitation of </w:t>
      </w:r>
      <w:proofErr w:type="spellStart"/>
      <w:r w:rsidR="00BD5897">
        <w:t>Indotel</w:t>
      </w:r>
      <w:proofErr w:type="spellEnd"/>
      <w:r w:rsidR="00BD5897">
        <w:t>, preceded by a two-day seminar, focusing on economic and financial aspects of telecommunications.  The venue of the meeting has not been established yet.  This information will be sent out in due course in an addendum to the present TSB Collective letter.</w:t>
      </w:r>
    </w:p>
    <w:p w:rsidR="00E643A2" w:rsidRDefault="003E64D1" w:rsidP="000D2829">
      <w:pPr>
        <w:ind w:right="-194"/>
      </w:pPr>
      <w:r>
        <w:t>2</w:t>
      </w:r>
      <w:r>
        <w:tab/>
      </w:r>
      <w:r w:rsidR="00BD5897">
        <w:t xml:space="preserve">The Seminar, organized </w:t>
      </w:r>
      <w:r w:rsidR="000D2829">
        <w:t>by</w:t>
      </w:r>
      <w:r w:rsidR="00BD5897">
        <w:t xml:space="preserve"> the Telecommunication Development Bureau (BDT), will start at 0930 hours on Tuesday, 6 July 2010.  The meeting of the SG3RG-LAC will start at 0</w:t>
      </w:r>
      <w:r w:rsidR="00C04C9B">
        <w:t>930 </w:t>
      </w:r>
      <w:r w:rsidR="00DC5F2D">
        <w:t xml:space="preserve">hours on Thursday, 8 July and will be restricted to delegates and representatives of administrations and operating agencies of the region, in conformity with §2.3.2 of Section 2 of Resolution 1 of the </w:t>
      </w:r>
      <w:r w:rsidR="00047F47">
        <w:br/>
      </w:r>
      <w:r w:rsidR="00DC5F2D">
        <w:t>WTSA-08.  The registration of delegates will take place in the morning of 6 July at the meeting venue as from 0830 hours.</w:t>
      </w:r>
    </w:p>
    <w:p w:rsidR="001B4832" w:rsidRDefault="003E64D1" w:rsidP="00EF096E">
      <w:pPr>
        <w:rPr>
          <w:bCs/>
        </w:rPr>
      </w:pPr>
      <w:r>
        <w:rPr>
          <w:bCs/>
        </w:rPr>
        <w:t>3</w:t>
      </w:r>
      <w:r w:rsidR="001B4832">
        <w:rPr>
          <w:bCs/>
        </w:rPr>
        <w:tab/>
      </w:r>
      <w:r w:rsidR="00EF096E">
        <w:rPr>
          <w:bCs/>
        </w:rPr>
        <w:t>In agreement with the Chairman of the SG3RG-LAC, the seminar and the meeting will be conducted with interpretation English/Spanish.</w:t>
      </w:r>
    </w:p>
    <w:p w:rsidR="00E643A2" w:rsidRDefault="003E64D1" w:rsidP="00EF096E">
      <w:r>
        <w:rPr>
          <w:bCs/>
        </w:rPr>
        <w:t>4</w:t>
      </w:r>
      <w:r w:rsidR="00E643A2">
        <w:tab/>
        <w:t>The draft agenda</w:t>
      </w:r>
      <w:r w:rsidR="00EF096E">
        <w:t xml:space="preserve"> of the SG3RG-LAC meeting</w:t>
      </w:r>
      <w:r w:rsidR="00E643A2">
        <w:t xml:space="preserve">, as prepared by </w:t>
      </w:r>
      <w:r w:rsidR="00EF096E">
        <w:t>the Chairman of this group</w:t>
      </w:r>
      <w:r w:rsidR="00E643A2">
        <w:t xml:space="preserve">, is set out in </w:t>
      </w:r>
      <w:r w:rsidR="00E643A2">
        <w:rPr>
          <w:b/>
        </w:rPr>
        <w:t>Annex 1</w:t>
      </w:r>
      <w:r w:rsidR="00E643A2">
        <w:t xml:space="preserve"> hereto.</w:t>
      </w:r>
      <w:r w:rsidR="00EF096E">
        <w:t xml:space="preserve">  I would like to draw your attention to the fact that you might usefully prepare for the meeting by referring to the summary record of the previous SG3RG-LAC meeting (</w:t>
      </w:r>
      <w:hyperlink r:id="rId9" w:history="1">
        <w:r w:rsidR="00EF096E" w:rsidRPr="005F239C">
          <w:rPr>
            <w:rStyle w:val="Hyperlink"/>
          </w:rPr>
          <w:t>SG3RG-LAC – R 1</w:t>
        </w:r>
      </w:hyperlink>
      <w:r w:rsidR="00EF096E">
        <w:t>).</w:t>
      </w:r>
    </w:p>
    <w:p w:rsidR="00E643A2" w:rsidRDefault="003E64D1" w:rsidP="003E64D1">
      <w:r>
        <w:t>5</w:t>
      </w:r>
      <w:r w:rsidR="00E643A2">
        <w:tab/>
      </w:r>
      <w:r>
        <w:t>You will shortly be receiving a letter of invitation from BDT for the Regional Seminar to be held just before the SG3RG-LAC meeting</w:t>
      </w:r>
      <w:r w:rsidR="00E643A2">
        <w:t>.</w:t>
      </w:r>
    </w:p>
    <w:p w:rsidR="00E643A2" w:rsidRDefault="003E64D1" w:rsidP="00047F47">
      <w:r>
        <w:rPr>
          <w:bCs/>
        </w:rPr>
        <w:t>6</w:t>
      </w:r>
      <w:r w:rsidR="00E643A2">
        <w:tab/>
      </w:r>
      <w:r>
        <w:t xml:space="preserve">An </w:t>
      </w:r>
      <w:r w:rsidR="00047F47">
        <w:t>a</w:t>
      </w:r>
      <w:r>
        <w:t>ddendum to this letter containing practical information regarding the</w:t>
      </w:r>
      <w:r w:rsidR="000D2829">
        <w:t xml:space="preserve">se events </w:t>
      </w:r>
      <w:r>
        <w:t xml:space="preserve"> will be sent as soon as possible.</w:t>
      </w:r>
    </w:p>
    <w:p w:rsidR="003E64D1" w:rsidRDefault="003E64D1" w:rsidP="003E64D1">
      <w:r>
        <w:rPr>
          <w:bCs/>
        </w:rPr>
        <w:t>7</w:t>
      </w:r>
      <w:r w:rsidR="00E643A2">
        <w:tab/>
      </w:r>
      <w:r>
        <w:t xml:space="preserve">I would like to urge you to pre-register for this meeting by </w:t>
      </w:r>
      <w:r w:rsidRPr="003E64D1">
        <w:rPr>
          <w:b/>
          <w:bCs/>
        </w:rPr>
        <w:t>6 June 2010</w:t>
      </w:r>
      <w:r>
        <w:t xml:space="preserve">, at the latest.  </w:t>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0" w:history="1">
        <w:r w:rsidRPr="003E64D1">
          <w:rPr>
            <w:rStyle w:val="Hyperlink"/>
            <w:b/>
            <w:bCs/>
          </w:rPr>
          <w:t>http://www.itu.int/ITU-T/othergroups/tal/index.asp</w:t>
        </w:r>
      </w:hyperlink>
      <w:r w:rsidRPr="003E64D1">
        <w:rPr>
          <w:b/>
          <w:bCs/>
        </w:rPr>
        <w:t>)</w:t>
      </w:r>
      <w:r w:rsidRPr="00D159D1">
        <w:rPr>
          <w:b/>
          <w:bCs/>
        </w:rPr>
        <w:t>.</w:t>
      </w:r>
    </w:p>
    <w:p w:rsidR="00217AD8" w:rsidRDefault="00217AD8" w:rsidP="00047F47">
      <w:r>
        <w:lastRenderedPageBreak/>
        <w:t>8</w:t>
      </w:r>
      <w:r>
        <w:tab/>
        <w:t xml:space="preserve">A list of hotels will be provided in the </w:t>
      </w:r>
      <w:r w:rsidR="00047F47">
        <w:t>a</w:t>
      </w:r>
      <w:r>
        <w:t>ddendum to this Collective letter when it is published.</w:t>
      </w:r>
    </w:p>
    <w:p w:rsidR="00217AD8" w:rsidRDefault="00217AD8" w:rsidP="005C3F7B">
      <w:r>
        <w:t>9</w:t>
      </w:r>
      <w:r>
        <w:tab/>
        <w:t xml:space="preserve">It is important to note that participants should enquire </w:t>
      </w:r>
      <w:r>
        <w:rPr>
          <w:b/>
          <w:bCs/>
        </w:rPr>
        <w:t>in advance</w:t>
      </w:r>
      <w:r>
        <w:t xml:space="preserve"> whether they need a visa for the Dominican Republic and apply to the Consulate or Embassy </w:t>
      </w:r>
      <w:r w:rsidR="005733C4">
        <w:t>of the Dominican Republic in their respective country.</w:t>
      </w:r>
    </w:p>
    <w:p w:rsidR="005733C4" w:rsidRPr="00217AD8" w:rsidRDefault="005733C4" w:rsidP="00732428">
      <w:r w:rsidRPr="00732428">
        <w:t>10</w:t>
      </w:r>
      <w:r w:rsidRPr="00732428">
        <w:tab/>
        <w:t>Pursuant to the provisions of Recommendation A.1</w:t>
      </w:r>
      <w:r w:rsidR="00732428">
        <w:t xml:space="preserve"> of the WTSA (Johannesburg, 2008), contributions to the work of the SG3RG-LAC shall be submitted to the Director of the Telecommunication Standardization Bureau (TSB).  Please send them to </w:t>
      </w:r>
      <w:hyperlink r:id="rId11" w:history="1">
        <w:r w:rsidR="00732428" w:rsidRPr="003B43E0">
          <w:rPr>
            <w:rStyle w:val="Hyperlink"/>
          </w:rPr>
          <w:t>tsbsg3@itu.int</w:t>
        </w:r>
      </w:hyperlink>
      <w:r w:rsidR="00732428">
        <w:t xml:space="preserve"> </w:t>
      </w:r>
      <w:r w:rsidR="00732428" w:rsidRPr="00732428">
        <w:rPr>
          <w:b/>
          <w:bCs/>
        </w:rPr>
        <w:t>before 27 June 2010</w:t>
      </w:r>
      <w:r w:rsidR="00732428">
        <w:t>.</w:t>
      </w:r>
    </w:p>
    <w:p w:rsidR="00036A40" w:rsidRDefault="0060058D" w:rsidP="00732428">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w:t>
      </w:r>
      <w:r w:rsidR="00732428">
        <w:t>ITU-T basic template is</w:t>
      </w:r>
      <w:r w:rsidR="00036A40">
        <w:t xml:space="preserve"> accessible from each ITU-T </w:t>
      </w:r>
      <w:r w:rsidR="000F2AD5">
        <w:t>s</w:t>
      </w:r>
      <w:r w:rsidR="00036A40">
        <w:t xml:space="preserve">tudy </w:t>
      </w:r>
      <w:r w:rsidR="000F2AD5">
        <w:t>g</w:t>
      </w:r>
      <w:r w:rsidR="00036A40">
        <w:t>roup web page, under “</w:t>
      </w:r>
      <w:r w:rsidR="002D12D6">
        <w:t>Delegate resources</w:t>
      </w:r>
      <w:r w:rsidR="00036A40">
        <w:t>” (</w:t>
      </w:r>
      <w:hyperlink r:id="rId12" w:history="1">
        <w:r w:rsidR="00036A40">
          <w:rPr>
            <w:rStyle w:val="Hyperlink"/>
          </w:rPr>
          <w:t>http://www.itu.int/ITU-T/studygroups/templates/index.html</w:t>
        </w:r>
      </w:hyperlink>
      <w:r w:rsidR="00036A40">
        <w:t xml:space="preserve">).  </w:t>
      </w:r>
    </w:p>
    <w:p w:rsidR="00036A40"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7348F9" w:rsidRPr="0021396F" w:rsidRDefault="00732428" w:rsidP="00732428">
      <w:pPr>
        <w:autoSpaceDE w:val="0"/>
        <w:autoSpaceDN w:val="0"/>
        <w:adjustRightInd w:val="0"/>
        <w:rPr>
          <w:rFonts w:eastAsia="SimSun"/>
          <w:szCs w:val="24"/>
          <w:lang w:eastAsia="zh-CN"/>
        </w:rPr>
      </w:pPr>
      <w:r>
        <w:rPr>
          <w:rFonts w:eastAsia="SimSun"/>
          <w:szCs w:val="24"/>
          <w:lang w:eastAsia="zh-CN"/>
        </w:rPr>
        <w:t>11</w:t>
      </w:r>
      <w:r w:rsidR="007348F9">
        <w:rPr>
          <w:rFonts w:eastAsia="SimSun"/>
          <w:szCs w:val="24"/>
          <w:lang w:eastAsia="zh-CN"/>
        </w:rPr>
        <w:tab/>
      </w:r>
      <w:r w:rsidR="007348F9"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sidR="007348F9">
        <w:rPr>
          <w:rFonts w:eastAsia="SimSun"/>
          <w:szCs w:val="24"/>
          <w:lang w:eastAsia="zh-CN"/>
        </w:rPr>
        <w:t>on</w:t>
      </w:r>
      <w:r w:rsidR="007348F9" w:rsidRPr="0021396F">
        <w:rPr>
          <w:rFonts w:eastAsia="SimSun"/>
          <w:szCs w:val="24"/>
          <w:lang w:eastAsia="zh-CN"/>
        </w:rPr>
        <w:t xml:space="preserve"> the ITU-T website </w:t>
      </w:r>
      <w:r w:rsidR="001F48C4">
        <w:rPr>
          <w:rFonts w:eastAsia="SimSun"/>
          <w:szCs w:val="24"/>
          <w:lang w:eastAsia="zh-CN"/>
        </w:rPr>
        <w:t>as</w:t>
      </w:r>
      <w:r w:rsidR="007348F9" w:rsidRPr="0021396F">
        <w:rPr>
          <w:rFonts w:eastAsia="SimSun"/>
          <w:szCs w:val="24"/>
          <w:lang w:eastAsia="zh-CN"/>
        </w:rPr>
        <w:t xml:space="preserve"> from 3 days prior to the meeting </w:t>
      </w:r>
      <w:r w:rsidR="007348F9" w:rsidRPr="00352E56">
        <w:rPr>
          <w:rFonts w:eastAsia="SimSun"/>
          <w:b/>
          <w:bCs/>
          <w:szCs w:val="24"/>
          <w:lang w:eastAsia="zh-CN"/>
        </w:rPr>
        <w:t>(</w:t>
      </w:r>
      <w:r>
        <w:rPr>
          <w:rFonts w:eastAsia="SimSun"/>
          <w:b/>
          <w:bCs/>
          <w:i/>
          <w:iCs/>
          <w:szCs w:val="24"/>
          <w:lang w:eastAsia="zh-CN"/>
        </w:rPr>
        <w:t>3 July 2010</w:t>
      </w:r>
      <w:r w:rsidR="001C7B93" w:rsidRPr="00352E56">
        <w:rPr>
          <w:rFonts w:eastAsia="SimSun"/>
          <w:b/>
          <w:bCs/>
          <w:szCs w:val="24"/>
          <w:lang w:eastAsia="zh-CN"/>
        </w:rPr>
        <w:t>)</w:t>
      </w:r>
      <w:r w:rsidR="007348F9" w:rsidRPr="0021396F">
        <w:rPr>
          <w:rFonts w:eastAsia="SimSun"/>
          <w:szCs w:val="24"/>
          <w:lang w:eastAsia="zh-CN"/>
        </w:rPr>
        <w:t xml:space="preserve"> and </w:t>
      </w:r>
      <w:r w:rsidR="001F48C4">
        <w:rPr>
          <w:rFonts w:eastAsia="SimSun"/>
          <w:szCs w:val="24"/>
          <w:lang w:eastAsia="zh-CN"/>
        </w:rPr>
        <w:t>up to</w:t>
      </w:r>
      <w:r w:rsidR="007348F9" w:rsidRPr="0021396F">
        <w:rPr>
          <w:rFonts w:eastAsia="SimSun"/>
          <w:szCs w:val="24"/>
          <w:lang w:eastAsia="zh-CN"/>
        </w:rPr>
        <w:t xml:space="preserve"> the end of the meeting.</w:t>
      </w:r>
    </w:p>
    <w:p w:rsidR="00732428" w:rsidRDefault="001B4832" w:rsidP="00A27862">
      <w:pPr>
        <w:pStyle w:val="NormalWeb"/>
        <w:rPr>
          <w:rFonts w:ascii="Times New Roman" w:eastAsia="Times New Roman" w:hAnsi="Times New Roman"/>
          <w:sz w:val="24"/>
          <w:szCs w:val="20"/>
          <w:lang w:val="en-GB" w:eastAsia="en-US"/>
        </w:rPr>
      </w:pPr>
      <w:r>
        <w:rPr>
          <w:rFonts w:ascii="Times New Roman" w:eastAsia="Times New Roman" w:hAnsi="Times New Roman"/>
          <w:sz w:val="24"/>
          <w:szCs w:val="20"/>
          <w:lang w:val="en-GB" w:eastAsia="en-US"/>
        </w:rPr>
        <w:t>1</w:t>
      </w:r>
      <w:r w:rsidR="00732428">
        <w:rPr>
          <w:rFonts w:ascii="Times New Roman" w:eastAsia="Times New Roman" w:hAnsi="Times New Roman"/>
          <w:sz w:val="24"/>
          <w:szCs w:val="20"/>
          <w:lang w:val="en-GB" w:eastAsia="en-US"/>
        </w:rPr>
        <w:t>2</w:t>
      </w:r>
      <w:r w:rsidR="007B5B29" w:rsidRPr="007B5B29">
        <w:rPr>
          <w:rFonts w:ascii="Times New Roman" w:eastAsia="Times New Roman" w:hAnsi="Times New Roman"/>
          <w:sz w:val="24"/>
          <w:szCs w:val="20"/>
          <w:lang w:val="en-GB" w:eastAsia="en-US"/>
        </w:rPr>
        <w:tab/>
      </w:r>
      <w:r w:rsidR="00A27862">
        <w:rPr>
          <w:rFonts w:ascii="Times New Roman" w:eastAsia="Times New Roman" w:hAnsi="Times New Roman"/>
          <w:sz w:val="24"/>
          <w:szCs w:val="20"/>
          <w:lang w:val="en-GB" w:eastAsia="en-US"/>
        </w:rPr>
        <w:t>I am</w:t>
      </w:r>
      <w:r w:rsidR="002A4DCE" w:rsidRPr="007B5B29">
        <w:rPr>
          <w:rFonts w:ascii="Times New Roman" w:eastAsia="Times New Roman" w:hAnsi="Times New Roman"/>
          <w:sz w:val="24"/>
          <w:szCs w:val="20"/>
          <w:lang w:val="en-GB" w:eastAsia="en-US"/>
        </w:rPr>
        <w:t xml:space="preserve"> pleased to inform you that ITU will provide a limited number of fellowships</w:t>
      </w:r>
      <w:r w:rsidR="00732428" w:rsidRPr="00732428">
        <w:rPr>
          <w:rFonts w:ascii="Times New Roman" w:eastAsia="Times New Roman" w:hAnsi="Times New Roman"/>
          <w:sz w:val="24"/>
          <w:szCs w:val="20"/>
          <w:lang w:val="en-GB" w:eastAsia="en-US"/>
        </w:rPr>
        <w:t xml:space="preserve"> </w:t>
      </w:r>
      <w:r w:rsidR="00732428" w:rsidRPr="007B5B29">
        <w:rPr>
          <w:rFonts w:ascii="Times New Roman" w:eastAsia="Times New Roman" w:hAnsi="Times New Roman"/>
          <w:sz w:val="24"/>
          <w:szCs w:val="20"/>
          <w:lang w:val="en-GB" w:eastAsia="en-US"/>
        </w:rPr>
        <w:t>to facilitate participation from Least Developed or Low Income Developing Countries</w:t>
      </w:r>
      <w:r w:rsidR="00732428">
        <w:rPr>
          <w:rFonts w:ascii="Times New Roman" w:eastAsia="Times New Roman" w:hAnsi="Times New Roman"/>
          <w:sz w:val="24"/>
          <w:szCs w:val="20"/>
          <w:lang w:val="en-GB" w:eastAsia="en-US"/>
        </w:rPr>
        <w:t xml:space="preserve"> (one person per country).  Whether they will be full or partial fellowships will depend on the number of requests and the funds available, as fellowships will be awarded on a first come first served basis.  An official fax/letter must be sent to the Director of TSB requesting the fellowship and already providing the name of the intended candidate </w:t>
      </w:r>
      <w:r w:rsidR="00732428" w:rsidRPr="00732428">
        <w:rPr>
          <w:rFonts w:ascii="Times New Roman" w:eastAsia="Times New Roman" w:hAnsi="Times New Roman"/>
          <w:b/>
          <w:bCs/>
          <w:sz w:val="24"/>
          <w:szCs w:val="20"/>
          <w:lang w:val="en-GB" w:eastAsia="en-US"/>
        </w:rPr>
        <w:t>no later than 4 June 2010</w:t>
      </w:r>
      <w:r w:rsidR="00732428">
        <w:rPr>
          <w:rFonts w:ascii="Times New Roman" w:eastAsia="Times New Roman" w:hAnsi="Times New Roman"/>
          <w:sz w:val="24"/>
          <w:szCs w:val="20"/>
          <w:lang w:val="en-GB" w:eastAsia="en-US"/>
        </w:rPr>
        <w:t>.</w:t>
      </w:r>
    </w:p>
    <w:p w:rsidR="002A4DCE" w:rsidRPr="00566D5D" w:rsidRDefault="00CD1B78" w:rsidP="00732428">
      <w:pPr>
        <w:pStyle w:val="NormalWeb"/>
        <w:rPr>
          <w:rFonts w:ascii="Times New Roman" w:eastAsia="Times New Roman" w:hAnsi="Times New Roman"/>
          <w:b/>
          <w:bCs/>
          <w:sz w:val="24"/>
          <w:szCs w:val="20"/>
          <w:lang w:val="en-GB" w:eastAsia="en-US"/>
        </w:rPr>
      </w:pPr>
      <w:r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036A40" w:rsidRPr="00A27862" w:rsidRDefault="00036A40" w:rsidP="00927D7A">
      <w:pPr>
        <w:spacing w:before="720"/>
        <w:ind w:right="92"/>
        <w:rPr>
          <w:lang w:val="en-US"/>
        </w:rPr>
      </w:pPr>
      <w:r w:rsidRPr="00A27862">
        <w:rPr>
          <w:b/>
          <w:lang w:val="en-US"/>
        </w:rPr>
        <w:t>Annex:</w:t>
      </w:r>
      <w:r w:rsidR="00732428" w:rsidRPr="00A27862">
        <w:rPr>
          <w:b/>
          <w:lang w:val="en-US"/>
        </w:rPr>
        <w:t xml:space="preserve"> </w:t>
      </w:r>
      <w:r w:rsidR="00732428" w:rsidRPr="00A27862">
        <w:rPr>
          <w:lang w:val="en-US"/>
        </w:rPr>
        <w:t>1</w:t>
      </w:r>
    </w:p>
    <w:p w:rsidR="00732428" w:rsidRPr="00A27862" w:rsidRDefault="00732428" w:rsidP="00732428">
      <w:pPr>
        <w:ind w:right="92"/>
        <w:rPr>
          <w:szCs w:val="24"/>
          <w:lang w:val="en-US"/>
        </w:rPr>
      </w:pPr>
    </w:p>
    <w:p w:rsidR="00732428" w:rsidRDefault="00732428">
      <w:pPr>
        <w:tabs>
          <w:tab w:val="clear" w:pos="794"/>
          <w:tab w:val="clear" w:pos="1191"/>
          <w:tab w:val="clear" w:pos="1588"/>
          <w:tab w:val="clear" w:pos="1985"/>
        </w:tabs>
        <w:spacing w:before="0"/>
        <w:rPr>
          <w:szCs w:val="24"/>
        </w:rPr>
      </w:pPr>
      <w:r>
        <w:rPr>
          <w:szCs w:val="24"/>
        </w:rPr>
        <w:br w:type="page"/>
      </w:r>
    </w:p>
    <w:p w:rsidR="00686E0F" w:rsidRDefault="00732428" w:rsidP="00732428">
      <w:pPr>
        <w:jc w:val="center"/>
        <w:rPr>
          <w:szCs w:val="24"/>
        </w:rPr>
      </w:pPr>
      <w:r>
        <w:rPr>
          <w:szCs w:val="24"/>
        </w:rPr>
        <w:t>ANNEX 1</w:t>
      </w:r>
      <w:r>
        <w:rPr>
          <w:szCs w:val="24"/>
        </w:rPr>
        <w:br/>
        <w:t>(to TSB Collective letter 4/SG3RG-LAC)</w:t>
      </w:r>
    </w:p>
    <w:p w:rsidR="00732428" w:rsidRDefault="00732428" w:rsidP="00732428">
      <w:pPr>
        <w:jc w:val="center"/>
        <w:rPr>
          <w:szCs w:val="24"/>
        </w:rPr>
      </w:pPr>
    </w:p>
    <w:p w:rsidR="00D47C5F" w:rsidRDefault="00D47C5F" w:rsidP="00732428">
      <w:pPr>
        <w:jc w:val="center"/>
        <w:rPr>
          <w:b/>
          <w:bCs/>
          <w:i/>
          <w:iCs/>
          <w:sz w:val="28"/>
          <w:szCs w:val="28"/>
        </w:rPr>
      </w:pPr>
      <w:r>
        <w:rPr>
          <w:b/>
          <w:bCs/>
          <w:i/>
          <w:iCs/>
          <w:sz w:val="28"/>
          <w:szCs w:val="28"/>
        </w:rPr>
        <w:t>Meeting of SG3RG-LAC</w:t>
      </w:r>
      <w:r>
        <w:rPr>
          <w:b/>
          <w:bCs/>
          <w:i/>
          <w:iCs/>
          <w:sz w:val="28"/>
          <w:szCs w:val="28"/>
        </w:rPr>
        <w:br/>
        <w:t>Santo Domingo, Dominican Republic, 8-9 July 2010</w:t>
      </w:r>
    </w:p>
    <w:p w:rsidR="00D47C5F" w:rsidRDefault="00D47C5F" w:rsidP="00D47C5F">
      <w:pPr>
        <w:jc w:val="center"/>
        <w:rPr>
          <w:b/>
          <w:bCs/>
          <w:i/>
          <w:iCs/>
          <w:sz w:val="28"/>
          <w:szCs w:val="28"/>
        </w:rPr>
      </w:pPr>
      <w:r>
        <w:rPr>
          <w:b/>
          <w:bCs/>
          <w:i/>
          <w:iCs/>
          <w:sz w:val="28"/>
          <w:szCs w:val="28"/>
        </w:rPr>
        <w:t>Draft agenda</w:t>
      </w:r>
    </w:p>
    <w:p w:rsidR="00732428" w:rsidRDefault="00732428" w:rsidP="00D47C5F">
      <w:pPr>
        <w:tabs>
          <w:tab w:val="clear" w:pos="1191"/>
          <w:tab w:val="clear" w:pos="1588"/>
          <w:tab w:val="left" w:pos="1418"/>
        </w:tabs>
        <w:ind w:left="794" w:hanging="794"/>
        <w:rPr>
          <w:szCs w:val="24"/>
        </w:rPr>
      </w:pPr>
    </w:p>
    <w:p w:rsidR="00D47C5F" w:rsidRDefault="00D47C5F" w:rsidP="00D47C5F">
      <w:pPr>
        <w:tabs>
          <w:tab w:val="clear" w:pos="1191"/>
          <w:tab w:val="clear" w:pos="1588"/>
          <w:tab w:val="left" w:pos="1418"/>
        </w:tabs>
        <w:ind w:left="794" w:hanging="794"/>
        <w:rPr>
          <w:szCs w:val="24"/>
        </w:rPr>
      </w:pPr>
      <w:r>
        <w:rPr>
          <w:szCs w:val="24"/>
        </w:rPr>
        <w:t>1</w:t>
      </w:r>
      <w:r>
        <w:rPr>
          <w:szCs w:val="24"/>
        </w:rPr>
        <w:tab/>
        <w:t>Opening of the meeting</w:t>
      </w:r>
    </w:p>
    <w:p w:rsidR="00D47C5F" w:rsidRDefault="00D47C5F" w:rsidP="00D47C5F">
      <w:pPr>
        <w:tabs>
          <w:tab w:val="clear" w:pos="1191"/>
          <w:tab w:val="clear" w:pos="1588"/>
          <w:tab w:val="left" w:pos="1418"/>
        </w:tabs>
        <w:ind w:left="794" w:hanging="794"/>
        <w:rPr>
          <w:szCs w:val="24"/>
        </w:rPr>
      </w:pPr>
      <w:r>
        <w:rPr>
          <w:szCs w:val="24"/>
        </w:rPr>
        <w:t>2</w:t>
      </w:r>
      <w:r>
        <w:rPr>
          <w:szCs w:val="24"/>
        </w:rPr>
        <w:tab/>
        <w:t>Adoption of the agenda</w:t>
      </w:r>
    </w:p>
    <w:p w:rsidR="00D47C5F" w:rsidRDefault="00D47C5F" w:rsidP="00D47C5F">
      <w:pPr>
        <w:tabs>
          <w:tab w:val="clear" w:pos="1191"/>
          <w:tab w:val="clear" w:pos="1588"/>
          <w:tab w:val="left" w:pos="1418"/>
        </w:tabs>
        <w:ind w:left="794" w:hanging="794"/>
        <w:rPr>
          <w:szCs w:val="24"/>
        </w:rPr>
      </w:pPr>
      <w:r>
        <w:rPr>
          <w:szCs w:val="24"/>
        </w:rPr>
        <w:t>3</w:t>
      </w:r>
      <w:r>
        <w:rPr>
          <w:szCs w:val="24"/>
        </w:rPr>
        <w:tab/>
        <w:t>Inventory of available documents</w:t>
      </w:r>
    </w:p>
    <w:p w:rsidR="00D47C5F" w:rsidRDefault="00D47C5F" w:rsidP="00D47C5F">
      <w:pPr>
        <w:tabs>
          <w:tab w:val="clear" w:pos="1191"/>
          <w:tab w:val="clear" w:pos="1588"/>
          <w:tab w:val="left" w:pos="1418"/>
        </w:tabs>
        <w:ind w:left="794" w:hanging="794"/>
        <w:rPr>
          <w:szCs w:val="24"/>
        </w:rPr>
      </w:pPr>
      <w:r>
        <w:rPr>
          <w:szCs w:val="24"/>
        </w:rPr>
        <w:t>4</w:t>
      </w:r>
      <w:r>
        <w:rPr>
          <w:szCs w:val="24"/>
        </w:rPr>
        <w:tab/>
        <w:t>Results of ITU-T Study Group 3 meeting and other ITU meetings</w:t>
      </w:r>
    </w:p>
    <w:p w:rsidR="00D47C5F" w:rsidRDefault="00D47C5F" w:rsidP="00D47C5F">
      <w:pPr>
        <w:tabs>
          <w:tab w:val="clear" w:pos="1191"/>
          <w:tab w:val="clear" w:pos="1588"/>
          <w:tab w:val="left" w:pos="1418"/>
        </w:tabs>
        <w:ind w:left="794" w:hanging="794"/>
        <w:rPr>
          <w:szCs w:val="24"/>
        </w:rPr>
      </w:pPr>
      <w:r>
        <w:rPr>
          <w:szCs w:val="24"/>
        </w:rPr>
        <w:t>5</w:t>
      </w:r>
      <w:r>
        <w:rPr>
          <w:szCs w:val="24"/>
        </w:rPr>
        <w:tab/>
        <w:t>Report of the last meeting of the SG3RG-LAC</w:t>
      </w:r>
    </w:p>
    <w:p w:rsidR="00D47C5F" w:rsidRDefault="00D47C5F" w:rsidP="00D47C5F">
      <w:pPr>
        <w:tabs>
          <w:tab w:val="clear" w:pos="1191"/>
          <w:tab w:val="clear" w:pos="1588"/>
          <w:tab w:val="left" w:pos="1418"/>
        </w:tabs>
        <w:ind w:left="794" w:hanging="794"/>
        <w:rPr>
          <w:szCs w:val="24"/>
        </w:rPr>
      </w:pPr>
      <w:r>
        <w:rPr>
          <w:szCs w:val="24"/>
        </w:rPr>
        <w:t>6</w:t>
      </w:r>
      <w:r>
        <w:rPr>
          <w:szCs w:val="24"/>
        </w:rPr>
        <w:tab/>
        <w:t>Analysis of replies to the questionnaire on accounting/settlement rates</w:t>
      </w:r>
    </w:p>
    <w:p w:rsidR="00D47C5F" w:rsidRDefault="00D47C5F" w:rsidP="00D47C5F">
      <w:pPr>
        <w:tabs>
          <w:tab w:val="clear" w:pos="1191"/>
          <w:tab w:val="clear" w:pos="1588"/>
          <w:tab w:val="left" w:pos="1418"/>
        </w:tabs>
        <w:ind w:left="794" w:hanging="794"/>
        <w:rPr>
          <w:szCs w:val="24"/>
        </w:rPr>
      </w:pPr>
      <w:r>
        <w:rPr>
          <w:szCs w:val="24"/>
        </w:rPr>
        <w:t>7</w:t>
      </w:r>
      <w:r>
        <w:rPr>
          <w:szCs w:val="24"/>
        </w:rPr>
        <w:tab/>
        <w:t>Possible revision of the maximum settlement rate indicated in Recommendation D.400R</w:t>
      </w:r>
    </w:p>
    <w:p w:rsidR="00D47C5F" w:rsidRDefault="00D47C5F" w:rsidP="00D47C5F">
      <w:pPr>
        <w:tabs>
          <w:tab w:val="clear" w:pos="1191"/>
          <w:tab w:val="clear" w:pos="1588"/>
          <w:tab w:val="left" w:pos="1418"/>
        </w:tabs>
        <w:ind w:left="794" w:hanging="794"/>
        <w:rPr>
          <w:szCs w:val="24"/>
        </w:rPr>
      </w:pPr>
      <w:r>
        <w:rPr>
          <w:szCs w:val="24"/>
        </w:rPr>
        <w:t>8</w:t>
      </w:r>
      <w:r>
        <w:rPr>
          <w:szCs w:val="24"/>
        </w:rPr>
        <w:tab/>
        <w:t>Review and implementation of cost models in the Region</w:t>
      </w:r>
    </w:p>
    <w:p w:rsidR="00D47C5F" w:rsidRDefault="00D47C5F" w:rsidP="00D47C5F">
      <w:pPr>
        <w:tabs>
          <w:tab w:val="clear" w:pos="1191"/>
          <w:tab w:val="clear" w:pos="1588"/>
          <w:tab w:val="left" w:pos="1418"/>
        </w:tabs>
        <w:ind w:left="1418" w:hanging="624"/>
        <w:rPr>
          <w:szCs w:val="24"/>
        </w:rPr>
      </w:pPr>
      <w:r>
        <w:rPr>
          <w:szCs w:val="24"/>
        </w:rPr>
        <w:t>8.1</w:t>
      </w:r>
      <w:r>
        <w:rPr>
          <w:szCs w:val="24"/>
        </w:rPr>
        <w:tab/>
        <w:t>Information on cost models being used by Administrations</w:t>
      </w:r>
    </w:p>
    <w:p w:rsidR="00D47C5F" w:rsidRDefault="00D47C5F" w:rsidP="00D47C5F">
      <w:pPr>
        <w:tabs>
          <w:tab w:val="clear" w:pos="1191"/>
          <w:tab w:val="clear" w:pos="1588"/>
          <w:tab w:val="left" w:pos="1418"/>
        </w:tabs>
        <w:ind w:left="1418" w:hanging="624"/>
        <w:rPr>
          <w:szCs w:val="24"/>
        </w:rPr>
      </w:pPr>
      <w:r>
        <w:rPr>
          <w:szCs w:val="24"/>
        </w:rPr>
        <w:t>8.2</w:t>
      </w:r>
      <w:r>
        <w:rPr>
          <w:szCs w:val="24"/>
        </w:rPr>
        <w:tab/>
        <w:t>Basic concept of an efficient model and legal framework of the model</w:t>
      </w:r>
    </w:p>
    <w:p w:rsidR="00D47C5F" w:rsidRDefault="00D47C5F" w:rsidP="00D47C5F">
      <w:pPr>
        <w:tabs>
          <w:tab w:val="clear" w:pos="1191"/>
          <w:tab w:val="clear" w:pos="1588"/>
          <w:tab w:val="left" w:pos="1418"/>
        </w:tabs>
        <w:ind w:left="1418" w:hanging="624"/>
        <w:rPr>
          <w:szCs w:val="24"/>
        </w:rPr>
      </w:pPr>
      <w:r>
        <w:rPr>
          <w:szCs w:val="24"/>
        </w:rPr>
        <w:t>8.3</w:t>
      </w:r>
      <w:r>
        <w:rPr>
          <w:szCs w:val="24"/>
        </w:rPr>
        <w:tab/>
        <w:t>Review of the SG3RG-LAC/TAL cost model</w:t>
      </w:r>
    </w:p>
    <w:p w:rsidR="00D47C5F" w:rsidRDefault="00D47C5F" w:rsidP="00D47C5F">
      <w:pPr>
        <w:tabs>
          <w:tab w:val="clear" w:pos="1191"/>
          <w:tab w:val="clear" w:pos="1588"/>
          <w:tab w:val="left" w:pos="1418"/>
        </w:tabs>
        <w:rPr>
          <w:szCs w:val="24"/>
        </w:rPr>
      </w:pPr>
      <w:r>
        <w:rPr>
          <w:szCs w:val="24"/>
        </w:rPr>
        <w:t>9</w:t>
      </w:r>
      <w:r>
        <w:rPr>
          <w:szCs w:val="24"/>
        </w:rPr>
        <w:tab/>
        <w:t>Accounting in international telephony</w:t>
      </w:r>
    </w:p>
    <w:p w:rsidR="00D47C5F" w:rsidRDefault="00D47C5F" w:rsidP="00D47C5F">
      <w:pPr>
        <w:tabs>
          <w:tab w:val="clear" w:pos="1191"/>
          <w:tab w:val="clear" w:pos="1588"/>
          <w:tab w:val="left" w:pos="1418"/>
        </w:tabs>
        <w:ind w:left="1418" w:hanging="624"/>
        <w:rPr>
          <w:szCs w:val="24"/>
        </w:rPr>
      </w:pPr>
      <w:r>
        <w:rPr>
          <w:szCs w:val="24"/>
        </w:rPr>
        <w:t>9.1</w:t>
      </w:r>
      <w:r>
        <w:rPr>
          <w:szCs w:val="24"/>
        </w:rPr>
        <w:tab/>
        <w:t>Mobile termination charge</w:t>
      </w:r>
    </w:p>
    <w:p w:rsidR="00D47C5F" w:rsidRDefault="00D47C5F" w:rsidP="00D47C5F">
      <w:pPr>
        <w:tabs>
          <w:tab w:val="clear" w:pos="1191"/>
          <w:tab w:val="clear" w:pos="1588"/>
          <w:tab w:val="left" w:pos="1418"/>
        </w:tabs>
        <w:ind w:left="1418" w:hanging="624"/>
        <w:rPr>
          <w:szCs w:val="24"/>
        </w:rPr>
      </w:pPr>
      <w:r>
        <w:rPr>
          <w:szCs w:val="24"/>
        </w:rPr>
        <w:t>9.2</w:t>
      </w:r>
      <w:r>
        <w:rPr>
          <w:szCs w:val="24"/>
        </w:rPr>
        <w:tab/>
        <w:t>Alternative calling procedures</w:t>
      </w:r>
    </w:p>
    <w:p w:rsidR="00D47C5F" w:rsidRDefault="00D47C5F" w:rsidP="00D47C5F">
      <w:pPr>
        <w:tabs>
          <w:tab w:val="clear" w:pos="1191"/>
          <w:tab w:val="clear" w:pos="1588"/>
          <w:tab w:val="left" w:pos="1418"/>
        </w:tabs>
        <w:ind w:left="1418" w:hanging="624"/>
        <w:rPr>
          <w:szCs w:val="24"/>
        </w:rPr>
      </w:pPr>
      <w:r>
        <w:rPr>
          <w:szCs w:val="24"/>
        </w:rPr>
        <w:t>9.3</w:t>
      </w:r>
      <w:r>
        <w:rPr>
          <w:szCs w:val="24"/>
        </w:rPr>
        <w:tab/>
        <w:t>Discussion on network externalities</w:t>
      </w:r>
    </w:p>
    <w:p w:rsidR="00D47C5F" w:rsidRDefault="00D47C5F" w:rsidP="00D47C5F">
      <w:pPr>
        <w:tabs>
          <w:tab w:val="clear" w:pos="1191"/>
          <w:tab w:val="clear" w:pos="1588"/>
          <w:tab w:val="left" w:pos="1418"/>
        </w:tabs>
        <w:ind w:left="1418" w:hanging="624"/>
        <w:rPr>
          <w:szCs w:val="24"/>
        </w:rPr>
      </w:pPr>
      <w:r>
        <w:rPr>
          <w:szCs w:val="24"/>
        </w:rPr>
        <w:t>9.4</w:t>
      </w:r>
      <w:r>
        <w:rPr>
          <w:szCs w:val="24"/>
        </w:rPr>
        <w:tab/>
        <w:t>Incidence of telecommunication rates and costs on income distribution and international competitiveness of local products and services</w:t>
      </w:r>
    </w:p>
    <w:p w:rsidR="00D47C5F" w:rsidRDefault="00D47C5F" w:rsidP="00D47C5F">
      <w:pPr>
        <w:tabs>
          <w:tab w:val="clear" w:pos="1191"/>
          <w:tab w:val="clear" w:pos="1588"/>
          <w:tab w:val="left" w:pos="1418"/>
        </w:tabs>
        <w:ind w:left="1418" w:hanging="624"/>
        <w:rPr>
          <w:szCs w:val="24"/>
        </w:rPr>
      </w:pPr>
      <w:r>
        <w:rPr>
          <w:szCs w:val="24"/>
        </w:rPr>
        <w:t>9.5</w:t>
      </w:r>
      <w:r>
        <w:rPr>
          <w:szCs w:val="24"/>
        </w:rPr>
        <w:tab/>
        <w:t>Cross-border connectivity for mobile</w:t>
      </w:r>
    </w:p>
    <w:p w:rsidR="00D47C5F" w:rsidRPr="00A27862" w:rsidRDefault="00D47C5F" w:rsidP="00D47C5F">
      <w:pPr>
        <w:tabs>
          <w:tab w:val="clear" w:pos="1191"/>
          <w:tab w:val="clear" w:pos="1588"/>
          <w:tab w:val="left" w:pos="1418"/>
        </w:tabs>
        <w:ind w:left="794" w:hanging="794"/>
        <w:rPr>
          <w:szCs w:val="24"/>
          <w:lang w:val="en-US"/>
        </w:rPr>
      </w:pPr>
      <w:r w:rsidRPr="00A27862">
        <w:rPr>
          <w:szCs w:val="24"/>
          <w:lang w:val="en-US"/>
        </w:rPr>
        <w:t>10</w:t>
      </w:r>
      <w:r w:rsidRPr="00A27862">
        <w:rPr>
          <w:szCs w:val="24"/>
          <w:lang w:val="en-US"/>
        </w:rPr>
        <w:tab/>
        <w:t>International Internet Connection (Recommendation D.50)</w:t>
      </w:r>
    </w:p>
    <w:p w:rsidR="00D47C5F" w:rsidRPr="00D47C5F" w:rsidRDefault="00D47C5F" w:rsidP="00D47C5F">
      <w:pPr>
        <w:tabs>
          <w:tab w:val="clear" w:pos="1191"/>
          <w:tab w:val="clear" w:pos="1588"/>
          <w:tab w:val="left" w:pos="1418"/>
        </w:tabs>
        <w:ind w:left="794" w:hanging="794"/>
        <w:rPr>
          <w:szCs w:val="24"/>
          <w:lang w:val="en-US"/>
        </w:rPr>
      </w:pPr>
      <w:r w:rsidRPr="00D47C5F">
        <w:rPr>
          <w:szCs w:val="24"/>
          <w:lang w:val="en-US"/>
        </w:rPr>
        <w:t>11</w:t>
      </w:r>
      <w:r w:rsidRPr="00D47C5F">
        <w:rPr>
          <w:szCs w:val="24"/>
          <w:lang w:val="en-US"/>
        </w:rPr>
        <w:tab/>
      </w:r>
      <w:r>
        <w:rPr>
          <w:szCs w:val="24"/>
          <w:lang w:val="en-US"/>
        </w:rPr>
        <w:t>“</w:t>
      </w:r>
      <w:r w:rsidRPr="00D47C5F">
        <w:rPr>
          <w:szCs w:val="24"/>
          <w:lang w:val="en-US"/>
        </w:rPr>
        <w:t>IP telephony</w:t>
      </w:r>
      <w:r>
        <w:rPr>
          <w:szCs w:val="24"/>
          <w:lang w:val="en-US"/>
        </w:rPr>
        <w:t>”</w:t>
      </w:r>
    </w:p>
    <w:p w:rsidR="00D47C5F" w:rsidRDefault="00D47C5F" w:rsidP="00D47C5F">
      <w:pPr>
        <w:tabs>
          <w:tab w:val="clear" w:pos="1191"/>
          <w:tab w:val="clear" w:pos="1588"/>
          <w:tab w:val="left" w:pos="1418"/>
        </w:tabs>
        <w:ind w:left="1418" w:hanging="624"/>
        <w:rPr>
          <w:szCs w:val="24"/>
        </w:rPr>
      </w:pPr>
      <w:r>
        <w:rPr>
          <w:szCs w:val="24"/>
        </w:rPr>
        <w:t>11.1</w:t>
      </w:r>
      <w:r>
        <w:rPr>
          <w:szCs w:val="24"/>
        </w:rPr>
        <w:tab/>
        <w:t>Definition of “Voice over IP”</w:t>
      </w:r>
    </w:p>
    <w:p w:rsidR="00D47C5F" w:rsidRDefault="00D47C5F" w:rsidP="00D47C5F">
      <w:pPr>
        <w:tabs>
          <w:tab w:val="clear" w:pos="1191"/>
          <w:tab w:val="clear" w:pos="1588"/>
          <w:tab w:val="left" w:pos="1418"/>
        </w:tabs>
        <w:ind w:left="1418" w:hanging="624"/>
        <w:rPr>
          <w:szCs w:val="24"/>
        </w:rPr>
      </w:pPr>
      <w:r>
        <w:rPr>
          <w:szCs w:val="24"/>
        </w:rPr>
        <w:t>11.2</w:t>
      </w:r>
      <w:r>
        <w:rPr>
          <w:szCs w:val="24"/>
        </w:rPr>
        <w:tab/>
        <w:t>Consequences of introducing  VoIP in the regulatory framework of countries in the region</w:t>
      </w:r>
    </w:p>
    <w:p w:rsidR="00D47C5F" w:rsidRDefault="00C109B6" w:rsidP="00C109B6">
      <w:pPr>
        <w:tabs>
          <w:tab w:val="clear" w:pos="1191"/>
          <w:tab w:val="clear" w:pos="1588"/>
          <w:tab w:val="left" w:pos="1418"/>
        </w:tabs>
        <w:rPr>
          <w:szCs w:val="24"/>
        </w:rPr>
      </w:pPr>
      <w:r>
        <w:rPr>
          <w:szCs w:val="24"/>
        </w:rPr>
        <w:t>12</w:t>
      </w:r>
      <w:r>
        <w:rPr>
          <w:szCs w:val="24"/>
        </w:rPr>
        <w:tab/>
        <w:t>Universal Service, its costs and funding</w:t>
      </w:r>
    </w:p>
    <w:p w:rsidR="00C109B6" w:rsidRDefault="00C109B6" w:rsidP="00C109B6">
      <w:pPr>
        <w:tabs>
          <w:tab w:val="clear" w:pos="1191"/>
          <w:tab w:val="clear" w:pos="1588"/>
          <w:tab w:val="left" w:pos="1418"/>
        </w:tabs>
        <w:rPr>
          <w:szCs w:val="24"/>
        </w:rPr>
      </w:pPr>
      <w:r>
        <w:rPr>
          <w:szCs w:val="24"/>
        </w:rPr>
        <w:t>13</w:t>
      </w:r>
      <w:r>
        <w:rPr>
          <w:szCs w:val="24"/>
        </w:rPr>
        <w:tab/>
        <w:t>Review of the International Telecommunication Regulations</w:t>
      </w:r>
    </w:p>
    <w:p w:rsidR="00C109B6" w:rsidRDefault="00C109B6" w:rsidP="00C109B6">
      <w:pPr>
        <w:tabs>
          <w:tab w:val="clear" w:pos="1191"/>
          <w:tab w:val="clear" w:pos="1588"/>
          <w:tab w:val="left" w:pos="1418"/>
        </w:tabs>
        <w:rPr>
          <w:szCs w:val="24"/>
        </w:rPr>
      </w:pPr>
      <w:r>
        <w:rPr>
          <w:szCs w:val="24"/>
        </w:rPr>
        <w:t>14</w:t>
      </w:r>
      <w:r>
        <w:rPr>
          <w:szCs w:val="24"/>
        </w:rPr>
        <w:tab/>
        <w:t>Preparation of PP-10</w:t>
      </w:r>
    </w:p>
    <w:p w:rsidR="00C109B6" w:rsidRDefault="00C109B6" w:rsidP="00C12CF7">
      <w:pPr>
        <w:tabs>
          <w:tab w:val="clear" w:pos="1191"/>
          <w:tab w:val="clear" w:pos="1588"/>
          <w:tab w:val="left" w:pos="1418"/>
        </w:tabs>
        <w:rPr>
          <w:szCs w:val="24"/>
        </w:rPr>
      </w:pPr>
      <w:r>
        <w:rPr>
          <w:szCs w:val="24"/>
        </w:rPr>
        <w:t>15</w:t>
      </w:r>
      <w:r>
        <w:rPr>
          <w:szCs w:val="24"/>
        </w:rPr>
        <w:tab/>
      </w:r>
      <w:r w:rsidR="00C12CF7">
        <w:rPr>
          <w:szCs w:val="24"/>
        </w:rPr>
        <w:t>Work programme and calendar</w:t>
      </w:r>
    </w:p>
    <w:p w:rsidR="00047F47" w:rsidRDefault="00047F47" w:rsidP="00C12CF7">
      <w:pPr>
        <w:tabs>
          <w:tab w:val="clear" w:pos="1191"/>
          <w:tab w:val="clear" w:pos="1588"/>
          <w:tab w:val="left" w:pos="1418"/>
        </w:tabs>
        <w:rPr>
          <w:szCs w:val="24"/>
        </w:rPr>
      </w:pPr>
      <w:r>
        <w:rPr>
          <w:szCs w:val="24"/>
        </w:rPr>
        <w:t>16</w:t>
      </w:r>
      <w:r>
        <w:rPr>
          <w:szCs w:val="24"/>
        </w:rPr>
        <w:tab/>
      </w:r>
      <w:r w:rsidR="00C12CF7">
        <w:rPr>
          <w:szCs w:val="24"/>
        </w:rPr>
        <w:t>Other business</w:t>
      </w:r>
    </w:p>
    <w:p w:rsidR="00C109B6" w:rsidRPr="00D47C5F" w:rsidRDefault="00C109B6" w:rsidP="00C109B6">
      <w:pPr>
        <w:tabs>
          <w:tab w:val="clear" w:pos="1191"/>
          <w:tab w:val="clear" w:pos="1588"/>
          <w:tab w:val="left" w:pos="1418"/>
        </w:tabs>
        <w:rPr>
          <w:szCs w:val="24"/>
          <w:lang w:val="en-US"/>
        </w:rPr>
      </w:pPr>
      <w:r>
        <w:rPr>
          <w:szCs w:val="24"/>
        </w:rPr>
        <w:t>17</w:t>
      </w:r>
      <w:r>
        <w:rPr>
          <w:szCs w:val="24"/>
        </w:rPr>
        <w:tab/>
        <w:t>Closure of meeting</w:t>
      </w:r>
    </w:p>
    <w:p w:rsidR="00D47C5F" w:rsidRDefault="00D47C5F" w:rsidP="00D47C5F">
      <w:pPr>
        <w:tabs>
          <w:tab w:val="clear" w:pos="1191"/>
          <w:tab w:val="clear" w:pos="1588"/>
          <w:tab w:val="left" w:pos="1418"/>
        </w:tabs>
        <w:ind w:left="794" w:hanging="794"/>
        <w:rPr>
          <w:szCs w:val="24"/>
          <w:lang w:val="en-US"/>
        </w:rPr>
      </w:pPr>
    </w:p>
    <w:p w:rsidR="00C109B6" w:rsidRPr="00D47C5F" w:rsidRDefault="00C109B6" w:rsidP="00C109B6">
      <w:pPr>
        <w:tabs>
          <w:tab w:val="clear" w:pos="1191"/>
          <w:tab w:val="clear" w:pos="1588"/>
          <w:tab w:val="left" w:pos="1418"/>
        </w:tabs>
        <w:ind w:left="794" w:hanging="794"/>
        <w:jc w:val="center"/>
        <w:rPr>
          <w:szCs w:val="24"/>
          <w:lang w:val="en-US"/>
        </w:rPr>
      </w:pPr>
      <w:r>
        <w:rPr>
          <w:szCs w:val="24"/>
          <w:lang w:val="en-US"/>
        </w:rPr>
        <w:t>______________</w:t>
      </w:r>
    </w:p>
    <w:sectPr w:rsidR="00C109B6" w:rsidRPr="00D47C5F" w:rsidSect="007C2A42">
      <w:headerReference w:type="default" r:id="rId13"/>
      <w:footerReference w:type="default" r:id="rId14"/>
      <w:footerReference w:type="first" r:id="rId15"/>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A1" w:rsidRDefault="00EC54A1">
      <w:r>
        <w:separator/>
      </w:r>
    </w:p>
  </w:endnote>
  <w:endnote w:type="continuationSeparator" w:id="0">
    <w:p w:rsidR="00EC54A1" w:rsidRDefault="00EC5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5F" w:rsidRPr="00E106EA" w:rsidRDefault="00047F47" w:rsidP="00C109B6">
    <w:pPr>
      <w:pStyle w:val="Footer"/>
    </w:pPr>
    <w:r>
      <w:t>ITU-T\COM-T\COM0</w:t>
    </w:r>
    <w:r w:rsidR="00C109B6">
      <w:t>3\SG3RG-LAC</w:t>
    </w:r>
    <w:r w:rsidR="00D47C5F">
      <w:t>\COLL\</w:t>
    </w:r>
    <w:r w:rsidR="00C109B6">
      <w:t>004</w:t>
    </w:r>
    <w:r w:rsidR="00D47C5F">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84" w:type="dxa"/>
      <w:tblLayout w:type="fixed"/>
      <w:tblLook w:val="0000"/>
    </w:tblPr>
    <w:tblGrid>
      <w:gridCol w:w="10598"/>
    </w:tblGrid>
    <w:tr w:rsidR="00B54D8C" w:rsidTr="000C0B57">
      <w:tc>
        <w:tcPr>
          <w:tcW w:w="10598" w:type="dxa"/>
        </w:tcPr>
        <w:p w:rsidR="00B54D8C" w:rsidRDefault="00B54D8C" w:rsidP="000C0B5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B54D8C" w:rsidRDefault="00B54D8C" w:rsidP="000C0B57">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B54D8C" w:rsidRDefault="00B54D8C" w:rsidP="000C0B57">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r>
            <w:rPr>
              <w:rFonts w:ascii="Futura Lt BT" w:hAnsi="Futura Lt BT"/>
              <w:sz w:val="18"/>
            </w:rPr>
            <w:tab/>
          </w:r>
        </w:p>
      </w:tc>
    </w:tr>
  </w:tbl>
  <w:p w:rsidR="00B54D8C" w:rsidRDefault="00B54D8C" w:rsidP="00B54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A1" w:rsidRDefault="00EC54A1">
      <w:r>
        <w:t>____________________</w:t>
      </w:r>
    </w:p>
  </w:footnote>
  <w:footnote w:type="continuationSeparator" w:id="0">
    <w:p w:rsidR="00EC54A1" w:rsidRDefault="00EC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88860"/>
      <w:docPartObj>
        <w:docPartGallery w:val="Page Numbers (Top of Page)"/>
        <w:docPartUnique/>
      </w:docPartObj>
    </w:sdtPr>
    <w:sdtContent>
      <w:p w:rsidR="007C2A42" w:rsidRDefault="008B7BFA" w:rsidP="007C2A42">
        <w:pPr>
          <w:pStyle w:val="Header"/>
          <w:spacing w:after="120"/>
        </w:pPr>
        <w:fldSimple w:instr=" PAGE   \* MERGEFORMAT ">
          <w:r w:rsidR="00C12CF7">
            <w:rPr>
              <w:noProof/>
            </w:rPr>
            <w:t>- 3 -</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7409"/>
  </w:hdrShapeDefaults>
  <w:footnotePr>
    <w:footnote w:id="-1"/>
    <w:footnote w:id="0"/>
  </w:footnotePr>
  <w:endnotePr>
    <w:endnote w:id="-1"/>
    <w:endnote w:id="0"/>
  </w:endnotePr>
  <w:compat/>
  <w:rsids>
    <w:rsidRoot w:val="00E106EA"/>
    <w:rsid w:val="00002622"/>
    <w:rsid w:val="00034C8C"/>
    <w:rsid w:val="00036A40"/>
    <w:rsid w:val="00047F47"/>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D2829"/>
    <w:rsid w:val="000E6752"/>
    <w:rsid w:val="000E6B18"/>
    <w:rsid w:val="000F2AD5"/>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17AD8"/>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E5A1E"/>
    <w:rsid w:val="002F490B"/>
    <w:rsid w:val="0030016D"/>
    <w:rsid w:val="003044B7"/>
    <w:rsid w:val="0032158F"/>
    <w:rsid w:val="0032161B"/>
    <w:rsid w:val="003278F5"/>
    <w:rsid w:val="00333903"/>
    <w:rsid w:val="00342317"/>
    <w:rsid w:val="00347205"/>
    <w:rsid w:val="00351AF1"/>
    <w:rsid w:val="00352942"/>
    <w:rsid w:val="00352E56"/>
    <w:rsid w:val="0035530A"/>
    <w:rsid w:val="003635BA"/>
    <w:rsid w:val="00365821"/>
    <w:rsid w:val="003777F9"/>
    <w:rsid w:val="00381130"/>
    <w:rsid w:val="00391B68"/>
    <w:rsid w:val="00392A51"/>
    <w:rsid w:val="00395E4C"/>
    <w:rsid w:val="003B03C5"/>
    <w:rsid w:val="003B7123"/>
    <w:rsid w:val="003D7314"/>
    <w:rsid w:val="003D7DAE"/>
    <w:rsid w:val="003E07C9"/>
    <w:rsid w:val="003E585D"/>
    <w:rsid w:val="003E64D1"/>
    <w:rsid w:val="004003CB"/>
    <w:rsid w:val="0040295F"/>
    <w:rsid w:val="00403633"/>
    <w:rsid w:val="00404D9A"/>
    <w:rsid w:val="004339BA"/>
    <w:rsid w:val="00441210"/>
    <w:rsid w:val="0044318A"/>
    <w:rsid w:val="00445A35"/>
    <w:rsid w:val="00455BA8"/>
    <w:rsid w:val="00464FB6"/>
    <w:rsid w:val="0046635E"/>
    <w:rsid w:val="0047256D"/>
    <w:rsid w:val="0048073E"/>
    <w:rsid w:val="004962EC"/>
    <w:rsid w:val="0049754E"/>
    <w:rsid w:val="00497ADA"/>
    <w:rsid w:val="004A22E8"/>
    <w:rsid w:val="004A4C2E"/>
    <w:rsid w:val="004B1BD1"/>
    <w:rsid w:val="004B7579"/>
    <w:rsid w:val="004C04D3"/>
    <w:rsid w:val="004C212C"/>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1330"/>
    <w:rsid w:val="005733C4"/>
    <w:rsid w:val="00576622"/>
    <w:rsid w:val="005962E7"/>
    <w:rsid w:val="005A48DB"/>
    <w:rsid w:val="005B5068"/>
    <w:rsid w:val="005C2CCA"/>
    <w:rsid w:val="005C3F7B"/>
    <w:rsid w:val="005C472B"/>
    <w:rsid w:val="005E07C5"/>
    <w:rsid w:val="005E16E5"/>
    <w:rsid w:val="005F1CF2"/>
    <w:rsid w:val="005F239C"/>
    <w:rsid w:val="0060058D"/>
    <w:rsid w:val="00625D2B"/>
    <w:rsid w:val="0063475D"/>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15B2"/>
    <w:rsid w:val="00732428"/>
    <w:rsid w:val="007348F9"/>
    <w:rsid w:val="007358EB"/>
    <w:rsid w:val="00741886"/>
    <w:rsid w:val="007510BB"/>
    <w:rsid w:val="0075428B"/>
    <w:rsid w:val="00762160"/>
    <w:rsid w:val="007624DE"/>
    <w:rsid w:val="00764C51"/>
    <w:rsid w:val="007726C0"/>
    <w:rsid w:val="007B5B29"/>
    <w:rsid w:val="007C2A42"/>
    <w:rsid w:val="007D5C68"/>
    <w:rsid w:val="007D6430"/>
    <w:rsid w:val="0080659A"/>
    <w:rsid w:val="008130D7"/>
    <w:rsid w:val="00825FC5"/>
    <w:rsid w:val="00834D78"/>
    <w:rsid w:val="00845908"/>
    <w:rsid w:val="00847975"/>
    <w:rsid w:val="00892810"/>
    <w:rsid w:val="008A6379"/>
    <w:rsid w:val="008A69A3"/>
    <w:rsid w:val="008A6BD2"/>
    <w:rsid w:val="008B585F"/>
    <w:rsid w:val="008B7B8C"/>
    <w:rsid w:val="008B7BFA"/>
    <w:rsid w:val="008C0BA8"/>
    <w:rsid w:val="008C1991"/>
    <w:rsid w:val="008C19B9"/>
    <w:rsid w:val="008D34E6"/>
    <w:rsid w:val="008D566F"/>
    <w:rsid w:val="008E7EA8"/>
    <w:rsid w:val="008F5532"/>
    <w:rsid w:val="008F5E4B"/>
    <w:rsid w:val="00902BD5"/>
    <w:rsid w:val="0090478A"/>
    <w:rsid w:val="00910790"/>
    <w:rsid w:val="00912ADB"/>
    <w:rsid w:val="009247B8"/>
    <w:rsid w:val="00927D7A"/>
    <w:rsid w:val="00931D9C"/>
    <w:rsid w:val="00936A9B"/>
    <w:rsid w:val="00941C20"/>
    <w:rsid w:val="0094412C"/>
    <w:rsid w:val="009521B9"/>
    <w:rsid w:val="00954B25"/>
    <w:rsid w:val="00966A1F"/>
    <w:rsid w:val="0099368F"/>
    <w:rsid w:val="00994BE5"/>
    <w:rsid w:val="00997CD0"/>
    <w:rsid w:val="009C2588"/>
    <w:rsid w:val="009C783A"/>
    <w:rsid w:val="009D5C72"/>
    <w:rsid w:val="009E0E56"/>
    <w:rsid w:val="00A11ED9"/>
    <w:rsid w:val="00A268BA"/>
    <w:rsid w:val="00A27862"/>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63F7"/>
    <w:rsid w:val="00B00853"/>
    <w:rsid w:val="00B03325"/>
    <w:rsid w:val="00B17F19"/>
    <w:rsid w:val="00B20746"/>
    <w:rsid w:val="00B20DAD"/>
    <w:rsid w:val="00B4146A"/>
    <w:rsid w:val="00B51DC4"/>
    <w:rsid w:val="00B54D8C"/>
    <w:rsid w:val="00B61822"/>
    <w:rsid w:val="00B8131A"/>
    <w:rsid w:val="00B8146B"/>
    <w:rsid w:val="00B92119"/>
    <w:rsid w:val="00BB6706"/>
    <w:rsid w:val="00BC13AB"/>
    <w:rsid w:val="00BD5897"/>
    <w:rsid w:val="00BE6AC6"/>
    <w:rsid w:val="00C04C9B"/>
    <w:rsid w:val="00C109B6"/>
    <w:rsid w:val="00C12CF7"/>
    <w:rsid w:val="00C165E5"/>
    <w:rsid w:val="00C51DC6"/>
    <w:rsid w:val="00C55860"/>
    <w:rsid w:val="00C564BD"/>
    <w:rsid w:val="00C72E27"/>
    <w:rsid w:val="00C738FE"/>
    <w:rsid w:val="00C773CD"/>
    <w:rsid w:val="00C8252D"/>
    <w:rsid w:val="00C8445F"/>
    <w:rsid w:val="00CB66C3"/>
    <w:rsid w:val="00CC008E"/>
    <w:rsid w:val="00CC3DFE"/>
    <w:rsid w:val="00CD1B78"/>
    <w:rsid w:val="00CD614E"/>
    <w:rsid w:val="00CE05B5"/>
    <w:rsid w:val="00CE5FAD"/>
    <w:rsid w:val="00CF2AF6"/>
    <w:rsid w:val="00D159D1"/>
    <w:rsid w:val="00D22839"/>
    <w:rsid w:val="00D26D90"/>
    <w:rsid w:val="00D332AF"/>
    <w:rsid w:val="00D44BA5"/>
    <w:rsid w:val="00D4601F"/>
    <w:rsid w:val="00D47C5F"/>
    <w:rsid w:val="00D67923"/>
    <w:rsid w:val="00DA2736"/>
    <w:rsid w:val="00DC2963"/>
    <w:rsid w:val="00DC3E6E"/>
    <w:rsid w:val="00DC5F2D"/>
    <w:rsid w:val="00DD74DC"/>
    <w:rsid w:val="00DE59C8"/>
    <w:rsid w:val="00DE6814"/>
    <w:rsid w:val="00DF3BEF"/>
    <w:rsid w:val="00E106EA"/>
    <w:rsid w:val="00E14F7D"/>
    <w:rsid w:val="00E26248"/>
    <w:rsid w:val="00E4238E"/>
    <w:rsid w:val="00E52AE4"/>
    <w:rsid w:val="00E55A3C"/>
    <w:rsid w:val="00E574AB"/>
    <w:rsid w:val="00E62878"/>
    <w:rsid w:val="00E63485"/>
    <w:rsid w:val="00E643A2"/>
    <w:rsid w:val="00E8788E"/>
    <w:rsid w:val="00E87A59"/>
    <w:rsid w:val="00EA4E24"/>
    <w:rsid w:val="00EB006C"/>
    <w:rsid w:val="00EC54A1"/>
    <w:rsid w:val="00EC6E02"/>
    <w:rsid w:val="00EC724B"/>
    <w:rsid w:val="00EF096E"/>
    <w:rsid w:val="00F1516F"/>
    <w:rsid w:val="00F15ACB"/>
    <w:rsid w:val="00F425D9"/>
    <w:rsid w:val="00F47388"/>
    <w:rsid w:val="00F5389C"/>
    <w:rsid w:val="00F70CB1"/>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5F"/>
    <w:pPr>
      <w:ind w:left="720"/>
      <w:contextualSpacing/>
    </w:pPr>
  </w:style>
  <w:style w:type="character" w:customStyle="1" w:styleId="FooterChar">
    <w:name w:val="Footer Char"/>
    <w:basedOn w:val="DefaultParagraphFont"/>
    <w:link w:val="Footer"/>
    <w:rsid w:val="00B54D8C"/>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7C2A42"/>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studygroups/template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3@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othergroups/tal/index.asp" TargetMode="External"/><Relationship Id="rId4" Type="http://schemas.openxmlformats.org/officeDocument/2006/relationships/webSettings" Target="webSettings.xml"/><Relationship Id="rId9" Type="http://schemas.openxmlformats.org/officeDocument/2006/relationships/hyperlink" Target="http://www.itu.int/md/T09-SG3RG.LAC-R-0001/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2</TotalTime>
  <Pages>3</Pages>
  <Words>1004</Words>
  <Characters>5639</Characters>
  <Application>Microsoft Office Word</Application>
  <DocSecurity>0</DocSecurity>
  <Lines>181</Lines>
  <Paragraphs>114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6529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comas</cp:lastModifiedBy>
  <cp:revision>5</cp:revision>
  <cp:lastPrinted>2010-04-27T14:09:00Z</cp:lastPrinted>
  <dcterms:created xsi:type="dcterms:W3CDTF">2010-04-28T08:34:00Z</dcterms:created>
  <dcterms:modified xsi:type="dcterms:W3CDTF">2010-04-28T15:31:00Z</dcterms:modified>
</cp:coreProperties>
</file>