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B29E8" w:rsidTr="000A3B54">
        <w:trPr>
          <w:cantSplit/>
        </w:trPr>
        <w:tc>
          <w:tcPr>
            <w:tcW w:w="6911" w:type="dxa"/>
          </w:tcPr>
          <w:p w:rsidR="00F96AB4" w:rsidRPr="007B29E8" w:rsidRDefault="00F96AB4" w:rsidP="000A3B5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B29E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7B29E8">
              <w:rPr>
                <w:rFonts w:ascii="Verdana" w:hAnsi="Verdana"/>
                <w:szCs w:val="22"/>
                <w:lang w:val="ru-RU"/>
              </w:rPr>
              <w:br/>
            </w:r>
            <w:r w:rsidRPr="007B29E8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7B29E8" w:rsidRDefault="00F96AB4" w:rsidP="000A3B54">
            <w:pPr>
              <w:rPr>
                <w:lang w:val="ru-RU"/>
              </w:rPr>
            </w:pPr>
            <w:bookmarkStart w:id="1" w:name="ditulogo"/>
            <w:bookmarkEnd w:id="1"/>
            <w:r w:rsidRPr="007B29E8">
              <w:rPr>
                <w:noProof/>
                <w:lang w:val="en-US" w:eastAsia="zh-CN"/>
              </w:rPr>
              <w:drawing>
                <wp:inline distT="0" distB="0" distL="0" distR="0" wp14:anchorId="16794D51" wp14:editId="4697C87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B29E8" w:rsidTr="000A3B5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7B29E8" w:rsidRDefault="00F96AB4" w:rsidP="005A478E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7B29E8" w:rsidRDefault="00F96AB4" w:rsidP="005A478E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7B29E8" w:rsidTr="000A3B5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7B29E8" w:rsidRDefault="00F96AB4" w:rsidP="005A478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7B29E8" w:rsidRDefault="00F96AB4" w:rsidP="005A478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7B29E8" w:rsidTr="000A3B54">
        <w:trPr>
          <w:cantSplit/>
        </w:trPr>
        <w:tc>
          <w:tcPr>
            <w:tcW w:w="6911" w:type="dxa"/>
          </w:tcPr>
          <w:p w:rsidR="00131286" w:rsidRPr="007B29E8" w:rsidRDefault="00131286" w:rsidP="005A478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B29E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7B29E8" w:rsidRDefault="00131286" w:rsidP="00970C2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970C20" w:rsidRPr="007B29E8">
              <w:rPr>
                <w:rFonts w:cstheme="minorHAnsi"/>
                <w:b/>
                <w:bCs/>
                <w:szCs w:val="28"/>
                <w:lang w:val="ru-RU"/>
              </w:rPr>
              <w:t>62</w:t>
            </w:r>
            <w:r w:rsidRPr="007B29E8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7B29E8" w:rsidTr="000A3B54">
        <w:trPr>
          <w:cantSplit/>
        </w:trPr>
        <w:tc>
          <w:tcPr>
            <w:tcW w:w="6911" w:type="dxa"/>
          </w:tcPr>
          <w:p w:rsidR="00131286" w:rsidRPr="007B29E8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7B29E8" w:rsidRDefault="00970C20" w:rsidP="00970C20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B29E8">
              <w:rPr>
                <w:rFonts w:cstheme="minorHAnsi"/>
                <w:b/>
                <w:bCs/>
                <w:szCs w:val="28"/>
                <w:lang w:val="ru-RU"/>
              </w:rPr>
              <w:t>8 августа</w:t>
            </w:r>
            <w:r w:rsidR="00131286"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5A478E" w:rsidRPr="007B29E8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7B29E8" w:rsidTr="000A3B54">
        <w:trPr>
          <w:cantSplit/>
        </w:trPr>
        <w:tc>
          <w:tcPr>
            <w:tcW w:w="6911" w:type="dxa"/>
          </w:tcPr>
          <w:p w:rsidR="00131286" w:rsidRPr="007B29E8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7B29E8" w:rsidRDefault="00131286" w:rsidP="00970C20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970C20" w:rsidRPr="007B29E8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131286" w:rsidRPr="007B29E8" w:rsidTr="000A3B54">
        <w:trPr>
          <w:cantSplit/>
        </w:trPr>
        <w:tc>
          <w:tcPr>
            <w:tcW w:w="10031" w:type="dxa"/>
            <w:gridSpan w:val="2"/>
          </w:tcPr>
          <w:p w:rsidR="00131286" w:rsidRPr="007B29E8" w:rsidRDefault="00131286" w:rsidP="005A478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7B29E8" w:rsidTr="000A3B54">
        <w:trPr>
          <w:cantSplit/>
        </w:trPr>
        <w:tc>
          <w:tcPr>
            <w:tcW w:w="10031" w:type="dxa"/>
            <w:gridSpan w:val="2"/>
          </w:tcPr>
          <w:p w:rsidR="00131286" w:rsidRPr="007B29E8" w:rsidRDefault="005F10D8" w:rsidP="001C54A8">
            <w:pPr>
              <w:pStyle w:val="Source"/>
              <w:framePr w:hSpace="0" w:wrap="auto" w:hAnchor="text" w:yAlign="inline"/>
              <w:rPr>
                <w:caps/>
                <w:lang w:val="ru-RU"/>
              </w:rPr>
            </w:pPr>
            <w:bookmarkStart w:id="4" w:name="dtitle1" w:colFirst="0" w:colLast="0"/>
            <w:r w:rsidRPr="007B29E8">
              <w:rPr>
                <w:lang w:val="ru-RU"/>
              </w:rPr>
              <w:t>Отчет</w:t>
            </w:r>
            <w:r w:rsidR="00970C20" w:rsidRPr="007B29E8">
              <w:rPr>
                <w:lang w:val="ru-RU"/>
              </w:rPr>
              <w:t xml:space="preserve"> Генерального секретаря</w:t>
            </w:r>
          </w:p>
        </w:tc>
      </w:tr>
      <w:tr w:rsidR="00131286" w:rsidRPr="00D85DF9" w:rsidTr="000A3B54">
        <w:trPr>
          <w:cantSplit/>
        </w:trPr>
        <w:tc>
          <w:tcPr>
            <w:tcW w:w="10031" w:type="dxa"/>
            <w:gridSpan w:val="2"/>
          </w:tcPr>
          <w:p w:rsidR="00131286" w:rsidRPr="007B29E8" w:rsidRDefault="00970C20" w:rsidP="00DB7222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2" w:colFirst="0" w:colLast="0"/>
            <w:bookmarkEnd w:id="4"/>
            <w:r w:rsidRPr="007B29E8">
              <w:rPr>
                <w:lang w:val="ru-RU"/>
              </w:rPr>
              <w:t>РОЛЬ МСЭ как КОНТРОЛИРУЮЩЕГО ОРГАНА МЕЖДУНАРОДНОЙ</w:t>
            </w:r>
            <w:r w:rsidR="00DB7222">
              <w:rPr>
                <w:lang w:val="ru-RU"/>
              </w:rPr>
              <w:t xml:space="preserve"> </w:t>
            </w:r>
            <w:r w:rsidRPr="007B29E8">
              <w:rPr>
                <w:lang w:val="ru-RU"/>
              </w:rPr>
              <w:t>СИСТЕМЫ РЕГИСТРАЦИИ КОСМИЧЕСКих средств В СООТВЕТСТВИИ</w:t>
            </w:r>
            <w:r w:rsidRPr="007B29E8">
              <w:rPr>
                <w:lang w:val="ru-RU"/>
              </w:rPr>
              <w:br/>
              <w:t>С ПРОТОКОЛом пО КОСМИЧЕСКиМ средствам</w:t>
            </w:r>
          </w:p>
        </w:tc>
      </w:tr>
      <w:bookmarkEnd w:id="5"/>
    </w:tbl>
    <w:p w:rsidR="00970C20" w:rsidRPr="007B29E8" w:rsidRDefault="00970C20" w:rsidP="00970C20">
      <w:pPr>
        <w:rPr>
          <w:rFonts w:asciiTheme="minorHAnsi" w:hAnsiTheme="minorHAnsi"/>
          <w:szCs w:val="22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70C20" w:rsidRPr="00D85DF9" w:rsidTr="000A3B5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C20" w:rsidRPr="007B29E8" w:rsidRDefault="00970C20" w:rsidP="00E442BC">
            <w:pPr>
              <w:pStyle w:val="Headingb"/>
              <w:rPr>
                <w:lang w:val="ru-RU"/>
              </w:rPr>
            </w:pPr>
            <w:bookmarkStart w:id="6" w:name="_Toc305764050"/>
            <w:r w:rsidRPr="007B29E8">
              <w:rPr>
                <w:lang w:val="ru-RU"/>
              </w:rPr>
              <w:t>Резюме</w:t>
            </w:r>
            <w:bookmarkEnd w:id="6"/>
          </w:p>
          <w:p w:rsidR="00970C20" w:rsidRPr="007B29E8" w:rsidRDefault="00320D5A" w:rsidP="00E442BC">
            <w:pPr>
              <w:rPr>
                <w:b/>
                <w:bCs/>
                <w:lang w:val="ru-RU"/>
              </w:rPr>
            </w:pPr>
            <w:r w:rsidRPr="007B29E8">
              <w:rPr>
                <w:lang w:val="ru-RU"/>
              </w:rPr>
              <w:t>На протяжении последних нескольких лет Международный союз электросвязи (МСЭ) проявляет серьезный интерес к выполнению функций контролирующего органа будущей Международной системы регистрации космических средств в соответствии с Протоколом по космическим средствам</w:t>
            </w:r>
            <w:r w:rsidR="00970C20" w:rsidRPr="007B29E8">
              <w:rPr>
                <w:lang w:val="ru-RU"/>
              </w:rPr>
              <w:t xml:space="preserve">. </w:t>
            </w:r>
            <w:r w:rsidR="005F10D8" w:rsidRPr="007B29E8">
              <w:rPr>
                <w:lang w:val="ru-RU"/>
              </w:rPr>
              <w:t>Настоящий отчет составлен по итогам сессий Совета</w:t>
            </w:r>
            <w:r w:rsidR="00970C20" w:rsidRPr="007B29E8">
              <w:rPr>
                <w:rFonts w:cstheme="minorHAnsi"/>
                <w:lang w:val="ru-RU"/>
              </w:rPr>
              <w:t xml:space="preserve"> 2011, 2012, 2013 </w:t>
            </w:r>
            <w:r w:rsidR="005F10D8" w:rsidRPr="007B29E8">
              <w:rPr>
                <w:rFonts w:cstheme="minorHAnsi"/>
                <w:lang w:val="ru-RU"/>
              </w:rPr>
              <w:t>и</w:t>
            </w:r>
            <w:r w:rsidR="00970C20" w:rsidRPr="007B29E8">
              <w:rPr>
                <w:rFonts w:cstheme="minorHAnsi"/>
                <w:lang w:val="ru-RU"/>
              </w:rPr>
              <w:t xml:space="preserve"> 2014 </w:t>
            </w:r>
            <w:r w:rsidR="005F10D8" w:rsidRPr="007B29E8">
              <w:rPr>
                <w:rFonts w:cstheme="minorHAnsi"/>
                <w:lang w:val="ru-RU"/>
              </w:rPr>
              <w:t>годов, а также 1-й и 2</w:t>
            </w:r>
            <w:r w:rsidR="00E442BC" w:rsidRPr="007B29E8">
              <w:rPr>
                <w:rFonts w:cstheme="minorHAnsi"/>
                <w:lang w:val="ru-RU"/>
              </w:rPr>
              <w:noBreakHyphen/>
            </w:r>
            <w:r w:rsidR="005F10D8" w:rsidRPr="007B29E8">
              <w:rPr>
                <w:rFonts w:cstheme="minorHAnsi"/>
                <w:lang w:val="ru-RU"/>
              </w:rPr>
              <w:t>й</w:t>
            </w:r>
            <w:r w:rsidR="00E442BC" w:rsidRPr="007B29E8">
              <w:rPr>
                <w:rFonts w:cstheme="minorHAnsi"/>
                <w:lang w:val="ru-RU"/>
              </w:rPr>
              <w:t> </w:t>
            </w:r>
            <w:r w:rsidR="005F10D8" w:rsidRPr="007B29E8">
              <w:rPr>
                <w:rFonts w:cstheme="minorHAnsi"/>
                <w:lang w:val="ru-RU"/>
              </w:rPr>
              <w:t>сессий Подготовительной комиссии относительно возможной рол</w:t>
            </w:r>
            <w:r w:rsidR="00C12B54" w:rsidRPr="007B29E8">
              <w:rPr>
                <w:rFonts w:cstheme="minorHAnsi"/>
                <w:lang w:val="ru-RU"/>
              </w:rPr>
              <w:t xml:space="preserve">и МСЭ как </w:t>
            </w:r>
            <w:r w:rsidR="00C12B54" w:rsidRPr="007B29E8">
              <w:rPr>
                <w:lang w:val="ru-RU"/>
              </w:rPr>
              <w:t>контролирующего органа Международной системы регистрации космических средств и содержит справочную информацию, разъяснения и информацию в этом отношении</w:t>
            </w:r>
            <w:r w:rsidR="00970C20" w:rsidRPr="007B29E8">
              <w:rPr>
                <w:rFonts w:cstheme="minorHAnsi"/>
                <w:lang w:val="ru-RU"/>
              </w:rPr>
              <w:t>.</w:t>
            </w:r>
          </w:p>
          <w:p w:rsidR="00970C20" w:rsidRPr="007B29E8" w:rsidRDefault="00C12B54" w:rsidP="00E442BC">
            <w:pPr>
              <w:pStyle w:val="Headingb"/>
              <w:rPr>
                <w:lang w:val="ru-RU"/>
              </w:rPr>
            </w:pPr>
            <w:bookmarkStart w:id="7" w:name="_Toc305764051"/>
            <w:r w:rsidRPr="007B29E8">
              <w:rPr>
                <w:lang w:val="ru-RU"/>
              </w:rPr>
              <w:t>Необходимые действия</w:t>
            </w:r>
            <w:bookmarkEnd w:id="7"/>
          </w:p>
          <w:p w:rsidR="00970C20" w:rsidRPr="007B29E8" w:rsidRDefault="00C12B54" w:rsidP="00E442BC">
            <w:pPr>
              <w:rPr>
                <w:rFonts w:cs="Calibri"/>
                <w:lang w:val="ru-RU"/>
              </w:rPr>
            </w:pPr>
            <w:r w:rsidRPr="007B29E8">
              <w:rPr>
                <w:lang w:val="ru-RU"/>
              </w:rPr>
              <w:t>Настоящий отчет направляется Полномочной конференции для рассмотрения и принятия соответствующих мер</w:t>
            </w:r>
            <w:r w:rsidR="00970C20" w:rsidRPr="007B29E8">
              <w:rPr>
                <w:lang w:val="ru-RU"/>
              </w:rPr>
              <w:t>.</w:t>
            </w:r>
          </w:p>
          <w:p w:rsidR="00970C20" w:rsidRPr="007B29E8" w:rsidRDefault="00970C20" w:rsidP="00E442BC">
            <w:pPr>
              <w:pStyle w:val="Table"/>
              <w:keepNext w:val="0"/>
              <w:spacing w:before="0"/>
              <w:rPr>
                <w:rFonts w:asciiTheme="minorHAnsi" w:hAnsiTheme="minorHAnsi"/>
                <w:caps w:val="0"/>
                <w:szCs w:val="24"/>
                <w:lang w:val="ru-RU"/>
              </w:rPr>
            </w:pPr>
            <w:r w:rsidRPr="007B29E8">
              <w:rPr>
                <w:rFonts w:asciiTheme="minorHAnsi" w:hAnsiTheme="minorHAnsi"/>
                <w:caps w:val="0"/>
                <w:szCs w:val="24"/>
                <w:lang w:val="ru-RU"/>
              </w:rPr>
              <w:t>____________</w:t>
            </w:r>
          </w:p>
          <w:p w:rsidR="00970C20" w:rsidRPr="007B29E8" w:rsidRDefault="00C12B54" w:rsidP="00E442BC">
            <w:pPr>
              <w:pStyle w:val="Headingb"/>
              <w:rPr>
                <w:lang w:val="ru-RU"/>
              </w:rPr>
            </w:pPr>
            <w:r w:rsidRPr="007B29E8">
              <w:rPr>
                <w:lang w:val="ru-RU"/>
              </w:rPr>
              <w:t>Справочные материалы</w:t>
            </w:r>
          </w:p>
          <w:p w:rsidR="00970C20" w:rsidRPr="007B29E8" w:rsidRDefault="00C12B54" w:rsidP="001C54A8">
            <w:pPr>
              <w:spacing w:after="120"/>
              <w:rPr>
                <w:rFonts w:asciiTheme="minorHAnsi" w:hAnsiTheme="minorHAnsi"/>
                <w:i/>
                <w:iCs/>
                <w:szCs w:val="22"/>
                <w:lang w:val="ru-RU"/>
              </w:rPr>
            </w:pPr>
            <w:r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>Документы</w:t>
            </w:r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 </w:t>
            </w:r>
            <w:hyperlink r:id="rId8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C11/26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9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C11/92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0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C11/100(Rev.1))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1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C11/120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C12/36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3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C12/68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4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C12/77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5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C12/94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6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C13/15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7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C13/55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8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C13/78</w:t>
              </w:r>
            </w:hyperlink>
            <w:r w:rsidR="00970C20" w:rsidRPr="007B29E8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9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C13/107</w:t>
              </w:r>
            </w:hyperlink>
            <w:r w:rsidR="00970C20" w:rsidRPr="001C54A8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  <w:lang w:val="ru-RU"/>
              </w:rPr>
              <w:t xml:space="preserve">, </w:t>
            </w:r>
            <w:hyperlink r:id="rId20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C14/13</w:t>
              </w:r>
            </w:hyperlink>
            <w:r w:rsidR="00970C20" w:rsidRPr="001C54A8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  <w:lang w:val="ru-RU"/>
              </w:rPr>
              <w:t xml:space="preserve">, </w:t>
            </w:r>
            <w:hyperlink r:id="rId21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C14/INF/12</w:t>
              </w:r>
            </w:hyperlink>
            <w:r w:rsidR="00970C20" w:rsidRPr="001C54A8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  <w:lang w:val="ru-RU"/>
              </w:rPr>
              <w:t xml:space="preserve">, </w:t>
            </w:r>
            <w:hyperlink r:id="rId22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C14/51</w:t>
              </w:r>
            </w:hyperlink>
            <w:r w:rsidR="00970C20" w:rsidRPr="001C54A8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  <w:lang w:val="ru-RU"/>
              </w:rPr>
              <w:t xml:space="preserve">, </w:t>
            </w:r>
            <w:hyperlink r:id="rId23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C14/65</w:t>
              </w:r>
            </w:hyperlink>
            <w:r w:rsidR="00970C20" w:rsidRPr="001C54A8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  <w:lang w:val="ru-RU"/>
              </w:rPr>
              <w:t xml:space="preserve">, </w:t>
            </w:r>
            <w:hyperlink r:id="rId24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C14/71</w:t>
              </w:r>
            </w:hyperlink>
            <w:r w:rsidR="00970C20" w:rsidRPr="001C54A8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  <w:lang w:val="ru-RU"/>
              </w:rPr>
              <w:t xml:space="preserve">, </w:t>
            </w:r>
            <w:hyperlink r:id="rId25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C14/94</w:t>
              </w:r>
            </w:hyperlink>
            <w:r w:rsidR="00970C20" w:rsidRPr="001C54A8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  <w:lang w:val="ru-RU"/>
              </w:rPr>
              <w:t xml:space="preserve">, </w:t>
            </w:r>
            <w:hyperlink r:id="rId26" w:history="1">
              <w:r w:rsidR="00970C20" w:rsidRPr="007B29E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C14/96</w:t>
              </w:r>
            </w:hyperlink>
          </w:p>
        </w:tc>
      </w:tr>
    </w:tbl>
    <w:p w:rsidR="00970C20" w:rsidRPr="007B29E8" w:rsidRDefault="00970C20" w:rsidP="00E442BC">
      <w:pPr>
        <w:pStyle w:val="Heading1"/>
        <w:rPr>
          <w:rFonts w:cs="Segoe UI"/>
          <w:lang w:val="ru-RU"/>
        </w:rPr>
      </w:pPr>
      <w:r w:rsidRPr="007B29E8">
        <w:rPr>
          <w:rFonts w:eastAsiaTheme="minorEastAsia"/>
          <w:lang w:val="ru-RU" w:eastAsia="zh-CN"/>
        </w:rPr>
        <w:t>1</w:t>
      </w:r>
      <w:r w:rsidRPr="007B29E8">
        <w:rPr>
          <w:rFonts w:eastAsiaTheme="minorEastAsia"/>
          <w:lang w:val="ru-RU" w:eastAsia="zh-CN"/>
        </w:rPr>
        <w:tab/>
      </w:r>
      <w:r w:rsidR="00C12B54" w:rsidRPr="007B29E8">
        <w:rPr>
          <w:rFonts w:eastAsiaTheme="minorEastAsia"/>
          <w:lang w:val="ru-RU" w:eastAsia="zh-CN"/>
        </w:rPr>
        <w:t>Совет</w:t>
      </w:r>
      <w:r w:rsidRPr="007B29E8">
        <w:rPr>
          <w:rFonts w:eastAsiaTheme="minorEastAsia"/>
          <w:lang w:val="ru-RU" w:eastAsia="zh-CN"/>
        </w:rPr>
        <w:t xml:space="preserve"> 2011</w:t>
      </w:r>
      <w:r w:rsidR="00C12B54" w:rsidRPr="007B29E8">
        <w:rPr>
          <w:rFonts w:eastAsiaTheme="minorEastAsia"/>
          <w:lang w:val="ru-RU" w:eastAsia="zh-CN"/>
        </w:rPr>
        <w:t> года</w:t>
      </w:r>
    </w:p>
    <w:p w:rsidR="00970C20" w:rsidRPr="007B29E8" w:rsidRDefault="00970C20" w:rsidP="00E442BC">
      <w:pPr>
        <w:rPr>
          <w:rFonts w:cs="Segoe UI"/>
          <w:lang w:val="ru-RU"/>
        </w:rPr>
      </w:pPr>
      <w:r w:rsidRPr="007B29E8">
        <w:rPr>
          <w:rFonts w:cs="Segoe UI"/>
          <w:lang w:val="ru-RU"/>
        </w:rPr>
        <w:t>1.1</w:t>
      </w:r>
      <w:r w:rsidRPr="007B29E8">
        <w:rPr>
          <w:rFonts w:cs="Segoe UI"/>
          <w:lang w:val="ru-RU"/>
        </w:rPr>
        <w:tab/>
      </w:r>
      <w:r w:rsidR="003D2E0B" w:rsidRPr="007B29E8">
        <w:rPr>
          <w:rFonts w:cs="Segoe UI"/>
          <w:lang w:val="ru-RU"/>
        </w:rPr>
        <w:t xml:space="preserve">Роль МСЭ как контролирующего органа </w:t>
      </w:r>
      <w:r w:rsidR="003D2E0B" w:rsidRPr="007B29E8">
        <w:rPr>
          <w:lang w:val="ru-RU"/>
        </w:rPr>
        <w:t>будущей Международной системы регистрации космических средств в соответствии с Протоколом по космическим средствам</w:t>
      </w:r>
      <w:r w:rsidR="003D2E0B" w:rsidRPr="007B29E8">
        <w:rPr>
          <w:rFonts w:cs="Segoe UI"/>
          <w:lang w:val="ru-RU"/>
        </w:rPr>
        <w:t xml:space="preserve"> первый раз обсуждалась на сессии Совета 2011 года</w:t>
      </w:r>
      <w:r w:rsidRPr="007B29E8">
        <w:rPr>
          <w:rFonts w:cs="Segoe UI"/>
          <w:lang w:val="ru-RU"/>
        </w:rPr>
        <w:t xml:space="preserve">. </w:t>
      </w:r>
      <w:r w:rsidR="00DB3385" w:rsidRPr="007B29E8">
        <w:rPr>
          <w:szCs w:val="22"/>
          <w:lang w:val="ru-RU"/>
        </w:rPr>
        <w:t>Генеральный секретарь заявил, что принятие этого протокола может стать важной вехой для отрасли и не будет иметь финансовых последствий для контролирующего органа, поскольку деятельность последнего будет финансироваться из сборов за международную регистрацию</w:t>
      </w:r>
      <w:r w:rsidRPr="007B29E8">
        <w:rPr>
          <w:rFonts w:cs="Segoe UI"/>
          <w:lang w:val="ru-RU"/>
        </w:rPr>
        <w:t xml:space="preserve">. </w:t>
      </w:r>
      <w:r w:rsidR="00DB3385" w:rsidRPr="007B29E8">
        <w:rPr>
          <w:rFonts w:cs="Segoe UI"/>
          <w:lang w:val="ru-RU"/>
        </w:rPr>
        <w:t>Он призвал Советников не упустить открывающуюся перед МСЭ возможность</w:t>
      </w:r>
      <w:r w:rsidRPr="007B29E8">
        <w:rPr>
          <w:rFonts w:cs="Segoe UI"/>
          <w:lang w:val="ru-RU"/>
        </w:rPr>
        <w:t>.</w:t>
      </w:r>
    </w:p>
    <w:p w:rsidR="00970C20" w:rsidRPr="007B29E8" w:rsidRDefault="00970C20" w:rsidP="00E442BC">
      <w:pPr>
        <w:rPr>
          <w:rFonts w:cs="Segoe UI"/>
          <w:lang w:val="ru-RU"/>
        </w:rPr>
      </w:pPr>
      <w:r w:rsidRPr="007B29E8">
        <w:rPr>
          <w:rFonts w:cs="Segoe UI"/>
          <w:lang w:val="ru-RU"/>
        </w:rPr>
        <w:lastRenderedPageBreak/>
        <w:t>1.2</w:t>
      </w:r>
      <w:r w:rsidRPr="007B29E8">
        <w:rPr>
          <w:rFonts w:cs="Segoe UI"/>
          <w:lang w:val="ru-RU"/>
        </w:rPr>
        <w:tab/>
      </w:r>
      <w:r w:rsidR="00221BAB" w:rsidRPr="007B29E8">
        <w:rPr>
          <w:rFonts w:cs="Segoe UI"/>
          <w:lang w:val="ru-RU"/>
        </w:rPr>
        <w:t>Основные вопросы, обсуждавшиеся на сессии Совета 2011 года, касались</w:t>
      </w:r>
      <w:r w:rsidR="00221BAB" w:rsidRPr="007B29E8">
        <w:rPr>
          <w:rFonts w:eastAsia="BatangChe"/>
          <w:lang w:val="ru-RU"/>
        </w:rPr>
        <w:t xml:space="preserve"> сферы ответственности контролирующего органа и его обязательств, а также масштаба и определения правоприменения, судебного процесса, ответственности, разрешения споров, финансовых последствий, подотчетности и ответственности. Вопросы, поднимавшиеся Государствами-Членами, обсуждались на Совете, и ожидалось, что определенные вопросы будут прояснены на Дипломатической конференции в Берлине в 2012 году</w:t>
      </w:r>
      <w:r w:rsidRPr="007B29E8">
        <w:rPr>
          <w:rFonts w:cs="Segoe UI"/>
          <w:lang w:val="ru-RU"/>
        </w:rPr>
        <w:t>.</w:t>
      </w:r>
    </w:p>
    <w:p w:rsidR="00970C20" w:rsidRPr="007B29E8" w:rsidRDefault="00970C20" w:rsidP="00E442BC">
      <w:pPr>
        <w:rPr>
          <w:rFonts w:cs="Segoe UI"/>
          <w:sz w:val="24"/>
          <w:szCs w:val="28"/>
          <w:lang w:val="ru-RU"/>
        </w:rPr>
      </w:pPr>
      <w:r w:rsidRPr="007B29E8">
        <w:rPr>
          <w:rFonts w:cs="Segoe UI"/>
          <w:lang w:val="ru-RU"/>
        </w:rPr>
        <w:t>1.3</w:t>
      </w:r>
      <w:r w:rsidRPr="007B29E8">
        <w:rPr>
          <w:rFonts w:cs="Segoe UI"/>
          <w:lang w:val="ru-RU"/>
        </w:rPr>
        <w:tab/>
      </w:r>
      <w:r w:rsidR="00221BAB" w:rsidRPr="007B29E8">
        <w:rPr>
          <w:szCs w:val="22"/>
          <w:lang w:val="ru-RU"/>
        </w:rPr>
        <w:t>Совет принял решение уполномочить Генерального секретаря принять участие в Берлинской конференции в качестве наблюдателя, соглашаясь с тем, что не следует предрешать вопрос о том, может ли МСЭ стать контролирующим органом, но что Генеральный секретарь может продолжать выражать заинтересованность</w:t>
      </w:r>
      <w:r w:rsidRPr="007B29E8">
        <w:rPr>
          <w:rFonts w:cs="Segoe UI"/>
          <w:lang w:val="ru-RU"/>
        </w:rPr>
        <w:t xml:space="preserve"> (</w:t>
      </w:r>
      <w:r w:rsidR="00221BAB" w:rsidRPr="007B29E8">
        <w:rPr>
          <w:rFonts w:cs="Segoe UI"/>
          <w:lang w:val="ru-RU"/>
        </w:rPr>
        <w:t>см. Документ </w:t>
      </w:r>
      <w:hyperlink r:id="rId27" w:history="1">
        <w:r w:rsidR="001C54A8">
          <w:rPr>
            <w:rStyle w:val="Hyperlink"/>
            <w:rFonts w:asciiTheme="minorHAnsi" w:hAnsiTheme="minorHAnsi" w:cs="Segoe UI"/>
            <w:szCs w:val="24"/>
            <w:lang w:val="ru-RU"/>
          </w:rPr>
          <w:t>C11/100</w:t>
        </w:r>
        <w:r w:rsidRPr="007B29E8">
          <w:rPr>
            <w:rStyle w:val="Hyperlink"/>
            <w:rFonts w:asciiTheme="minorHAnsi" w:hAnsiTheme="minorHAnsi" w:cs="Segoe UI"/>
            <w:szCs w:val="24"/>
            <w:lang w:val="ru-RU"/>
          </w:rPr>
          <w:t>(Rev.1)</w:t>
        </w:r>
      </w:hyperlink>
      <w:r w:rsidRPr="007B29E8">
        <w:rPr>
          <w:rFonts w:cs="Segoe UI"/>
          <w:lang w:val="ru-RU"/>
        </w:rPr>
        <w:t xml:space="preserve">). </w:t>
      </w:r>
      <w:r w:rsidR="00221BAB" w:rsidRPr="007B29E8">
        <w:rPr>
          <w:szCs w:val="22"/>
          <w:lang w:val="ru-RU"/>
        </w:rPr>
        <w:t>Генеральный секретарь должен был представить отчет Совету 2012 года, который будет далее рассматривать этот вопрос в свете решений, принятых Дипломатической конференцией, принимая во внимание финансовые, юридические и технические последствия.</w:t>
      </w:r>
    </w:p>
    <w:p w:rsidR="00970C20" w:rsidRPr="007B29E8" w:rsidRDefault="00970C20" w:rsidP="00E442BC">
      <w:pPr>
        <w:pStyle w:val="Heading1"/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2</w:t>
      </w:r>
      <w:r w:rsidRPr="007B29E8">
        <w:rPr>
          <w:rFonts w:eastAsiaTheme="minorEastAsia"/>
          <w:lang w:val="ru-RU" w:eastAsia="zh-CN"/>
        </w:rPr>
        <w:tab/>
      </w:r>
      <w:r w:rsidR="00221BAB" w:rsidRPr="007B29E8">
        <w:rPr>
          <w:rFonts w:eastAsiaTheme="minorEastAsia"/>
          <w:lang w:val="ru-RU" w:eastAsia="zh-CN"/>
        </w:rPr>
        <w:t>Дипломатическая конференция</w:t>
      </w:r>
      <w:r w:rsidRPr="007B29E8">
        <w:rPr>
          <w:rFonts w:eastAsiaTheme="minorEastAsia"/>
          <w:lang w:val="ru-RU" w:eastAsia="zh-CN"/>
        </w:rPr>
        <w:t xml:space="preserve"> (</w:t>
      </w:r>
      <w:r w:rsidR="00221BAB" w:rsidRPr="007B29E8">
        <w:rPr>
          <w:rFonts w:eastAsiaTheme="minorEastAsia"/>
          <w:lang w:val="ru-RU" w:eastAsia="zh-CN"/>
        </w:rPr>
        <w:t>Берлин</w:t>
      </w:r>
      <w:r w:rsidRPr="007B29E8">
        <w:rPr>
          <w:rFonts w:eastAsiaTheme="minorEastAsia"/>
          <w:lang w:val="ru-RU" w:eastAsia="zh-CN"/>
        </w:rPr>
        <w:t xml:space="preserve">, 27 </w:t>
      </w:r>
      <w:r w:rsidR="00221BAB" w:rsidRPr="007B29E8">
        <w:rPr>
          <w:rFonts w:eastAsiaTheme="minorEastAsia"/>
          <w:lang w:val="ru-RU" w:eastAsia="zh-CN"/>
        </w:rPr>
        <w:t>февраля</w:t>
      </w:r>
      <w:r w:rsidRPr="007B29E8">
        <w:rPr>
          <w:rFonts w:eastAsiaTheme="minorEastAsia"/>
          <w:lang w:val="ru-RU" w:eastAsia="zh-CN"/>
        </w:rPr>
        <w:t xml:space="preserve"> </w:t>
      </w:r>
      <w:r w:rsidR="00221BAB" w:rsidRPr="007B29E8">
        <w:rPr>
          <w:rFonts w:eastAsiaTheme="minorEastAsia"/>
          <w:lang w:val="ru-RU" w:eastAsia="zh-CN"/>
        </w:rPr>
        <w:t>–</w:t>
      </w:r>
      <w:r w:rsidRPr="007B29E8">
        <w:rPr>
          <w:rFonts w:eastAsiaTheme="minorEastAsia"/>
          <w:lang w:val="ru-RU" w:eastAsia="zh-CN"/>
        </w:rPr>
        <w:t xml:space="preserve"> 9 </w:t>
      </w:r>
      <w:r w:rsidR="00221BAB" w:rsidRPr="007B29E8">
        <w:rPr>
          <w:rFonts w:eastAsiaTheme="minorEastAsia"/>
          <w:lang w:val="ru-RU" w:eastAsia="zh-CN"/>
        </w:rPr>
        <w:t>марта</w:t>
      </w:r>
      <w:r w:rsidRPr="007B29E8">
        <w:rPr>
          <w:rFonts w:eastAsiaTheme="minorEastAsia"/>
          <w:lang w:val="ru-RU" w:eastAsia="zh-CN"/>
        </w:rPr>
        <w:t xml:space="preserve"> 2012</w:t>
      </w:r>
      <w:r w:rsidR="00221BAB" w:rsidRPr="007B29E8">
        <w:rPr>
          <w:rFonts w:eastAsiaTheme="minorEastAsia"/>
          <w:lang w:val="ru-RU" w:eastAsia="zh-CN"/>
        </w:rPr>
        <w:t> г</w:t>
      </w:r>
      <w:r w:rsidR="001C54A8">
        <w:rPr>
          <w:rFonts w:eastAsiaTheme="minorEastAsia"/>
          <w:lang w:val="ru-RU" w:eastAsia="zh-CN"/>
        </w:rPr>
        <w:t>.</w:t>
      </w:r>
      <w:r w:rsidRPr="007B29E8">
        <w:rPr>
          <w:rFonts w:eastAsiaTheme="minorEastAsia"/>
          <w:lang w:val="ru-RU" w:eastAsia="zh-CN"/>
        </w:rPr>
        <w:t>)</w:t>
      </w:r>
    </w:p>
    <w:p w:rsidR="00970C20" w:rsidRPr="007B29E8" w:rsidRDefault="00970C20" w:rsidP="00E442BC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2.1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221BAB" w:rsidRPr="007B29E8">
        <w:rPr>
          <w:rFonts w:eastAsia="SimSun"/>
          <w:lang w:val="ru-RU" w:eastAsia="zh-CN"/>
        </w:rPr>
        <w:t>Д</w:t>
      </w:r>
      <w:r w:rsidR="00221BAB" w:rsidRPr="007B29E8">
        <w:rPr>
          <w:lang w:val="ru-RU"/>
        </w:rPr>
        <w:t xml:space="preserve">ипломатическая </w:t>
      </w:r>
      <w:r w:rsidR="007029DA" w:rsidRPr="007B29E8">
        <w:rPr>
          <w:lang w:val="ru-RU"/>
        </w:rPr>
        <w:t>к</w:t>
      </w:r>
      <w:r w:rsidR="00221BAB" w:rsidRPr="007B29E8">
        <w:rPr>
          <w:lang w:val="ru-RU"/>
        </w:rPr>
        <w:t>онференция для принятия Протокола к Конвенции о международных гарантиях в отношении подвижного оборудования</w:t>
      </w:r>
      <w:r w:rsidR="00221BAB" w:rsidRPr="007B29E8">
        <w:rPr>
          <w:lang w:val="ru-RU" w:eastAsia="zh-CN"/>
        </w:rPr>
        <w:t xml:space="preserve"> проходила под эгидой </w:t>
      </w:r>
      <w:r w:rsidR="00221BAB" w:rsidRPr="007B29E8">
        <w:rPr>
          <w:lang w:val="ru-RU"/>
        </w:rPr>
        <w:t>УНИДРУА</w:t>
      </w:r>
      <w:r w:rsidR="00221BAB" w:rsidRPr="007B29E8">
        <w:rPr>
          <w:rStyle w:val="FootnoteReference"/>
          <w:rFonts w:eastAsiaTheme="minorEastAsia" w:cs="Calibri"/>
          <w:szCs w:val="24"/>
          <w:lang w:val="ru-RU" w:eastAsia="zh-CN"/>
        </w:rPr>
        <w:footnoteReference w:id="1"/>
      </w:r>
      <w:r w:rsidR="00221BAB" w:rsidRPr="007B29E8">
        <w:rPr>
          <w:rFonts w:eastAsiaTheme="minorEastAsia" w:cs="Calibri"/>
          <w:szCs w:val="24"/>
          <w:lang w:val="ru-RU" w:eastAsia="zh-CN"/>
        </w:rPr>
        <w:t xml:space="preserve"> </w:t>
      </w:r>
      <w:r w:rsidR="00221BAB" w:rsidRPr="007B29E8">
        <w:rPr>
          <w:lang w:val="ru-RU" w:eastAsia="zh-CN"/>
        </w:rPr>
        <w:t>и по приглашению правительства Федеративной Республики Германии в Берлине с 27 февраля по 9 марта 2012 года. В </w:t>
      </w:r>
      <w:r w:rsidR="007029DA" w:rsidRPr="007B29E8">
        <w:rPr>
          <w:lang w:val="ru-RU" w:eastAsia="zh-CN"/>
        </w:rPr>
        <w:t>Д</w:t>
      </w:r>
      <w:r w:rsidR="00221BAB" w:rsidRPr="007B29E8">
        <w:rPr>
          <w:lang w:val="ru-RU" w:eastAsia="zh-CN"/>
        </w:rPr>
        <w:t xml:space="preserve">ипломатической </w:t>
      </w:r>
      <w:r w:rsidR="007029DA" w:rsidRPr="007B29E8">
        <w:rPr>
          <w:lang w:val="ru-RU" w:eastAsia="zh-CN"/>
        </w:rPr>
        <w:t>к</w:t>
      </w:r>
      <w:r w:rsidR="00221BAB" w:rsidRPr="007B29E8">
        <w:rPr>
          <w:lang w:val="ru-RU" w:eastAsia="zh-CN"/>
        </w:rPr>
        <w:t>онференции приняли участие сорок государств и десять международных организаций, включая МСЭ</w:t>
      </w:r>
      <w:r w:rsidRPr="007B29E8">
        <w:rPr>
          <w:rFonts w:eastAsiaTheme="minorEastAsia" w:cs="Calibri"/>
          <w:szCs w:val="24"/>
          <w:lang w:val="ru-RU" w:eastAsia="zh-CN"/>
        </w:rPr>
        <w:t>.</w:t>
      </w:r>
    </w:p>
    <w:p w:rsidR="00970C20" w:rsidRPr="007B29E8" w:rsidRDefault="00970C20" w:rsidP="00E442BC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2.2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283CEF" w:rsidRPr="007B29E8">
        <w:rPr>
          <w:rFonts w:eastAsia="SimSun"/>
          <w:lang w:val="ru-RU" w:eastAsia="zh-CN"/>
        </w:rPr>
        <w:t xml:space="preserve">Конференция приняла текст </w:t>
      </w:r>
      <w:hyperlink r:id="rId28" w:history="1">
        <w:r w:rsidR="00283CEF" w:rsidRPr="007B29E8">
          <w:rPr>
            <w:rStyle w:val="Hyperlink"/>
            <w:lang w:val="ru-RU"/>
          </w:rPr>
          <w:t>Протокола к Конвенции о международных гарантиях в отношении подвижного оборудования</w:t>
        </w:r>
      </w:hyperlink>
      <w:r w:rsidR="00283CEF" w:rsidRPr="007B29E8">
        <w:rPr>
          <w:rFonts w:eastAsia="SimSun"/>
          <w:i/>
          <w:iCs/>
          <w:lang w:val="ru-RU" w:eastAsia="zh-CN"/>
        </w:rPr>
        <w:t xml:space="preserve"> </w:t>
      </w:r>
      <w:r w:rsidR="00283CEF" w:rsidRPr="007B29E8">
        <w:rPr>
          <w:rFonts w:eastAsia="SimSun"/>
          <w:lang w:val="ru-RU" w:eastAsia="zh-CN"/>
        </w:rPr>
        <w:t>(Протокол по космическим средствам), а также путем консенсуса пять Резолюций, содержащиеся в приложениях к</w:t>
      </w:r>
      <w:r w:rsidR="00283CEF" w:rsidRPr="007B29E8">
        <w:rPr>
          <w:color w:val="000000"/>
          <w:lang w:val="ru-RU" w:eastAsia="zh-CN"/>
        </w:rPr>
        <w:t xml:space="preserve"> </w:t>
      </w:r>
      <w:hyperlink r:id="rId29" w:history="1">
        <w:r w:rsidR="00283CEF" w:rsidRPr="007B29E8">
          <w:rPr>
            <w:rStyle w:val="Hyperlink"/>
            <w:lang w:val="ru-RU" w:eastAsia="zh-CN"/>
          </w:rPr>
          <w:t>Заключительному акту</w:t>
        </w:r>
        <w:r w:rsidR="00283CEF" w:rsidRPr="007B29E8">
          <w:rPr>
            <w:rStyle w:val="Hyperlink"/>
            <w:rFonts w:eastAsia="SimSun"/>
            <w:lang w:val="ru-RU" w:eastAsia="zh-CN"/>
          </w:rPr>
          <w:t xml:space="preserve"> </w:t>
        </w:r>
        <w:r w:rsidR="007029DA" w:rsidRPr="007B29E8">
          <w:rPr>
            <w:rStyle w:val="Hyperlink"/>
            <w:lang w:val="ru-RU"/>
          </w:rPr>
          <w:t>Дипломатической к</w:t>
        </w:r>
        <w:r w:rsidR="00283CEF" w:rsidRPr="007B29E8">
          <w:rPr>
            <w:rStyle w:val="Hyperlink"/>
            <w:lang w:val="ru-RU"/>
          </w:rPr>
          <w:t>онференции</w:t>
        </w:r>
      </w:hyperlink>
      <w:r w:rsidRPr="007B29E8">
        <w:rPr>
          <w:rFonts w:eastAsiaTheme="minorEastAsia" w:cs="Calibri"/>
          <w:szCs w:val="24"/>
          <w:lang w:val="ru-RU" w:eastAsia="zh-CN"/>
        </w:rPr>
        <w:t>.</w:t>
      </w:r>
    </w:p>
    <w:p w:rsidR="00970C20" w:rsidRPr="007B29E8" w:rsidRDefault="00970C20" w:rsidP="00E442BC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2.3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283CEF" w:rsidRPr="007B29E8">
        <w:rPr>
          <w:rFonts w:cs="Calibri"/>
          <w:color w:val="000000"/>
          <w:szCs w:val="22"/>
          <w:lang w:val="ru-RU" w:eastAsia="zh-CN"/>
        </w:rPr>
        <w:t xml:space="preserve">Как и поручалось Советом 2011 года, </w:t>
      </w:r>
      <w:r w:rsidR="00283CEF" w:rsidRPr="007B29E8">
        <w:rPr>
          <w:rFonts w:eastAsia="SimSun" w:cs="Calibri"/>
          <w:szCs w:val="22"/>
          <w:lang w:val="ru-RU" w:eastAsia="zh-CN"/>
        </w:rPr>
        <w:t xml:space="preserve">наблюдатель, представлявший Генерального секретаря МСЭ, выразил заинтересованность в том, чтобы МСЭ стал </w:t>
      </w:r>
      <w:r w:rsidR="00283CEF" w:rsidRPr="007B29E8">
        <w:rPr>
          <w:rFonts w:cs="Calibri"/>
          <w:szCs w:val="22"/>
          <w:lang w:val="ru-RU"/>
        </w:rPr>
        <w:t xml:space="preserve">контролирующим органом </w:t>
      </w:r>
      <w:r w:rsidR="00283CEF" w:rsidRPr="007B29E8">
        <w:rPr>
          <w:szCs w:val="22"/>
          <w:lang w:val="ru-RU"/>
        </w:rPr>
        <w:t>международного регистра космических средств</w:t>
      </w:r>
      <w:r w:rsidR="00283CEF" w:rsidRPr="007B29E8">
        <w:rPr>
          <w:rFonts w:eastAsia="SimSun" w:cs="Calibri"/>
          <w:szCs w:val="22"/>
          <w:lang w:val="ru-RU" w:eastAsia="zh-CN"/>
        </w:rPr>
        <w:t>, при условии рассмотрения этого вопроса руководящими органами МСЭ и без ущерба для решения, которое будет принято в этом отношении, в свете итогов работы этой Конференции и с учетом финансовых, юридических и технических последствий такого решения.</w:t>
      </w:r>
    </w:p>
    <w:p w:rsidR="001C53C5" w:rsidRPr="007B29E8" w:rsidRDefault="00970C20" w:rsidP="00E442BC">
      <w:pPr>
        <w:rPr>
          <w:rFonts w:eastAsia="SimSun" w:cs="Calibri"/>
          <w:szCs w:val="22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2.4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1C53C5" w:rsidRPr="007B29E8">
        <w:rPr>
          <w:rFonts w:cs="Calibri"/>
          <w:color w:val="000000"/>
          <w:szCs w:val="22"/>
          <w:lang w:val="ru-RU" w:eastAsia="zh-CN"/>
        </w:rPr>
        <w:t xml:space="preserve">Конференция приняла </w:t>
      </w:r>
      <w:hyperlink r:id="rId30" w:history="1">
        <w:r w:rsidR="001C53C5" w:rsidRPr="007B29E8">
          <w:rPr>
            <w:rStyle w:val="Hyperlink"/>
            <w:rFonts w:cs="Calibri"/>
            <w:szCs w:val="22"/>
            <w:lang w:val="ru-RU" w:eastAsia="zh-CN"/>
          </w:rPr>
          <w:t>Резолюцию 1</w:t>
        </w:r>
      </w:hyperlink>
      <w:r w:rsidR="001C53C5" w:rsidRPr="007B29E8">
        <w:rPr>
          <w:rFonts w:cs="Calibri"/>
          <w:color w:val="000000"/>
          <w:szCs w:val="22"/>
          <w:lang w:val="ru-RU" w:eastAsia="zh-CN"/>
        </w:rPr>
        <w:t xml:space="preserve">, касающуюся учреждения Подготовительной комиссии по созданию </w:t>
      </w:r>
      <w:r w:rsidR="001C53C5" w:rsidRPr="007B29E8">
        <w:rPr>
          <w:szCs w:val="22"/>
          <w:lang w:val="ru-RU"/>
        </w:rPr>
        <w:t>международного регистра космических средств</w:t>
      </w:r>
      <w:r w:rsidR="001C53C5" w:rsidRPr="007B29E8">
        <w:rPr>
          <w:rFonts w:cs="Calibri"/>
          <w:color w:val="000000"/>
          <w:szCs w:val="22"/>
          <w:lang w:val="ru-RU" w:eastAsia="zh-CN"/>
        </w:rPr>
        <w:t xml:space="preserve">, раздел </w:t>
      </w:r>
      <w:r w:rsidR="001C53C5" w:rsidRPr="007B29E8">
        <w:rPr>
          <w:rFonts w:cs="Calibri"/>
          <w:i/>
          <w:iCs/>
          <w:color w:val="000000"/>
          <w:szCs w:val="22"/>
          <w:lang w:val="ru-RU" w:eastAsia="zh-CN"/>
        </w:rPr>
        <w:t>решает</w:t>
      </w:r>
      <w:r w:rsidR="001C53C5" w:rsidRPr="007B29E8">
        <w:rPr>
          <w:rFonts w:cs="Calibri"/>
          <w:color w:val="000000"/>
          <w:szCs w:val="22"/>
          <w:lang w:val="ru-RU" w:eastAsia="zh-CN"/>
        </w:rPr>
        <w:t xml:space="preserve"> которой гласит "учредить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, до вступления в силу настоящего Протокола, </w:t>
      </w:r>
      <w:r w:rsidR="001C53C5" w:rsidRPr="007B29E8">
        <w:rPr>
          <w:rFonts w:cs="Calibri"/>
          <w:color w:val="000000"/>
          <w:szCs w:val="22"/>
          <w:lang w:val="ru-RU" w:eastAsia="zh-CN"/>
        </w:rPr>
        <w:t xml:space="preserve">Подготовительную комиссию, которая будет 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выступать в качестве полноправного временного контролирующего органа для создания международного регистра </w:t>
      </w:r>
      <w:r w:rsidR="001C53C5" w:rsidRPr="007B29E8">
        <w:rPr>
          <w:rFonts w:cs="Calibri"/>
          <w:szCs w:val="22"/>
          <w:lang w:val="ru-RU"/>
        </w:rPr>
        <w:t>космических средств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 под руководством Генеральной ассамблеи </w:t>
      </w:r>
      <w:r w:rsidR="001C53C5" w:rsidRPr="007B29E8">
        <w:rPr>
          <w:rFonts w:cs="Calibri"/>
          <w:color w:val="000000"/>
          <w:szCs w:val="22"/>
          <w:lang w:val="ru-RU"/>
        </w:rPr>
        <w:t>УНИДРУА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". Такая </w:t>
      </w:r>
      <w:r w:rsidR="001C53C5" w:rsidRPr="007B29E8">
        <w:rPr>
          <w:rFonts w:cs="Calibri"/>
          <w:color w:val="000000"/>
          <w:szCs w:val="22"/>
          <w:lang w:val="ru-RU" w:eastAsia="zh-CN"/>
        </w:rPr>
        <w:t>Подготовительная комиссия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 должна состоять из лиц, обладающих необходимыми опытом и квалификацией и назначенных одной третью договаривающихся Государств, а МСЭ, Международная организация гражданской авиации (ИКАО), </w:t>
      </w:r>
      <w:r w:rsidR="001C53C5" w:rsidRPr="007B29E8">
        <w:rPr>
          <w:rFonts w:cs="Calibri"/>
          <w:szCs w:val="22"/>
          <w:lang w:val="ru-RU"/>
        </w:rPr>
        <w:t>Межправительственная организация по международным перевозкам железнодорожным транспортом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 (OTIF), а также представители сообщества, занимающегося </w:t>
      </w:r>
      <w:r w:rsidR="001C53C5" w:rsidRPr="007B29E8">
        <w:rPr>
          <w:rFonts w:cs="Calibri"/>
          <w:color w:val="000000"/>
          <w:szCs w:val="22"/>
          <w:lang w:val="ru-RU"/>
        </w:rPr>
        <w:t>космической деятельностью на коммерческой основе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, финансовых и страховых компаний и других заинтересованных сторон приглашаются участвовать в работе </w:t>
      </w:r>
      <w:r w:rsidR="001C53C5" w:rsidRPr="007B29E8">
        <w:rPr>
          <w:rFonts w:cs="Calibri"/>
          <w:color w:val="000000"/>
          <w:szCs w:val="22"/>
          <w:lang w:val="ru-RU" w:eastAsia="zh-CN"/>
        </w:rPr>
        <w:t>Подготовительной комиссии</w:t>
      </w:r>
      <w:r w:rsidR="001C53C5" w:rsidRPr="007B29E8">
        <w:rPr>
          <w:rFonts w:eastAsia="SimSun" w:cs="Calibri"/>
          <w:szCs w:val="22"/>
          <w:lang w:val="ru-RU" w:eastAsia="zh-CN"/>
        </w:rPr>
        <w:t xml:space="preserve"> в качестве наблюдателей. </w:t>
      </w:r>
    </w:p>
    <w:p w:rsidR="001C53C5" w:rsidRPr="007B29E8" w:rsidRDefault="00970C20" w:rsidP="00E442BC">
      <w:pPr>
        <w:rPr>
          <w:rFonts w:eastAsia="SimSun" w:cs="Calibri"/>
          <w:szCs w:val="22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lastRenderedPageBreak/>
        <w:t>2.5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1C53C5" w:rsidRPr="007B29E8">
        <w:rPr>
          <w:rFonts w:eastAsia="SimSun" w:cs="Calibri"/>
          <w:szCs w:val="22"/>
          <w:lang w:val="ru-RU" w:eastAsia="zh-CN"/>
        </w:rPr>
        <w:t xml:space="preserve">В своей </w:t>
      </w:r>
      <w:hyperlink r:id="rId31" w:history="1">
        <w:r w:rsidR="001C53C5" w:rsidRPr="007B29E8">
          <w:rPr>
            <w:rStyle w:val="Hyperlink"/>
            <w:rFonts w:eastAsia="SimSun" w:cs="Calibri"/>
            <w:szCs w:val="22"/>
            <w:lang w:val="ru-RU" w:eastAsia="zh-CN"/>
          </w:rPr>
          <w:t>Резолюции 2</w:t>
        </w:r>
      </w:hyperlink>
      <w:r w:rsidR="001C53C5" w:rsidRPr="007B29E8">
        <w:rPr>
          <w:rFonts w:eastAsia="SimSun" w:cs="Calibri"/>
          <w:szCs w:val="22"/>
          <w:lang w:val="ru-RU" w:eastAsia="zh-CN"/>
        </w:rPr>
        <w:t xml:space="preserve">, касающейся создания </w:t>
      </w:r>
      <w:r w:rsidR="001C53C5" w:rsidRPr="007B29E8">
        <w:rPr>
          <w:rFonts w:cs="Calibri"/>
          <w:color w:val="000000"/>
          <w:szCs w:val="22"/>
          <w:lang w:val="ru-RU"/>
        </w:rPr>
        <w:t xml:space="preserve">контролирующего органа для </w:t>
      </w:r>
      <w:r w:rsidR="001C53C5" w:rsidRPr="007B29E8">
        <w:rPr>
          <w:szCs w:val="22"/>
          <w:lang w:val="ru-RU"/>
        </w:rPr>
        <w:t>международного регистра космических средств</w:t>
      </w:r>
      <w:r w:rsidR="001C53C5" w:rsidRPr="007B29E8">
        <w:rPr>
          <w:rFonts w:eastAsia="SimSun" w:cs="Calibri"/>
          <w:szCs w:val="22"/>
          <w:lang w:val="ru-RU" w:eastAsia="zh-CN"/>
        </w:rPr>
        <w:t>, и учитывая заинтересованность МСЭ, Конференция предлагает руководящим органам МСЭ:</w:t>
      </w:r>
    </w:p>
    <w:p w:rsidR="001C53C5" w:rsidRPr="007B29E8" w:rsidRDefault="001C53C5" w:rsidP="001C53C5">
      <w:pPr>
        <w:pStyle w:val="enumlev1"/>
        <w:rPr>
          <w:rFonts w:eastAsia="SimSun"/>
          <w:lang w:val="ru-RU" w:eastAsia="zh-CN"/>
        </w:rPr>
      </w:pPr>
      <w:r w:rsidRPr="007B29E8">
        <w:rPr>
          <w:rFonts w:eastAsia="SimSun"/>
          <w:lang w:val="ru-RU" w:eastAsia="zh-CN"/>
        </w:rPr>
        <w:t>1)</w:t>
      </w:r>
      <w:r w:rsidRPr="007B29E8">
        <w:rPr>
          <w:rFonts w:eastAsia="SimSun"/>
          <w:lang w:val="ru-RU" w:eastAsia="zh-CN"/>
        </w:rPr>
        <w:tab/>
        <w:t xml:space="preserve">рассмотреть вопрос о принятии МСЭ функций </w:t>
      </w:r>
      <w:r w:rsidRPr="007B29E8">
        <w:rPr>
          <w:color w:val="000000"/>
          <w:lang w:val="ru-RU"/>
        </w:rPr>
        <w:t xml:space="preserve">контролирующего органа </w:t>
      </w:r>
      <w:r w:rsidRPr="007B29E8">
        <w:rPr>
          <w:rFonts w:eastAsia="SimSun"/>
          <w:lang w:val="ru-RU" w:eastAsia="zh-CN"/>
        </w:rPr>
        <w:t>с момента или после вступления в силу данного Протокола и принять необходимы</w:t>
      </w:r>
      <w:r w:rsidR="00E442BC" w:rsidRPr="007B29E8">
        <w:rPr>
          <w:rFonts w:eastAsia="SimSun"/>
          <w:lang w:val="ru-RU" w:eastAsia="zh-CN"/>
        </w:rPr>
        <w:t>е меры в установленном порядке; </w:t>
      </w:r>
      <w:r w:rsidRPr="007B29E8">
        <w:rPr>
          <w:rFonts w:eastAsia="SimSun"/>
          <w:lang w:val="ru-RU" w:eastAsia="zh-CN"/>
        </w:rPr>
        <w:t>и</w:t>
      </w:r>
    </w:p>
    <w:p w:rsidR="001C53C5" w:rsidRPr="007B29E8" w:rsidRDefault="001C53C5" w:rsidP="001C53C5">
      <w:pPr>
        <w:pStyle w:val="enumlev1"/>
        <w:rPr>
          <w:rFonts w:eastAsia="SimSun"/>
          <w:lang w:val="ru-RU" w:eastAsia="zh-CN"/>
        </w:rPr>
      </w:pPr>
      <w:r w:rsidRPr="007B29E8">
        <w:rPr>
          <w:rFonts w:eastAsia="SimSun"/>
          <w:lang w:val="ru-RU" w:eastAsia="zh-CN"/>
        </w:rPr>
        <w:t>2)</w:t>
      </w:r>
      <w:r w:rsidRPr="007B29E8">
        <w:rPr>
          <w:rFonts w:eastAsia="SimSun"/>
          <w:lang w:val="ru-RU" w:eastAsia="zh-CN"/>
        </w:rPr>
        <w:tab/>
        <w:t xml:space="preserve">информировать Генерального секретаря </w:t>
      </w:r>
      <w:r w:rsidRPr="007B29E8">
        <w:rPr>
          <w:color w:val="000000"/>
          <w:lang w:val="ru-RU"/>
        </w:rPr>
        <w:t>УНИДРУА</w:t>
      </w:r>
      <w:r w:rsidRPr="007B29E8">
        <w:rPr>
          <w:rFonts w:eastAsia="SimSun"/>
          <w:lang w:val="ru-RU" w:eastAsia="zh-CN"/>
        </w:rPr>
        <w:t xml:space="preserve"> соответствующим образом.</w:t>
      </w:r>
    </w:p>
    <w:p w:rsidR="00970C20" w:rsidRPr="007B29E8" w:rsidRDefault="00970C20" w:rsidP="00E442BC">
      <w:pPr>
        <w:pStyle w:val="Heading1"/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3</w:t>
      </w:r>
      <w:r w:rsidRPr="007B29E8">
        <w:rPr>
          <w:rFonts w:eastAsiaTheme="minorEastAsia"/>
          <w:lang w:val="ru-RU" w:eastAsia="zh-CN"/>
        </w:rPr>
        <w:tab/>
      </w:r>
      <w:r w:rsidR="001C53C5" w:rsidRPr="007B29E8">
        <w:rPr>
          <w:rFonts w:eastAsiaTheme="minorEastAsia"/>
          <w:lang w:val="ru-RU" w:eastAsia="zh-CN"/>
        </w:rPr>
        <w:t>Совет</w:t>
      </w:r>
      <w:r w:rsidRPr="007B29E8">
        <w:rPr>
          <w:rFonts w:eastAsiaTheme="minorEastAsia"/>
          <w:lang w:val="ru-RU" w:eastAsia="zh-CN"/>
        </w:rPr>
        <w:t xml:space="preserve"> 2012</w:t>
      </w:r>
      <w:r w:rsidR="001C53C5" w:rsidRPr="007B29E8">
        <w:rPr>
          <w:rFonts w:eastAsiaTheme="minorEastAsia"/>
          <w:lang w:val="ru-RU" w:eastAsia="zh-CN"/>
        </w:rPr>
        <w:t xml:space="preserve"> года</w:t>
      </w:r>
    </w:p>
    <w:p w:rsidR="00970C20" w:rsidRPr="007B29E8" w:rsidRDefault="00970C20" w:rsidP="00E442BC">
      <w:pPr>
        <w:rPr>
          <w:rFonts w:eastAsiaTheme="minorEastAsia" w:cstheme="minorHAnsi"/>
          <w:lang w:val="ru-RU" w:eastAsia="zh-CN"/>
        </w:rPr>
      </w:pPr>
      <w:r w:rsidRPr="007B29E8">
        <w:rPr>
          <w:rFonts w:eastAsiaTheme="minorEastAsia" w:cs="Calibri"/>
          <w:lang w:val="ru-RU" w:eastAsia="zh-CN"/>
        </w:rPr>
        <w:t>3.1</w:t>
      </w:r>
      <w:r w:rsidRPr="007B29E8">
        <w:rPr>
          <w:rFonts w:eastAsiaTheme="minorEastAsia" w:cs="Calibri"/>
          <w:lang w:val="ru-RU" w:eastAsia="zh-CN"/>
        </w:rPr>
        <w:tab/>
      </w:r>
      <w:r w:rsidR="000700C2" w:rsidRPr="007B29E8">
        <w:rPr>
          <w:rFonts w:eastAsiaTheme="minorEastAsia" w:cs="Calibri"/>
          <w:lang w:val="ru-RU" w:eastAsia="zh-CN"/>
        </w:rPr>
        <w:t>После обсуждени</w:t>
      </w:r>
      <w:r w:rsidR="00E442BC" w:rsidRPr="007B29E8">
        <w:rPr>
          <w:rFonts w:eastAsiaTheme="minorEastAsia" w:cs="Calibri"/>
          <w:lang w:val="ru-RU" w:eastAsia="zh-CN"/>
        </w:rPr>
        <w:t>й</w:t>
      </w:r>
      <w:r w:rsidR="000700C2" w:rsidRPr="007B29E8">
        <w:rPr>
          <w:rFonts w:eastAsiaTheme="minorEastAsia" w:cs="Calibri"/>
          <w:lang w:val="ru-RU" w:eastAsia="zh-CN"/>
        </w:rPr>
        <w:t xml:space="preserve"> на сессии Совета 2011 года возможной роли МСЭ как </w:t>
      </w:r>
      <w:r w:rsidR="000700C2" w:rsidRPr="007B29E8">
        <w:rPr>
          <w:lang w:val="ru-RU"/>
        </w:rPr>
        <w:t>контролирующего органа будущей Международной системы регистрации космических средств в соответствии с проектом Протокола по космическим средствам на сессии Совета 2012 года был представлен отчет о Дипломатической конференции</w:t>
      </w:r>
      <w:r w:rsidRPr="007B29E8">
        <w:rPr>
          <w:rFonts w:eastAsiaTheme="minorEastAsia" w:cs="Calibri"/>
          <w:lang w:val="ru-RU" w:eastAsia="zh-CN"/>
        </w:rPr>
        <w:t xml:space="preserve"> (</w:t>
      </w:r>
      <w:r w:rsidR="000700C2" w:rsidRPr="007B29E8">
        <w:rPr>
          <w:rFonts w:eastAsiaTheme="minorEastAsia" w:cs="Calibri"/>
          <w:lang w:val="ru-RU" w:eastAsia="zh-CN"/>
        </w:rPr>
        <w:t>см. Документ </w:t>
      </w:r>
      <w:hyperlink r:id="rId32" w:history="1">
        <w:r w:rsidRPr="007B29E8">
          <w:rPr>
            <w:rStyle w:val="Hyperlink"/>
            <w:rFonts w:eastAsiaTheme="minorEastAsia" w:cs="Calibri"/>
            <w:szCs w:val="24"/>
            <w:lang w:val="ru-RU" w:eastAsia="zh-CN"/>
          </w:rPr>
          <w:t>C12/36</w:t>
        </w:r>
      </w:hyperlink>
      <w:r w:rsidRPr="007B29E8">
        <w:rPr>
          <w:rFonts w:eastAsiaTheme="minorEastAsia" w:cs="Calibri"/>
          <w:lang w:val="ru-RU" w:eastAsia="zh-CN"/>
        </w:rPr>
        <w:t xml:space="preserve">) </w:t>
      </w:r>
      <w:r w:rsidR="000700C2" w:rsidRPr="007B29E8">
        <w:rPr>
          <w:rFonts w:eastAsiaTheme="minorEastAsia" w:cs="Calibri"/>
          <w:lang w:val="ru-RU" w:eastAsia="zh-CN"/>
        </w:rPr>
        <w:t>с предлагаемыми последующими действиями</w:t>
      </w:r>
      <w:r w:rsidRPr="007B29E8">
        <w:rPr>
          <w:rFonts w:eastAsiaTheme="minorEastAsia" w:cs="Calibri"/>
          <w:lang w:val="ru-RU" w:eastAsia="zh-CN"/>
        </w:rPr>
        <w:t xml:space="preserve">. </w:t>
      </w:r>
      <w:r w:rsidR="000700C2" w:rsidRPr="007B29E8">
        <w:rPr>
          <w:rFonts w:eastAsiaTheme="minorEastAsia" w:cs="Calibri"/>
          <w:lang w:val="ru-RU" w:eastAsia="zh-CN"/>
        </w:rPr>
        <w:t>Совет</w:t>
      </w:r>
      <w:r w:rsidRPr="007B29E8">
        <w:rPr>
          <w:rFonts w:eastAsiaTheme="minorEastAsia" w:cs="Calibri"/>
          <w:lang w:val="ru-RU" w:eastAsia="zh-CN"/>
        </w:rPr>
        <w:t xml:space="preserve"> 2012</w:t>
      </w:r>
      <w:r w:rsidR="000700C2" w:rsidRPr="007B29E8">
        <w:rPr>
          <w:rFonts w:eastAsiaTheme="minorEastAsia" w:cs="Calibri"/>
          <w:lang w:val="ru-RU" w:eastAsia="zh-CN"/>
        </w:rPr>
        <w:t xml:space="preserve"> года принял решение </w:t>
      </w:r>
      <w:r w:rsidR="000700C2" w:rsidRPr="007B29E8">
        <w:rPr>
          <w:color w:val="000000"/>
          <w:lang w:val="ru-RU"/>
        </w:rPr>
        <w:t>уполномочить Генерального секретаря</w:t>
      </w:r>
      <w:r w:rsidR="000700C2" w:rsidRPr="007B29E8">
        <w:rPr>
          <w:rFonts w:eastAsia="SimSun"/>
          <w:lang w:val="ru-RU" w:eastAsia="zh-CN"/>
        </w:rPr>
        <w:t xml:space="preserve"> и далее выражать заинтересованность в том, чтобы МСЭ стал </w:t>
      </w:r>
      <w:r w:rsidR="000700C2" w:rsidRPr="007B29E8">
        <w:rPr>
          <w:lang w:val="ru-RU"/>
        </w:rPr>
        <w:t>контролирующим органом</w:t>
      </w:r>
      <w:r w:rsidR="000700C2" w:rsidRPr="007B29E8">
        <w:rPr>
          <w:rFonts w:eastAsia="SimSun"/>
          <w:lang w:val="ru-RU" w:eastAsia="zh-CN"/>
        </w:rPr>
        <w:t>, отметив при этом тот факт, что на данном этапе н</w:t>
      </w:r>
      <w:r w:rsidR="000700C2" w:rsidRPr="007B29E8">
        <w:rPr>
          <w:color w:val="000000"/>
          <w:lang w:val="ru-RU"/>
        </w:rPr>
        <w:t>е следовало бы выносить суждение по вопросу о том, мог ли бы МСЭ стать контролирующим органом, а также принял решение уполномочить Генерального секретаря или его представителя</w:t>
      </w:r>
      <w:r w:rsidR="000700C2" w:rsidRPr="007B29E8">
        <w:rPr>
          <w:rFonts w:eastAsia="SimSun"/>
          <w:lang w:val="ru-RU" w:eastAsia="zh-CN"/>
        </w:rPr>
        <w:t xml:space="preserve"> принять участие в качестве наблюдателя в работе Подготовительной комиссии, после того как она будет создана.</w:t>
      </w:r>
      <w:r w:rsidRPr="007B29E8">
        <w:rPr>
          <w:rFonts w:eastAsiaTheme="minorEastAsia" w:cs="Calibri"/>
          <w:lang w:val="ru-RU" w:eastAsia="zh-CN"/>
        </w:rPr>
        <w:t xml:space="preserve"> </w:t>
      </w:r>
      <w:r w:rsidR="000700C2" w:rsidRPr="007B29E8">
        <w:rPr>
          <w:color w:val="000000"/>
          <w:lang w:val="ru-RU"/>
        </w:rPr>
        <w:t xml:space="preserve">Генеральному секретарю было предложено представить отчет сессии Совета 2013 года, которая рассмотрит этот вопрос с учетом работы по созданию Подготовительной комиссии и достигнутого прогресса, если таковой будет иметься, </w:t>
      </w:r>
      <w:r w:rsidR="000700C2" w:rsidRPr="007B29E8">
        <w:rPr>
          <w:rFonts w:eastAsia="SimSun"/>
          <w:lang w:val="ru-RU" w:eastAsia="zh-CN"/>
        </w:rPr>
        <w:t xml:space="preserve">а также </w:t>
      </w:r>
      <w:r w:rsidR="000700C2" w:rsidRPr="007B29E8">
        <w:rPr>
          <w:color w:val="000000"/>
          <w:lang w:val="ru-RU"/>
        </w:rPr>
        <w:t>финансовых, юридических и технических последствий для МСЭ</w:t>
      </w:r>
      <w:r w:rsidRPr="007B29E8">
        <w:rPr>
          <w:rFonts w:eastAsiaTheme="minorEastAsia" w:cs="Calibri"/>
          <w:lang w:val="ru-RU" w:eastAsia="zh-CN"/>
        </w:rPr>
        <w:t>.</w:t>
      </w:r>
    </w:p>
    <w:p w:rsidR="00970C20" w:rsidRPr="007B29E8" w:rsidRDefault="00970C20" w:rsidP="00E442BC">
      <w:pPr>
        <w:pStyle w:val="Heading1"/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4</w:t>
      </w:r>
      <w:r w:rsidRPr="007B29E8">
        <w:rPr>
          <w:rFonts w:eastAsiaTheme="minorEastAsia"/>
          <w:lang w:val="ru-RU" w:eastAsia="zh-CN"/>
        </w:rPr>
        <w:tab/>
      </w:r>
      <w:r w:rsidR="001D2573" w:rsidRPr="007B29E8">
        <w:rPr>
          <w:rFonts w:eastAsiaTheme="minorEastAsia"/>
          <w:lang w:val="ru-RU" w:eastAsia="zh-CN"/>
        </w:rPr>
        <w:t>Подготовительная комиссия</w:t>
      </w:r>
      <w:r w:rsidRPr="007B29E8">
        <w:rPr>
          <w:rFonts w:eastAsiaTheme="minorEastAsia"/>
          <w:lang w:val="ru-RU" w:eastAsia="zh-CN"/>
        </w:rPr>
        <w:t xml:space="preserve"> (</w:t>
      </w:r>
      <w:r w:rsidR="001D2573" w:rsidRPr="007B29E8">
        <w:rPr>
          <w:rFonts w:eastAsiaTheme="minorEastAsia"/>
          <w:lang w:val="ru-RU" w:eastAsia="zh-CN"/>
        </w:rPr>
        <w:t>Рим</w:t>
      </w:r>
      <w:r w:rsidRPr="007B29E8">
        <w:rPr>
          <w:rFonts w:eastAsiaTheme="minorEastAsia"/>
          <w:lang w:val="ru-RU" w:eastAsia="zh-CN"/>
        </w:rPr>
        <w:t>, 1</w:t>
      </w:r>
      <w:r w:rsidR="001D2573" w:rsidRPr="007B29E8">
        <w:rPr>
          <w:rFonts w:eastAsiaTheme="minorEastAsia"/>
          <w:lang w:val="ru-RU" w:eastAsia="zh-CN"/>
        </w:rPr>
        <w:t>-я сессия</w:t>
      </w:r>
      <w:r w:rsidRPr="007B29E8">
        <w:rPr>
          <w:rFonts w:eastAsiaTheme="minorEastAsia"/>
          <w:lang w:val="ru-RU" w:eastAsia="zh-CN"/>
        </w:rPr>
        <w:t>, 6</w:t>
      </w:r>
      <w:r w:rsidR="001D2573" w:rsidRPr="007B29E8">
        <w:rPr>
          <w:rFonts w:eastAsiaTheme="minorEastAsia"/>
          <w:lang w:val="ru-RU" w:eastAsia="zh-CN"/>
        </w:rPr>
        <w:t>–</w:t>
      </w:r>
      <w:r w:rsidRPr="007B29E8">
        <w:rPr>
          <w:rFonts w:eastAsiaTheme="minorEastAsia"/>
          <w:lang w:val="ru-RU" w:eastAsia="zh-CN"/>
        </w:rPr>
        <w:t xml:space="preserve">7 </w:t>
      </w:r>
      <w:r w:rsidR="001D2573" w:rsidRPr="007B29E8">
        <w:rPr>
          <w:rFonts w:eastAsiaTheme="minorEastAsia"/>
          <w:lang w:val="ru-RU" w:eastAsia="zh-CN"/>
        </w:rPr>
        <w:t>мая</w:t>
      </w:r>
      <w:r w:rsidRPr="007B29E8">
        <w:rPr>
          <w:rFonts w:eastAsiaTheme="minorEastAsia"/>
          <w:lang w:val="ru-RU" w:eastAsia="zh-CN"/>
        </w:rPr>
        <w:t xml:space="preserve"> 2013</w:t>
      </w:r>
      <w:r w:rsidR="001D2573" w:rsidRPr="007B29E8">
        <w:rPr>
          <w:rFonts w:eastAsiaTheme="minorEastAsia"/>
          <w:lang w:val="ru-RU" w:eastAsia="zh-CN"/>
        </w:rPr>
        <w:t> г</w:t>
      </w:r>
      <w:r w:rsidR="00E442BC" w:rsidRPr="007B29E8">
        <w:rPr>
          <w:rFonts w:eastAsiaTheme="minorEastAsia"/>
          <w:lang w:val="ru-RU" w:eastAsia="zh-CN"/>
        </w:rPr>
        <w:t>.</w:t>
      </w:r>
      <w:r w:rsidRPr="007B29E8">
        <w:rPr>
          <w:rFonts w:eastAsiaTheme="minorEastAsia"/>
          <w:lang w:val="ru-RU" w:eastAsia="zh-CN"/>
        </w:rPr>
        <w:t>)</w:t>
      </w:r>
    </w:p>
    <w:p w:rsidR="00970C20" w:rsidRPr="007B29E8" w:rsidRDefault="00970C20" w:rsidP="00E442BC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4.1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1D2573" w:rsidRPr="007B29E8">
        <w:rPr>
          <w:lang w:val="ru-RU"/>
        </w:rPr>
        <w:t>Первая сессия Подготовительной комиссии по созданию Международного регистра космических средств в соответствии с Протоколом по космическим средствам</w:t>
      </w:r>
      <w:r w:rsidR="00DB7222">
        <w:rPr>
          <w:lang w:val="ru-RU"/>
        </w:rPr>
        <w:t>, состоялась в штаб</w:t>
      </w:r>
      <w:r w:rsidR="00DB7222">
        <w:rPr>
          <w:lang w:val="ru-RU"/>
        </w:rPr>
        <w:noBreakHyphen/>
      </w:r>
      <w:r w:rsidR="001D2573" w:rsidRPr="007B29E8">
        <w:rPr>
          <w:lang w:val="ru-RU"/>
        </w:rPr>
        <w:t xml:space="preserve">квартире </w:t>
      </w:r>
      <w:r w:rsidR="001D2573" w:rsidRPr="007B29E8">
        <w:rPr>
          <w:smallCaps/>
          <w:lang w:val="ru-RU"/>
        </w:rPr>
        <w:t>УНИДРУА</w:t>
      </w:r>
      <w:r w:rsidR="001D2573" w:rsidRPr="007B29E8">
        <w:rPr>
          <w:lang w:val="ru-RU"/>
        </w:rPr>
        <w:t xml:space="preserve"> в Риме 6 и 7 мая 2013 года</w:t>
      </w:r>
      <w:r w:rsidRPr="007B29E8">
        <w:rPr>
          <w:rFonts w:eastAsiaTheme="minorEastAsia" w:cs="Calibri"/>
          <w:szCs w:val="24"/>
          <w:lang w:val="ru-RU" w:eastAsia="zh-CN"/>
        </w:rPr>
        <w:t xml:space="preserve">. </w:t>
      </w:r>
      <w:r w:rsidR="001D2573" w:rsidRPr="007B29E8">
        <w:rPr>
          <w:rFonts w:eastAsiaTheme="minorEastAsia" w:cs="Calibri"/>
          <w:szCs w:val="24"/>
          <w:lang w:val="ru-RU" w:eastAsia="zh-CN"/>
        </w:rPr>
        <w:t xml:space="preserve">Согласно Резолюции 1 Дипломатической конференции относительно </w:t>
      </w:r>
      <w:r w:rsidR="001D2573" w:rsidRPr="007B29E8">
        <w:rPr>
          <w:rFonts w:cs="Calibri"/>
          <w:color w:val="000000"/>
          <w:szCs w:val="22"/>
          <w:lang w:val="ru-RU" w:eastAsia="zh-CN"/>
        </w:rPr>
        <w:t xml:space="preserve">учреждения Подготовительной комиссии и до вступления в силу Протокола Комиссия в настоящее время </w:t>
      </w:r>
      <w:r w:rsidR="001D2573" w:rsidRPr="007B29E8">
        <w:rPr>
          <w:rFonts w:eastAsia="SimSun" w:cs="Calibri"/>
          <w:szCs w:val="22"/>
          <w:lang w:val="ru-RU" w:eastAsia="zh-CN"/>
        </w:rPr>
        <w:t>выступает в качестве полноправного временного контролирующего органа</w:t>
      </w:r>
      <w:r w:rsidRPr="007B29E8">
        <w:rPr>
          <w:rFonts w:eastAsiaTheme="minorEastAsia" w:cs="Calibri"/>
          <w:szCs w:val="24"/>
          <w:lang w:val="ru-RU" w:eastAsia="zh-CN"/>
        </w:rPr>
        <w:t>.</w:t>
      </w:r>
    </w:p>
    <w:p w:rsidR="00970C20" w:rsidRPr="007B29E8" w:rsidRDefault="00970C20" w:rsidP="00E442BC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4.2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1D2573" w:rsidRPr="007B29E8">
        <w:rPr>
          <w:lang w:val="ru-RU"/>
        </w:rPr>
        <w:t xml:space="preserve">Комиссия создала две рабочие группы: </w:t>
      </w:r>
      <w:r w:rsidR="001D2573" w:rsidRPr="007B29E8">
        <w:rPr>
          <w:iCs/>
          <w:lang w:val="ru-RU"/>
        </w:rPr>
        <w:t xml:space="preserve">Рабочую группу I по разработке проекта правил для </w:t>
      </w:r>
      <w:r w:rsidR="001D2573" w:rsidRPr="007B29E8">
        <w:rPr>
          <w:lang w:val="ru-RU"/>
        </w:rPr>
        <w:t>Международного регистра космических средств, под председательством г-на Игоря Порохина (Российская Федерация), с участием Китайской Народной Республики, Франции,</w:t>
      </w:r>
      <w:r w:rsidR="001D2573" w:rsidRPr="007B29E8">
        <w:rPr>
          <w:iCs/>
          <w:lang w:val="ru-RU"/>
        </w:rPr>
        <w:t xml:space="preserve"> Германии, Российской Федерации, Южно-Африканской Республики, Соединенных Штатов Америки, а также </w:t>
      </w:r>
      <w:r w:rsidR="001D2573" w:rsidRPr="007B29E8">
        <w:rPr>
          <w:lang w:val="ru-RU"/>
        </w:rPr>
        <w:t xml:space="preserve">МСЭ, </w:t>
      </w:r>
      <w:r w:rsidR="001D2573" w:rsidRPr="007B29E8">
        <w:rPr>
          <w:iCs/>
          <w:lang w:val="ru-RU"/>
        </w:rPr>
        <w:t xml:space="preserve">SES и Thales Alenia Space, в качестве наблюдателей; и Рабочую группу II по подготовке проекта запроса предложений с целью выбора регистратора для регистра космических средств, под председательством г-на </w:t>
      </w:r>
      <w:r w:rsidR="001D2573" w:rsidRPr="007B29E8">
        <w:rPr>
          <w:lang w:val="ru-RU"/>
        </w:rPr>
        <w:t>Бернхарда Шмидт-Тедда (Германия), с участием Китайской Народной Республики, Чешской Республики, Франции, Германии, Италии, Российской Федерации, а также МСЭ, в качестве наблюдателя.</w:t>
      </w:r>
      <w:r w:rsidR="000A3B54" w:rsidRPr="007B29E8">
        <w:rPr>
          <w:lang w:val="ru-RU"/>
        </w:rPr>
        <w:t xml:space="preserve"> Комиссия также согласовала временные рамки, согласно которым собрание Рабочей группы</w:t>
      </w:r>
      <w:r w:rsidR="000A3B54" w:rsidRPr="007B29E8">
        <w:rPr>
          <w:rFonts w:eastAsiaTheme="minorEastAsia" w:cs="Calibri"/>
          <w:szCs w:val="24"/>
          <w:lang w:val="ru-RU" w:eastAsia="zh-CN"/>
        </w:rPr>
        <w:t> </w:t>
      </w:r>
      <w:r w:rsidRPr="007B29E8">
        <w:rPr>
          <w:rFonts w:eastAsiaTheme="minorEastAsia" w:cs="Calibri"/>
          <w:szCs w:val="24"/>
          <w:lang w:val="ru-RU" w:eastAsia="zh-CN"/>
        </w:rPr>
        <w:t xml:space="preserve">I </w:t>
      </w:r>
      <w:r w:rsidR="000A3B54" w:rsidRPr="007B29E8">
        <w:rPr>
          <w:rFonts w:eastAsiaTheme="minorEastAsia" w:cs="Calibri"/>
          <w:szCs w:val="24"/>
          <w:lang w:val="ru-RU" w:eastAsia="zh-CN"/>
        </w:rPr>
        <w:t xml:space="preserve">пройдет в начале </w:t>
      </w:r>
      <w:r w:rsidRPr="007B29E8">
        <w:rPr>
          <w:rFonts w:eastAsiaTheme="minorEastAsia" w:cs="Calibri"/>
          <w:szCs w:val="24"/>
          <w:lang w:val="ru-RU" w:eastAsia="zh-CN"/>
        </w:rPr>
        <w:t>2014</w:t>
      </w:r>
      <w:r w:rsidR="000A3B54" w:rsidRPr="007B29E8">
        <w:rPr>
          <w:rFonts w:eastAsiaTheme="minorEastAsia" w:cs="Calibri"/>
          <w:szCs w:val="24"/>
          <w:lang w:val="ru-RU" w:eastAsia="zh-CN"/>
        </w:rPr>
        <w:t> года,</w:t>
      </w:r>
      <w:r w:rsidRPr="007B29E8">
        <w:rPr>
          <w:rFonts w:eastAsiaTheme="minorEastAsia" w:cs="Calibri"/>
          <w:szCs w:val="24"/>
          <w:lang w:val="ru-RU" w:eastAsia="zh-CN"/>
        </w:rPr>
        <w:t xml:space="preserve"> </w:t>
      </w:r>
      <w:r w:rsidR="000A3B54" w:rsidRPr="007B29E8">
        <w:rPr>
          <w:rFonts w:eastAsiaTheme="minorEastAsia" w:cs="Calibri"/>
          <w:szCs w:val="24"/>
          <w:lang w:val="ru-RU" w:eastAsia="zh-CN"/>
        </w:rPr>
        <w:t>в зависимости от проведенной межсессионной работы, и за ним может последовать собрание Рабочей группы </w:t>
      </w:r>
      <w:r w:rsidRPr="007B29E8">
        <w:rPr>
          <w:rFonts w:eastAsiaTheme="minorEastAsia" w:cs="Calibri"/>
          <w:szCs w:val="24"/>
          <w:lang w:val="ru-RU" w:eastAsia="zh-CN"/>
        </w:rPr>
        <w:t xml:space="preserve">II </w:t>
      </w:r>
      <w:r w:rsidR="000A3B54" w:rsidRPr="007B29E8">
        <w:rPr>
          <w:rFonts w:eastAsiaTheme="minorEastAsia" w:cs="Calibri"/>
          <w:szCs w:val="24"/>
          <w:lang w:val="ru-RU" w:eastAsia="zh-CN"/>
        </w:rPr>
        <w:t>в апреле</w:t>
      </w:r>
      <w:r w:rsidRPr="007B29E8">
        <w:rPr>
          <w:rFonts w:eastAsiaTheme="minorEastAsia" w:cs="Calibri"/>
          <w:szCs w:val="24"/>
          <w:lang w:val="ru-RU" w:eastAsia="zh-CN"/>
        </w:rPr>
        <w:t xml:space="preserve"> 2014</w:t>
      </w:r>
      <w:r w:rsidR="000A3B54" w:rsidRPr="007B29E8">
        <w:rPr>
          <w:rFonts w:eastAsiaTheme="minorEastAsia" w:cs="Calibri"/>
          <w:szCs w:val="24"/>
          <w:lang w:val="ru-RU" w:eastAsia="zh-CN"/>
        </w:rPr>
        <w:t> года</w:t>
      </w:r>
      <w:r w:rsidRPr="007B29E8">
        <w:rPr>
          <w:rFonts w:eastAsiaTheme="minorEastAsia" w:cs="Calibri"/>
          <w:szCs w:val="24"/>
          <w:lang w:val="ru-RU" w:eastAsia="zh-CN"/>
        </w:rPr>
        <w:t>.</w:t>
      </w:r>
    </w:p>
    <w:p w:rsidR="00970C20" w:rsidRPr="007B29E8" w:rsidRDefault="00970C20" w:rsidP="00E442BC">
      <w:pPr>
        <w:pStyle w:val="Heading1"/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5</w:t>
      </w:r>
      <w:r w:rsidRPr="007B29E8">
        <w:rPr>
          <w:rFonts w:eastAsiaTheme="minorEastAsia"/>
          <w:lang w:val="ru-RU" w:eastAsia="zh-CN"/>
        </w:rPr>
        <w:tab/>
      </w:r>
      <w:r w:rsidR="000A3B54" w:rsidRPr="007B29E8">
        <w:rPr>
          <w:rFonts w:eastAsiaTheme="minorEastAsia"/>
          <w:lang w:val="ru-RU" w:eastAsia="zh-CN"/>
        </w:rPr>
        <w:t>Совет</w:t>
      </w:r>
      <w:r w:rsidRPr="007B29E8">
        <w:rPr>
          <w:rFonts w:eastAsiaTheme="minorEastAsia"/>
          <w:lang w:val="ru-RU" w:eastAsia="zh-CN"/>
        </w:rPr>
        <w:t xml:space="preserve"> 2013</w:t>
      </w:r>
      <w:r w:rsidR="000A3B54" w:rsidRPr="007B29E8">
        <w:rPr>
          <w:rFonts w:eastAsiaTheme="minorEastAsia"/>
          <w:lang w:val="ru-RU" w:eastAsia="zh-CN"/>
        </w:rPr>
        <w:t> года</w:t>
      </w:r>
    </w:p>
    <w:p w:rsidR="00970C20" w:rsidRPr="007B29E8" w:rsidRDefault="00970C20" w:rsidP="00E442BC">
      <w:pPr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5.1</w:t>
      </w:r>
      <w:r w:rsidRPr="007B29E8">
        <w:rPr>
          <w:rFonts w:eastAsiaTheme="minorEastAsia"/>
          <w:lang w:val="ru-RU" w:eastAsia="zh-CN"/>
        </w:rPr>
        <w:tab/>
      </w:r>
      <w:r w:rsidR="00DD5B47" w:rsidRPr="007B29E8">
        <w:rPr>
          <w:rFonts w:eastAsiaTheme="minorEastAsia"/>
          <w:lang w:val="ru-RU" w:eastAsia="zh-CN"/>
        </w:rPr>
        <w:t>В качестве последующей меры, связанной с обсуждениями, прошедшими на сессии Совета</w:t>
      </w:r>
      <w:r w:rsidRPr="007B29E8">
        <w:rPr>
          <w:rFonts w:eastAsiaTheme="minorEastAsia"/>
          <w:lang w:val="ru-RU" w:eastAsia="zh-CN"/>
        </w:rPr>
        <w:t xml:space="preserve"> 2012</w:t>
      </w:r>
      <w:r w:rsidR="00DD5B47" w:rsidRPr="007B29E8">
        <w:rPr>
          <w:rFonts w:eastAsiaTheme="minorEastAsia"/>
          <w:lang w:val="ru-RU" w:eastAsia="zh-CN"/>
        </w:rPr>
        <w:t> года и первой сессии Подготовительной комиссии, прошедшей в Риме 6 и 7 мая 2013 года</w:t>
      </w:r>
      <w:r w:rsidRPr="007B29E8">
        <w:rPr>
          <w:rFonts w:eastAsiaTheme="minorEastAsia"/>
          <w:lang w:val="ru-RU" w:eastAsia="zh-CN"/>
        </w:rPr>
        <w:t xml:space="preserve"> (</w:t>
      </w:r>
      <w:r w:rsidR="00DB7222">
        <w:rPr>
          <w:rFonts w:eastAsiaTheme="minorEastAsia"/>
          <w:lang w:val="ru-RU" w:eastAsia="zh-CN"/>
        </w:rPr>
        <w:t>см. </w:t>
      </w:r>
      <w:r w:rsidR="00DD5B47" w:rsidRPr="007B29E8">
        <w:rPr>
          <w:rFonts w:eastAsiaTheme="minorEastAsia"/>
          <w:lang w:val="ru-RU" w:eastAsia="zh-CN"/>
        </w:rPr>
        <w:t>Документ </w:t>
      </w:r>
      <w:hyperlink r:id="rId33" w:history="1">
        <w:r w:rsidRPr="007B29E8">
          <w:rPr>
            <w:rStyle w:val="Hyperlink"/>
            <w:rFonts w:eastAsiaTheme="minorEastAsia" w:cs="Calibri"/>
            <w:szCs w:val="24"/>
            <w:lang w:val="ru-RU" w:eastAsia="zh-CN"/>
          </w:rPr>
          <w:t>C13/55</w:t>
        </w:r>
      </w:hyperlink>
      <w:r w:rsidRPr="007B29E8">
        <w:rPr>
          <w:rFonts w:eastAsiaTheme="minorEastAsia"/>
          <w:lang w:val="ru-RU" w:eastAsia="zh-CN"/>
        </w:rPr>
        <w:t xml:space="preserve">), </w:t>
      </w:r>
      <w:r w:rsidR="00DD5B47" w:rsidRPr="007B29E8">
        <w:rPr>
          <w:rFonts w:eastAsiaTheme="minorEastAsia"/>
          <w:lang w:val="ru-RU" w:eastAsia="zh-CN"/>
        </w:rPr>
        <w:t xml:space="preserve">Совет </w:t>
      </w:r>
      <w:r w:rsidRPr="007B29E8">
        <w:rPr>
          <w:rFonts w:eastAsiaTheme="minorEastAsia"/>
          <w:lang w:val="ru-RU" w:eastAsia="zh-CN"/>
        </w:rPr>
        <w:t>2013</w:t>
      </w:r>
      <w:r w:rsidR="00DD5B47" w:rsidRPr="007B29E8">
        <w:rPr>
          <w:rFonts w:eastAsiaTheme="minorEastAsia"/>
          <w:lang w:val="ru-RU" w:eastAsia="zh-CN"/>
        </w:rPr>
        <w:t> года углубленно обсудил вопрос, касающийся возможной роли МСЭ как контролирующего органа Международной системы регистрации космических средств в соответствии с Протоколом по космическим средствам</w:t>
      </w:r>
      <w:r w:rsidRPr="007B29E8">
        <w:rPr>
          <w:rFonts w:eastAsiaTheme="minorEastAsia"/>
          <w:lang w:val="ru-RU" w:eastAsia="zh-CN"/>
        </w:rPr>
        <w:t xml:space="preserve">. </w:t>
      </w:r>
      <w:r w:rsidR="00493534" w:rsidRPr="007B29E8">
        <w:rPr>
          <w:rFonts w:eastAsiaTheme="minorEastAsia"/>
          <w:lang w:val="ru-RU" w:eastAsia="zh-CN"/>
        </w:rPr>
        <w:t>Вопросы и замечания Государств-Членов касались в основном</w:t>
      </w:r>
      <w:r w:rsidR="007B29E8">
        <w:rPr>
          <w:rFonts w:eastAsiaTheme="minorEastAsia"/>
          <w:lang w:val="ru-RU" w:eastAsia="zh-CN"/>
        </w:rPr>
        <w:t xml:space="preserve"> </w:t>
      </w:r>
      <w:r w:rsidR="00493534" w:rsidRPr="007B29E8">
        <w:rPr>
          <w:rFonts w:asciiTheme="minorHAnsi" w:hAnsiTheme="minorHAnsi"/>
          <w:lang w:val="ru-RU"/>
        </w:rPr>
        <w:t xml:space="preserve">финансовых последствий и </w:t>
      </w:r>
      <w:r w:rsidR="00493534" w:rsidRPr="007B29E8">
        <w:rPr>
          <w:rFonts w:asciiTheme="minorHAnsi" w:hAnsiTheme="minorHAnsi" w:cs="Segoe UI"/>
          <w:color w:val="000000"/>
          <w:lang w:val="ru-RU"/>
        </w:rPr>
        <w:t>материально-технического обеспечения</w:t>
      </w:r>
      <w:r w:rsidR="00493534" w:rsidRPr="007B29E8">
        <w:rPr>
          <w:rFonts w:asciiTheme="minorHAnsi" w:hAnsiTheme="minorHAnsi"/>
          <w:lang w:val="ru-RU"/>
        </w:rPr>
        <w:t>, в том случае если МСЭ будет выполнять функцию к</w:t>
      </w:r>
      <w:r w:rsidR="00493534" w:rsidRPr="007B29E8">
        <w:rPr>
          <w:rFonts w:asciiTheme="minorHAnsi" w:hAnsiTheme="minorHAnsi" w:cstheme="minorHAnsi"/>
          <w:color w:val="000000"/>
          <w:lang w:val="ru-RU"/>
        </w:rPr>
        <w:t>онтролирующего органа;</w:t>
      </w:r>
      <w:r w:rsidR="00493534" w:rsidRPr="007B29E8">
        <w:rPr>
          <w:rFonts w:asciiTheme="minorHAnsi" w:hAnsiTheme="minorHAnsi"/>
          <w:lang w:val="ru-RU"/>
        </w:rPr>
        <w:t xml:space="preserve"> связи между целями Союза, изложенными в Уставе МСЭ, и </w:t>
      </w:r>
      <w:r w:rsidR="00493534" w:rsidRPr="007B29E8">
        <w:rPr>
          <w:rFonts w:asciiTheme="minorHAnsi" w:hAnsiTheme="minorHAnsi" w:cstheme="minorHAnsi"/>
          <w:color w:val="000000"/>
          <w:lang w:val="ru-RU"/>
        </w:rPr>
        <w:t>Протоколом по космическим средствам;</w:t>
      </w:r>
      <w:r w:rsidR="00493534" w:rsidRPr="007B29E8">
        <w:rPr>
          <w:rFonts w:asciiTheme="minorHAnsi" w:hAnsiTheme="minorHAnsi"/>
          <w:lang w:val="ru-RU"/>
        </w:rPr>
        <w:t xml:space="preserve"> прав и обязанностей к</w:t>
      </w:r>
      <w:r w:rsidR="00493534" w:rsidRPr="007B29E8">
        <w:rPr>
          <w:rFonts w:asciiTheme="minorHAnsi" w:hAnsiTheme="minorHAnsi" w:cstheme="minorHAnsi"/>
          <w:color w:val="000000"/>
          <w:lang w:val="ru-RU"/>
        </w:rPr>
        <w:t>онтролирующего органа;</w:t>
      </w:r>
      <w:r w:rsidR="00493534" w:rsidRPr="007B29E8">
        <w:rPr>
          <w:lang w:val="ru-RU"/>
        </w:rPr>
        <w:t xml:space="preserve"> документа, который связывал бы МСЭ с Протоколом; и возможности для Союза свободно устанавливать размер платы за регистрацию. </w:t>
      </w:r>
    </w:p>
    <w:p w:rsidR="00970C20" w:rsidRPr="007B29E8" w:rsidRDefault="00970C20" w:rsidP="00E442BC">
      <w:pPr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5.2</w:t>
      </w:r>
      <w:r w:rsidRPr="007B29E8">
        <w:rPr>
          <w:rFonts w:eastAsiaTheme="minorEastAsia"/>
          <w:lang w:val="ru-RU" w:eastAsia="zh-CN"/>
        </w:rPr>
        <w:tab/>
      </w:r>
      <w:r w:rsidR="00493534" w:rsidRPr="007B29E8">
        <w:rPr>
          <w:rFonts w:eastAsiaTheme="minorEastAsia"/>
          <w:lang w:val="ru-RU" w:eastAsia="zh-CN"/>
        </w:rPr>
        <w:t>В соответствии со своими предыдущими решениями Совет</w:t>
      </w:r>
      <w:r w:rsidRPr="007B29E8">
        <w:rPr>
          <w:rFonts w:eastAsiaTheme="minorEastAsia"/>
          <w:lang w:val="ru-RU" w:eastAsia="zh-CN"/>
        </w:rPr>
        <w:t xml:space="preserve"> 2013</w:t>
      </w:r>
      <w:r w:rsidR="00493534" w:rsidRPr="007B29E8">
        <w:rPr>
          <w:rFonts w:eastAsiaTheme="minorEastAsia"/>
          <w:lang w:val="ru-RU" w:eastAsia="zh-CN"/>
        </w:rPr>
        <w:t> года принял Решение </w:t>
      </w:r>
      <w:r w:rsidRPr="007B29E8">
        <w:rPr>
          <w:rFonts w:eastAsiaTheme="minorEastAsia"/>
          <w:lang w:val="ru-RU" w:eastAsia="zh-CN"/>
        </w:rPr>
        <w:t xml:space="preserve">576 </w:t>
      </w:r>
      <w:r w:rsidR="00493534" w:rsidRPr="007B29E8">
        <w:rPr>
          <w:rFonts w:eastAsiaTheme="minorEastAsia"/>
          <w:lang w:val="ru-RU" w:eastAsia="zh-CN"/>
        </w:rPr>
        <w:t>"</w:t>
      </w:r>
      <w:r w:rsidR="00493534" w:rsidRPr="007B29E8">
        <w:rPr>
          <w:lang w:val="ru-RU"/>
        </w:rPr>
        <w:t xml:space="preserve">Рассмотрение возможной роли МСЭ как контролирующего органа международной системы регистрации космических средств в соответствии с Протоколом по космическим средствам". В этом </w:t>
      </w:r>
      <w:r w:rsidR="003874F7" w:rsidRPr="007B29E8">
        <w:rPr>
          <w:lang w:val="ru-RU"/>
        </w:rPr>
        <w:t xml:space="preserve">Решении </w:t>
      </w:r>
      <w:r w:rsidR="00493534" w:rsidRPr="007B29E8">
        <w:rPr>
          <w:lang w:val="ru-RU"/>
        </w:rPr>
        <w:t>Генеральному секретарю поручается</w:t>
      </w:r>
      <w:r w:rsidRPr="007B29E8">
        <w:rPr>
          <w:rFonts w:eastAsiaTheme="minorEastAsia"/>
          <w:lang w:val="ru-RU" w:eastAsia="zh-CN"/>
        </w:rPr>
        <w:t>:</w:t>
      </w:r>
    </w:p>
    <w:p w:rsidR="00970C20" w:rsidRPr="007B29E8" w:rsidRDefault="00970C20" w:rsidP="00E442BC">
      <w:pPr>
        <w:pStyle w:val="enumlev1"/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1)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493534" w:rsidRPr="007B29E8">
        <w:rPr>
          <w:lang w:val="ru-RU"/>
        </w:rPr>
        <w:t>представить Совету 2014 года и следующей Полномочной конференции отчет о результатах работы Подготовительной комиссии и о финансовых, юридических и технических последствиях взятия МСЭ на себя роли контролирующего органа, учитывая при этом работу Подготовительной комиссии, проделанную до этого времени, и представляя пояснения, которые запрашивал Совет</w:t>
      </w:r>
      <w:r w:rsidR="009B2371" w:rsidRPr="007B29E8">
        <w:rPr>
          <w:rFonts w:eastAsiaTheme="minorEastAsia" w:cs="Calibri"/>
          <w:szCs w:val="24"/>
          <w:lang w:val="ru-RU" w:eastAsia="zh-CN"/>
        </w:rPr>
        <w:t>;</w:t>
      </w:r>
    </w:p>
    <w:p w:rsidR="00970C20" w:rsidRPr="007B29E8" w:rsidRDefault="00970C20" w:rsidP="00E442BC">
      <w:pPr>
        <w:pStyle w:val="enumlev1"/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2)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493534" w:rsidRPr="007B29E8">
        <w:rPr>
          <w:lang w:val="ru-RU"/>
        </w:rPr>
        <w:t>представить отчет о финансовых последствиях своего участия в собраниях Подготовительной комиссии, а также о любых финансовых последствиях выполнения МСЭ функций контролирующего органа с момента или после вступления в силу Протокола</w:t>
      </w:r>
      <w:r w:rsidR="009B2371" w:rsidRPr="007B29E8">
        <w:rPr>
          <w:lang w:val="ru-RU"/>
        </w:rPr>
        <w:t>;</w:t>
      </w:r>
      <w:r w:rsidRPr="007B29E8">
        <w:rPr>
          <w:rFonts w:eastAsiaTheme="minorEastAsia" w:cs="Calibri"/>
          <w:szCs w:val="24"/>
          <w:lang w:val="ru-RU" w:eastAsia="zh-CN"/>
        </w:rPr>
        <w:t xml:space="preserve"> </w:t>
      </w:r>
      <w:r w:rsidR="00493534" w:rsidRPr="007B29E8">
        <w:rPr>
          <w:rFonts w:eastAsiaTheme="minorEastAsia" w:cs="Calibri"/>
          <w:szCs w:val="24"/>
          <w:lang w:val="ru-RU" w:eastAsia="zh-CN"/>
        </w:rPr>
        <w:t>и</w:t>
      </w:r>
    </w:p>
    <w:p w:rsidR="00970C20" w:rsidRPr="007B29E8" w:rsidRDefault="00970C20" w:rsidP="00D85DF9">
      <w:pPr>
        <w:pStyle w:val="enumlev1"/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3)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493534" w:rsidRPr="007B29E8">
        <w:rPr>
          <w:lang w:val="ru-RU"/>
        </w:rPr>
        <w:t>определить механизмы, с помощью которых Госуд</w:t>
      </w:r>
      <w:bookmarkStart w:id="8" w:name="_GoBack"/>
      <w:bookmarkEnd w:id="8"/>
      <w:r w:rsidR="00493534" w:rsidRPr="007B29E8">
        <w:rPr>
          <w:lang w:val="ru-RU"/>
        </w:rPr>
        <w:t>арства – Члены МСЭ и Члены Секторов могут изучать или представлять комментарии о роли МСЭ как контролирующего органа</w:t>
      </w:r>
      <w:r w:rsidR="00493534" w:rsidRPr="007B29E8">
        <w:rPr>
          <w:rFonts w:eastAsiaTheme="minorEastAsia" w:cs="Calibri"/>
          <w:szCs w:val="24"/>
          <w:lang w:val="ru-RU" w:eastAsia="zh-CN"/>
        </w:rPr>
        <w:t xml:space="preserve"> </w:t>
      </w:r>
      <w:r w:rsidRPr="007B29E8">
        <w:rPr>
          <w:rFonts w:eastAsiaTheme="minorEastAsia" w:cs="Calibri"/>
          <w:szCs w:val="24"/>
          <w:lang w:val="ru-RU" w:eastAsia="zh-CN"/>
        </w:rPr>
        <w:t>(</w:t>
      </w:r>
      <w:r w:rsidR="009B2371" w:rsidRPr="007B29E8">
        <w:rPr>
          <w:rFonts w:eastAsiaTheme="minorEastAsia" w:cs="Calibri"/>
          <w:szCs w:val="24"/>
          <w:lang w:val="ru-RU" w:eastAsia="zh-CN"/>
        </w:rPr>
        <w:t>см. </w:t>
      </w:r>
      <w:r w:rsidR="00493534" w:rsidRPr="007B29E8">
        <w:rPr>
          <w:rFonts w:eastAsiaTheme="minorEastAsia" w:cs="Calibri"/>
          <w:szCs w:val="24"/>
          <w:lang w:val="ru-RU" w:eastAsia="zh-CN"/>
        </w:rPr>
        <w:t>Документ </w:t>
      </w:r>
      <w:hyperlink r:id="rId34" w:history="1">
        <w:r w:rsidRPr="007B29E8">
          <w:rPr>
            <w:rStyle w:val="Hyperlink"/>
            <w:rFonts w:eastAsiaTheme="minorEastAsia" w:cs="Calibri"/>
            <w:szCs w:val="24"/>
            <w:lang w:val="ru-RU" w:eastAsia="zh-CN"/>
          </w:rPr>
          <w:t>C13/107</w:t>
        </w:r>
      </w:hyperlink>
      <w:r w:rsidRPr="007B29E8">
        <w:rPr>
          <w:rFonts w:eastAsiaTheme="minorEastAsia" w:cs="Calibri"/>
          <w:szCs w:val="24"/>
          <w:lang w:val="ru-RU" w:eastAsia="zh-CN"/>
        </w:rPr>
        <w:t>).</w:t>
      </w:r>
    </w:p>
    <w:p w:rsidR="00970C20" w:rsidRPr="007B29E8" w:rsidRDefault="00970C20" w:rsidP="00E442BC">
      <w:pPr>
        <w:pStyle w:val="Heading1"/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6</w:t>
      </w:r>
      <w:r w:rsidRPr="007B29E8">
        <w:rPr>
          <w:rFonts w:eastAsiaTheme="minorEastAsia"/>
          <w:lang w:val="ru-RU" w:eastAsia="zh-CN"/>
        </w:rPr>
        <w:tab/>
      </w:r>
      <w:r w:rsidR="00493534" w:rsidRPr="007B29E8">
        <w:rPr>
          <w:rFonts w:eastAsiaTheme="minorEastAsia"/>
          <w:lang w:val="ru-RU" w:eastAsia="zh-CN"/>
        </w:rPr>
        <w:t>Подготовительная комиссия</w:t>
      </w:r>
      <w:r w:rsidRPr="007B29E8">
        <w:rPr>
          <w:rFonts w:eastAsiaTheme="minorEastAsia"/>
          <w:lang w:val="ru-RU" w:eastAsia="zh-CN"/>
        </w:rPr>
        <w:t xml:space="preserve"> (</w:t>
      </w:r>
      <w:r w:rsidR="008F5B99" w:rsidRPr="007B29E8">
        <w:rPr>
          <w:rFonts w:eastAsiaTheme="minorEastAsia"/>
          <w:lang w:val="ru-RU" w:eastAsia="zh-CN"/>
        </w:rPr>
        <w:t>Рим</w:t>
      </w:r>
      <w:r w:rsidRPr="007B29E8">
        <w:rPr>
          <w:rFonts w:eastAsiaTheme="minorEastAsia"/>
          <w:lang w:val="ru-RU" w:eastAsia="zh-CN"/>
        </w:rPr>
        <w:t>, 2</w:t>
      </w:r>
      <w:r w:rsidR="008F5B99" w:rsidRPr="007B29E8">
        <w:rPr>
          <w:rFonts w:eastAsiaTheme="minorEastAsia"/>
          <w:lang w:val="ru-RU" w:eastAsia="zh-CN"/>
        </w:rPr>
        <w:t>-я</w:t>
      </w:r>
      <w:r w:rsidRPr="007B29E8">
        <w:rPr>
          <w:rFonts w:eastAsiaTheme="minorEastAsia"/>
          <w:lang w:val="ru-RU" w:eastAsia="zh-CN"/>
        </w:rPr>
        <w:t xml:space="preserve"> </w:t>
      </w:r>
      <w:r w:rsidR="008F5B99" w:rsidRPr="007B29E8">
        <w:rPr>
          <w:rFonts w:eastAsiaTheme="minorEastAsia"/>
          <w:lang w:val="ru-RU" w:eastAsia="zh-CN"/>
        </w:rPr>
        <w:t>сессия</w:t>
      </w:r>
      <w:r w:rsidRPr="007B29E8">
        <w:rPr>
          <w:rFonts w:eastAsiaTheme="minorEastAsia"/>
          <w:lang w:val="ru-RU" w:eastAsia="zh-CN"/>
        </w:rPr>
        <w:t>, 27</w:t>
      </w:r>
      <w:r w:rsidR="008F5B99" w:rsidRPr="007B29E8">
        <w:rPr>
          <w:rFonts w:eastAsiaTheme="minorEastAsia"/>
          <w:lang w:val="ru-RU" w:eastAsia="zh-CN"/>
        </w:rPr>
        <w:t>–</w:t>
      </w:r>
      <w:r w:rsidRPr="007B29E8">
        <w:rPr>
          <w:rFonts w:eastAsiaTheme="minorEastAsia"/>
          <w:lang w:val="ru-RU" w:eastAsia="zh-CN"/>
        </w:rPr>
        <w:t>28</w:t>
      </w:r>
      <w:r w:rsidR="008F5B99" w:rsidRPr="007B29E8">
        <w:rPr>
          <w:rFonts w:eastAsiaTheme="minorEastAsia"/>
          <w:lang w:val="ru-RU" w:eastAsia="zh-CN"/>
        </w:rPr>
        <w:t> января</w:t>
      </w:r>
      <w:r w:rsidRPr="007B29E8">
        <w:rPr>
          <w:rFonts w:eastAsiaTheme="minorEastAsia"/>
          <w:lang w:val="ru-RU" w:eastAsia="zh-CN"/>
        </w:rPr>
        <w:t xml:space="preserve"> 2014</w:t>
      </w:r>
      <w:r w:rsidR="008F5B99" w:rsidRPr="007B29E8">
        <w:rPr>
          <w:rFonts w:eastAsiaTheme="minorEastAsia"/>
          <w:lang w:val="ru-RU" w:eastAsia="zh-CN"/>
        </w:rPr>
        <w:t> г</w:t>
      </w:r>
      <w:r w:rsidR="009B2371" w:rsidRPr="007B29E8">
        <w:rPr>
          <w:rFonts w:eastAsiaTheme="minorEastAsia"/>
          <w:lang w:val="ru-RU" w:eastAsia="zh-CN"/>
        </w:rPr>
        <w:t>.</w:t>
      </w:r>
      <w:r w:rsidRPr="007B29E8">
        <w:rPr>
          <w:rFonts w:eastAsiaTheme="minorEastAsia"/>
          <w:lang w:val="ru-RU" w:eastAsia="zh-CN"/>
        </w:rPr>
        <w:t>)</w:t>
      </w:r>
    </w:p>
    <w:p w:rsidR="00970C20" w:rsidRPr="007B29E8" w:rsidRDefault="00970C20" w:rsidP="009B2371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6.1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8F5B99" w:rsidRPr="007B29E8">
        <w:rPr>
          <w:lang w:val="ru-RU"/>
        </w:rPr>
        <w:t xml:space="preserve">Вторая сессия Подготовительной комиссии по созданию международного регистра космических средств в соответствии с Протоколом по космическим средствам прошла в Риме 27 и 28 января 2014 года. Собрания Рабочей группы I, которой поручено разработать проект Правил для Международного регистра космических средств, и Рабочей группы II, которой было поручено составить запрос предложений с целью выбора Регистратора космических средств, не проводились. </w:t>
      </w:r>
    </w:p>
    <w:p w:rsidR="00970C20" w:rsidRPr="007B29E8" w:rsidRDefault="00970C20" w:rsidP="009B2371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6.2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8F5B99" w:rsidRPr="007B29E8">
        <w:rPr>
          <w:lang w:val="ru-RU"/>
        </w:rPr>
        <w:t xml:space="preserve">Основное внимание на собрании уделялось рассмотрению пояснительного примечания к пересмотренному проекту правил для Регистра космических средств, подготовленного профессором Роем Гудом, и рассмотрению других вопросов, касающихся пересмотренного текста проекта правил для Регистра космических средств, причем основная часть времени была посвящена обсуждению вопроса критериев идентификации космических средств, в частности спутников и физически связанных с ними средств. Вопрос об определении сборов за использование объектов Регистра был отложен на более поздний этап обсуждений, возможно, путем включения в Правила процедуры </w:t>
      </w:r>
      <w:r w:rsidR="00E442BC" w:rsidRPr="007B29E8">
        <w:rPr>
          <w:lang w:val="ru-RU"/>
        </w:rPr>
        <w:t>после разработки правил</w:t>
      </w:r>
      <w:r w:rsidR="008F5B99" w:rsidRPr="007B29E8">
        <w:rPr>
          <w:lang w:val="ru-RU"/>
        </w:rPr>
        <w:t xml:space="preserve"> для Регистра</w:t>
      </w:r>
      <w:r w:rsidRPr="007B29E8">
        <w:rPr>
          <w:rFonts w:eastAsiaTheme="minorEastAsia" w:cs="Calibri"/>
          <w:szCs w:val="24"/>
          <w:lang w:val="ru-RU" w:eastAsia="zh-CN"/>
        </w:rPr>
        <w:t>.</w:t>
      </w:r>
    </w:p>
    <w:p w:rsidR="00970C20" w:rsidRPr="007B29E8" w:rsidRDefault="00970C20" w:rsidP="009B2371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6.3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8F5B99" w:rsidRPr="007B29E8">
        <w:rPr>
          <w:rFonts w:eastAsiaTheme="minorEastAsia" w:cs="Calibri"/>
          <w:szCs w:val="24"/>
          <w:lang w:val="ru-RU" w:eastAsia="zh-CN"/>
        </w:rPr>
        <w:t>Что касается ожидающих решения вопросов выбора Регистратора, а также доработки проекта Правил, Подготовительная комиссия решила провести собрание в штаб-квартире УНИДРУА 11</w:t>
      </w:r>
      <w:r w:rsidR="001F3193">
        <w:rPr>
          <w:rFonts w:eastAsiaTheme="minorEastAsia" w:cs="Calibri"/>
          <w:szCs w:val="24"/>
          <w:lang w:val="ru-RU" w:eastAsia="zh-CN"/>
        </w:rPr>
        <w:t>−</w:t>
      </w:r>
      <w:r w:rsidR="008F5B99" w:rsidRPr="007B29E8">
        <w:rPr>
          <w:rFonts w:eastAsiaTheme="minorEastAsia" w:cs="Calibri"/>
          <w:szCs w:val="24"/>
          <w:lang w:val="ru-RU" w:eastAsia="zh-CN"/>
        </w:rPr>
        <w:t>12 сентября 2014 года</w:t>
      </w:r>
      <w:r w:rsidRPr="007B29E8">
        <w:rPr>
          <w:rFonts w:eastAsiaTheme="minorEastAsia" w:cs="Calibri"/>
          <w:szCs w:val="24"/>
          <w:lang w:val="ru-RU" w:eastAsia="zh-CN"/>
        </w:rPr>
        <w:t xml:space="preserve">. </w:t>
      </w:r>
      <w:r w:rsidR="008F5B99" w:rsidRPr="007B29E8">
        <w:rPr>
          <w:rFonts w:eastAsiaTheme="minorEastAsia" w:cs="Calibri"/>
          <w:szCs w:val="24"/>
          <w:lang w:val="ru-RU" w:eastAsia="zh-CN"/>
        </w:rPr>
        <w:t>Межсессионный период будет использоваться для доработки правил и подготовки проекта запроса на предложения по выбору Регистратора</w:t>
      </w:r>
      <w:r w:rsidRPr="007B29E8">
        <w:rPr>
          <w:rFonts w:eastAsiaTheme="minorEastAsia" w:cs="Calibri"/>
          <w:szCs w:val="24"/>
          <w:lang w:val="ru-RU" w:eastAsia="zh-CN"/>
        </w:rPr>
        <w:t xml:space="preserve">. </w:t>
      </w:r>
    </w:p>
    <w:p w:rsidR="00970C20" w:rsidRPr="007B29E8" w:rsidRDefault="00970C20" w:rsidP="009B2371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6.4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8F5B99" w:rsidRPr="007B29E8">
        <w:rPr>
          <w:lang w:val="ru-RU"/>
        </w:rPr>
        <w:t xml:space="preserve">Подготовительная комиссия отметила, что она работает, исходя из </w:t>
      </w:r>
      <w:r w:rsidR="00E442BC" w:rsidRPr="007B29E8">
        <w:rPr>
          <w:lang w:val="ru-RU"/>
        </w:rPr>
        <w:t>предположения</w:t>
      </w:r>
      <w:r w:rsidR="008F5B99" w:rsidRPr="007B29E8">
        <w:rPr>
          <w:lang w:val="ru-RU"/>
        </w:rPr>
        <w:t>, что МСЭ со временем возьмет на себя роль контролирующего органа, и что было бы преждевременно обсуждать возможные альтернативы</w:t>
      </w:r>
      <w:r w:rsidRPr="007B29E8">
        <w:rPr>
          <w:rFonts w:eastAsiaTheme="minorEastAsia" w:cs="Calibri"/>
          <w:szCs w:val="24"/>
          <w:lang w:val="ru-RU" w:eastAsia="zh-CN"/>
        </w:rPr>
        <w:t>.</w:t>
      </w:r>
      <w:r w:rsidR="008F5B99" w:rsidRPr="007B29E8">
        <w:rPr>
          <w:lang w:val="ru-RU"/>
        </w:rPr>
        <w:t xml:space="preserve"> В ответ на вопросы практического характера, заданные представителем МСЭ относительно точной роли контролирующе</w:t>
      </w:r>
      <w:r w:rsidR="00E442BC" w:rsidRPr="007B29E8">
        <w:rPr>
          <w:lang w:val="ru-RU"/>
        </w:rPr>
        <w:t>го органа и его обязанностей, а </w:t>
      </w:r>
      <w:r w:rsidR="008F5B99" w:rsidRPr="007B29E8">
        <w:rPr>
          <w:lang w:val="ru-RU"/>
        </w:rPr>
        <w:t xml:space="preserve">также опыта ИКАО как контролирующего органа для Регистра авиационных объектов, секретариат УНИДРУА впоследствии представил меморандум, в котором разъясняется точная роль контролирующего органа (см. Приложение 2). </w:t>
      </w:r>
    </w:p>
    <w:p w:rsidR="00970C20" w:rsidRPr="007B29E8" w:rsidRDefault="00970C20" w:rsidP="00E442BC">
      <w:pPr>
        <w:pStyle w:val="Heading1"/>
        <w:rPr>
          <w:rFonts w:eastAsiaTheme="minorEastAsia"/>
          <w:lang w:val="ru-RU" w:eastAsia="zh-CN"/>
        </w:rPr>
      </w:pPr>
      <w:r w:rsidRPr="007B29E8">
        <w:rPr>
          <w:rFonts w:eastAsiaTheme="minorEastAsia"/>
          <w:lang w:val="ru-RU" w:eastAsia="zh-CN"/>
        </w:rPr>
        <w:t>7</w:t>
      </w:r>
      <w:r w:rsidRPr="007B29E8">
        <w:rPr>
          <w:rFonts w:eastAsiaTheme="minorEastAsia"/>
          <w:lang w:val="ru-RU" w:eastAsia="zh-CN"/>
        </w:rPr>
        <w:tab/>
      </w:r>
      <w:r w:rsidR="00F110A9" w:rsidRPr="007B29E8">
        <w:rPr>
          <w:rFonts w:eastAsiaTheme="minorEastAsia"/>
          <w:lang w:val="ru-RU" w:eastAsia="zh-CN"/>
        </w:rPr>
        <w:t>Совет</w:t>
      </w:r>
      <w:r w:rsidRPr="007B29E8">
        <w:rPr>
          <w:rFonts w:eastAsiaTheme="minorEastAsia"/>
          <w:lang w:val="ru-RU" w:eastAsia="zh-CN"/>
        </w:rPr>
        <w:t xml:space="preserve"> 2014</w:t>
      </w:r>
      <w:r w:rsidR="00F110A9" w:rsidRPr="007B29E8">
        <w:rPr>
          <w:rFonts w:eastAsiaTheme="minorEastAsia"/>
          <w:lang w:val="ru-RU" w:eastAsia="zh-CN"/>
        </w:rPr>
        <w:t> года</w:t>
      </w:r>
    </w:p>
    <w:p w:rsidR="00970C20" w:rsidRPr="00DB7222" w:rsidRDefault="00970C20" w:rsidP="009B2371">
      <w:pPr>
        <w:rPr>
          <w:rFonts w:eastAsiaTheme="minorEastAsia" w:cs="Calibri"/>
          <w:lang w:val="ru-RU" w:eastAsia="zh-CN"/>
        </w:rPr>
      </w:pPr>
      <w:r w:rsidRPr="007B29E8">
        <w:rPr>
          <w:rFonts w:eastAsiaTheme="minorEastAsia" w:cs="Calibri"/>
          <w:lang w:val="ru-RU" w:eastAsia="zh-CN"/>
        </w:rPr>
        <w:t>7.1</w:t>
      </w:r>
      <w:r w:rsidRPr="007B29E8">
        <w:rPr>
          <w:rFonts w:eastAsiaTheme="minorEastAsia" w:cs="Calibri"/>
          <w:lang w:val="ru-RU" w:eastAsia="zh-CN"/>
        </w:rPr>
        <w:tab/>
      </w:r>
      <w:r w:rsidR="008F5B99" w:rsidRPr="007B29E8">
        <w:rPr>
          <w:rFonts w:eastAsiaTheme="minorEastAsia" w:cs="Calibri"/>
          <w:lang w:val="ru-RU" w:eastAsia="zh-CN"/>
        </w:rPr>
        <w:t xml:space="preserve">Ввиду предстоящей Полномочной конференции Совету </w:t>
      </w:r>
      <w:r w:rsidRPr="007B29E8">
        <w:rPr>
          <w:rFonts w:eastAsiaTheme="minorEastAsia" w:cs="Calibri"/>
          <w:lang w:val="ru-RU" w:eastAsia="zh-CN"/>
        </w:rPr>
        <w:t>2014</w:t>
      </w:r>
      <w:r w:rsidR="008F5B99" w:rsidRPr="007B29E8">
        <w:rPr>
          <w:rFonts w:eastAsiaTheme="minorEastAsia" w:cs="Calibri"/>
          <w:lang w:val="ru-RU" w:eastAsia="zh-CN"/>
        </w:rPr>
        <w:t xml:space="preserve"> года была представлена </w:t>
      </w:r>
      <w:r w:rsidR="008F5B99" w:rsidRPr="00DB7222">
        <w:rPr>
          <w:rFonts w:eastAsiaTheme="minorEastAsia" w:cs="Calibri"/>
          <w:lang w:val="ru-RU" w:eastAsia="zh-CN"/>
        </w:rPr>
        <w:t xml:space="preserve">подробная информация о </w:t>
      </w:r>
      <w:r w:rsidR="008F5B99" w:rsidRPr="00DB7222">
        <w:rPr>
          <w:rFonts w:cstheme="minorHAnsi"/>
          <w:lang w:val="ru-RU"/>
        </w:rPr>
        <w:t xml:space="preserve">возможной роли МСЭ как </w:t>
      </w:r>
      <w:r w:rsidR="008F5B99" w:rsidRPr="00DB7222">
        <w:rPr>
          <w:rFonts w:asciiTheme="minorHAnsi" w:hAnsiTheme="minorHAnsi"/>
          <w:lang w:val="ru-RU"/>
        </w:rPr>
        <w:t>контролирующего органа Международной системы регистрации космических средств</w:t>
      </w:r>
      <w:r w:rsidRPr="00DB7222">
        <w:rPr>
          <w:rFonts w:eastAsiaTheme="minorEastAsia" w:cs="Calibri"/>
          <w:lang w:val="ru-RU" w:eastAsia="zh-CN"/>
        </w:rPr>
        <w:t xml:space="preserve"> </w:t>
      </w:r>
      <w:r w:rsidR="008F5B99" w:rsidRPr="00DB7222">
        <w:rPr>
          <w:rFonts w:asciiTheme="minorHAnsi" w:hAnsiTheme="minorHAnsi"/>
          <w:lang w:val="ru-RU"/>
        </w:rPr>
        <w:t>в соответствии с Протоколом по космическим средствам</w:t>
      </w:r>
      <w:r w:rsidR="008F5B99" w:rsidRPr="00DB7222">
        <w:rPr>
          <w:rFonts w:eastAsiaTheme="minorEastAsia" w:cs="Calibri"/>
          <w:lang w:val="ru-RU" w:eastAsia="zh-CN"/>
        </w:rPr>
        <w:t xml:space="preserve"> </w:t>
      </w:r>
      <w:r w:rsidRPr="00DB7222">
        <w:rPr>
          <w:rFonts w:eastAsiaTheme="minorEastAsia" w:cs="Calibri"/>
          <w:lang w:val="ru-RU" w:eastAsia="zh-CN"/>
        </w:rPr>
        <w:t>(</w:t>
      </w:r>
      <w:r w:rsidR="008F5B99" w:rsidRPr="00DB7222">
        <w:rPr>
          <w:rFonts w:eastAsiaTheme="minorEastAsia" w:cs="Calibri"/>
          <w:lang w:val="ru-RU" w:eastAsia="zh-CN"/>
        </w:rPr>
        <w:t>см. Документы </w:t>
      </w:r>
      <w:hyperlink r:id="rId35" w:history="1">
        <w:r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C14/13</w:t>
        </w:r>
      </w:hyperlink>
      <w:r w:rsidRPr="00DB7222">
        <w:rPr>
          <w:rFonts w:eastAsiaTheme="minorEastAsia" w:cs="Calibri"/>
          <w:bCs/>
          <w:lang w:val="ru-RU" w:eastAsia="zh-CN"/>
        </w:rPr>
        <w:t xml:space="preserve"> </w:t>
      </w:r>
      <w:r w:rsidR="008F5B99" w:rsidRPr="00DB7222">
        <w:rPr>
          <w:rFonts w:eastAsiaTheme="minorEastAsia" w:cs="Calibri"/>
          <w:bCs/>
          <w:lang w:val="ru-RU" w:eastAsia="zh-CN"/>
        </w:rPr>
        <w:t>и</w:t>
      </w:r>
      <w:r w:rsidRPr="00DB7222">
        <w:rPr>
          <w:rFonts w:eastAsiaTheme="minorEastAsia" w:cs="Calibri"/>
          <w:lang w:val="ru-RU" w:eastAsia="zh-CN"/>
        </w:rPr>
        <w:t xml:space="preserve"> </w:t>
      </w:r>
      <w:hyperlink r:id="rId36" w:history="1">
        <w:r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C14/INF/12</w:t>
        </w:r>
      </w:hyperlink>
      <w:r w:rsidRPr="00DB7222">
        <w:rPr>
          <w:rFonts w:eastAsiaTheme="minorEastAsia" w:cs="Calibri"/>
          <w:lang w:val="ru-RU" w:eastAsia="zh-CN"/>
        </w:rPr>
        <w:t xml:space="preserve">). </w:t>
      </w:r>
      <w:r w:rsidR="008F5B99" w:rsidRPr="00DB7222">
        <w:rPr>
          <w:rFonts w:eastAsiaTheme="minorEastAsia" w:cs="Calibri"/>
          <w:lang w:val="ru-RU" w:eastAsia="zh-CN"/>
        </w:rPr>
        <w:t>Тем не менее, ряд остающихся неясными пунктов необходимо уточнить до ПК</w:t>
      </w:r>
      <w:r w:rsidR="008F5B99" w:rsidRPr="00DB7222">
        <w:rPr>
          <w:rFonts w:eastAsiaTheme="minorEastAsia" w:cs="Calibri"/>
          <w:lang w:val="ru-RU" w:eastAsia="zh-CN"/>
        </w:rPr>
        <w:noBreakHyphen/>
        <w:t>14</w:t>
      </w:r>
      <w:r w:rsidRPr="00DB7222">
        <w:rPr>
          <w:rFonts w:eastAsiaTheme="minorEastAsia" w:cs="Calibri"/>
          <w:lang w:val="ru-RU" w:eastAsia="zh-CN"/>
        </w:rPr>
        <w:t xml:space="preserve">. </w:t>
      </w:r>
      <w:r w:rsidR="00F110A9" w:rsidRPr="00DB7222">
        <w:rPr>
          <w:rFonts w:eastAsiaTheme="minorEastAsia" w:cs="Calibri"/>
          <w:lang w:val="ru-RU" w:eastAsia="zh-CN"/>
        </w:rPr>
        <w:t>Вопросы и комментарии поступили от Китайской Народной Республики</w:t>
      </w:r>
      <w:r w:rsidRPr="00DB7222">
        <w:rPr>
          <w:rFonts w:eastAsiaTheme="minorEastAsia" w:cs="Calibri"/>
          <w:lang w:val="ru-RU" w:eastAsia="zh-CN"/>
        </w:rPr>
        <w:t xml:space="preserve"> (</w:t>
      </w:r>
      <w:r w:rsidR="00E442BC" w:rsidRPr="00DB7222">
        <w:rPr>
          <w:rFonts w:eastAsiaTheme="minorEastAsia" w:cs="Calibri"/>
          <w:lang w:val="ru-RU" w:eastAsia="zh-CN"/>
        </w:rPr>
        <w:t>см. </w:t>
      </w:r>
      <w:r w:rsidR="00F110A9" w:rsidRPr="00DB7222">
        <w:rPr>
          <w:rFonts w:eastAsiaTheme="minorEastAsia" w:cs="Calibri"/>
          <w:lang w:val="ru-RU" w:eastAsia="zh-CN"/>
        </w:rPr>
        <w:t>Документ </w:t>
      </w:r>
      <w:hyperlink r:id="rId37" w:history="1">
        <w:r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C14/71</w:t>
        </w:r>
      </w:hyperlink>
      <w:r w:rsidRPr="00DB7222">
        <w:rPr>
          <w:rFonts w:eastAsiaTheme="minorEastAsia" w:cs="Calibri"/>
          <w:lang w:val="ru-RU" w:eastAsia="zh-CN"/>
        </w:rPr>
        <w:t xml:space="preserve">), </w:t>
      </w:r>
      <w:r w:rsidR="00F110A9" w:rsidRPr="00DB7222">
        <w:rPr>
          <w:rFonts w:eastAsiaTheme="minorEastAsia" w:cs="Calibri"/>
          <w:lang w:val="ru-RU" w:eastAsia="zh-CN"/>
        </w:rPr>
        <w:t>Японии</w:t>
      </w:r>
      <w:r w:rsidRPr="00DB7222">
        <w:rPr>
          <w:rFonts w:eastAsiaTheme="minorEastAsia" w:cs="Calibri"/>
          <w:lang w:val="ru-RU" w:eastAsia="zh-CN"/>
        </w:rPr>
        <w:t xml:space="preserve"> (</w:t>
      </w:r>
      <w:r w:rsidR="00F110A9" w:rsidRPr="00DB7222">
        <w:rPr>
          <w:rFonts w:eastAsiaTheme="minorEastAsia" w:cs="Calibri"/>
          <w:lang w:val="ru-RU" w:eastAsia="zh-CN"/>
        </w:rPr>
        <w:t>см. Документ </w:t>
      </w:r>
      <w:hyperlink r:id="rId38" w:history="1">
        <w:r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C14/51</w:t>
        </w:r>
      </w:hyperlink>
      <w:r w:rsidRPr="00DB7222">
        <w:rPr>
          <w:rFonts w:eastAsiaTheme="minorEastAsia" w:cs="Calibri"/>
          <w:lang w:val="ru-RU" w:eastAsia="zh-CN"/>
        </w:rPr>
        <w:t>)</w:t>
      </w:r>
      <w:r w:rsidR="00F110A9" w:rsidRPr="00DB7222">
        <w:rPr>
          <w:rFonts w:eastAsiaTheme="minorEastAsia" w:cs="Calibri"/>
          <w:lang w:val="ru-RU" w:eastAsia="zh-CN"/>
        </w:rPr>
        <w:t xml:space="preserve"> и Соединенных Штатов Америки</w:t>
      </w:r>
      <w:r w:rsidRPr="00DB7222">
        <w:rPr>
          <w:rFonts w:eastAsiaTheme="minorEastAsia" w:cs="Calibri"/>
          <w:lang w:val="ru-RU" w:eastAsia="zh-CN"/>
        </w:rPr>
        <w:t xml:space="preserve"> (</w:t>
      </w:r>
      <w:r w:rsidR="00E442BC" w:rsidRPr="00DB7222">
        <w:rPr>
          <w:rFonts w:eastAsiaTheme="minorEastAsia" w:cs="Calibri"/>
          <w:lang w:val="ru-RU" w:eastAsia="zh-CN"/>
        </w:rPr>
        <w:t>см. </w:t>
      </w:r>
      <w:r w:rsidR="00F110A9" w:rsidRPr="00DB7222">
        <w:rPr>
          <w:rFonts w:eastAsiaTheme="minorEastAsia" w:cs="Calibri"/>
          <w:lang w:val="ru-RU" w:eastAsia="zh-CN"/>
        </w:rPr>
        <w:t>Документ </w:t>
      </w:r>
      <w:hyperlink r:id="rId39" w:history="1">
        <w:r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C14/65</w:t>
        </w:r>
      </w:hyperlink>
      <w:r w:rsidRPr="00DB7222">
        <w:rPr>
          <w:rFonts w:eastAsiaTheme="minorEastAsia" w:cs="Calibri"/>
          <w:lang w:val="ru-RU" w:eastAsia="zh-CN"/>
        </w:rPr>
        <w:t>)</w:t>
      </w:r>
      <w:r w:rsidR="00F110A9" w:rsidRPr="00DB7222">
        <w:rPr>
          <w:rFonts w:eastAsiaTheme="minorEastAsia" w:cs="Calibri"/>
          <w:lang w:val="ru-RU" w:eastAsia="zh-CN"/>
        </w:rPr>
        <w:t>, а также от Советников на шестом и седьмом пленарных заседаниях Совета</w:t>
      </w:r>
      <w:r w:rsidRPr="00DB7222">
        <w:rPr>
          <w:rFonts w:eastAsiaTheme="minorEastAsia" w:cs="Calibri"/>
          <w:lang w:val="ru-RU" w:eastAsia="zh-CN"/>
        </w:rPr>
        <w:t xml:space="preserve"> (</w:t>
      </w:r>
      <w:r w:rsidR="00F110A9" w:rsidRPr="00DB7222">
        <w:rPr>
          <w:rFonts w:eastAsiaTheme="minorEastAsia" w:cs="Calibri"/>
          <w:lang w:val="ru-RU" w:eastAsia="zh-CN"/>
        </w:rPr>
        <w:t>см. Документы </w:t>
      </w:r>
      <w:hyperlink r:id="rId40" w:history="1">
        <w:r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C14/94</w:t>
        </w:r>
      </w:hyperlink>
      <w:r w:rsidRPr="00DB7222">
        <w:rPr>
          <w:rFonts w:eastAsiaTheme="minorEastAsia" w:cs="Calibri"/>
          <w:lang w:val="ru-RU" w:eastAsia="zh-CN"/>
        </w:rPr>
        <w:t xml:space="preserve"> </w:t>
      </w:r>
      <w:r w:rsidR="00F110A9" w:rsidRPr="00DB7222">
        <w:rPr>
          <w:rFonts w:eastAsiaTheme="minorEastAsia" w:cs="Calibri"/>
          <w:lang w:val="ru-RU" w:eastAsia="zh-CN"/>
        </w:rPr>
        <w:t>и</w:t>
      </w:r>
      <w:r w:rsidRPr="00DB7222">
        <w:rPr>
          <w:rFonts w:eastAsiaTheme="minorEastAsia" w:cs="Calibri"/>
          <w:lang w:val="ru-RU" w:eastAsia="zh-CN"/>
        </w:rPr>
        <w:t xml:space="preserve"> </w:t>
      </w:r>
      <w:hyperlink r:id="rId41" w:history="1">
        <w:r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C14/96</w:t>
        </w:r>
      </w:hyperlink>
      <w:r w:rsidRPr="00DB7222">
        <w:rPr>
          <w:rFonts w:eastAsiaTheme="minorEastAsia" w:cs="Calibri"/>
          <w:lang w:val="ru-RU" w:eastAsia="zh-CN"/>
        </w:rPr>
        <w:t>).</w:t>
      </w:r>
    </w:p>
    <w:p w:rsidR="00970C20" w:rsidRPr="00DB7222" w:rsidRDefault="00970C20" w:rsidP="009B2371">
      <w:pPr>
        <w:rPr>
          <w:rFonts w:eastAsiaTheme="minorEastAsia" w:cs="Calibri"/>
          <w:lang w:val="ru-RU" w:eastAsia="zh-CN"/>
        </w:rPr>
      </w:pPr>
      <w:r w:rsidRPr="00DB7222">
        <w:rPr>
          <w:rFonts w:eastAsiaTheme="minorEastAsia" w:cs="Calibri"/>
          <w:lang w:val="ru-RU" w:eastAsia="zh-CN"/>
        </w:rPr>
        <w:t>7.2</w:t>
      </w:r>
      <w:r w:rsidRPr="00DB7222">
        <w:rPr>
          <w:rFonts w:eastAsiaTheme="minorEastAsia" w:cs="Calibri"/>
          <w:lang w:val="ru-RU" w:eastAsia="zh-CN"/>
        </w:rPr>
        <w:tab/>
      </w:r>
      <w:r w:rsidR="00F110A9" w:rsidRPr="00DB7222">
        <w:rPr>
          <w:rFonts w:eastAsiaTheme="minorEastAsia" w:cs="Calibri"/>
          <w:lang w:val="ru-RU" w:eastAsia="zh-CN"/>
        </w:rPr>
        <w:t>Основные проблемы по-прежнему касаются финансовых, юридических и технических последствий взятия на себя МСЭ роли контролирующего органа</w:t>
      </w:r>
      <w:r w:rsidRPr="00DB7222">
        <w:rPr>
          <w:rFonts w:eastAsiaTheme="minorEastAsia" w:cs="Calibri"/>
          <w:lang w:val="ru-RU" w:eastAsia="zh-CN"/>
        </w:rPr>
        <w:t xml:space="preserve">; </w:t>
      </w:r>
      <w:r w:rsidR="00F110A9" w:rsidRPr="00DB7222">
        <w:rPr>
          <w:rFonts w:eastAsiaTheme="minorEastAsia" w:cs="Calibri"/>
          <w:lang w:val="ru-RU" w:eastAsia="zh-CN"/>
        </w:rPr>
        <w:t>соотношения между функциями контролирующего органа и мандатом МСЭ</w:t>
      </w:r>
      <w:r w:rsidRPr="00DB7222">
        <w:rPr>
          <w:rFonts w:eastAsiaTheme="minorEastAsia" w:cs="Calibri"/>
          <w:lang w:val="ru-RU" w:eastAsia="zh-CN"/>
        </w:rPr>
        <w:t xml:space="preserve">, </w:t>
      </w:r>
      <w:r w:rsidR="00F110A9" w:rsidRPr="00DB7222">
        <w:rPr>
          <w:rFonts w:eastAsiaTheme="minorEastAsia" w:cs="Calibri"/>
          <w:lang w:val="ru-RU" w:eastAsia="zh-CN"/>
        </w:rPr>
        <w:t>иммунитета МСЭ</w:t>
      </w:r>
      <w:r w:rsidRPr="00DB7222">
        <w:rPr>
          <w:rFonts w:eastAsiaTheme="minorEastAsia" w:cs="Calibri"/>
          <w:lang w:val="ru-RU" w:eastAsia="zh-CN"/>
        </w:rPr>
        <w:t xml:space="preserve">, </w:t>
      </w:r>
      <w:r w:rsidR="00F110A9" w:rsidRPr="00DB7222">
        <w:rPr>
          <w:rFonts w:eastAsiaTheme="minorEastAsia" w:cs="Calibri"/>
          <w:lang w:val="ru-RU" w:eastAsia="zh-CN"/>
        </w:rPr>
        <w:t>роли МСЭ в отношении Регистратора</w:t>
      </w:r>
      <w:r w:rsidRPr="00DB7222">
        <w:rPr>
          <w:rFonts w:eastAsiaTheme="minorEastAsia" w:cs="Calibri"/>
          <w:lang w:val="ru-RU" w:eastAsia="zh-CN"/>
        </w:rPr>
        <w:t xml:space="preserve">, </w:t>
      </w:r>
      <w:r w:rsidR="00F110A9" w:rsidRPr="00DB7222">
        <w:rPr>
          <w:rFonts w:eastAsiaTheme="minorEastAsia" w:cs="Calibri"/>
          <w:lang w:val="ru-RU" w:eastAsia="zh-CN"/>
        </w:rPr>
        <w:t>участия МСЭ в рамках Протокола по космическим средствам, оценки воздействия согласия или отказа МСЭ играть роль контролирующего органа</w:t>
      </w:r>
      <w:r w:rsidRPr="00DB7222">
        <w:rPr>
          <w:rFonts w:eastAsiaTheme="minorEastAsia" w:cs="Calibri"/>
          <w:lang w:val="ru-RU" w:eastAsia="zh-CN"/>
        </w:rPr>
        <w:t xml:space="preserve">. </w:t>
      </w:r>
    </w:p>
    <w:p w:rsidR="00F110A9" w:rsidRPr="007B29E8" w:rsidRDefault="00970C20" w:rsidP="009B2371">
      <w:pPr>
        <w:rPr>
          <w:rFonts w:asciiTheme="minorHAnsi" w:hAnsiTheme="minorHAnsi" w:cs="Segoe UI"/>
          <w:color w:val="000000"/>
          <w:lang w:val="ru-RU"/>
        </w:rPr>
      </w:pPr>
      <w:r w:rsidRPr="00DB7222">
        <w:rPr>
          <w:rFonts w:eastAsiaTheme="minorEastAsia" w:cs="Calibri"/>
          <w:lang w:val="ru-RU" w:eastAsia="zh-CN"/>
        </w:rPr>
        <w:t>7.3</w:t>
      </w:r>
      <w:r w:rsidRPr="00DB7222">
        <w:rPr>
          <w:rFonts w:eastAsiaTheme="minorEastAsia" w:cs="Calibri"/>
          <w:lang w:val="ru-RU" w:eastAsia="zh-CN"/>
        </w:rPr>
        <w:tab/>
      </w:r>
      <w:r w:rsidR="00F110A9" w:rsidRPr="00DB7222">
        <w:rPr>
          <w:rFonts w:eastAsiaTheme="minorEastAsia" w:cs="Calibri"/>
          <w:lang w:val="ru-RU" w:eastAsia="zh-CN"/>
        </w:rPr>
        <w:t xml:space="preserve">В соответствии со своими предыдущими решениями </w:t>
      </w:r>
      <w:r w:rsidR="00F110A9" w:rsidRPr="00DB7222">
        <w:rPr>
          <w:rFonts w:asciiTheme="minorHAnsi" w:hAnsiTheme="minorHAnsi"/>
          <w:lang w:val="ru-RU"/>
        </w:rPr>
        <w:t>Совет принял к сведению Документ </w:t>
      </w:r>
      <w:hyperlink r:id="rId42" w:history="1">
        <w:r w:rsidR="00F110A9" w:rsidRPr="00DB7222">
          <w:rPr>
            <w:rStyle w:val="Hyperlink"/>
            <w:rFonts w:eastAsiaTheme="minorEastAsia" w:cs="Calibri"/>
            <w:bCs/>
            <w:szCs w:val="24"/>
            <w:lang w:val="ru-RU" w:eastAsia="zh-CN"/>
          </w:rPr>
          <w:t>C14/13</w:t>
        </w:r>
      </w:hyperlink>
      <w:r w:rsidR="00F110A9" w:rsidRPr="00DB7222">
        <w:rPr>
          <w:rFonts w:asciiTheme="minorHAnsi" w:hAnsiTheme="minorHAnsi"/>
          <w:lang w:val="ru-RU"/>
        </w:rPr>
        <w:t xml:space="preserve"> и </w:t>
      </w:r>
      <w:r w:rsidR="00F110A9" w:rsidRPr="00DB7222">
        <w:rPr>
          <w:rFonts w:asciiTheme="minorHAnsi" w:hAnsiTheme="minorHAnsi" w:cs="Segoe UI"/>
          <w:color w:val="000000"/>
          <w:lang w:val="ru-RU"/>
        </w:rPr>
        <w:t>уполномочил Генерального секретаря и далее выражать заинтересованность МСЭ в том, чтобы стать контролирующим органом, отмечая при этом, что на данном этапе не следует</w:t>
      </w:r>
      <w:r w:rsidR="00F110A9" w:rsidRPr="007B29E8">
        <w:rPr>
          <w:rFonts w:asciiTheme="minorHAnsi" w:hAnsiTheme="minorHAnsi" w:cs="Segoe UI"/>
          <w:color w:val="000000"/>
          <w:lang w:val="ru-RU"/>
        </w:rPr>
        <w:t xml:space="preserve"> выносить суждение по вопросу о том, мог ли бы МСЭ стать контролирующим органом</w:t>
      </w:r>
      <w:r w:rsidR="00F110A9" w:rsidRPr="007B29E8">
        <w:rPr>
          <w:rFonts w:asciiTheme="minorHAnsi" w:hAnsiTheme="minorHAnsi"/>
          <w:lang w:val="ru-RU"/>
        </w:rPr>
        <w:t>. Кроме того</w:t>
      </w:r>
      <w:r w:rsidR="00DB7222">
        <w:rPr>
          <w:rFonts w:asciiTheme="minorHAnsi" w:hAnsiTheme="minorHAnsi"/>
          <w:lang w:val="ru-RU"/>
        </w:rPr>
        <w:t>,</w:t>
      </w:r>
      <w:r w:rsidR="00F110A9" w:rsidRPr="007B29E8">
        <w:rPr>
          <w:rFonts w:asciiTheme="minorHAnsi" w:hAnsiTheme="minorHAnsi"/>
          <w:lang w:val="ru-RU"/>
        </w:rPr>
        <w:t xml:space="preserve"> Совет </w:t>
      </w:r>
      <w:r w:rsidR="00F110A9" w:rsidRPr="007B29E8">
        <w:rPr>
          <w:rFonts w:asciiTheme="minorHAnsi" w:hAnsiTheme="minorHAnsi" w:cs="Segoe UI"/>
          <w:color w:val="000000"/>
          <w:lang w:val="ru-RU"/>
        </w:rPr>
        <w:t>уполномочил</w:t>
      </w:r>
      <w:r w:rsidR="00F110A9" w:rsidRPr="007B29E8">
        <w:rPr>
          <w:rFonts w:asciiTheme="minorHAnsi" w:hAnsiTheme="minorHAnsi"/>
          <w:lang w:val="ru-RU"/>
        </w:rPr>
        <w:t xml:space="preserve"> </w:t>
      </w:r>
      <w:r w:rsidR="00F110A9" w:rsidRPr="007B29E8">
        <w:rPr>
          <w:rFonts w:asciiTheme="minorHAnsi" w:hAnsiTheme="minorHAnsi" w:cs="Segoe UI"/>
          <w:color w:val="000000"/>
          <w:lang w:val="ru-RU"/>
        </w:rPr>
        <w:t>Генерального секретаря или его представителя продолжать участвовать в работе Подготовительной комиссии и ее рабочих групп в качестве наблюдателя. Совет также поручил Генеральному секретарю представить отчет по данному вопросу ПК</w:t>
      </w:r>
      <w:r w:rsidR="00F110A9" w:rsidRPr="007B29E8">
        <w:rPr>
          <w:rFonts w:asciiTheme="minorHAnsi" w:hAnsiTheme="minorHAnsi" w:cs="Segoe UI"/>
          <w:color w:val="000000"/>
          <w:lang w:val="ru-RU"/>
        </w:rPr>
        <w:noBreakHyphen/>
        <w:t>14 и отчитаться о ходе работы на сессии Совета 2015 года.</w:t>
      </w:r>
    </w:p>
    <w:p w:rsidR="00970C20" w:rsidRPr="007B29E8" w:rsidRDefault="00970C20" w:rsidP="009B2371">
      <w:pPr>
        <w:rPr>
          <w:rFonts w:asciiTheme="minorHAnsi" w:eastAsiaTheme="minorEastAsia" w:hAnsiTheme="minorHAnsi" w:cs="Calibri"/>
          <w:lang w:val="ru-RU" w:eastAsia="zh-CN"/>
        </w:rPr>
      </w:pPr>
      <w:r w:rsidRPr="007B29E8">
        <w:rPr>
          <w:rFonts w:asciiTheme="minorHAnsi" w:eastAsiaTheme="minorEastAsia" w:hAnsiTheme="minorHAnsi" w:cs="Calibri"/>
          <w:lang w:val="ru-RU" w:eastAsia="zh-CN"/>
        </w:rPr>
        <w:t>7.4</w:t>
      </w:r>
      <w:r w:rsidRPr="007B29E8">
        <w:rPr>
          <w:rFonts w:asciiTheme="minorHAnsi" w:eastAsiaTheme="minorEastAsia" w:hAnsiTheme="minorHAnsi" w:cs="Calibri"/>
          <w:lang w:val="ru-RU" w:eastAsia="zh-CN"/>
        </w:rPr>
        <w:tab/>
      </w:r>
      <w:r w:rsidR="00E80F42" w:rsidRPr="007B29E8">
        <w:rPr>
          <w:lang w:val="ru-RU"/>
        </w:rPr>
        <w:t>После предложения, согласно которому Совету следует рекомендовать ПК-14 принять решение по данному вопросу, Совет принял к сведению</w:t>
      </w:r>
      <w:r w:rsidR="00E80F42" w:rsidRPr="007B29E8">
        <w:rPr>
          <w:b/>
          <w:bCs/>
          <w:lang w:val="ru-RU"/>
        </w:rPr>
        <w:t xml:space="preserve"> </w:t>
      </w:r>
      <w:r w:rsidR="00E80F42" w:rsidRPr="007B29E8">
        <w:rPr>
          <w:lang w:val="ru-RU"/>
        </w:rPr>
        <w:t>предложение</w:t>
      </w:r>
      <w:r w:rsidR="00E80F42" w:rsidRPr="007B29E8">
        <w:rPr>
          <w:b/>
          <w:bCs/>
          <w:lang w:val="ru-RU"/>
        </w:rPr>
        <w:t xml:space="preserve"> </w:t>
      </w:r>
      <w:r w:rsidR="00E80F42" w:rsidRPr="007B29E8">
        <w:rPr>
          <w:lang w:val="ru-RU"/>
        </w:rPr>
        <w:t>одного из наблюдателей, что предпочтительнее будет рекомендовать ПК</w:t>
      </w:r>
      <w:r w:rsidR="00E80F42" w:rsidRPr="007B29E8">
        <w:rPr>
          <w:lang w:val="ru-RU"/>
        </w:rPr>
        <w:noBreakHyphen/>
        <w:t>14 рассмотреть данный вопрос и принять необходимые меры, в зависимости от случая</w:t>
      </w:r>
      <w:r w:rsidRPr="007B29E8">
        <w:rPr>
          <w:rFonts w:asciiTheme="minorHAnsi" w:eastAsiaTheme="minorEastAsia" w:hAnsiTheme="minorHAnsi" w:cs="Calibri"/>
          <w:lang w:val="ru-RU" w:eastAsia="zh-CN"/>
        </w:rPr>
        <w:t>.</w:t>
      </w:r>
    </w:p>
    <w:p w:rsidR="00E80F42" w:rsidRPr="007B29E8" w:rsidRDefault="00970C20" w:rsidP="009B2371">
      <w:pPr>
        <w:rPr>
          <w:lang w:val="ru-RU"/>
        </w:rPr>
      </w:pPr>
      <w:r w:rsidRPr="007B29E8">
        <w:rPr>
          <w:rFonts w:asciiTheme="minorHAnsi" w:hAnsiTheme="minorHAnsi" w:cs="Segoe UI"/>
          <w:lang w:val="ru-RU"/>
        </w:rPr>
        <w:t>7.5</w:t>
      </w:r>
      <w:r w:rsidRPr="007B29E8">
        <w:rPr>
          <w:rFonts w:asciiTheme="minorHAnsi" w:hAnsiTheme="minorHAnsi" w:cs="Segoe UI"/>
          <w:lang w:val="ru-RU"/>
        </w:rPr>
        <w:tab/>
      </w:r>
      <w:r w:rsidR="00E80F42" w:rsidRPr="007B29E8">
        <w:rPr>
          <w:lang w:val="ru-RU"/>
        </w:rPr>
        <w:t>Что касается вопросов и комментариев, поступивших от различных администраций, в частности администраций Японии, Австралии, Филиппин, Германии, Франции, Индии, Мали, Нигерии, Аргентины, Швеции, Китая, Турции и Соединенных Штатов Америки в ходе сессий Совета 2012, 2013 и 2014 годов и касающихся возможной роли МСЭ как контролирующего органа Международной системы регистрации космических средств, секретариат завершил работу над информационным документом, в котором содержится вся необходимая информация, разъяснения и базовая информация.</w:t>
      </w:r>
    </w:p>
    <w:p w:rsidR="00970C20" w:rsidRPr="007B29E8" w:rsidRDefault="00970C20" w:rsidP="009B2371">
      <w:pPr>
        <w:rPr>
          <w:lang w:val="ru-RU"/>
        </w:rPr>
      </w:pPr>
      <w:r w:rsidRPr="007B29E8">
        <w:rPr>
          <w:lang w:val="ru-RU"/>
        </w:rPr>
        <w:t>7.6</w:t>
      </w:r>
      <w:r w:rsidRPr="007B29E8">
        <w:rPr>
          <w:lang w:val="ru-RU"/>
        </w:rPr>
        <w:tab/>
      </w:r>
      <w:r w:rsidR="00E80F42" w:rsidRPr="007B29E8">
        <w:rPr>
          <w:lang w:val="ru-RU"/>
        </w:rPr>
        <w:t>Чтобы предоставить Генеральному секретарю МСЭ возможность выполнять свою задачу полностью прозрачным образом, был создан веб-сайт SharePoint по вопросу Протокола по космическим средствам, открытый для Государств – Членов Совета, для обмена информацией и комментариями в онлайновой форме (письмо DM</w:t>
      </w:r>
      <w:r w:rsidR="00E80F42" w:rsidRPr="007B29E8">
        <w:rPr>
          <w:lang w:val="ru-RU"/>
        </w:rPr>
        <w:noBreakHyphen/>
        <w:t xml:space="preserve">12/1031 от 15 октября 2012 г.) по адресу: </w:t>
      </w:r>
      <w:hyperlink r:id="rId43" w:history="1">
        <w:r w:rsidR="00E80F42" w:rsidRPr="007B29E8">
          <w:rPr>
            <w:rStyle w:val="Hyperlink"/>
            <w:rFonts w:asciiTheme="minorHAnsi" w:hAnsiTheme="minorHAnsi"/>
            <w:szCs w:val="22"/>
            <w:lang w:val="ru-RU"/>
          </w:rPr>
          <w:t>https://extranet.itu.int/ITU-R/space-assets</w:t>
        </w:r>
      </w:hyperlink>
      <w:r w:rsidR="00E80F42" w:rsidRPr="007B29E8">
        <w:rPr>
          <w:lang w:val="ru-RU"/>
        </w:rPr>
        <w:t xml:space="preserve">. </w:t>
      </w:r>
    </w:p>
    <w:p w:rsidR="00970C20" w:rsidRPr="007B29E8" w:rsidRDefault="0075483B" w:rsidP="00E442BC">
      <w:pPr>
        <w:pStyle w:val="Heading1"/>
        <w:rPr>
          <w:rFonts w:asciiTheme="minorHAnsi" w:hAnsiTheme="minorHAnsi" w:cs="Segoe UI"/>
          <w:b w:val="0"/>
          <w:bCs/>
          <w:szCs w:val="22"/>
          <w:lang w:val="ru-RU"/>
        </w:rPr>
      </w:pPr>
      <w:r w:rsidRPr="007B29E8">
        <w:rPr>
          <w:rFonts w:eastAsiaTheme="minorEastAsia"/>
          <w:lang w:val="ru-RU" w:eastAsia="zh-CN"/>
        </w:rPr>
        <w:t>8</w:t>
      </w:r>
      <w:r w:rsidRPr="007B29E8">
        <w:rPr>
          <w:rFonts w:eastAsiaTheme="minorEastAsia"/>
          <w:lang w:val="ru-RU" w:eastAsia="zh-CN"/>
        </w:rPr>
        <w:tab/>
      </w:r>
      <w:r w:rsidR="00E80F42" w:rsidRPr="007B29E8">
        <w:rPr>
          <w:rFonts w:eastAsiaTheme="minorEastAsia"/>
          <w:lang w:val="ru-RU" w:eastAsia="zh-CN"/>
        </w:rPr>
        <w:t>Полномочной конференции предлагается рассмотреть настоящий документ и принять</w:t>
      </w:r>
      <w:r w:rsidR="00E80F42" w:rsidRPr="007B29E8">
        <w:rPr>
          <w:rFonts w:asciiTheme="minorHAnsi" w:hAnsiTheme="minorHAnsi" w:cs="Segoe UI"/>
          <w:bCs/>
          <w:szCs w:val="22"/>
          <w:lang w:val="ru-RU"/>
        </w:rPr>
        <w:t xml:space="preserve"> соответствующие меры</w:t>
      </w:r>
      <w:r w:rsidR="009B2371" w:rsidRPr="007B29E8">
        <w:rPr>
          <w:rFonts w:asciiTheme="minorHAnsi" w:hAnsiTheme="minorHAnsi" w:cs="Segoe UI"/>
          <w:b w:val="0"/>
          <w:bCs/>
          <w:szCs w:val="22"/>
          <w:lang w:val="ru-RU"/>
        </w:rPr>
        <w:t>.</w:t>
      </w:r>
    </w:p>
    <w:p w:rsidR="009B2371" w:rsidRPr="007B29E8" w:rsidRDefault="009B23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B29E8">
        <w:rPr>
          <w:lang w:val="ru-RU"/>
        </w:rPr>
        <w:br w:type="page"/>
      </w:r>
    </w:p>
    <w:p w:rsidR="00970C20" w:rsidRPr="007B29E8" w:rsidRDefault="0075483B" w:rsidP="009B2371">
      <w:pPr>
        <w:pStyle w:val="AnnexNo"/>
        <w:rPr>
          <w:lang w:val="ru-RU"/>
        </w:rPr>
      </w:pPr>
      <w:r w:rsidRPr="007B29E8">
        <w:rPr>
          <w:lang w:val="ru-RU"/>
        </w:rPr>
        <w:t>ПРИЛОЖЕНИЕ</w:t>
      </w:r>
      <w:r w:rsidR="00970C20" w:rsidRPr="007B29E8">
        <w:rPr>
          <w:lang w:val="ru-RU"/>
        </w:rPr>
        <w:t xml:space="preserve"> 1</w:t>
      </w:r>
    </w:p>
    <w:p w:rsidR="00970C20" w:rsidRPr="007B29E8" w:rsidRDefault="0075483B" w:rsidP="009B2371">
      <w:pPr>
        <w:pStyle w:val="Annextitle"/>
        <w:rPr>
          <w:lang w:val="ru-RU"/>
        </w:rPr>
      </w:pPr>
      <w:r w:rsidRPr="007B29E8">
        <w:rPr>
          <w:lang w:val="ru-RU"/>
        </w:rPr>
        <w:t>Контролирующий орган Международной системы регистрации космических средств в соответствии с Протоколом по космическим средствам</w:t>
      </w:r>
    </w:p>
    <w:p w:rsidR="00970C20" w:rsidRPr="007B29E8" w:rsidRDefault="0075483B" w:rsidP="00DB7222">
      <w:pPr>
        <w:spacing w:before="480"/>
        <w:rPr>
          <w:rFonts w:asciiTheme="minorHAnsi" w:hAnsiTheme="minorHAnsi" w:cstheme="minorHAnsi"/>
          <w:szCs w:val="24"/>
          <w:u w:val="single"/>
          <w:lang w:val="ru-RU"/>
        </w:rPr>
      </w:pPr>
      <w:r w:rsidRPr="007B29E8">
        <w:rPr>
          <w:rFonts w:cs="Calibri"/>
          <w:b/>
          <w:lang w:val="ru-RU"/>
        </w:rPr>
        <w:t>Базовая информация</w:t>
      </w:r>
      <w:r w:rsidRPr="007B29E8">
        <w:rPr>
          <w:rFonts w:cs="Calibri"/>
          <w:lang w:val="ru-RU"/>
        </w:rPr>
        <w:t xml:space="preserve"> </w:t>
      </w:r>
      <w:r w:rsidRPr="001C54A8">
        <w:rPr>
          <w:rFonts w:cs="Calibri"/>
          <w:lang w:val="ru-RU"/>
        </w:rPr>
        <w:t xml:space="preserve">– </w:t>
      </w:r>
      <w:hyperlink r:id="rId44" w:history="1">
        <w:r w:rsidRPr="001C54A8">
          <w:rPr>
            <w:rStyle w:val="Hyperlink"/>
            <w:iCs/>
            <w:szCs w:val="22"/>
            <w:lang w:val="ru-RU"/>
          </w:rPr>
          <w:t>Протокол по космическим средствам</w:t>
        </w:r>
      </w:hyperlink>
      <w:r w:rsidR="007B29E8">
        <w:rPr>
          <w:rFonts w:cs="Calibri"/>
          <w:lang w:val="ru-RU"/>
        </w:rPr>
        <w:t xml:space="preserve"> </w:t>
      </w:r>
      <w:r w:rsidRPr="007B29E8">
        <w:rPr>
          <w:rFonts w:cs="Calibri"/>
          <w:lang w:val="ru-RU"/>
        </w:rPr>
        <w:t xml:space="preserve">является частью серии международных договоров, начало которой положили </w:t>
      </w:r>
      <w:hyperlink r:id="rId45" w:history="1">
        <w:r w:rsidRPr="007B29E8">
          <w:rPr>
            <w:rStyle w:val="Hyperlink"/>
            <w:rFonts w:cs="Calibri"/>
            <w:szCs w:val="22"/>
            <w:lang w:val="ru-RU"/>
          </w:rPr>
          <w:t>Конвенция о международных гарантиях в отношении подвижного оборудования</w:t>
        </w:r>
      </w:hyperlink>
      <w:r w:rsidRPr="007B29E8">
        <w:rPr>
          <w:rFonts w:cs="Calibri"/>
          <w:lang w:val="ru-RU"/>
        </w:rPr>
        <w:t xml:space="preserve"> (в дальнейшем именуемая </w:t>
      </w:r>
      <w:r w:rsidRPr="007B29E8">
        <w:rPr>
          <w:rFonts w:cs="Calibri"/>
          <w:iCs/>
          <w:lang w:val="ru-RU"/>
        </w:rPr>
        <w:t>Конвенцией</w:t>
      </w:r>
      <w:r w:rsidRPr="007B29E8">
        <w:rPr>
          <w:rFonts w:cs="Calibri"/>
          <w:lang w:val="ru-RU"/>
        </w:rPr>
        <w:t xml:space="preserve">) и </w:t>
      </w:r>
      <w:hyperlink r:id="rId46" w:history="1">
        <w:r w:rsidRPr="007B29E8">
          <w:rPr>
            <w:rStyle w:val="Hyperlink"/>
            <w:rFonts w:cs="Calibri"/>
            <w:szCs w:val="22"/>
            <w:lang w:val="ru-RU"/>
          </w:rPr>
          <w:t>Протокол по авиационному оборудованию</w:t>
        </w:r>
      </w:hyperlink>
      <w:r w:rsidRPr="007B29E8">
        <w:rPr>
          <w:rFonts w:cs="Calibri"/>
          <w:lang w:val="ru-RU"/>
        </w:rPr>
        <w:t xml:space="preserve">, которые оба были открыты для подписания в Кейптауне 16 ноября 2001 года. </w:t>
      </w:r>
      <w:r w:rsidRPr="007B29E8">
        <w:rPr>
          <w:lang w:val="ru-RU"/>
        </w:rPr>
        <w:t>Протокол по космическим средствам</w:t>
      </w:r>
      <w:r w:rsidRPr="007B29E8">
        <w:rPr>
          <w:i/>
          <w:iCs/>
          <w:lang w:val="ru-RU"/>
        </w:rPr>
        <w:t xml:space="preserve"> </w:t>
      </w:r>
      <w:r w:rsidRPr="007B29E8">
        <w:rPr>
          <w:rFonts w:cs="Calibri"/>
          <w:lang w:val="ru-RU"/>
        </w:rPr>
        <w:t xml:space="preserve">является документом, разработанным в целях содействия обеспеченному активами финансированию для приобретения и использования космических средств, таких как спутники и ретрансляторы, перемещающихся через границы. </w:t>
      </w:r>
    </w:p>
    <w:p w:rsidR="007526A8" w:rsidRPr="007B29E8" w:rsidRDefault="007526A8" w:rsidP="009B2371">
      <w:pPr>
        <w:rPr>
          <w:rFonts w:cs="Calibri"/>
          <w:lang w:val="ru-RU"/>
        </w:rPr>
      </w:pPr>
      <w:r w:rsidRPr="007B29E8">
        <w:rPr>
          <w:rFonts w:cs="Calibri"/>
          <w:b/>
          <w:lang w:val="ru-RU"/>
        </w:rPr>
        <w:t>Обеспеченное активами финансирование</w:t>
      </w:r>
      <w:r w:rsidRPr="007B29E8">
        <w:rPr>
          <w:rFonts w:cs="Calibri"/>
          <w:lang w:val="ru-RU"/>
        </w:rPr>
        <w:t xml:space="preserve"> – в соответствии с международной правовой базой обеспеченного активами финансирования кредитор может в принудительном порядке осуществлять свои права в отношении оборудования в случае неисполнения обязательств должником. Такое финансирование является подходящим для заимствования с использованием космических средств, имеющих большую ценность. В соответствии с действующим правовым режимом вопросы, касающиеся действительности, определения очередности и принудительного осуществления прав обеспечения и лизинга в отношении такого оборудования, будут, как правило, определяться правом, действующим в месте нахождения такого оборудования. Однако в настоящее время применимое право, которое действовало бы в месте нахождения оборудования в космосе, отсутствует. С точки зрения заимодателя такое положение делает менее приемлемыми риски обеспеченного активами финансирования.</w:t>
      </w:r>
    </w:p>
    <w:p w:rsidR="007526A8" w:rsidRPr="007B29E8" w:rsidRDefault="007526A8" w:rsidP="009B2371">
      <w:pPr>
        <w:rPr>
          <w:rFonts w:cs="Calibri"/>
          <w:lang w:val="ru-RU"/>
        </w:rPr>
      </w:pPr>
      <w:r w:rsidRPr="007B29E8">
        <w:rPr>
          <w:rFonts w:cs="Calibri"/>
          <w:b/>
          <w:lang w:val="ru-RU"/>
        </w:rPr>
        <w:t>Международный регистр</w:t>
      </w:r>
      <w:r w:rsidRPr="007B29E8">
        <w:rPr>
          <w:rFonts w:cs="Calibri"/>
          <w:lang w:val="ru-RU"/>
        </w:rPr>
        <w:t xml:space="preserve"> – </w:t>
      </w:r>
      <w:r w:rsidRPr="007B29E8">
        <w:rPr>
          <w:rStyle w:val="CharacterStyle1"/>
          <w:iCs/>
          <w:sz w:val="22"/>
          <w:szCs w:val="22"/>
          <w:lang w:val="ru-RU"/>
        </w:rPr>
        <w:t xml:space="preserve">Протокол по космическим </w:t>
      </w:r>
      <w:r w:rsidRPr="007B29E8">
        <w:rPr>
          <w:rStyle w:val="CharacterStyle1"/>
          <w:bCs/>
          <w:iCs/>
          <w:sz w:val="22"/>
          <w:szCs w:val="22"/>
          <w:lang w:val="ru-RU"/>
        </w:rPr>
        <w:t>средствам</w:t>
      </w:r>
      <w:r w:rsidRPr="007B29E8">
        <w:rPr>
          <w:rStyle w:val="CharacterStyle1"/>
          <w:i/>
          <w:sz w:val="22"/>
          <w:szCs w:val="22"/>
          <w:lang w:val="ru-RU"/>
        </w:rPr>
        <w:t xml:space="preserve"> </w:t>
      </w:r>
      <w:r w:rsidRPr="007B29E8">
        <w:rPr>
          <w:rStyle w:val="CharacterStyle1"/>
          <w:sz w:val="22"/>
          <w:szCs w:val="22"/>
          <w:lang w:val="ru-RU"/>
        </w:rPr>
        <w:t xml:space="preserve">сформировал правовое основание для создания, определения очередности и принудительного осуществления обеспечения и прав лизинга в отношении размещенного в космосе оборудования. Одним из основных элементов </w:t>
      </w:r>
      <w:r w:rsidR="009B2371" w:rsidRPr="007B29E8">
        <w:rPr>
          <w:lang w:val="ru-RU"/>
        </w:rPr>
        <w:t xml:space="preserve">Протокола по космическим </w:t>
      </w:r>
      <w:r w:rsidRPr="007B29E8">
        <w:rPr>
          <w:lang w:val="ru-RU"/>
        </w:rPr>
        <w:t>средствам</w:t>
      </w:r>
      <w:r w:rsidRPr="007B29E8">
        <w:rPr>
          <w:i/>
          <w:iCs/>
          <w:lang w:val="ru-RU"/>
        </w:rPr>
        <w:t xml:space="preserve"> </w:t>
      </w:r>
      <w:r w:rsidRPr="007B29E8">
        <w:rPr>
          <w:rStyle w:val="CharacterStyle1"/>
          <w:sz w:val="22"/>
          <w:szCs w:val="22"/>
          <w:lang w:val="ru-RU"/>
        </w:rPr>
        <w:t xml:space="preserve">является создание международного регистра космических </w:t>
      </w:r>
      <w:r w:rsidRPr="007B29E8">
        <w:rPr>
          <w:rStyle w:val="CharacterStyle1"/>
          <w:bCs/>
          <w:sz w:val="22"/>
          <w:szCs w:val="22"/>
          <w:lang w:val="ru-RU"/>
        </w:rPr>
        <w:t>средств</w:t>
      </w:r>
      <w:r w:rsidRPr="007B29E8">
        <w:rPr>
          <w:rStyle w:val="CharacterStyle1"/>
          <w:sz w:val="22"/>
          <w:szCs w:val="22"/>
          <w:lang w:val="ru-RU"/>
        </w:rPr>
        <w:t xml:space="preserve"> (в дальнейшем именуемого </w:t>
      </w:r>
      <w:r w:rsidRPr="007B29E8">
        <w:rPr>
          <w:rStyle w:val="CharacterStyle1"/>
          <w:iCs/>
          <w:sz w:val="22"/>
          <w:szCs w:val="22"/>
          <w:lang w:val="ru-RU"/>
        </w:rPr>
        <w:t>Регистром</w:t>
      </w:r>
      <w:r w:rsidRPr="007B29E8">
        <w:rPr>
          <w:rStyle w:val="CharacterStyle1"/>
          <w:sz w:val="22"/>
          <w:szCs w:val="22"/>
          <w:lang w:val="ru-RU"/>
        </w:rPr>
        <w:t xml:space="preserve">), в котором могли бы регистрироваться эти права. </w:t>
      </w:r>
      <w:r w:rsidRPr="007B29E8">
        <w:rPr>
          <w:rStyle w:val="CharacterStyle1"/>
          <w:iCs/>
          <w:sz w:val="22"/>
          <w:szCs w:val="22"/>
          <w:lang w:val="ru-RU"/>
        </w:rPr>
        <w:t>Регистр</w:t>
      </w:r>
      <w:r w:rsidRPr="007B29E8">
        <w:rPr>
          <w:rStyle w:val="CharacterStyle1"/>
          <w:sz w:val="22"/>
          <w:szCs w:val="22"/>
          <w:lang w:val="ru-RU"/>
        </w:rPr>
        <w:t xml:space="preserve"> будет определять очередность прав на основе принципа удовлетворения требований в порядке поступления, с тем чтобы обеспечить для заимодателя определенный уровень правовой однозначности в отношении обеспеченного активами финансирования. Функции </w:t>
      </w:r>
      <w:r w:rsidRPr="007B29E8">
        <w:rPr>
          <w:rStyle w:val="CharacterStyle1"/>
          <w:iCs/>
          <w:sz w:val="22"/>
          <w:szCs w:val="22"/>
          <w:lang w:val="ru-RU"/>
        </w:rPr>
        <w:t xml:space="preserve">Регистра </w:t>
      </w:r>
      <w:r w:rsidRPr="007B29E8">
        <w:rPr>
          <w:rStyle w:val="CharacterStyle1"/>
          <w:sz w:val="22"/>
          <w:szCs w:val="22"/>
          <w:lang w:val="ru-RU"/>
        </w:rPr>
        <w:t>осуществляются и отправляются Регистратором ежедневно и круглосуточно</w:t>
      </w:r>
      <w:r w:rsidRPr="007B29E8">
        <w:rPr>
          <w:rFonts w:cs="Calibri"/>
          <w:lang w:val="ru-RU"/>
        </w:rPr>
        <w:t>.</w:t>
      </w:r>
    </w:p>
    <w:p w:rsidR="007526A8" w:rsidRPr="007B29E8" w:rsidRDefault="007526A8" w:rsidP="009B2371">
      <w:pPr>
        <w:rPr>
          <w:rFonts w:cs="Calibri"/>
          <w:highlight w:val="yellow"/>
          <w:lang w:val="ru-RU"/>
        </w:rPr>
      </w:pPr>
      <w:r w:rsidRPr="007B29E8">
        <w:rPr>
          <w:rFonts w:cs="Calibri"/>
          <w:b/>
          <w:lang w:val="ru-RU"/>
        </w:rPr>
        <w:t>Космические средства</w:t>
      </w:r>
      <w:r w:rsidRPr="007B29E8">
        <w:rPr>
          <w:rFonts w:cs="Calibri"/>
          <w:lang w:val="ru-RU"/>
        </w:rPr>
        <w:t xml:space="preserve"> </w:t>
      </w:r>
      <w:r w:rsidRPr="007B29E8">
        <w:rPr>
          <w:lang w:val="ru-RU"/>
        </w:rPr>
        <w:t xml:space="preserve">– </w:t>
      </w:r>
      <w:r w:rsidRPr="007B29E8">
        <w:rPr>
          <w:rFonts w:cs="Calibri"/>
          <w:lang w:val="ru-RU"/>
        </w:rPr>
        <w:t xml:space="preserve">"космические </w:t>
      </w:r>
      <w:r w:rsidRPr="007B29E8">
        <w:rPr>
          <w:rStyle w:val="CharacterStyle1"/>
          <w:bCs/>
          <w:sz w:val="22"/>
          <w:szCs w:val="22"/>
          <w:lang w:val="ru-RU"/>
        </w:rPr>
        <w:t>средств</w:t>
      </w:r>
      <w:r w:rsidRPr="007B29E8">
        <w:rPr>
          <w:rFonts w:cs="Calibri"/>
          <w:lang w:val="ru-RU"/>
        </w:rPr>
        <w:t xml:space="preserve">а", согласно предварительному определению в </w:t>
      </w:r>
      <w:r w:rsidRPr="007B29E8">
        <w:rPr>
          <w:lang w:val="ru-RU"/>
        </w:rPr>
        <w:t>Протоколе по космическим средствам,</w:t>
      </w:r>
      <w:r w:rsidRPr="007B29E8">
        <w:rPr>
          <w:rFonts w:cs="Calibri"/>
          <w:lang w:val="ru-RU"/>
        </w:rPr>
        <w:t xml:space="preserve"> означают любое искусственно созданное, однозначно идентифицируемое </w:t>
      </w:r>
      <w:r w:rsidRPr="007B29E8">
        <w:rPr>
          <w:rStyle w:val="CharacterStyle1"/>
          <w:bCs/>
          <w:sz w:val="22"/>
          <w:szCs w:val="22"/>
          <w:lang w:val="ru-RU"/>
        </w:rPr>
        <w:t>средство</w:t>
      </w:r>
      <w:r w:rsidRPr="007B29E8">
        <w:rPr>
          <w:rFonts w:cs="Calibri"/>
          <w:lang w:val="ru-RU"/>
        </w:rPr>
        <w:t>, находящееся в космосе или предназначенное для запуска в космос, включая:</w:t>
      </w:r>
    </w:p>
    <w:p w:rsidR="007526A8" w:rsidRPr="007B29E8" w:rsidRDefault="007526A8" w:rsidP="009B2371">
      <w:pPr>
        <w:pStyle w:val="enumlev1"/>
        <w:rPr>
          <w:highlight w:val="yellow"/>
          <w:lang w:val="ru-RU"/>
        </w:rPr>
      </w:pPr>
      <w:r w:rsidRPr="007B29E8">
        <w:rPr>
          <w:lang w:val="ru-RU"/>
        </w:rPr>
        <w:t>i</w:t>
      </w:r>
      <w:r w:rsidR="009B2371" w:rsidRPr="007B29E8">
        <w:rPr>
          <w:lang w:val="ru-RU"/>
        </w:rPr>
        <w:t>)</w:t>
      </w:r>
      <w:r w:rsidRPr="007B29E8">
        <w:rPr>
          <w:lang w:val="ru-RU"/>
        </w:rPr>
        <w:tab/>
        <w:t xml:space="preserve">космический аппарат, такой как спутник, космическая станция, космический модуль, космическая капсула, космический корабль или ракета-носитель многоразового использования [которое может быть зарегистрировано в соответствии с правилами], с учетом или без учета космических </w:t>
      </w:r>
      <w:r w:rsidRPr="007B29E8">
        <w:rPr>
          <w:rStyle w:val="CharacterStyle1"/>
          <w:bCs/>
          <w:sz w:val="22"/>
          <w:szCs w:val="22"/>
          <w:lang w:val="ru-RU"/>
        </w:rPr>
        <w:t>средств</w:t>
      </w:r>
      <w:r w:rsidRPr="007B29E8">
        <w:rPr>
          <w:lang w:val="ru-RU"/>
        </w:rPr>
        <w:t>, подпадающих под описание в подпунктах ii) или iii), ниже;</w:t>
      </w:r>
    </w:p>
    <w:p w:rsidR="007526A8" w:rsidRPr="007B29E8" w:rsidRDefault="007526A8" w:rsidP="009B2371">
      <w:pPr>
        <w:pStyle w:val="enumlev1"/>
        <w:rPr>
          <w:highlight w:val="yellow"/>
          <w:lang w:val="ru-RU"/>
        </w:rPr>
      </w:pPr>
      <w:r w:rsidRPr="007B29E8">
        <w:rPr>
          <w:lang w:val="ru-RU"/>
        </w:rPr>
        <w:t>ii)</w:t>
      </w:r>
      <w:r w:rsidRPr="007B29E8">
        <w:rPr>
          <w:lang w:val="ru-RU"/>
        </w:rPr>
        <w:tab/>
        <w:t>бортовое оборудование (будь то относящееся к электросвязи, навигационное, наблюдательное, научное или иное), которое может быть зарегистрировано отдельно в соответствии с правилами; или</w:t>
      </w:r>
    </w:p>
    <w:p w:rsidR="00970C20" w:rsidRPr="007B29E8" w:rsidRDefault="007526A8" w:rsidP="009B2371">
      <w:pPr>
        <w:pStyle w:val="enumlev1"/>
        <w:rPr>
          <w:rFonts w:asciiTheme="minorHAnsi" w:hAnsiTheme="minorHAnsi" w:cstheme="minorHAnsi"/>
          <w:sz w:val="24"/>
          <w:szCs w:val="24"/>
          <w:lang w:val="ru-RU"/>
        </w:rPr>
      </w:pPr>
      <w:r w:rsidRPr="007B29E8">
        <w:rPr>
          <w:lang w:val="ru-RU"/>
        </w:rPr>
        <w:t>iii)</w:t>
      </w:r>
      <w:r w:rsidRPr="007B29E8">
        <w:rPr>
          <w:lang w:val="ru-RU"/>
        </w:rPr>
        <w:tab/>
        <w:t>компонент космического аппарата или бортового оборудования, такой как ретранслятор, который может быть зарегистрирован отдельно в соответствии с правилами, вместе со всеми установленными, включенными в его состав или присоединенными вспомогательными устройствами, деталями и оборудованием и всеми данными, инструкциями и записями, относящимися к нему.</w:t>
      </w:r>
    </w:p>
    <w:p w:rsidR="007526A8" w:rsidRPr="00DB7222" w:rsidRDefault="007526A8" w:rsidP="009B2371">
      <w:pPr>
        <w:rPr>
          <w:lang w:val="ru-RU"/>
        </w:rPr>
      </w:pPr>
      <w:r w:rsidRPr="007B29E8">
        <w:rPr>
          <w:rFonts w:cs="Calibri"/>
          <w:b/>
          <w:lang w:val="ru-RU"/>
        </w:rPr>
        <w:t>Роль и функции Контролирующего органа</w:t>
      </w:r>
      <w:r w:rsidRPr="007B29E8">
        <w:rPr>
          <w:rFonts w:cs="Calibri"/>
          <w:lang w:val="ru-RU"/>
        </w:rPr>
        <w:t xml:space="preserve"> – К</w:t>
      </w:r>
      <w:r w:rsidRPr="007B29E8">
        <w:rPr>
          <w:lang w:val="ru-RU"/>
        </w:rPr>
        <w:t xml:space="preserve">онтролирующий орган будет выполнять надзор за обеспечением функционирования </w:t>
      </w:r>
      <w:r w:rsidRPr="007B29E8">
        <w:rPr>
          <w:iCs/>
          <w:lang w:val="ru-RU"/>
        </w:rPr>
        <w:t>Регистра</w:t>
      </w:r>
      <w:r w:rsidRPr="007B29E8">
        <w:rPr>
          <w:i/>
          <w:lang w:val="ru-RU"/>
        </w:rPr>
        <w:t xml:space="preserve">, </w:t>
      </w:r>
      <w:r w:rsidRPr="007B29E8">
        <w:rPr>
          <w:lang w:val="ru-RU"/>
        </w:rPr>
        <w:t>осуществляемого посредством Регистратора</w:t>
      </w:r>
      <w:r w:rsidRPr="007B29E8">
        <w:rPr>
          <w:i/>
          <w:iCs/>
          <w:lang w:val="ru-RU"/>
        </w:rPr>
        <w:t xml:space="preserve">. </w:t>
      </w:r>
      <w:r w:rsidRPr="007B29E8">
        <w:rPr>
          <w:iCs/>
          <w:lang w:val="ru-RU"/>
        </w:rPr>
        <w:t xml:space="preserve">В частности, он будет назначать Регистратора и, при необходимости, освобождать его от должности, контролировать его деятельность, устанавливать правила, связанные с функционированием </w:t>
      </w:r>
      <w:r w:rsidRPr="007B29E8">
        <w:rPr>
          <w:lang w:val="ru-RU"/>
        </w:rPr>
        <w:t>Регистра</w:t>
      </w:r>
      <w:r w:rsidRPr="007B29E8">
        <w:rPr>
          <w:i/>
          <w:iCs/>
          <w:lang w:val="ru-RU"/>
        </w:rPr>
        <w:t>,</w:t>
      </w:r>
      <w:r w:rsidRPr="007B29E8">
        <w:rPr>
          <w:iCs/>
          <w:lang w:val="ru-RU"/>
        </w:rPr>
        <w:t xml:space="preserve"> после утверждения договаривающимися государствами и может прибегать к содействию комиссии экспертов, назначаемых государствами, подписавшими Протокол, и договаривающимися государствами</w:t>
      </w:r>
      <w:r w:rsidRPr="007B29E8">
        <w:rPr>
          <w:lang w:val="ru-RU"/>
        </w:rPr>
        <w:t xml:space="preserve">. Он будет определять и периодически пересматривать структуру сборов за услуги, предоставляемые </w:t>
      </w:r>
      <w:r w:rsidRPr="007B29E8">
        <w:rPr>
          <w:iCs/>
          <w:lang w:val="ru-RU"/>
        </w:rPr>
        <w:t>Регистром</w:t>
      </w:r>
      <w:r w:rsidRPr="007B29E8">
        <w:rPr>
          <w:i/>
          <w:lang w:val="ru-RU"/>
        </w:rPr>
        <w:t xml:space="preserve">. </w:t>
      </w:r>
    </w:p>
    <w:p w:rsidR="00970C20" w:rsidRPr="007B29E8" w:rsidRDefault="007526A8" w:rsidP="009B2371">
      <w:pPr>
        <w:rPr>
          <w:rFonts w:asciiTheme="minorHAnsi" w:hAnsiTheme="minorHAnsi" w:cstheme="minorHAnsi"/>
          <w:lang w:val="ru-RU"/>
        </w:rPr>
      </w:pPr>
      <w:r w:rsidRPr="007B29E8">
        <w:rPr>
          <w:rFonts w:cs="Calibri"/>
          <w:b/>
          <w:lang w:val="ru-RU"/>
        </w:rPr>
        <w:t>Процедуры выбора Контролирующего органа</w:t>
      </w:r>
      <w:r w:rsidRPr="007B29E8">
        <w:rPr>
          <w:rFonts w:cs="Calibri"/>
          <w:lang w:val="ru-RU"/>
        </w:rPr>
        <w:t xml:space="preserve"> </w:t>
      </w:r>
      <w:r w:rsidRPr="007B29E8">
        <w:rPr>
          <w:rFonts w:asciiTheme="minorHAnsi" w:hAnsiTheme="minorHAnsi" w:cstheme="minorHAnsi"/>
          <w:lang w:val="ru-RU"/>
        </w:rPr>
        <w:t>–</w:t>
      </w:r>
      <w:r w:rsidR="00970C20" w:rsidRPr="007B29E8">
        <w:rPr>
          <w:rFonts w:asciiTheme="minorHAnsi" w:hAnsiTheme="minorHAnsi" w:cstheme="minorHAnsi"/>
          <w:lang w:val="ru-RU"/>
        </w:rPr>
        <w:t xml:space="preserve"> </w:t>
      </w:r>
      <w:r w:rsidRPr="007B29E8">
        <w:rPr>
          <w:rFonts w:asciiTheme="minorHAnsi" w:hAnsiTheme="minorHAnsi" w:cstheme="minorHAnsi"/>
          <w:lang w:val="ru-RU"/>
        </w:rPr>
        <w:t>Государства, представленные на Дипломатической конференции</w:t>
      </w:r>
      <w:r w:rsidR="00970C20" w:rsidRPr="007B29E8">
        <w:rPr>
          <w:rFonts w:asciiTheme="minorHAnsi" w:hAnsiTheme="minorHAnsi" w:cstheme="minorHAnsi"/>
          <w:lang w:val="ru-RU"/>
        </w:rPr>
        <w:t xml:space="preserve"> (</w:t>
      </w:r>
      <w:r w:rsidRPr="007B29E8">
        <w:rPr>
          <w:rFonts w:asciiTheme="minorHAnsi" w:hAnsiTheme="minorHAnsi" w:cstheme="minorHAnsi"/>
          <w:lang w:val="ru-RU"/>
        </w:rPr>
        <w:t>Берлин</w:t>
      </w:r>
      <w:r w:rsidR="00970C20" w:rsidRPr="007B29E8">
        <w:rPr>
          <w:rFonts w:asciiTheme="minorHAnsi" w:hAnsiTheme="minorHAnsi" w:cstheme="minorHAnsi"/>
          <w:lang w:val="ru-RU"/>
        </w:rPr>
        <w:t xml:space="preserve">, </w:t>
      </w:r>
      <w:r w:rsidRPr="007B29E8">
        <w:rPr>
          <w:rFonts w:asciiTheme="minorHAnsi" w:hAnsiTheme="minorHAnsi" w:cstheme="minorHAnsi"/>
          <w:lang w:val="ru-RU"/>
        </w:rPr>
        <w:t>февраль/март</w:t>
      </w:r>
      <w:r w:rsidR="00970C20" w:rsidRPr="007B29E8">
        <w:rPr>
          <w:rFonts w:asciiTheme="minorHAnsi" w:hAnsiTheme="minorHAnsi" w:cstheme="minorHAnsi"/>
          <w:lang w:val="ru-RU"/>
        </w:rPr>
        <w:t xml:space="preserve"> 2012</w:t>
      </w:r>
      <w:r w:rsidRPr="007B29E8">
        <w:rPr>
          <w:rFonts w:asciiTheme="minorHAnsi" w:hAnsiTheme="minorHAnsi" w:cstheme="minorHAnsi"/>
          <w:lang w:val="ru-RU"/>
        </w:rPr>
        <w:t> года</w:t>
      </w:r>
      <w:r w:rsidR="00970C20" w:rsidRPr="007B29E8">
        <w:rPr>
          <w:rFonts w:asciiTheme="minorHAnsi" w:hAnsiTheme="minorHAnsi" w:cstheme="minorHAnsi"/>
          <w:lang w:val="ru-RU"/>
        </w:rPr>
        <w:t xml:space="preserve">) </w:t>
      </w:r>
      <w:r w:rsidR="00BA1B85" w:rsidRPr="007B29E8">
        <w:rPr>
          <w:rFonts w:asciiTheme="minorHAnsi" w:hAnsiTheme="minorHAnsi" w:cstheme="minorHAnsi"/>
          <w:lang w:val="ru-RU"/>
        </w:rPr>
        <w:t xml:space="preserve">приняли Резолюцию 1, </w:t>
      </w:r>
      <w:r w:rsidR="00BA1B85" w:rsidRPr="007B29E8">
        <w:rPr>
          <w:rFonts w:asciiTheme="minorHAnsi" w:hAnsiTheme="minorHAnsi" w:cs="Calibri"/>
          <w:color w:val="000000"/>
          <w:lang w:val="ru-RU"/>
        </w:rPr>
        <w:t xml:space="preserve">касающуюся учреждения Подготовительной комиссии по созданию </w:t>
      </w:r>
      <w:r w:rsidR="00BA1B85" w:rsidRPr="007B29E8">
        <w:rPr>
          <w:rFonts w:asciiTheme="minorHAnsi" w:hAnsiTheme="minorHAnsi"/>
          <w:lang w:val="ru-RU"/>
        </w:rPr>
        <w:t>международного регистра космических средств, и Резолюцию 2</w:t>
      </w:r>
      <w:r w:rsidR="00C33B90" w:rsidRPr="007B29E8">
        <w:rPr>
          <w:rFonts w:asciiTheme="minorHAnsi" w:hAnsiTheme="minorHAnsi"/>
          <w:lang w:val="ru-RU"/>
        </w:rPr>
        <w:t>, касающуюся учреждения контролирующего органа, принимая во внимание заинтересованность, выраженную на Конференции наблюдателями от МСЭ, относительно возможного выполнения МСЭ функций контролирующего органа, при условии рассмотрения данного вопроса руководящими органами МСЭ</w:t>
      </w:r>
      <w:r w:rsidR="00970C20" w:rsidRPr="007B29E8">
        <w:rPr>
          <w:rFonts w:asciiTheme="minorHAnsi" w:hAnsiTheme="minorHAnsi" w:cstheme="minorHAnsi"/>
          <w:lang w:val="ru-RU"/>
        </w:rPr>
        <w:t xml:space="preserve">. </w:t>
      </w:r>
      <w:r w:rsidR="00C33B90" w:rsidRPr="007B29E8">
        <w:rPr>
          <w:rFonts w:asciiTheme="minorHAnsi" w:hAnsiTheme="minorHAnsi" w:cstheme="minorHAnsi"/>
          <w:lang w:val="ru-RU"/>
        </w:rPr>
        <w:t>До вступления в силу Протокола по космическим средствам Подготовительная комиссия будет выполнять функции временн</w:t>
      </w:r>
      <w:r w:rsidR="00DB7222">
        <w:rPr>
          <w:rFonts w:asciiTheme="minorHAnsi" w:hAnsiTheme="minorHAnsi" w:cstheme="minorHAnsi"/>
          <w:lang w:val="ru-RU"/>
        </w:rPr>
        <w:t>ого контролирующего органа, а в </w:t>
      </w:r>
      <w:r w:rsidR="00C33B90" w:rsidRPr="007B29E8">
        <w:rPr>
          <w:rFonts w:asciiTheme="minorHAnsi" w:hAnsiTheme="minorHAnsi" w:cstheme="minorHAnsi"/>
          <w:lang w:val="ru-RU"/>
        </w:rPr>
        <w:t>случае если руководящие органы МСЭ решат, что МСЭ не должен выполнять функции контролирующего органа, Комиссия назначит другую международную организацию или объединение для выполнения таких функций</w:t>
      </w:r>
      <w:r w:rsidR="00970C20" w:rsidRPr="007B29E8">
        <w:rPr>
          <w:rFonts w:asciiTheme="minorHAnsi" w:hAnsiTheme="minorHAnsi" w:cstheme="minorHAnsi"/>
          <w:lang w:val="ru-RU"/>
        </w:rPr>
        <w:t>.</w:t>
      </w:r>
    </w:p>
    <w:p w:rsidR="00C33B90" w:rsidRPr="007B29E8" w:rsidRDefault="00C33B90" w:rsidP="009B2371">
      <w:pPr>
        <w:rPr>
          <w:rFonts w:cs="Calibri"/>
          <w:lang w:val="ru-RU"/>
        </w:rPr>
      </w:pPr>
      <w:r w:rsidRPr="007B29E8">
        <w:rPr>
          <w:rFonts w:cs="Calibri"/>
          <w:b/>
          <w:lang w:val="ru-RU"/>
        </w:rPr>
        <w:t>Финансирование</w:t>
      </w:r>
      <w:r w:rsidRPr="007B29E8">
        <w:rPr>
          <w:rFonts w:cs="Calibri"/>
          <w:lang w:val="ru-RU"/>
        </w:rPr>
        <w:t xml:space="preserve"> – </w:t>
      </w:r>
      <w:r w:rsidRPr="007B29E8">
        <w:rPr>
          <w:rStyle w:val="CharacterStyle2"/>
          <w:sz w:val="22"/>
          <w:szCs w:val="22"/>
          <w:lang w:val="ru-RU"/>
        </w:rPr>
        <w:t xml:space="preserve">Контролирующий орган будет финансироваться из средств, уплачиваемых в виде сборов международному регистру. </w:t>
      </w:r>
      <w:r w:rsidRPr="007B29E8">
        <w:rPr>
          <w:rStyle w:val="CharacterStyle2"/>
          <w:iCs/>
          <w:sz w:val="22"/>
          <w:szCs w:val="22"/>
          <w:lang w:val="ru-RU"/>
        </w:rPr>
        <w:t xml:space="preserve">Не предполагается, что будущий Международный регистр космических </w:t>
      </w:r>
      <w:r w:rsidRPr="007B29E8">
        <w:rPr>
          <w:rStyle w:val="CharacterStyle1"/>
          <w:bCs/>
          <w:iCs/>
          <w:sz w:val="22"/>
          <w:szCs w:val="22"/>
          <w:lang w:val="ru-RU"/>
        </w:rPr>
        <w:t>средств</w:t>
      </w:r>
      <w:r w:rsidRPr="007B29E8">
        <w:rPr>
          <w:rStyle w:val="CharacterStyle2"/>
          <w:iCs/>
          <w:sz w:val="22"/>
          <w:szCs w:val="22"/>
          <w:lang w:val="ru-RU"/>
        </w:rPr>
        <w:t xml:space="preserve"> станет действовать на коммерческой основе</w:t>
      </w:r>
      <w:r w:rsidRPr="007B29E8">
        <w:rPr>
          <w:lang w:val="ru-RU"/>
        </w:rPr>
        <w:t xml:space="preserve">. В пункте 4 Статьи XXXI Протокола по космическим средствам предусматривается, что "сборы, упомянутые в подпункте h) пункта 2 </w:t>
      </w:r>
      <w:r w:rsidR="001F3193" w:rsidRPr="007B29E8">
        <w:rPr>
          <w:lang w:val="ru-RU"/>
        </w:rPr>
        <w:t>Статьи </w:t>
      </w:r>
      <w:r w:rsidRPr="007B29E8">
        <w:rPr>
          <w:lang w:val="ru-RU"/>
        </w:rPr>
        <w:t xml:space="preserve">17 Конвенции, устанавливаются таким образом, чтобы возместить разумные затраты, связанные с созданием, ведением и регулированием Международного регистра, а также разумные затраты Контролирующего органа, связанные с отправлением функций, осуществлением полномочий и исполнением обязанностей, предусмотренных пунктом 2 </w:t>
      </w:r>
      <w:r w:rsidR="001F3193" w:rsidRPr="007B29E8">
        <w:rPr>
          <w:lang w:val="ru-RU"/>
        </w:rPr>
        <w:t>Статьи </w:t>
      </w:r>
      <w:r w:rsidRPr="007B29E8">
        <w:rPr>
          <w:lang w:val="ru-RU"/>
        </w:rPr>
        <w:t>17 Конвенции". Контролирующий орган при установлении подлежащих взиманию сборов будет вправе взимать плату для покрытия разумных начальных затрат и разумных затрат, связанных с созданием, ведением и регулированием будущего Международного регистра и с контролем за деятельностью Регистратора и отправлением других функций Контролирующего органа</w:t>
      </w:r>
      <w:r w:rsidRPr="007B29E8">
        <w:rPr>
          <w:rFonts w:cs="Calibri"/>
          <w:lang w:val="ru-RU"/>
        </w:rPr>
        <w:t>.</w:t>
      </w:r>
    </w:p>
    <w:p w:rsidR="00970C20" w:rsidRPr="007B29E8" w:rsidRDefault="00970C20" w:rsidP="009B2371">
      <w:pPr>
        <w:rPr>
          <w:rFonts w:asciiTheme="minorHAnsi" w:hAnsiTheme="minorHAnsi" w:cstheme="minorHAnsi"/>
          <w:lang w:val="ru-RU"/>
        </w:rPr>
      </w:pPr>
      <w:r w:rsidRPr="007B29E8">
        <w:rPr>
          <w:rFonts w:asciiTheme="minorHAnsi" w:hAnsiTheme="minorHAnsi" w:cstheme="minorHAnsi"/>
          <w:lang w:val="ru-RU"/>
        </w:rPr>
        <w:br w:type="page"/>
      </w:r>
    </w:p>
    <w:p w:rsidR="00970C20" w:rsidRPr="007B29E8" w:rsidRDefault="00C33B90" w:rsidP="007B29E8">
      <w:pPr>
        <w:pStyle w:val="AnnexNo"/>
        <w:rPr>
          <w:lang w:val="ru-RU"/>
        </w:rPr>
      </w:pPr>
      <w:r w:rsidRPr="007B29E8">
        <w:rPr>
          <w:lang w:val="ru-RU"/>
        </w:rPr>
        <w:t>ПРИЛОЖЕНИЕ</w:t>
      </w:r>
      <w:r w:rsidR="00970C20" w:rsidRPr="007B29E8">
        <w:rPr>
          <w:lang w:val="ru-RU"/>
        </w:rPr>
        <w:t xml:space="preserve"> 2</w:t>
      </w:r>
    </w:p>
    <w:p w:rsidR="00C33B90" w:rsidRPr="007B29E8" w:rsidRDefault="007B29E8" w:rsidP="007B29E8">
      <w:pPr>
        <w:pStyle w:val="Annextitle"/>
        <w:rPr>
          <w:lang w:val="ru-RU"/>
        </w:rPr>
      </w:pPr>
      <w:r w:rsidRPr="007B29E8">
        <w:rPr>
          <w:lang w:val="ru-RU"/>
        </w:rPr>
        <w:t xml:space="preserve">Пояснительная записка о роли контролирующего органа Международной системы регистрации космических средств в соответствии с Протоколом </w:t>
      </w:r>
      <w:r w:rsidRPr="007B29E8">
        <w:rPr>
          <w:lang w:val="ru-RU"/>
        </w:rPr>
        <w:br/>
        <w:t>по космическим средствам к Кейптаунской конвенции</w:t>
      </w:r>
    </w:p>
    <w:p w:rsidR="00C33B90" w:rsidRPr="007B29E8" w:rsidRDefault="00C33B90" w:rsidP="00C33B90">
      <w:pPr>
        <w:jc w:val="center"/>
        <w:rPr>
          <w:lang w:val="ru-RU"/>
        </w:rPr>
      </w:pPr>
      <w:r w:rsidRPr="007B29E8">
        <w:rPr>
          <w:lang w:val="ru-RU"/>
        </w:rPr>
        <w:t>(подготовлена секретариатом УНИДРУА – 10 февраля 2014 г.)</w:t>
      </w:r>
    </w:p>
    <w:p w:rsidR="00C33B90" w:rsidRPr="007B29E8" w:rsidRDefault="00C33B90" w:rsidP="007B29E8">
      <w:pPr>
        <w:spacing w:before="480"/>
        <w:rPr>
          <w:lang w:val="ru-RU"/>
        </w:rPr>
      </w:pPr>
      <w:r w:rsidRPr="007B29E8">
        <w:rPr>
          <w:lang w:val="ru-RU"/>
        </w:rPr>
        <w:t>Целью настоящей краткой записки является предоставление информации о последствиях исполнения МСЭ функций контролирующего органа Международной системы регистрации космических средств, которая будет создана в соответствии с Протоколом по космическим средствам</w:t>
      </w:r>
      <w:r w:rsidRPr="007B29E8">
        <w:rPr>
          <w:iCs/>
          <w:lang w:val="ru-RU"/>
        </w:rPr>
        <w:t xml:space="preserve"> к Кейптаунской конвенции</w:t>
      </w:r>
      <w:r w:rsidRPr="007B29E8">
        <w:rPr>
          <w:lang w:val="ru-RU"/>
        </w:rPr>
        <w:t xml:space="preserve"> 2001 года о международных гарантиях в отношении подвижного оборудования.</w:t>
      </w:r>
    </w:p>
    <w:p w:rsidR="00C33B90" w:rsidRPr="007B29E8" w:rsidRDefault="00C33B90" w:rsidP="007B29E8">
      <w:pPr>
        <w:rPr>
          <w:lang w:val="ru-RU"/>
        </w:rPr>
      </w:pPr>
      <w:r w:rsidRPr="007B29E8">
        <w:rPr>
          <w:lang w:val="ru-RU"/>
        </w:rPr>
        <w:t>Она основана на нормах Конвенции и Протокола по космическим средствам, но касается в первую очередь практического и успешного опыта Международной организации гражданской авиации (ИКАО), которая выполняет функции контролирующего органа для Международного регистра авиационных объектов в соответствии с Протоколом по авиационным объектам к Конвенции с момента начала работы Регистра в марте 2006 года.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Роль контролирующего органа</w:t>
      </w:r>
    </w:p>
    <w:p w:rsidR="00C33B90" w:rsidRPr="007B29E8" w:rsidRDefault="00C33B90" w:rsidP="007B29E8">
      <w:pPr>
        <w:rPr>
          <w:lang w:val="ru-RU"/>
        </w:rPr>
      </w:pPr>
      <w:r w:rsidRPr="007B29E8">
        <w:rPr>
          <w:lang w:val="ru-RU"/>
        </w:rPr>
        <w:t>1</w:t>
      </w:r>
      <w:r w:rsidRPr="007B29E8">
        <w:rPr>
          <w:lang w:val="ru-RU"/>
        </w:rPr>
        <w:tab/>
        <w:t>Роль контролирующего органа заключается в создании условий для создания Международного регистра, назначении Регистратора и контроле за его работой, разработке или утверждении правил для работы Международного регистра, установлении сборов и размеров страхования или финансовых гарантий, которые предоставляются Регистратору в связи с его ответственностью согласно Конвенции (см. пункт 8, ниже), а также в выполнении иных функций, изложенных в Статье 17 Кейптаунской конвенции. К ним относится представление периодических отчетов Договаривающимся государствам об исполнении своих обязанностей согласно Конвенции и Протоколу о космических средствах.</w:t>
      </w:r>
    </w:p>
    <w:p w:rsidR="00C33B90" w:rsidRPr="007B29E8" w:rsidRDefault="00C33B90" w:rsidP="007B29E8">
      <w:pPr>
        <w:rPr>
          <w:lang w:val="ru-RU"/>
        </w:rPr>
      </w:pPr>
      <w:r w:rsidRPr="007B29E8">
        <w:rPr>
          <w:lang w:val="ru-RU"/>
        </w:rPr>
        <w:t>2</w:t>
      </w:r>
      <w:r w:rsidRPr="007B29E8">
        <w:rPr>
          <w:lang w:val="ru-RU"/>
        </w:rPr>
        <w:tab/>
        <w:t>Контролирующий орган имеет дело исключительно с Международным регистром. Он не несет ответственности за толкование Протокола, его выполнение в вопросах, не связанных с Регистром, или же за какие-либо другие функции и виды деятельности, не связанные с Регистром. Толкование в конечном счете является вопросом, рассматриваемым национальными судами, которые в этих целях могут обращаться к официальному комментарию к Конвенции и Протоколу по космическим средствам. Аналогичным образом контролирующий орган не несет ответственности за вынесение решений по той или иной конкретной регистрации и не дает указаний Регистратору об изменении каких-либо данных, касающихся конкретной регистрации.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Подготовительная комиссия</w:t>
      </w:r>
    </w:p>
    <w:p w:rsidR="00C33B90" w:rsidRPr="007B29E8" w:rsidRDefault="00C33B90" w:rsidP="00C33B90">
      <w:pPr>
        <w:rPr>
          <w:lang w:val="ru-RU"/>
        </w:rPr>
      </w:pPr>
      <w:r w:rsidRPr="007B29E8">
        <w:rPr>
          <w:lang w:val="ru-RU"/>
        </w:rPr>
        <w:t>3</w:t>
      </w:r>
      <w:r w:rsidRPr="007B29E8">
        <w:rPr>
          <w:lang w:val="ru-RU"/>
        </w:rPr>
        <w:tab/>
        <w:t xml:space="preserve">Если МСЭ примет решение о взятии на себя функций контролирующего органа, он сможет взять на себя ответственность за Международный регистр, который уже будет действовать в полном объеме. Вся предварительная работа по созданию Международного регистра, в том числе проведение переговоров по контракту о создании и поддержании Регистра, подготовка первых Правил и назначение Регистратора, будет проделана заранее Подготовительной комиссией, созданной в соответствии с Резолюцией 1 дипломатической конференции, прошедшей в Берлине в феврале 2012 года. Подготовительная комиссия, выступающая в роли временного контролирующего органа, передаст свои полномочия МСЭ, только когда Международный регистр будет действовать в полном объеме и будут установлены Правила, регулирующие его деятельность. Конечно, МСЭ будет иметь право вносить в Правила поправки и добавления или заменять их по своему усмотрению. </w:t>
      </w:r>
    </w:p>
    <w:p w:rsidR="00C33B90" w:rsidRPr="007B29E8" w:rsidRDefault="00C33B90" w:rsidP="00C33B90">
      <w:pPr>
        <w:rPr>
          <w:lang w:val="ru-RU"/>
        </w:rPr>
      </w:pPr>
      <w:r w:rsidRPr="007B29E8">
        <w:rPr>
          <w:lang w:val="ru-RU"/>
        </w:rPr>
        <w:t>4</w:t>
      </w:r>
      <w:r w:rsidRPr="007B29E8">
        <w:rPr>
          <w:lang w:val="ru-RU"/>
        </w:rPr>
        <w:tab/>
        <w:t>Подготовительная комиссия проделала большую работу по подготовке Правил, которые базируются на последнем (шестом) издании Правил для Регистра авиационных объектов. Подготовительная комиссия провела два собрания, и проект Правил практически готов. Остается лишь вопрос критериев определения рабочей нагрузки и частей космического аппарата или рабочей нагрузки.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Комитет экспертов и Консультативный совет Международного регистра</w:t>
      </w:r>
    </w:p>
    <w:p w:rsidR="00C33B90" w:rsidRPr="007B29E8" w:rsidRDefault="00C33B90" w:rsidP="00C33B90">
      <w:pPr>
        <w:rPr>
          <w:lang w:val="ru-RU"/>
        </w:rPr>
      </w:pPr>
      <w:r w:rsidRPr="007B29E8">
        <w:rPr>
          <w:lang w:val="ru-RU"/>
        </w:rPr>
        <w:t>5</w:t>
      </w:r>
      <w:r w:rsidRPr="007B29E8">
        <w:rPr>
          <w:lang w:val="ru-RU"/>
        </w:rPr>
        <w:tab/>
        <w:t xml:space="preserve">В Резолюции 3 контролирующему органу предлагается создать комиссию экспертов в составе не более 20 членов, выдвигаемых </w:t>
      </w:r>
      <w:r w:rsidRPr="007B29E8">
        <w:rPr>
          <w:rFonts w:asciiTheme="minorHAnsi" w:hAnsiTheme="minorHAnsi" w:cs="Segoe UI"/>
          <w:color w:val="000000"/>
          <w:lang w:val="ru-RU"/>
        </w:rPr>
        <w:t>подписавшими Протокол и договаривающимися государствами</w:t>
      </w:r>
      <w:r w:rsidRPr="007B29E8">
        <w:rPr>
          <w:rFonts w:asciiTheme="minorHAnsi" w:hAnsiTheme="minorHAnsi"/>
          <w:lang w:val="ru-RU"/>
        </w:rPr>
        <w:t>, котор</w:t>
      </w:r>
      <w:r w:rsidRPr="007B29E8">
        <w:rPr>
          <w:lang w:val="ru-RU"/>
        </w:rPr>
        <w:t xml:space="preserve">ые обладают необходимой квалификацией и опытом, для содействия контролирующему органу в выполнении его функций. Аналогичный комитет, CESAIR, орган, в состав которого входят государственные должностные лица из гражданской авиации, был создан для консультирования ИКАО как контролирующего органа по авиационным объектам. Международный регистр авиационных объектов создал </w:t>
      </w:r>
      <w:r w:rsidRPr="007B29E8">
        <w:rPr>
          <w:bCs/>
          <w:lang w:val="ru-RU"/>
        </w:rPr>
        <w:t>Консультативный совет Международного регистра</w:t>
      </w:r>
      <w:r w:rsidRPr="007B29E8">
        <w:rPr>
          <w:lang w:val="ru-RU"/>
        </w:rPr>
        <w:t xml:space="preserve"> (IRAB), представляющий собой группу правовых и технических экспертов – отраслевых специалистов, для консультирования Регистратора о потребностях пользователей системы регистрации. IRAB дает рекомендации CESAIR, который рассматривает их и, с изменениями, которые он считает необходимыми, представляет их Совету ИКАО.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Предстоящая МСЭ работа</w:t>
      </w:r>
    </w:p>
    <w:p w:rsidR="00C33B90" w:rsidRPr="007B29E8" w:rsidRDefault="00C33B90" w:rsidP="00C33B90">
      <w:pPr>
        <w:rPr>
          <w:lang w:val="ru-RU"/>
        </w:rPr>
      </w:pPr>
      <w:r w:rsidRPr="007B29E8">
        <w:rPr>
          <w:lang w:val="ru-RU"/>
        </w:rPr>
        <w:t>6</w:t>
      </w:r>
      <w:r w:rsidRPr="007B29E8">
        <w:rPr>
          <w:lang w:val="ru-RU"/>
        </w:rPr>
        <w:tab/>
        <w:t>Из предшествующих пунктов следует, что МСЭ как контролирующий орган будет нести ответственность за контроль над Международным регистром космических средств, но его нагрузка будет относительно невелика. Регистр будет действовать в полном объеме, когда к МСЭ перейдут полномочия от Подготовительной комиссии, необходимые специальные отраслевые знания будут поступать от эквивалента IRAB, если Международный регистр создаст таковой, а комитет государственных экспертов будет оценивать любые предложения и представлять их МСЭ с такими поправками, которые он сочтет необходимыми. За последние восемь лет действия Регистра этот механизм доказал свою результативность в случае ИКАО, которая не сочла необходимым нанять ни одного дополнительного сотрудника для выполнения этих функций.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Понесет ли МСЭ какую-либо потенциальную ответственность?</w:t>
      </w:r>
    </w:p>
    <w:p w:rsidR="00C33B90" w:rsidRPr="007B29E8" w:rsidRDefault="00C33B90" w:rsidP="00C33B90">
      <w:pPr>
        <w:rPr>
          <w:rFonts w:asciiTheme="minorHAnsi" w:hAnsiTheme="minorHAnsi"/>
          <w:lang w:val="ru-RU"/>
        </w:rPr>
      </w:pPr>
      <w:r w:rsidRPr="007B29E8">
        <w:rPr>
          <w:lang w:val="ru-RU"/>
        </w:rPr>
        <w:t>7</w:t>
      </w:r>
      <w:r w:rsidRPr="007B29E8">
        <w:rPr>
          <w:lang w:val="ru-RU"/>
        </w:rPr>
        <w:tab/>
        <w:t xml:space="preserve">Вкратце можно ответить – нет. Согласно пункту 2 Статьи 27, контролирующий орган и его служащие и сотрудники пользуются таким иммунитетом от судебного и административного вмешательства, какой указан в Протоколе. Пунктом 2 Статьи XXVIII Протокола о космических средствах предусматривается, что контролирующий орган и его служащие и сотрудники пользуются таким иммунитетом от судебного и административного вмешательства, какой указан в Правилах, применимых к ним как к международному объединению или иным образом. Будучи специализированным учреждением Организации Объединенных Наций, МСЭ уже пользуется, в плане международного права, привилегиями и иммунитетами, изложенными в стандартных положениях Конвенции Организации Объединенных Наций 1947 года о привилегиях и иммунитетах специализированных учреждений и в Приложении IX к этой Конвенции, в отношении стран, являющихся сторонами Конвенции (в настоящее время 123 стороны). МСЭ, несомненно, знаком с разделами 4–6 Статьи III Конвенции, </w:t>
      </w:r>
      <w:r w:rsidRPr="007B29E8">
        <w:rPr>
          <w:rFonts w:asciiTheme="minorHAnsi" w:hAnsiTheme="minorHAnsi"/>
          <w:lang w:val="ru-RU"/>
        </w:rPr>
        <w:t xml:space="preserve">где предусматривается, что </w:t>
      </w:r>
      <w:r w:rsidRPr="007B29E8">
        <w:rPr>
          <w:rFonts w:asciiTheme="minorHAnsi" w:hAnsiTheme="minorHAnsi" w:cs="Arial"/>
          <w:lang w:val="ru-RU"/>
        </w:rPr>
        <w:t>специализированные учреждения, с имуществом, активами, помещениями и архивами, являются неприкосновенными и пользуются иммунитетом от любой формы судебного вмешательства, кроме случаев, когда они определенно отказываются от иммунитета в каком-либо отдельном случае</w:t>
      </w:r>
      <w:r w:rsidRPr="007B29E8">
        <w:rPr>
          <w:rFonts w:asciiTheme="minorHAnsi" w:hAnsiTheme="minorHAnsi"/>
          <w:lang w:val="ru-RU"/>
        </w:rPr>
        <w:t xml:space="preserve">. 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Ответственность Регистратора</w:t>
      </w:r>
    </w:p>
    <w:p w:rsidR="00C33B90" w:rsidRPr="007B29E8" w:rsidRDefault="00C33B90" w:rsidP="00C33B90">
      <w:pPr>
        <w:rPr>
          <w:lang w:val="ru-RU"/>
        </w:rPr>
      </w:pPr>
      <w:r w:rsidRPr="007B29E8">
        <w:rPr>
          <w:lang w:val="ru-RU"/>
        </w:rPr>
        <w:t>8</w:t>
      </w:r>
      <w:r w:rsidRPr="007B29E8">
        <w:rPr>
          <w:lang w:val="ru-RU"/>
        </w:rPr>
        <w:tab/>
        <w:t>В отличие от этого, согласно Статье 28 Кейптаунской конвенции, Регистратор несет полную ответственность за компенсацию ущерба, причиненного тому или иному лицу как прямой результат действия или бездействия Регистратора и его служащих и сотрудников или же неисправности Международной системы регистрации, и должен покрыть эту ответственность страхованием или финансовой гарантией в размере, определяемом контролирующим органом. В случае Международного регистра авиационных объектов в настоящее время уровень покрытия составляет 130 млн. долл. США. За восемь лет работы, за которые он провел около 420 тыс. регистраций, Регистр не получил ни одного иска.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Иммунитет средств Регистра</w:t>
      </w:r>
    </w:p>
    <w:p w:rsidR="00C33B90" w:rsidRPr="007B29E8" w:rsidRDefault="00C33B90" w:rsidP="007B29E8">
      <w:pPr>
        <w:rPr>
          <w:lang w:val="ru-RU"/>
        </w:rPr>
      </w:pPr>
      <w:r w:rsidRPr="007B29E8">
        <w:rPr>
          <w:lang w:val="ru-RU"/>
        </w:rPr>
        <w:t>9</w:t>
      </w:r>
      <w:r w:rsidRPr="007B29E8">
        <w:rPr>
          <w:lang w:val="ru-RU"/>
        </w:rPr>
        <w:tab/>
        <w:t xml:space="preserve">Активы, документы, базы данных и архивы Международного регистра неприкосновенны и пользуются иммунитетом от любой формы судебного или административного вмешательства, но к ним может получить доступ истец, подающий иск против Регистратора. 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Процесс внесения поправок в Протокол о космических средствах/его пересмотра</w:t>
      </w:r>
    </w:p>
    <w:p w:rsidR="00C33B90" w:rsidRPr="007B29E8" w:rsidRDefault="00C33B90" w:rsidP="00C33B90">
      <w:pPr>
        <w:rPr>
          <w:lang w:val="ru-RU"/>
        </w:rPr>
      </w:pPr>
      <w:r w:rsidRPr="007B29E8">
        <w:rPr>
          <w:lang w:val="ru-RU"/>
        </w:rPr>
        <w:t>10</w:t>
      </w:r>
      <w:r w:rsidRPr="007B29E8">
        <w:rPr>
          <w:lang w:val="ru-RU"/>
        </w:rPr>
        <w:tab/>
        <w:t>Статьей XLVII Протокола предусматривается, что по просьбе не менее чем 25% государств – участников конференции по рассмотрению созываются УНИДРУА как депозитарием при консультациях с контролирующим органом. Таким образом, УНИДРУА несет ответственность за организацию любой конференции по рассмотрению, но, конечно, будет тесно сотрудничать с МСЭ, если он займет позицию контролирующего органа.</w:t>
      </w:r>
    </w:p>
    <w:p w:rsidR="00C33B90" w:rsidRPr="007B29E8" w:rsidRDefault="00C33B90" w:rsidP="00C33B90">
      <w:pPr>
        <w:pStyle w:val="Headingb"/>
        <w:rPr>
          <w:lang w:val="ru-RU"/>
        </w:rPr>
      </w:pPr>
      <w:r w:rsidRPr="007B29E8">
        <w:rPr>
          <w:lang w:val="ru-RU"/>
        </w:rPr>
        <w:t>Сборы и затраты</w:t>
      </w:r>
    </w:p>
    <w:p w:rsidR="00C33B90" w:rsidRPr="007B29E8" w:rsidRDefault="00C33B90" w:rsidP="007B29E8">
      <w:pPr>
        <w:rPr>
          <w:lang w:val="ru-RU"/>
        </w:rPr>
      </w:pPr>
      <w:r w:rsidRPr="007B29E8">
        <w:rPr>
          <w:lang w:val="ru-RU"/>
        </w:rPr>
        <w:t>11</w:t>
      </w:r>
      <w:r w:rsidRPr="007B29E8">
        <w:rPr>
          <w:lang w:val="ru-RU"/>
        </w:rPr>
        <w:tab/>
        <w:t>Согласно Статье XXXII Протокола, сборы за услуги и объекты Международного регистра устанавливаются таким образом, чтобы возместить разумные затраты, связанные с созданием, ведением и регулированием Международного регистра, а также разумные затраты контролирующего органа, связанные с отправлением функций, осуществлением полномочий и исполнением обязанностей, предусмотренных пунктом 2 Статьи 17. Это соответствует пункту 3 Статьи XX Протокола по авиационным объектам. Таким образом, МСЭ, как и ИКАО, сможет возмещать из сборов Регистра свои разумные затраты на выполнение своих функций и, конечно, будут также установлены сборы для покрытия затрат Регистратора и персонала Регистра, но не для получения прибыли.</w:t>
      </w:r>
    </w:p>
    <w:p w:rsidR="007E4D0F" w:rsidRPr="007B29E8" w:rsidRDefault="00970C20" w:rsidP="007B29E8">
      <w:pPr>
        <w:spacing w:before="840"/>
        <w:jc w:val="center"/>
        <w:rPr>
          <w:rFonts w:asciiTheme="minorHAnsi" w:eastAsia="SimSun" w:hAnsiTheme="minorHAnsi" w:cs="Verdana"/>
          <w:b/>
          <w:bCs/>
          <w:szCs w:val="22"/>
          <w:lang w:val="ru-RU" w:eastAsia="zh-CN"/>
        </w:rPr>
      </w:pPr>
      <w:r w:rsidRPr="007B29E8">
        <w:rPr>
          <w:rFonts w:asciiTheme="minorHAnsi" w:hAnsiTheme="minorHAnsi" w:cs="Verdana"/>
          <w:szCs w:val="24"/>
          <w:lang w:val="ru-RU"/>
        </w:rPr>
        <w:t>________________</w:t>
      </w:r>
    </w:p>
    <w:sectPr w:rsidR="007E4D0F" w:rsidRPr="007B29E8" w:rsidSect="0002174D">
      <w:headerReference w:type="default" r:id="rId47"/>
      <w:footerReference w:type="default" r:id="rId48"/>
      <w:footerReference w:type="first" r:id="rId4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3B" w:rsidRDefault="0075483B" w:rsidP="0079159C">
      <w:r>
        <w:separator/>
      </w:r>
    </w:p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4B3A6C"/>
    <w:p w:rsidR="0075483B" w:rsidRDefault="0075483B" w:rsidP="004B3A6C"/>
  </w:endnote>
  <w:endnote w:type="continuationSeparator" w:id="0">
    <w:p w:rsidR="0075483B" w:rsidRDefault="0075483B" w:rsidP="0079159C">
      <w:r>
        <w:continuationSeparator/>
      </w:r>
    </w:p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4B3A6C"/>
    <w:p w:rsidR="0075483B" w:rsidRDefault="0075483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3B" w:rsidRPr="00D85DF9" w:rsidRDefault="00D85DF9" w:rsidP="001636BD">
    <w:pPr>
      <w:pStyle w:val="Footer"/>
      <w:rPr>
        <w:color w:val="FFFFFF" w:themeColor="background1"/>
        <w:lang w:val="en-US"/>
      </w:rPr>
    </w:pPr>
    <w:r w:rsidRPr="00D85DF9">
      <w:rPr>
        <w:color w:val="FFFFFF" w:themeColor="background1"/>
      </w:rPr>
      <w:fldChar w:fldCharType="begin"/>
    </w:r>
    <w:r w:rsidRPr="00D85DF9">
      <w:rPr>
        <w:color w:val="FFFFFF" w:themeColor="background1"/>
      </w:rPr>
      <w:instrText xml:space="preserve"> FILENAME \p  \* MERGEFORMAT </w:instrText>
    </w:r>
    <w:r w:rsidRPr="00D85DF9">
      <w:rPr>
        <w:color w:val="FFFFFF" w:themeColor="background1"/>
      </w:rPr>
      <w:fldChar w:fldCharType="separate"/>
    </w:r>
    <w:r w:rsidR="00DB7222" w:rsidRPr="00D85DF9">
      <w:rPr>
        <w:color w:val="FFFFFF" w:themeColor="background1"/>
        <w:lang w:val="en-US"/>
      </w:rPr>
      <w:t>P</w:t>
    </w:r>
    <w:r w:rsidR="00DB7222" w:rsidRPr="00D85DF9">
      <w:rPr>
        <w:color w:val="FFFFFF" w:themeColor="background1"/>
      </w:rPr>
      <w:t>:\RUS\SG\CONF-SG\PP14\000\062R.docx</w:t>
    </w:r>
    <w:r w:rsidRPr="00D85DF9">
      <w:rPr>
        <w:color w:val="FFFFFF" w:themeColor="background1"/>
      </w:rPr>
      <w:fldChar w:fldCharType="end"/>
    </w:r>
    <w:r w:rsidR="0075483B" w:rsidRPr="00D85DF9">
      <w:rPr>
        <w:color w:val="FFFFFF" w:themeColor="background1"/>
      </w:rPr>
      <w:t xml:space="preserve"> (</w:t>
    </w:r>
    <w:r w:rsidR="00E442BC" w:rsidRPr="00D85DF9">
      <w:rPr>
        <w:color w:val="FFFFFF" w:themeColor="background1"/>
        <w:lang w:val="ru-RU"/>
      </w:rPr>
      <w:t>367144</w:t>
    </w:r>
    <w:r w:rsidR="0075483B" w:rsidRPr="00D85DF9">
      <w:rPr>
        <w:color w:val="FFFFFF" w:themeColor="background1"/>
      </w:rPr>
      <w:t>)</w:t>
    </w:r>
    <w:r w:rsidR="0075483B" w:rsidRPr="00D85DF9">
      <w:rPr>
        <w:color w:val="FFFFFF" w:themeColor="background1"/>
        <w:lang w:val="en-US"/>
      </w:rPr>
      <w:tab/>
    </w:r>
    <w:r w:rsidR="0075483B" w:rsidRPr="00D85DF9">
      <w:rPr>
        <w:color w:val="FFFFFF" w:themeColor="background1"/>
      </w:rPr>
      <w:fldChar w:fldCharType="begin"/>
    </w:r>
    <w:r w:rsidR="0075483B" w:rsidRPr="00D85DF9">
      <w:rPr>
        <w:color w:val="FFFFFF" w:themeColor="background1"/>
      </w:rPr>
      <w:instrText xml:space="preserve"> SAVEDATE \@ DD.MM.YY </w:instrText>
    </w:r>
    <w:r w:rsidR="0075483B" w:rsidRPr="00D85DF9">
      <w:rPr>
        <w:color w:val="FFFFFF" w:themeColor="background1"/>
      </w:rPr>
      <w:fldChar w:fldCharType="separate"/>
    </w:r>
    <w:r w:rsidRPr="00D85DF9">
      <w:rPr>
        <w:color w:val="FFFFFF" w:themeColor="background1"/>
      </w:rPr>
      <w:t>28.08.14</w:t>
    </w:r>
    <w:r w:rsidR="0075483B" w:rsidRPr="00D85DF9">
      <w:rPr>
        <w:color w:val="FFFFFF" w:themeColor="background1"/>
      </w:rPr>
      <w:fldChar w:fldCharType="end"/>
    </w:r>
    <w:r w:rsidR="0075483B" w:rsidRPr="00D85DF9">
      <w:rPr>
        <w:color w:val="FFFFFF" w:themeColor="background1"/>
        <w:lang w:val="en-US"/>
      </w:rPr>
      <w:tab/>
    </w:r>
    <w:r w:rsidR="0075483B" w:rsidRPr="00D85DF9">
      <w:rPr>
        <w:color w:val="FFFFFF" w:themeColor="background1"/>
      </w:rPr>
      <w:fldChar w:fldCharType="begin"/>
    </w:r>
    <w:r w:rsidR="0075483B" w:rsidRPr="00D85DF9">
      <w:rPr>
        <w:color w:val="FFFFFF" w:themeColor="background1"/>
      </w:rPr>
      <w:instrText xml:space="preserve"> PRINTDATE \@ DD.MM.YY </w:instrText>
    </w:r>
    <w:r w:rsidR="0075483B" w:rsidRPr="00D85DF9">
      <w:rPr>
        <w:color w:val="FFFFFF" w:themeColor="background1"/>
      </w:rPr>
      <w:fldChar w:fldCharType="separate"/>
    </w:r>
    <w:r w:rsidR="00DB7222" w:rsidRPr="00D85DF9">
      <w:rPr>
        <w:color w:val="FFFFFF" w:themeColor="background1"/>
      </w:rPr>
      <w:t>28.08.14</w:t>
    </w:r>
    <w:r w:rsidR="0075483B" w:rsidRPr="00D85DF9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3B" w:rsidRPr="005A478E" w:rsidRDefault="0075483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5A478E">
      <w:rPr>
        <w:sz w:val="20"/>
        <w:szCs w:val="20"/>
        <w:lang w:val="fr-FR"/>
      </w:rPr>
      <w:t xml:space="preserve"> </w:t>
    </w:r>
    <w:r w:rsidRPr="005A478E">
      <w:rPr>
        <w:rStyle w:val="Hyperlink"/>
        <w:sz w:val="22"/>
        <w:szCs w:val="22"/>
        <w:lang w:val="fr-FR"/>
      </w:rPr>
      <w:t>www.itu.int/plenipotentiary/</w:t>
    </w:r>
    <w:r w:rsidRPr="005A478E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5483B" w:rsidRPr="005A478E" w:rsidRDefault="0075483B" w:rsidP="001636BD">
    <w:pPr>
      <w:pStyle w:val="Footer"/>
      <w:rPr>
        <w:lang w:val="fr-FR"/>
      </w:rPr>
    </w:pPr>
  </w:p>
  <w:p w:rsidR="0075483B" w:rsidRPr="00D85DF9" w:rsidRDefault="00D85DF9" w:rsidP="00E442BC">
    <w:pPr>
      <w:pStyle w:val="Footer"/>
      <w:rPr>
        <w:color w:val="FFFFFF" w:themeColor="background1"/>
        <w:lang w:val="en-US"/>
      </w:rPr>
    </w:pPr>
    <w:r w:rsidRPr="00D85DF9">
      <w:rPr>
        <w:color w:val="FFFFFF" w:themeColor="background1"/>
      </w:rPr>
      <w:fldChar w:fldCharType="begin"/>
    </w:r>
    <w:r w:rsidRPr="00D85DF9">
      <w:rPr>
        <w:color w:val="FFFFFF" w:themeColor="background1"/>
      </w:rPr>
      <w:instrText xml:space="preserve"> FILENAME \p  \* MERGEFORMAT </w:instrText>
    </w:r>
    <w:r w:rsidRPr="00D85DF9">
      <w:rPr>
        <w:color w:val="FFFFFF" w:themeColor="background1"/>
      </w:rPr>
      <w:fldChar w:fldCharType="separate"/>
    </w:r>
    <w:r w:rsidR="00DB7222" w:rsidRPr="00D85DF9">
      <w:rPr>
        <w:color w:val="FFFFFF" w:themeColor="background1"/>
        <w:lang w:val="en-US"/>
      </w:rPr>
      <w:t>P</w:t>
    </w:r>
    <w:r w:rsidR="00DB7222" w:rsidRPr="00D85DF9">
      <w:rPr>
        <w:color w:val="FFFFFF" w:themeColor="background1"/>
      </w:rPr>
      <w:t>:\RUS\SG\CONF-SG\PP14\000\062R.docx</w:t>
    </w:r>
    <w:r w:rsidRPr="00D85DF9">
      <w:rPr>
        <w:color w:val="FFFFFF" w:themeColor="background1"/>
      </w:rPr>
      <w:fldChar w:fldCharType="end"/>
    </w:r>
    <w:r w:rsidR="00E442BC" w:rsidRPr="00D85DF9">
      <w:rPr>
        <w:color w:val="FFFFFF" w:themeColor="background1"/>
      </w:rPr>
      <w:t xml:space="preserve"> (</w:t>
    </w:r>
    <w:r w:rsidR="00E442BC" w:rsidRPr="00D85DF9">
      <w:rPr>
        <w:color w:val="FFFFFF" w:themeColor="background1"/>
        <w:lang w:val="ru-RU"/>
      </w:rPr>
      <w:t>367144</w:t>
    </w:r>
    <w:r w:rsidR="00E442BC" w:rsidRPr="00D85DF9">
      <w:rPr>
        <w:color w:val="FFFFFF" w:themeColor="background1"/>
      </w:rPr>
      <w:t>)</w:t>
    </w:r>
    <w:r w:rsidR="00E442BC" w:rsidRPr="00D85DF9">
      <w:rPr>
        <w:color w:val="FFFFFF" w:themeColor="background1"/>
        <w:lang w:val="en-US"/>
      </w:rPr>
      <w:tab/>
    </w:r>
    <w:r w:rsidR="00E442BC" w:rsidRPr="00D85DF9">
      <w:rPr>
        <w:color w:val="FFFFFF" w:themeColor="background1"/>
      </w:rPr>
      <w:fldChar w:fldCharType="begin"/>
    </w:r>
    <w:r w:rsidR="00E442BC" w:rsidRPr="00D85DF9">
      <w:rPr>
        <w:color w:val="FFFFFF" w:themeColor="background1"/>
      </w:rPr>
      <w:instrText xml:space="preserve"> SAVEDATE \@ DD.MM.YY </w:instrText>
    </w:r>
    <w:r w:rsidR="00E442BC" w:rsidRPr="00D85DF9">
      <w:rPr>
        <w:color w:val="FFFFFF" w:themeColor="background1"/>
      </w:rPr>
      <w:fldChar w:fldCharType="separate"/>
    </w:r>
    <w:r w:rsidRPr="00D85DF9">
      <w:rPr>
        <w:color w:val="FFFFFF" w:themeColor="background1"/>
      </w:rPr>
      <w:t>28.08.14</w:t>
    </w:r>
    <w:r w:rsidR="00E442BC" w:rsidRPr="00D85DF9">
      <w:rPr>
        <w:color w:val="FFFFFF" w:themeColor="background1"/>
      </w:rPr>
      <w:fldChar w:fldCharType="end"/>
    </w:r>
    <w:r w:rsidR="00E442BC" w:rsidRPr="00D85DF9">
      <w:rPr>
        <w:color w:val="FFFFFF" w:themeColor="background1"/>
        <w:lang w:val="en-US"/>
      </w:rPr>
      <w:tab/>
    </w:r>
    <w:r w:rsidR="00E442BC" w:rsidRPr="00D85DF9">
      <w:rPr>
        <w:color w:val="FFFFFF" w:themeColor="background1"/>
      </w:rPr>
      <w:fldChar w:fldCharType="begin"/>
    </w:r>
    <w:r w:rsidR="00E442BC" w:rsidRPr="00D85DF9">
      <w:rPr>
        <w:color w:val="FFFFFF" w:themeColor="background1"/>
      </w:rPr>
      <w:instrText xml:space="preserve"> PRINTDATE \@ DD.MM.YY </w:instrText>
    </w:r>
    <w:r w:rsidR="00E442BC" w:rsidRPr="00D85DF9">
      <w:rPr>
        <w:color w:val="FFFFFF" w:themeColor="background1"/>
      </w:rPr>
      <w:fldChar w:fldCharType="separate"/>
    </w:r>
    <w:r w:rsidR="00DB7222" w:rsidRPr="00D85DF9">
      <w:rPr>
        <w:color w:val="FFFFFF" w:themeColor="background1"/>
      </w:rPr>
      <w:t>28.08.14</w:t>
    </w:r>
    <w:r w:rsidR="00E442BC" w:rsidRPr="00D85DF9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3B" w:rsidRDefault="0075483B" w:rsidP="0079159C">
      <w:r>
        <w:t>____________________</w:t>
      </w:r>
    </w:p>
  </w:footnote>
  <w:footnote w:type="continuationSeparator" w:id="0">
    <w:p w:rsidR="0075483B" w:rsidRDefault="0075483B" w:rsidP="0079159C">
      <w:r>
        <w:continuationSeparator/>
      </w:r>
    </w:p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79159C"/>
    <w:p w:rsidR="0075483B" w:rsidRDefault="0075483B" w:rsidP="004B3A6C"/>
    <w:p w:rsidR="0075483B" w:rsidRDefault="0075483B" w:rsidP="004B3A6C"/>
  </w:footnote>
  <w:footnote w:id="1">
    <w:p w:rsidR="0075483B" w:rsidRPr="00A50015" w:rsidRDefault="0075483B" w:rsidP="001C53C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E442BC" w:rsidRPr="00A50015">
        <w:rPr>
          <w:lang w:val="ru-RU"/>
        </w:rPr>
        <w:tab/>
      </w:r>
      <w:r w:rsidRPr="00A50015">
        <w:rPr>
          <w:lang w:val="ru-RU"/>
        </w:rPr>
        <w:t>Международный институт по унификации частного права (УНИДРУА)</w:t>
      </w:r>
      <w:r w:rsidRPr="00A50015">
        <w:t> </w:t>
      </w:r>
      <w:r w:rsidRPr="00A50015">
        <w:rPr>
          <w:lang w:val="ru-RU"/>
        </w:rPr>
        <w:t>– это независимая межправительственная организация, которая была создана в 1926</w:t>
      </w:r>
      <w:r w:rsidRPr="00A50015">
        <w:t> </w:t>
      </w:r>
      <w:r w:rsidRPr="00A50015">
        <w:rPr>
          <w:lang w:val="ru-RU"/>
        </w:rPr>
        <w:t>году в Риме. Уставной целью организации является изучение потребностей в модернизации, согласованности и координации частного права между государствами и группами государств и методов осуществления этого, а также разработка унифицированных правовых документов, принципов и норм для достижения этих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3B" w:rsidRPr="00434A7C" w:rsidRDefault="0075483B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5DF9">
      <w:rPr>
        <w:noProof/>
      </w:rPr>
      <w:t>3</w:t>
    </w:r>
    <w:r>
      <w:fldChar w:fldCharType="end"/>
    </w:r>
    <w:r w:rsidR="00D85DF9">
      <w:t>/</w:t>
    </w:r>
    <w:fldSimple w:instr=" NUMPAGES   \* MERGEFORMAT ">
      <w:r w:rsidR="00D85DF9">
        <w:rPr>
          <w:noProof/>
        </w:rPr>
        <w:t>10</w:t>
      </w:r>
    </w:fldSimple>
  </w:p>
  <w:p w:rsidR="0075483B" w:rsidRPr="00F96AB4" w:rsidRDefault="0075483B" w:rsidP="001C53C5">
    <w:pPr>
      <w:pStyle w:val="Header"/>
    </w:pPr>
    <w:r>
      <w:t>PP14/</w:t>
    </w:r>
    <w:r>
      <w:rPr>
        <w:lang w:val="ru-RU"/>
      </w:rPr>
      <w:t>62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41"/>
    <w:rsid w:val="00014808"/>
    <w:rsid w:val="00016EB5"/>
    <w:rsid w:val="0002174D"/>
    <w:rsid w:val="0003029E"/>
    <w:rsid w:val="000626B1"/>
    <w:rsid w:val="00063CA3"/>
    <w:rsid w:val="00065F00"/>
    <w:rsid w:val="000700C2"/>
    <w:rsid w:val="00071D10"/>
    <w:rsid w:val="000968F5"/>
    <w:rsid w:val="000A149A"/>
    <w:rsid w:val="000A3B54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C53C5"/>
    <w:rsid w:val="001C54A8"/>
    <w:rsid w:val="001D2573"/>
    <w:rsid w:val="001F3193"/>
    <w:rsid w:val="00200992"/>
    <w:rsid w:val="00202880"/>
    <w:rsid w:val="0020313F"/>
    <w:rsid w:val="00221BAB"/>
    <w:rsid w:val="00232D57"/>
    <w:rsid w:val="002356E7"/>
    <w:rsid w:val="002578B4"/>
    <w:rsid w:val="00273A0B"/>
    <w:rsid w:val="00277F85"/>
    <w:rsid w:val="00281032"/>
    <w:rsid w:val="00283CEF"/>
    <w:rsid w:val="002A409A"/>
    <w:rsid w:val="002A5402"/>
    <w:rsid w:val="002B033B"/>
    <w:rsid w:val="002C5477"/>
    <w:rsid w:val="002C78FF"/>
    <w:rsid w:val="002D0055"/>
    <w:rsid w:val="00320D5A"/>
    <w:rsid w:val="003429D1"/>
    <w:rsid w:val="00375BBA"/>
    <w:rsid w:val="003874F7"/>
    <w:rsid w:val="00395CE4"/>
    <w:rsid w:val="003D2E0B"/>
    <w:rsid w:val="003E7EAA"/>
    <w:rsid w:val="004014B0"/>
    <w:rsid w:val="00426AC1"/>
    <w:rsid w:val="004676C0"/>
    <w:rsid w:val="00471ABB"/>
    <w:rsid w:val="00493534"/>
    <w:rsid w:val="004A61E3"/>
    <w:rsid w:val="004B03E9"/>
    <w:rsid w:val="004B3A6C"/>
    <w:rsid w:val="004C029D"/>
    <w:rsid w:val="004C79E4"/>
    <w:rsid w:val="004D72A3"/>
    <w:rsid w:val="005179A0"/>
    <w:rsid w:val="0052010F"/>
    <w:rsid w:val="005356FD"/>
    <w:rsid w:val="00554E24"/>
    <w:rsid w:val="00563711"/>
    <w:rsid w:val="005653D6"/>
    <w:rsid w:val="00567130"/>
    <w:rsid w:val="00584918"/>
    <w:rsid w:val="005A478E"/>
    <w:rsid w:val="005C3DE4"/>
    <w:rsid w:val="005C67E8"/>
    <w:rsid w:val="005D0C15"/>
    <w:rsid w:val="005F10D8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029DA"/>
    <w:rsid w:val="00710760"/>
    <w:rsid w:val="0073319E"/>
    <w:rsid w:val="007340B5"/>
    <w:rsid w:val="00750829"/>
    <w:rsid w:val="007526A8"/>
    <w:rsid w:val="0075483B"/>
    <w:rsid w:val="00760830"/>
    <w:rsid w:val="0079159C"/>
    <w:rsid w:val="007B29E8"/>
    <w:rsid w:val="007C50AF"/>
    <w:rsid w:val="007E4D0F"/>
    <w:rsid w:val="008034F1"/>
    <w:rsid w:val="008102A6"/>
    <w:rsid w:val="00814A41"/>
    <w:rsid w:val="00826A7C"/>
    <w:rsid w:val="00850AEF"/>
    <w:rsid w:val="00870059"/>
    <w:rsid w:val="008A2FB3"/>
    <w:rsid w:val="008D3134"/>
    <w:rsid w:val="008D3BE2"/>
    <w:rsid w:val="008F5B99"/>
    <w:rsid w:val="009125CE"/>
    <w:rsid w:val="0093377B"/>
    <w:rsid w:val="00934241"/>
    <w:rsid w:val="00935EE6"/>
    <w:rsid w:val="009408CF"/>
    <w:rsid w:val="00950E0F"/>
    <w:rsid w:val="00962CCF"/>
    <w:rsid w:val="00970C20"/>
    <w:rsid w:val="0097690C"/>
    <w:rsid w:val="00996435"/>
    <w:rsid w:val="009A47A2"/>
    <w:rsid w:val="009A6D9A"/>
    <w:rsid w:val="009B2371"/>
    <w:rsid w:val="009E4F4B"/>
    <w:rsid w:val="00A3200E"/>
    <w:rsid w:val="00A50015"/>
    <w:rsid w:val="00A54F56"/>
    <w:rsid w:val="00AC20C0"/>
    <w:rsid w:val="00AD6841"/>
    <w:rsid w:val="00B14377"/>
    <w:rsid w:val="00B1733E"/>
    <w:rsid w:val="00B45785"/>
    <w:rsid w:val="00B62568"/>
    <w:rsid w:val="00BA154E"/>
    <w:rsid w:val="00BA1B85"/>
    <w:rsid w:val="00BF720B"/>
    <w:rsid w:val="00C04511"/>
    <w:rsid w:val="00C12B54"/>
    <w:rsid w:val="00C16846"/>
    <w:rsid w:val="00C33B90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85DF9"/>
    <w:rsid w:val="00D955EF"/>
    <w:rsid w:val="00DB3385"/>
    <w:rsid w:val="00DB7222"/>
    <w:rsid w:val="00DC7337"/>
    <w:rsid w:val="00DD26B1"/>
    <w:rsid w:val="00DD5B47"/>
    <w:rsid w:val="00DD6770"/>
    <w:rsid w:val="00DE24EF"/>
    <w:rsid w:val="00DF23FC"/>
    <w:rsid w:val="00DF39CD"/>
    <w:rsid w:val="00DF449B"/>
    <w:rsid w:val="00DF4F81"/>
    <w:rsid w:val="00E17F8D"/>
    <w:rsid w:val="00E227E4"/>
    <w:rsid w:val="00E33430"/>
    <w:rsid w:val="00E442BC"/>
    <w:rsid w:val="00E54E66"/>
    <w:rsid w:val="00E56E57"/>
    <w:rsid w:val="00E80F42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110A9"/>
    <w:rsid w:val="00F20BC2"/>
    <w:rsid w:val="00F27805"/>
    <w:rsid w:val="00F342E4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E442BC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1C54A8"/>
    <w:pPr>
      <w:framePr w:hSpace="180" w:wrap="around" w:hAnchor="margin" w:y="-675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C54A8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Table">
    <w:name w:val="Table_#"/>
    <w:basedOn w:val="Normal"/>
    <w:next w:val="Normal"/>
    <w:uiPriority w:val="99"/>
    <w:rsid w:val="00970C2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0C20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970C20"/>
    <w:pPr>
      <w:ind w:left="720"/>
      <w:contextualSpacing/>
    </w:pPr>
    <w:rPr>
      <w:sz w:val="24"/>
    </w:rPr>
  </w:style>
  <w:style w:type="paragraph" w:customStyle="1" w:styleId="Style1">
    <w:name w:val="Style 1"/>
    <w:uiPriority w:val="99"/>
    <w:rsid w:val="00970C20"/>
    <w:pPr>
      <w:widowControl w:val="0"/>
      <w:autoSpaceDE w:val="0"/>
      <w:autoSpaceDN w:val="0"/>
      <w:adjustRightInd w:val="0"/>
    </w:pPr>
    <w:rPr>
      <w:rFonts w:ascii="Times New Roman" w:eastAsia="SimSun" w:hAnsi="Times New Roman"/>
    </w:rPr>
  </w:style>
  <w:style w:type="paragraph" w:customStyle="1" w:styleId="Style3">
    <w:name w:val="Style 3"/>
    <w:uiPriority w:val="99"/>
    <w:rsid w:val="00970C20"/>
    <w:pPr>
      <w:widowControl w:val="0"/>
      <w:autoSpaceDE w:val="0"/>
      <w:autoSpaceDN w:val="0"/>
      <w:spacing w:before="324"/>
      <w:ind w:right="72"/>
      <w:jc w:val="both"/>
    </w:pPr>
    <w:rPr>
      <w:rFonts w:ascii="Times New Roman" w:eastAsia="SimSun" w:hAnsi="Times New Roman"/>
      <w:sz w:val="18"/>
      <w:szCs w:val="18"/>
    </w:rPr>
  </w:style>
  <w:style w:type="character" w:customStyle="1" w:styleId="CharacterStyle1">
    <w:name w:val="Character Style 1"/>
    <w:uiPriority w:val="99"/>
    <w:rsid w:val="007526A8"/>
    <w:rPr>
      <w:sz w:val="18"/>
      <w:szCs w:val="18"/>
    </w:rPr>
  </w:style>
  <w:style w:type="character" w:customStyle="1" w:styleId="CharacterStyle2">
    <w:name w:val="Character Style 2"/>
    <w:uiPriority w:val="99"/>
    <w:rsid w:val="00C33B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E442BC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1C54A8"/>
    <w:pPr>
      <w:framePr w:hSpace="180" w:wrap="around" w:hAnchor="margin" w:y="-675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C54A8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Table">
    <w:name w:val="Table_#"/>
    <w:basedOn w:val="Normal"/>
    <w:next w:val="Normal"/>
    <w:uiPriority w:val="99"/>
    <w:rsid w:val="00970C2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0C20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970C20"/>
    <w:pPr>
      <w:ind w:left="720"/>
      <w:contextualSpacing/>
    </w:pPr>
    <w:rPr>
      <w:sz w:val="24"/>
    </w:rPr>
  </w:style>
  <w:style w:type="paragraph" w:customStyle="1" w:styleId="Style1">
    <w:name w:val="Style 1"/>
    <w:uiPriority w:val="99"/>
    <w:rsid w:val="00970C20"/>
    <w:pPr>
      <w:widowControl w:val="0"/>
      <w:autoSpaceDE w:val="0"/>
      <w:autoSpaceDN w:val="0"/>
      <w:adjustRightInd w:val="0"/>
    </w:pPr>
    <w:rPr>
      <w:rFonts w:ascii="Times New Roman" w:eastAsia="SimSun" w:hAnsi="Times New Roman"/>
    </w:rPr>
  </w:style>
  <w:style w:type="paragraph" w:customStyle="1" w:styleId="Style3">
    <w:name w:val="Style 3"/>
    <w:uiPriority w:val="99"/>
    <w:rsid w:val="00970C20"/>
    <w:pPr>
      <w:widowControl w:val="0"/>
      <w:autoSpaceDE w:val="0"/>
      <w:autoSpaceDN w:val="0"/>
      <w:spacing w:before="324"/>
      <w:ind w:right="72"/>
      <w:jc w:val="both"/>
    </w:pPr>
    <w:rPr>
      <w:rFonts w:ascii="Times New Roman" w:eastAsia="SimSun" w:hAnsi="Times New Roman"/>
      <w:sz w:val="18"/>
      <w:szCs w:val="18"/>
    </w:rPr>
  </w:style>
  <w:style w:type="character" w:customStyle="1" w:styleId="CharacterStyle1">
    <w:name w:val="Character Style 1"/>
    <w:uiPriority w:val="99"/>
    <w:rsid w:val="007526A8"/>
    <w:rPr>
      <w:sz w:val="18"/>
      <w:szCs w:val="18"/>
    </w:rPr>
  </w:style>
  <w:style w:type="character" w:customStyle="1" w:styleId="CharacterStyle2">
    <w:name w:val="Character Style 2"/>
    <w:uiPriority w:val="99"/>
    <w:rsid w:val="00C33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2-CL-C-0068/en" TargetMode="External"/><Relationship Id="rId18" Type="http://schemas.openxmlformats.org/officeDocument/2006/relationships/hyperlink" Target="http://www.itu.int/md/S13-CL-C-0078/en" TargetMode="External"/><Relationship Id="rId26" Type="http://schemas.openxmlformats.org/officeDocument/2006/relationships/hyperlink" Target="http://www.itu.int/md/S14-CL-C-0096/en" TargetMode="External"/><Relationship Id="rId39" Type="http://schemas.openxmlformats.org/officeDocument/2006/relationships/hyperlink" Target="http://www.itu.int/md/S14-CL-C-0065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S14-CL-INF-0012/en" TargetMode="External"/><Relationship Id="rId34" Type="http://schemas.openxmlformats.org/officeDocument/2006/relationships/hyperlink" Target="http://www.itu.int/md/S13-CL-C-0107/en" TargetMode="External"/><Relationship Id="rId42" Type="http://schemas.openxmlformats.org/officeDocument/2006/relationships/hyperlink" Target="http://www.itu.int/md/S14-CL-C-0013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2-CL-C-0036/en" TargetMode="External"/><Relationship Id="rId17" Type="http://schemas.openxmlformats.org/officeDocument/2006/relationships/hyperlink" Target="http://www.itu.int/md/S13-CL-C-0055/en" TargetMode="External"/><Relationship Id="rId25" Type="http://schemas.openxmlformats.org/officeDocument/2006/relationships/hyperlink" Target="http://www.itu.int/md/S14-CL-C-0094/en" TargetMode="External"/><Relationship Id="rId33" Type="http://schemas.openxmlformats.org/officeDocument/2006/relationships/hyperlink" Target="http://www.itu.int/md/S13-CL-C-0055/en" TargetMode="External"/><Relationship Id="rId38" Type="http://schemas.openxmlformats.org/officeDocument/2006/relationships/hyperlink" Target="http://www.itu.int/md/S14-CL-C-0051/en" TargetMode="External"/><Relationship Id="rId46" Type="http://schemas.openxmlformats.org/officeDocument/2006/relationships/hyperlink" Target="http://www.unidroit.org/english/conventions/mobile-equipment/main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tu.int/md/S13-CL-C-0015/en" TargetMode="External"/><Relationship Id="rId20" Type="http://schemas.openxmlformats.org/officeDocument/2006/relationships/hyperlink" Target="http://www.itu.int/md/S14-CL-C-0013/en" TargetMode="External"/><Relationship Id="rId29" Type="http://schemas.openxmlformats.org/officeDocument/2006/relationships/hyperlink" Target="http://www.itu.int/en/ITU-R/space/spaceAssets/DCME-SP-Doc43-finalAct-EN.pdf" TargetMode="External"/><Relationship Id="rId41" Type="http://schemas.openxmlformats.org/officeDocument/2006/relationships/hyperlink" Target="http://www.itu.int/md/S14-CL-C-0096/e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1-CL-C-0120/en" TargetMode="External"/><Relationship Id="rId24" Type="http://schemas.openxmlformats.org/officeDocument/2006/relationships/hyperlink" Target="http://www.itu.int/md/S14-CL-C-0071/en" TargetMode="External"/><Relationship Id="rId32" Type="http://schemas.openxmlformats.org/officeDocument/2006/relationships/hyperlink" Target="http://www.itu.int/md/S12-CL-C-0036/en" TargetMode="External"/><Relationship Id="rId37" Type="http://schemas.openxmlformats.org/officeDocument/2006/relationships/hyperlink" Target="http://www.itu.int/md/S14-CL-C-0071/en" TargetMode="External"/><Relationship Id="rId40" Type="http://schemas.openxmlformats.org/officeDocument/2006/relationships/hyperlink" Target="http://www.itu.int/md/S14-CL-C-0094/en" TargetMode="External"/><Relationship Id="rId45" Type="http://schemas.openxmlformats.org/officeDocument/2006/relationships/hyperlink" Target="http://www.unidroit.org/english/conventions/mobile-equipment/mai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2-CL-C-0094/en" TargetMode="External"/><Relationship Id="rId23" Type="http://schemas.openxmlformats.org/officeDocument/2006/relationships/hyperlink" Target="http://www.itu.int/md/S14-CL-C-0065/en" TargetMode="External"/><Relationship Id="rId28" Type="http://schemas.openxmlformats.org/officeDocument/2006/relationships/hyperlink" Target="http://www.itu.int/en/ITU-R/space/spaceAssetsProtocol/potocolSpaceAssets09032012-EN.pdf" TargetMode="External"/><Relationship Id="rId36" Type="http://schemas.openxmlformats.org/officeDocument/2006/relationships/hyperlink" Target="http://www.itu.int/md/S14-CL-INF-0012/en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itu.int/md/S11-CL-C-0100/en" TargetMode="External"/><Relationship Id="rId19" Type="http://schemas.openxmlformats.org/officeDocument/2006/relationships/hyperlink" Target="http://www.itu.int/md/S13-CL-C-0107/en" TargetMode="External"/><Relationship Id="rId31" Type="http://schemas.openxmlformats.org/officeDocument/2006/relationships/hyperlink" Target="http://www.itu.int/en/ITU-R/space/spaceAssets/DCME-SP-Doc43-resolution2-EN.pdf" TargetMode="External"/><Relationship Id="rId44" Type="http://schemas.openxmlformats.org/officeDocument/2006/relationships/hyperlink" Target="http://www.itu.int/council/C2011/link/026r_protoc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1-CL-C-0092/en" TargetMode="External"/><Relationship Id="rId14" Type="http://schemas.openxmlformats.org/officeDocument/2006/relationships/hyperlink" Target="http://www.itu.int/md/S12-CL-C-0077/en" TargetMode="External"/><Relationship Id="rId22" Type="http://schemas.openxmlformats.org/officeDocument/2006/relationships/hyperlink" Target="http://www.itu.int/md/S14-CL-C-0051/en" TargetMode="External"/><Relationship Id="rId27" Type="http://schemas.openxmlformats.org/officeDocument/2006/relationships/hyperlink" Target="http://www.itu.int/md/S11-CL-C-0100/en" TargetMode="External"/><Relationship Id="rId30" Type="http://schemas.openxmlformats.org/officeDocument/2006/relationships/hyperlink" Target="http://www.itu.int/en/ITU-R/space/spaceAssets/DCME-SP-Doc43-resolution1-EN.pdf" TargetMode="External"/><Relationship Id="rId35" Type="http://schemas.openxmlformats.org/officeDocument/2006/relationships/hyperlink" Target="http://www.itu.int/md/S14-CL-C-0013/en" TargetMode="External"/><Relationship Id="rId43" Type="http://schemas.openxmlformats.org/officeDocument/2006/relationships/hyperlink" Target="https://extranet.itu.int/ITU-R/space-assets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itu.int/md/S11-CL-C-0026/en" TargetMode="Externa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10</Pages>
  <Words>3756</Words>
  <Characters>29018</Characters>
  <Application>Microsoft Office Word</Application>
  <DocSecurity>4</DocSecurity>
  <Lines>241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2014-08-28T08:11:00Z</cp:lastPrinted>
  <dcterms:created xsi:type="dcterms:W3CDTF">2014-09-09T18:43:00Z</dcterms:created>
  <dcterms:modified xsi:type="dcterms:W3CDTF">2014-09-09T18:43:00Z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